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473F5144" wp14:editId="631D6F26">
            <wp:simplePos x="0" y="0"/>
            <wp:positionH relativeFrom="page">
              <wp:align>left</wp:align>
            </wp:positionH>
            <wp:positionV relativeFrom="page">
              <wp:posOffset>161925</wp:posOffset>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821FDE"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Burma</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3D58C5">
      <w:pPr>
        <w:pStyle w:val="Heading2"/>
        <w:spacing w:before="0"/>
        <w:rPr>
          <w:rStyle w:val="BodyTextChar"/>
          <w:color w:val="auto"/>
        </w:rPr>
      </w:pPr>
      <w:bookmarkStart w:id="1" w:name="_Toc373853205"/>
      <w:r w:rsidRPr="009E38C1">
        <w:rPr>
          <w:sz w:val="28"/>
        </w:rPr>
        <w:lastRenderedPageBreak/>
        <w:t>Key Messages</w:t>
      </w:r>
      <w:bookmarkEnd w:id="1"/>
    </w:p>
    <w:p w:rsidR="007E1620" w:rsidRDefault="007E1620" w:rsidP="00B41512">
      <w:pPr>
        <w:pStyle w:val="ListBullet"/>
        <w:numPr>
          <w:ilvl w:val="0"/>
          <w:numId w:val="0"/>
        </w:numPr>
        <w:tabs>
          <w:tab w:val="clear" w:pos="284"/>
        </w:tabs>
        <w:spacing w:line="260" w:lineRule="exact"/>
      </w:pPr>
      <w:r>
        <w:t xml:space="preserve">This report summarises the </w:t>
      </w:r>
      <w:r w:rsidR="00CB2F4F">
        <w:t xml:space="preserve">Australian </w:t>
      </w:r>
      <w:r>
        <w:t>aid program’s progress in Burma from July 2013 to June 2014.</w:t>
      </w:r>
      <w:r w:rsidR="000C1D66">
        <w:t xml:space="preserve"> The program is implemented in accordance with the </w:t>
      </w:r>
      <w:r w:rsidR="000C1D66" w:rsidRPr="000C1D66">
        <w:rPr>
          <w:i/>
        </w:rPr>
        <w:t>Australia-Myanmar Aid Program Strategy 2012-2014</w:t>
      </w:r>
      <w:r w:rsidR="004C0AB7">
        <w:rPr>
          <w:i/>
        </w:rPr>
        <w:t xml:space="preserve"> </w:t>
      </w:r>
      <w:r w:rsidR="004C0AB7" w:rsidRPr="004C0AB7">
        <w:t xml:space="preserve">and </w:t>
      </w:r>
      <w:r w:rsidR="00503D74">
        <w:t>reflect</w:t>
      </w:r>
      <w:r w:rsidR="001144B2">
        <w:t>s</w:t>
      </w:r>
      <w:r w:rsidR="00503D74">
        <w:t xml:space="preserve"> </w:t>
      </w:r>
      <w:r w:rsidR="004C0AB7" w:rsidRPr="004C0AB7">
        <w:t xml:space="preserve">the priorities of the Australian </w:t>
      </w:r>
      <w:r w:rsidR="007E0206">
        <w:t xml:space="preserve">and Myanmar </w:t>
      </w:r>
      <w:r w:rsidR="004C0AB7" w:rsidRPr="004C0AB7">
        <w:t>Government</w:t>
      </w:r>
      <w:r w:rsidR="00503D74">
        <w:t>s</w:t>
      </w:r>
      <w:r w:rsidR="007F3E38" w:rsidRPr="004C0AB7">
        <w:t>.</w:t>
      </w:r>
      <w:r w:rsidR="00804F48">
        <w:t xml:space="preserve"> </w:t>
      </w:r>
      <w:r>
        <w:t xml:space="preserve">The </w:t>
      </w:r>
      <w:r w:rsidR="00127702">
        <w:t>report finds that the program has made good progress, with success in</w:t>
      </w:r>
      <w:r>
        <w:t>:</w:t>
      </w:r>
    </w:p>
    <w:p w:rsidR="00CB2F4F" w:rsidRDefault="00CB2F4F" w:rsidP="00CC198E">
      <w:pPr>
        <w:pStyle w:val="ListBullet"/>
        <w:tabs>
          <w:tab w:val="clear" w:pos="284"/>
        </w:tabs>
        <w:spacing w:after="80" w:line="240" w:lineRule="auto"/>
        <w:ind w:left="357" w:hanging="357"/>
      </w:pPr>
      <w:r>
        <w:t>support</w:t>
      </w:r>
      <w:r w:rsidR="005A37E5">
        <w:t>ing</w:t>
      </w:r>
      <w:r>
        <w:t xml:space="preserve"> the development of a comprehensive and prioritised </w:t>
      </w:r>
      <w:r w:rsidR="005A37E5">
        <w:t xml:space="preserve">education </w:t>
      </w:r>
      <w:r>
        <w:t>sector plan to guide government, donor and privat</w:t>
      </w:r>
      <w:r w:rsidR="005A37E5">
        <w:t>e sector investment and provid</w:t>
      </w:r>
      <w:r w:rsidR="001144B2">
        <w:t>e</w:t>
      </w:r>
      <w:r>
        <w:t xml:space="preserve"> advice on the revitalisation of Burma’s tertiary education sector, including Rangoon University</w:t>
      </w:r>
    </w:p>
    <w:p w:rsidR="00155B4A" w:rsidRDefault="00155B4A" w:rsidP="00CC198E">
      <w:pPr>
        <w:pStyle w:val="ListBullet"/>
        <w:tabs>
          <w:tab w:val="clear" w:pos="284"/>
        </w:tabs>
        <w:spacing w:after="80" w:line="240" w:lineRule="auto"/>
        <w:ind w:left="357" w:hanging="357"/>
      </w:pPr>
      <w:r>
        <w:t>working with local and international organisations to support ongoing negotiations between government, military and ethnic armed groups</w:t>
      </w:r>
      <w:r w:rsidR="00503D74">
        <w:t>,</w:t>
      </w:r>
      <w:r>
        <w:t xml:space="preserve"> to engage women in the peace process and </w:t>
      </w:r>
      <w:r w:rsidR="00606707">
        <w:t xml:space="preserve">help </w:t>
      </w:r>
      <w:r>
        <w:t>establish a lasting peace</w:t>
      </w:r>
    </w:p>
    <w:p w:rsidR="000F1A4F" w:rsidRDefault="00127702" w:rsidP="00CC198E">
      <w:pPr>
        <w:pStyle w:val="ListBullet"/>
        <w:tabs>
          <w:tab w:val="clear" w:pos="284"/>
        </w:tabs>
        <w:spacing w:after="80" w:line="240" w:lineRule="auto"/>
        <w:ind w:left="357" w:hanging="357"/>
      </w:pPr>
      <w:r>
        <w:t xml:space="preserve">supporting the government to deliver key health and education services and </w:t>
      </w:r>
      <w:r w:rsidR="00155B4A">
        <w:t xml:space="preserve">promoting economic growth by </w:t>
      </w:r>
      <w:r w:rsidR="000F1A4F">
        <w:t xml:space="preserve">increasing incomes </w:t>
      </w:r>
      <w:r w:rsidR="00430FD2">
        <w:t xml:space="preserve">and providing access to financial services </w:t>
      </w:r>
      <w:r w:rsidR="00CB2F4F">
        <w:t>and agricultural technologies for</w:t>
      </w:r>
      <w:r w:rsidR="003A7336">
        <w:t xml:space="preserve"> </w:t>
      </w:r>
      <w:r w:rsidR="00CB2F4F">
        <w:t>poor rural women and men</w:t>
      </w:r>
    </w:p>
    <w:p w:rsidR="003A7336" w:rsidRDefault="00CB2F4F" w:rsidP="00CC198E">
      <w:pPr>
        <w:pStyle w:val="ListBullet"/>
        <w:tabs>
          <w:tab w:val="clear" w:pos="284"/>
        </w:tabs>
        <w:spacing w:after="80" w:line="240" w:lineRule="auto"/>
        <w:ind w:left="357" w:hanging="357"/>
      </w:pPr>
      <w:r>
        <w:t>establishing</w:t>
      </w:r>
      <w:r w:rsidR="00787171">
        <w:t xml:space="preserve"> a new public financial management reform program </w:t>
      </w:r>
      <w:r>
        <w:t>to build government capacity for</w:t>
      </w:r>
      <w:r w:rsidR="00787171">
        <w:t xml:space="preserve"> efficient, accountable and responsive public service delivery</w:t>
      </w:r>
    </w:p>
    <w:p w:rsidR="00501FB1" w:rsidRDefault="00501FB1" w:rsidP="00803547">
      <w:pPr>
        <w:pStyle w:val="ListBullet"/>
        <w:tabs>
          <w:tab w:val="clear" w:pos="284"/>
        </w:tabs>
        <w:spacing w:after="0" w:line="240" w:lineRule="auto"/>
        <w:ind w:left="357" w:hanging="357"/>
      </w:pPr>
      <w:r>
        <w:t>establishing a program to support an enabling environment for trade by strengthening the investment climate and</w:t>
      </w:r>
      <w:r w:rsidRPr="00501FB1">
        <w:t xml:space="preserve"> </w:t>
      </w:r>
      <w:r>
        <w:t>conducting the inaugural</w:t>
      </w:r>
      <w:r w:rsidRPr="003A7336">
        <w:t xml:space="preserve"> </w:t>
      </w:r>
      <w:r w:rsidRPr="009F265F">
        <w:t xml:space="preserve">Australia-Burma High-Level Consultations on </w:t>
      </w:r>
      <w:r>
        <w:t>development cooperation in July 2013.</w:t>
      </w:r>
    </w:p>
    <w:p w:rsidR="000D733F" w:rsidRPr="00B43B60" w:rsidRDefault="000D733F" w:rsidP="00803547">
      <w:pPr>
        <w:pStyle w:val="Heading2"/>
        <w:spacing w:before="320"/>
        <w:rPr>
          <w:rStyle w:val="BodyTextChar"/>
          <w:color w:val="auto"/>
          <w:kern w:val="0"/>
        </w:rPr>
      </w:pPr>
      <w:r w:rsidRPr="009E38C1">
        <w:rPr>
          <w:sz w:val="28"/>
        </w:rPr>
        <w:t>Context</w:t>
      </w:r>
    </w:p>
    <w:p w:rsidR="002410A1" w:rsidRPr="00043742" w:rsidRDefault="003A7336" w:rsidP="00803547">
      <w:pPr>
        <w:pStyle w:val="ListBullet"/>
        <w:numPr>
          <w:ilvl w:val="0"/>
          <w:numId w:val="0"/>
        </w:numPr>
        <w:tabs>
          <w:tab w:val="clear" w:pos="284"/>
        </w:tabs>
        <w:spacing w:line="260" w:lineRule="exact"/>
      </w:pPr>
      <w:r w:rsidRPr="008A48C8">
        <w:t>Burma’s reform agenda represents an</w:t>
      </w:r>
      <w:r>
        <w:t xml:space="preserve"> unprecedented opportunity for Australia to help Burma realise its potential, accelerate economic growth, create stability, solidify democracy and improve the lives of millions of people.</w:t>
      </w:r>
      <w:r w:rsidR="008E6706">
        <w:t xml:space="preserve"> </w:t>
      </w:r>
      <w:r w:rsidR="00E404A4">
        <w:t>Burma’s development challenges are significant</w:t>
      </w:r>
      <w:r w:rsidR="00CB2F4F">
        <w:t>.</w:t>
      </w:r>
      <w:r w:rsidR="00AB4B46" w:rsidRPr="008A48C8">
        <w:t xml:space="preserve"> </w:t>
      </w:r>
      <w:r w:rsidR="00CE1EE7">
        <w:t>It</w:t>
      </w:r>
      <w:r w:rsidR="00CE1EE7" w:rsidRPr="008A48C8">
        <w:t xml:space="preserve"> </w:t>
      </w:r>
      <w:r w:rsidR="00AB4B46" w:rsidRPr="008A48C8">
        <w:t>has among the lowest development indicators in the region</w:t>
      </w:r>
      <w:r w:rsidR="00D47795" w:rsidRPr="008A48C8">
        <w:t xml:space="preserve"> and is off-track to meet key Millennium Development Goals (</w:t>
      </w:r>
      <w:r w:rsidR="005A56EE" w:rsidRPr="008A48C8">
        <w:t>particularly health and education indicators</w:t>
      </w:r>
      <w:r w:rsidR="00D47795" w:rsidRPr="008A48C8">
        <w:t>) by 2015</w:t>
      </w:r>
      <w:r w:rsidR="005F4FA7">
        <w:t>.</w:t>
      </w:r>
      <w:r w:rsidR="00E71C4F" w:rsidRPr="008A48C8">
        <w:rPr>
          <w:rStyle w:val="EndnoteReference"/>
        </w:rPr>
        <w:endnoteReference w:id="1"/>
      </w:r>
      <w:r w:rsidR="00E71C4F" w:rsidRPr="008A48C8">
        <w:t xml:space="preserve"> An estimated one-quarter of Burma’s population lives in poverty</w:t>
      </w:r>
      <w:r w:rsidR="00E71C4F">
        <w:t xml:space="preserve"> (below US$</w:t>
      </w:r>
      <w:r w:rsidR="00E71C4F" w:rsidRPr="008A48C8">
        <w:t>1.25 per day</w:t>
      </w:r>
      <w:r w:rsidR="005F4FA7">
        <w:t>).</w:t>
      </w:r>
      <w:r w:rsidR="00E71C4F" w:rsidRPr="008A48C8">
        <w:rPr>
          <w:rStyle w:val="EndnoteReference"/>
        </w:rPr>
        <w:endnoteReference w:id="2"/>
      </w:r>
      <w:r w:rsidR="00E71C4F" w:rsidRPr="008A48C8">
        <w:t xml:space="preserve"> Around 10 per cent of Burma’s population</w:t>
      </w:r>
      <w:r w:rsidR="002E3C29">
        <w:t xml:space="preserve"> </w:t>
      </w:r>
      <w:r w:rsidR="00E71C4F" w:rsidRPr="008A48C8">
        <w:t xml:space="preserve">do not have access to enough food and over a third of children under five </w:t>
      </w:r>
      <w:r w:rsidR="00E71C4F">
        <w:t xml:space="preserve">are </w:t>
      </w:r>
      <w:r w:rsidR="00E71C4F" w:rsidRPr="008A48C8">
        <w:t>stunted</w:t>
      </w:r>
      <w:r w:rsidR="005F4FA7">
        <w:t>.</w:t>
      </w:r>
      <w:r w:rsidR="00E71C4F" w:rsidRPr="008A48C8">
        <w:rPr>
          <w:rStyle w:val="EndnoteReference"/>
        </w:rPr>
        <w:endnoteReference w:id="3"/>
      </w:r>
      <w:r w:rsidR="00E71C4F" w:rsidRPr="008A48C8">
        <w:t xml:space="preserve"> Education and Health standards are among the worst in the region</w:t>
      </w:r>
      <w:r w:rsidR="00B377EA">
        <w:t xml:space="preserve"> and tracking progress is hampered by a lack of quality baseline data</w:t>
      </w:r>
      <w:r w:rsidR="00E71C4F" w:rsidRPr="008A48C8">
        <w:t>.</w:t>
      </w:r>
      <w:r w:rsidR="00EB0541">
        <w:t xml:space="preserve"> E</w:t>
      </w:r>
      <w:r w:rsidR="00E71C4F" w:rsidRPr="008A48C8">
        <w:t>ach year around 48,000 children die before the age of five from easily preventable diseases</w:t>
      </w:r>
      <w:r w:rsidR="00503D74">
        <w:t xml:space="preserve"> and </w:t>
      </w:r>
      <w:r w:rsidR="00CB2F4F">
        <w:t>o</w:t>
      </w:r>
      <w:r w:rsidR="00EB0541" w:rsidRPr="008A48C8">
        <w:t>nly half of all children complete primary school</w:t>
      </w:r>
      <w:r w:rsidR="00503D74">
        <w:t>.</w:t>
      </w:r>
      <w:r w:rsidR="00EB0541" w:rsidRPr="008A48C8">
        <w:rPr>
          <w:rStyle w:val="EndnoteReference"/>
        </w:rPr>
        <w:endnoteReference w:id="4"/>
      </w:r>
      <w:r w:rsidR="00EB0541">
        <w:t xml:space="preserve"> </w:t>
      </w:r>
      <w:r w:rsidR="00503D74">
        <w:t>L</w:t>
      </w:r>
      <w:r w:rsidR="002410A1" w:rsidRPr="00043742">
        <w:t>ess than 18 per cent of women in Burma have attended secondary schoo</w:t>
      </w:r>
      <w:r w:rsidR="00503D74">
        <w:t>l</w:t>
      </w:r>
      <w:r w:rsidR="00155B4A">
        <w:rPr>
          <w:rStyle w:val="EndnoteReference"/>
        </w:rPr>
        <w:endnoteReference w:id="5"/>
      </w:r>
      <w:r w:rsidR="00503D74">
        <w:t xml:space="preserve"> and</w:t>
      </w:r>
      <w:r w:rsidR="002410A1">
        <w:t xml:space="preserve"> </w:t>
      </w:r>
      <w:r w:rsidR="00503D74">
        <w:t>w</w:t>
      </w:r>
      <w:r w:rsidR="002410A1" w:rsidRPr="00043742">
        <w:t xml:space="preserve">omen’s political participation remains the lowest in the region </w:t>
      </w:r>
      <w:r w:rsidR="005F4FA7">
        <w:t>with</w:t>
      </w:r>
      <w:r w:rsidR="002410A1" w:rsidRPr="00043742">
        <w:t xml:space="preserve"> women hold</w:t>
      </w:r>
      <w:r w:rsidR="005F4FA7">
        <w:t>ing</w:t>
      </w:r>
      <w:r w:rsidR="002410A1" w:rsidRPr="00043742">
        <w:t xml:space="preserve"> only 4.6 per cent of parliamentary seats</w:t>
      </w:r>
      <w:r w:rsidR="009B0A38">
        <w:t>.</w:t>
      </w:r>
      <w:r w:rsidR="002E3C29">
        <w:rPr>
          <w:rStyle w:val="EndnoteReference"/>
        </w:rPr>
        <w:endnoteReference w:id="6"/>
      </w:r>
    </w:p>
    <w:p w:rsidR="00E71C4F" w:rsidRPr="008A48C8" w:rsidRDefault="002E3C29" w:rsidP="00803547">
      <w:pPr>
        <w:pStyle w:val="ListBullet"/>
        <w:numPr>
          <w:ilvl w:val="0"/>
          <w:numId w:val="0"/>
        </w:numPr>
        <w:tabs>
          <w:tab w:val="clear" w:pos="284"/>
        </w:tabs>
        <w:spacing w:line="260" w:lineRule="exact"/>
      </w:pPr>
      <w:r>
        <w:t>D</w:t>
      </w:r>
      <w:r w:rsidR="00E71C4F" w:rsidRPr="008A48C8">
        <w:t>ecades-long ethnic conflicts</w:t>
      </w:r>
      <w:r>
        <w:t xml:space="preserve"> in Burma</w:t>
      </w:r>
      <w:r w:rsidR="00E71C4F" w:rsidRPr="008A48C8">
        <w:t xml:space="preserve"> have contributed to ongoing instability. The UN estimates 828,000 people in </w:t>
      </w:r>
      <w:r w:rsidR="002F4116">
        <w:t xml:space="preserve">Burma are in </w:t>
      </w:r>
      <w:r w:rsidR="00E71C4F" w:rsidRPr="008A48C8">
        <w:t>need of some form of humanitarian assistance</w:t>
      </w:r>
      <w:r w:rsidR="00E71C4F" w:rsidRPr="008A48C8">
        <w:rPr>
          <w:rStyle w:val="EndnoteReference"/>
        </w:rPr>
        <w:endnoteReference w:id="7"/>
      </w:r>
      <w:r w:rsidR="00E71C4F" w:rsidRPr="008A48C8">
        <w:t xml:space="preserve"> with over 640,000 internally displaced people and around 400,000 refugees living in surrounding countries</w:t>
      </w:r>
      <w:r w:rsidR="005F4FA7">
        <w:t>.</w:t>
      </w:r>
      <w:r w:rsidR="00E71C4F" w:rsidRPr="008A48C8">
        <w:rPr>
          <w:rStyle w:val="EndnoteReference"/>
        </w:rPr>
        <w:endnoteReference w:id="8"/>
      </w:r>
      <w:r w:rsidR="00E71C4F" w:rsidRPr="008A48C8">
        <w:t xml:space="preserve"> </w:t>
      </w:r>
      <w:r w:rsidR="00606707">
        <w:t xml:space="preserve">There has been positive progress towards a Nationwide Ceasefire Agreement but ongoing conflict in some parts of the country highlights the continued fragility of this process. Long-running ethnic conflicts have hampered economic growth in the past and a return to conflict has the potential to reverse recent economic gains. </w:t>
      </w:r>
      <w:r w:rsidR="00E71C4F">
        <w:t>The economy has suffered from years of isolation, with per capita income (PPP) estimated to be $856 (among the lowest in Asia).</w:t>
      </w:r>
      <w:r w:rsidR="00E71C4F" w:rsidRPr="008A48C8">
        <w:t xml:space="preserve"> According to the World Bank, Burma was considered one of the hardest places in the world to conduct business in 2013.</w:t>
      </w:r>
      <w:r w:rsidR="00E71C4F" w:rsidRPr="008A48C8">
        <w:rPr>
          <w:rStyle w:val="EndnoteReference"/>
        </w:rPr>
        <w:endnoteReference w:id="9"/>
      </w:r>
    </w:p>
    <w:p w:rsidR="00E71C4F" w:rsidRPr="008A48C8" w:rsidRDefault="00E71C4F" w:rsidP="00803547">
      <w:pPr>
        <w:pStyle w:val="ListBullet"/>
        <w:numPr>
          <w:ilvl w:val="0"/>
          <w:numId w:val="0"/>
        </w:numPr>
        <w:tabs>
          <w:tab w:val="clear" w:pos="284"/>
        </w:tabs>
        <w:spacing w:line="260" w:lineRule="exact"/>
      </w:pPr>
      <w:r w:rsidRPr="008A48C8">
        <w:t>Despite significant challenges, Burma is showing signs of economic growth and political transformation as the country’s reform process progresses. Burma is attempting to make multiple transformations: from authoritarian military rule to democratic an</w:t>
      </w:r>
      <w:r w:rsidR="00F40BA1">
        <w:t>d accountable governance; from</w:t>
      </w:r>
      <w:r w:rsidRPr="008A48C8">
        <w:t xml:space="preserve"> </w:t>
      </w:r>
      <w:r w:rsidR="003E4449">
        <w:t xml:space="preserve">a </w:t>
      </w:r>
      <w:r w:rsidRPr="008A48C8">
        <w:t>centrally-directed to a market-oriented economy; and from decades of internal conflict to peace. In 2013-14, Burma’s political leadership demonstrated continued commitment to transformation including through increased public spending in education and health</w:t>
      </w:r>
      <w:r w:rsidRPr="008A48C8">
        <w:rPr>
          <w:rStyle w:val="EndnoteReference"/>
        </w:rPr>
        <w:endnoteReference w:id="10"/>
      </w:r>
      <w:r w:rsidRPr="008A48C8">
        <w:t xml:space="preserve">, large-scale legislative reform, and steps to open up space for democratic processes and </w:t>
      </w:r>
      <w:r w:rsidRPr="008A48C8">
        <w:lastRenderedPageBreak/>
        <w:t>debates</w:t>
      </w:r>
      <w:r w:rsidR="005F4FA7">
        <w:t>.</w:t>
      </w:r>
      <w:r w:rsidRPr="008A48C8">
        <w:rPr>
          <w:rStyle w:val="EndnoteReference"/>
        </w:rPr>
        <w:endnoteReference w:id="11"/>
      </w:r>
      <w:r w:rsidRPr="008A48C8">
        <w:t xml:space="preserve"> Economic growth is forecast at 8.25 per cent in 2013</w:t>
      </w:r>
      <w:r w:rsidR="005F4FA7">
        <w:noBreakHyphen/>
      </w:r>
      <w:r w:rsidRPr="008A48C8">
        <w:t>14</w:t>
      </w:r>
      <w:r w:rsidRPr="008A48C8">
        <w:rPr>
          <w:rStyle w:val="EndnoteReference"/>
        </w:rPr>
        <w:endnoteReference w:id="12"/>
      </w:r>
      <w:r w:rsidRPr="008A48C8">
        <w:t>, compared to 5.3 per cent in 2010.</w:t>
      </w:r>
      <w:r w:rsidRPr="008A48C8">
        <w:rPr>
          <w:rStyle w:val="EndnoteReference"/>
        </w:rPr>
        <w:endnoteReference w:id="13"/>
      </w:r>
      <w:r w:rsidRPr="008A48C8">
        <w:t xml:space="preserve"> Human rights are receiving greater attention and </w:t>
      </w:r>
      <w:r w:rsidR="004313B8">
        <w:t xml:space="preserve">preliminary </w:t>
      </w:r>
      <w:r w:rsidRPr="008A48C8">
        <w:t xml:space="preserve">agreements have been struck with many ethnic </w:t>
      </w:r>
      <w:r w:rsidR="004313B8">
        <w:t xml:space="preserve">armed </w:t>
      </w:r>
      <w:r w:rsidRPr="008A48C8">
        <w:t xml:space="preserve">groups, a key step in the negotiations towards a </w:t>
      </w:r>
      <w:r w:rsidR="00E301FD">
        <w:t>nationwide</w:t>
      </w:r>
      <w:r w:rsidR="00E301FD" w:rsidRPr="008A48C8">
        <w:t xml:space="preserve"> </w:t>
      </w:r>
      <w:r w:rsidRPr="008A48C8">
        <w:t xml:space="preserve">ceasefire. </w:t>
      </w:r>
      <w:r w:rsidR="00E301FD">
        <w:t xml:space="preserve">With Australia’s assistance, </w:t>
      </w:r>
      <w:r w:rsidRPr="008A48C8">
        <w:t>Burma delivered its first census in over 30 years in March 2014, was accepted as a candidate to the Extractive industries Transparency Initiative in July 2014 and is re-establishing its po</w:t>
      </w:r>
      <w:r w:rsidR="003E4449">
        <w:t xml:space="preserve">sition in the region </w:t>
      </w:r>
      <w:r w:rsidRPr="008A48C8">
        <w:t xml:space="preserve">by </w:t>
      </w:r>
      <w:r>
        <w:t>chairing</w:t>
      </w:r>
      <w:r w:rsidRPr="008A48C8">
        <w:t xml:space="preserve"> ASEAN in 2014.</w:t>
      </w:r>
    </w:p>
    <w:p w:rsidR="000B04D9" w:rsidRDefault="00E301FD" w:rsidP="00803547">
      <w:pPr>
        <w:pStyle w:val="ListBullet"/>
        <w:numPr>
          <w:ilvl w:val="0"/>
          <w:numId w:val="0"/>
        </w:numPr>
        <w:tabs>
          <w:tab w:val="clear" w:pos="284"/>
        </w:tabs>
        <w:spacing w:line="260" w:lineRule="exact"/>
      </w:pPr>
      <w:r>
        <w:t xml:space="preserve">In 2013-14 </w:t>
      </w:r>
      <w:r w:rsidR="00503D74">
        <w:t xml:space="preserve">a number of </w:t>
      </w:r>
      <w:r w:rsidR="000B04D9">
        <w:t xml:space="preserve">high-level visits between Australia and Burma occurred, including a visit to Australia by Burma’s Opposition Leader, Aung Sung Suu Kyi. Australia’s Governor General, </w:t>
      </w:r>
      <w:r w:rsidR="004D58C4">
        <w:t xml:space="preserve">the </w:t>
      </w:r>
      <w:r w:rsidR="000B04D9">
        <w:t xml:space="preserve">Minister for Foreign Affairs, and </w:t>
      </w:r>
      <w:r w:rsidR="004D58C4">
        <w:t xml:space="preserve">the </w:t>
      </w:r>
      <w:r w:rsidR="000B04D9">
        <w:t>Minister for Immigration and Border Protection</w:t>
      </w:r>
      <w:r w:rsidR="00301B10">
        <w:t xml:space="preserve"> visited Burma in 2013-14</w:t>
      </w:r>
      <w:r w:rsidR="000B04D9">
        <w:t xml:space="preserve">. These high-level engagements underpin the </w:t>
      </w:r>
      <w:r w:rsidR="004D58C4">
        <w:t>ongoing transition of Australia’s aid program to Burma from one which, prior to 2010, was largely humanitarian</w:t>
      </w:r>
      <w:r w:rsidR="00503D74">
        <w:t>,</w:t>
      </w:r>
      <w:r w:rsidR="004D58C4">
        <w:t xml:space="preserve"> </w:t>
      </w:r>
      <w:r>
        <w:t>to a program</w:t>
      </w:r>
      <w:r w:rsidR="004D58C4">
        <w:t xml:space="preserve"> which now works directly to support </w:t>
      </w:r>
      <w:r w:rsidR="00E32D9D">
        <w:t>Burmese</w:t>
      </w:r>
      <w:r w:rsidR="004D58C4">
        <w:t xml:space="preserve"> systems and priorities.</w:t>
      </w:r>
    </w:p>
    <w:p w:rsidR="007868AF" w:rsidRDefault="00E71C4F" w:rsidP="00803547">
      <w:pPr>
        <w:pStyle w:val="ListBullet"/>
        <w:numPr>
          <w:ilvl w:val="0"/>
          <w:numId w:val="0"/>
        </w:numPr>
        <w:spacing w:line="260" w:lineRule="exact"/>
      </w:pPr>
      <w:r w:rsidRPr="00296121">
        <w:t xml:space="preserve">Australia’s aid program </w:t>
      </w:r>
      <w:r w:rsidR="00B12A25">
        <w:t>a</w:t>
      </w:r>
      <w:r w:rsidRPr="00296121">
        <w:t>i</w:t>
      </w:r>
      <w:r w:rsidR="00B12A25">
        <w:t>m</w:t>
      </w:r>
      <w:r w:rsidRPr="00296121">
        <w:t xml:space="preserve">s </w:t>
      </w:r>
      <w:r w:rsidR="00B12A25">
        <w:t>to</w:t>
      </w:r>
      <w:r w:rsidRPr="00296121">
        <w:t xml:space="preserve"> create an environment conducive to economic</w:t>
      </w:r>
      <w:r>
        <w:t xml:space="preserve"> growth and increased trade by strengthen</w:t>
      </w:r>
      <w:r w:rsidR="002E3C29">
        <w:t>ing</w:t>
      </w:r>
      <w:r>
        <w:t xml:space="preserve"> govern</w:t>
      </w:r>
      <w:r w:rsidR="002E3C29">
        <w:t>ment</w:t>
      </w:r>
      <w:r>
        <w:t xml:space="preserve"> capacity, promot</w:t>
      </w:r>
      <w:r w:rsidR="002E3C29">
        <w:t xml:space="preserve">ing </w:t>
      </w:r>
      <w:r>
        <w:t>peace and stability and support</w:t>
      </w:r>
      <w:r w:rsidR="002E3C29">
        <w:t>ing</w:t>
      </w:r>
      <w:r>
        <w:t xml:space="preserve"> the development of a healthy, educated population that can meet the needs of an open and growing economy. Australian aid </w:t>
      </w:r>
      <w:r w:rsidR="00E32D9D">
        <w:t>a</w:t>
      </w:r>
      <w:r>
        <w:t>i</w:t>
      </w:r>
      <w:r w:rsidR="00E32D9D">
        <w:t>m</w:t>
      </w:r>
      <w:r>
        <w:t xml:space="preserve">s </w:t>
      </w:r>
      <w:r w:rsidR="00E32D9D">
        <w:t xml:space="preserve">to </w:t>
      </w:r>
      <w:r>
        <w:t>help improve trade prospects through aid for trade activities, promoting private sector growth and strengthening public financial management capacity.</w:t>
      </w:r>
      <w:r w:rsidR="00301B10">
        <w:t xml:space="preserve"> </w:t>
      </w:r>
      <w:r w:rsidR="00B620CF">
        <w:t>Australia is building strong linkages through the scholarship</w:t>
      </w:r>
      <w:r w:rsidR="002E3C29">
        <w:t>s program and alumni network</w:t>
      </w:r>
      <w:r w:rsidR="00B620CF">
        <w:t xml:space="preserve"> </w:t>
      </w:r>
      <w:r w:rsidR="007868AF">
        <w:t>and by fostering partnerships between public sector agencies</w:t>
      </w:r>
      <w:r w:rsidR="00036EA3">
        <w:t>,</w:t>
      </w:r>
      <w:r w:rsidR="007868AF">
        <w:t xml:space="preserve"> </w:t>
      </w:r>
      <w:r w:rsidR="00036EA3">
        <w:t>universities</w:t>
      </w:r>
      <w:r w:rsidR="007868AF">
        <w:t xml:space="preserve"> and vocational institutions. </w:t>
      </w:r>
    </w:p>
    <w:p w:rsidR="00E71C4F" w:rsidRPr="009E38C1" w:rsidRDefault="00E71C4F" w:rsidP="00804F48">
      <w:pPr>
        <w:pStyle w:val="Heading2"/>
        <w:rPr>
          <w:sz w:val="28"/>
        </w:rPr>
      </w:pPr>
      <w:r w:rsidRPr="009E38C1">
        <w:rPr>
          <w:sz w:val="28"/>
        </w:rPr>
        <w:t>Expenditure</w:t>
      </w:r>
    </w:p>
    <w:p w:rsidR="00E71C4F" w:rsidRPr="008A48C8" w:rsidRDefault="00E71C4F" w:rsidP="00803547">
      <w:pPr>
        <w:pStyle w:val="ListBullet"/>
        <w:numPr>
          <w:ilvl w:val="0"/>
          <w:numId w:val="0"/>
        </w:numPr>
        <w:spacing w:line="260" w:lineRule="exact"/>
      </w:pPr>
      <w:r w:rsidRPr="008A48C8">
        <w:t>In 2013-14 Australia’s aid program grew to an estimated $85.5 million</w:t>
      </w:r>
      <w:r w:rsidRPr="008A48C8">
        <w:rPr>
          <w:rStyle w:val="EndnoteReference"/>
        </w:rPr>
        <w:endnoteReference w:id="14"/>
      </w:r>
      <w:r w:rsidRPr="008A48C8">
        <w:t xml:space="preserve"> from $75.5 million in 2012-13. Increased levels of aid at this juncture in Burma’s history </w:t>
      </w:r>
      <w:r>
        <w:t>have</w:t>
      </w:r>
      <w:r w:rsidRPr="008A48C8">
        <w:t xml:space="preserve"> help</w:t>
      </w:r>
      <w:r>
        <w:t>ed</w:t>
      </w:r>
      <w:r w:rsidRPr="008A48C8">
        <w:t xml:space="preserve"> Australia build influence and lay the </w:t>
      </w:r>
      <w:r w:rsidR="002E3C29">
        <w:t>foundation</w:t>
      </w:r>
      <w:r w:rsidR="002E3C29" w:rsidRPr="008A48C8">
        <w:t xml:space="preserve"> </w:t>
      </w:r>
      <w:r w:rsidRPr="008A48C8">
        <w:t xml:space="preserve">for </w:t>
      </w:r>
      <w:r w:rsidR="002E3C29">
        <w:t xml:space="preserve">a </w:t>
      </w:r>
      <w:r w:rsidRPr="008A48C8">
        <w:t>deeper</w:t>
      </w:r>
      <w:r>
        <w:t>,</w:t>
      </w:r>
      <w:r w:rsidRPr="008A48C8">
        <w:t xml:space="preserve"> </w:t>
      </w:r>
      <w:r>
        <w:t xml:space="preserve">longer-term </w:t>
      </w:r>
      <w:r w:rsidRPr="008A48C8">
        <w:t>engagement.</w:t>
      </w:r>
      <w:r>
        <w:t xml:space="preserve"> </w:t>
      </w:r>
      <w:r w:rsidR="004313B8">
        <w:t>W</w:t>
      </w:r>
      <w:r w:rsidRPr="008A48C8">
        <w:t>hile official figures are difficult to confirm</w:t>
      </w:r>
      <w:r>
        <w:t>,</w:t>
      </w:r>
      <w:r w:rsidR="004313B8">
        <w:t xml:space="preserve"> in 2013-14 </w:t>
      </w:r>
      <w:r>
        <w:t xml:space="preserve">Australia </w:t>
      </w:r>
      <w:r w:rsidR="00C93B2C">
        <w:t xml:space="preserve">was considered </w:t>
      </w:r>
      <w:r w:rsidR="006A187F">
        <w:t xml:space="preserve">among the five most significant </w:t>
      </w:r>
      <w:r>
        <w:t>aid invest</w:t>
      </w:r>
      <w:r w:rsidR="006A187F">
        <w:t>ors</w:t>
      </w:r>
      <w:r>
        <w:t xml:space="preserve"> </w:t>
      </w:r>
      <w:r w:rsidR="006A187F">
        <w:t xml:space="preserve">with </w:t>
      </w:r>
      <w:r w:rsidRPr="008A48C8">
        <w:t>Japan (US$1 billion), the EU</w:t>
      </w:r>
      <w:r w:rsidR="00B537DD">
        <w:t xml:space="preserve"> (</w:t>
      </w:r>
      <w:r w:rsidR="00B537DD" w:rsidRPr="00B537DD">
        <w:t>€90 million</w:t>
      </w:r>
      <w:r w:rsidR="00B537DD">
        <w:rPr>
          <w:rStyle w:val="EndnoteReference"/>
        </w:rPr>
        <w:endnoteReference w:id="15"/>
      </w:r>
      <w:r w:rsidR="00B537DD" w:rsidRPr="00B537DD">
        <w:t>)</w:t>
      </w:r>
      <w:r w:rsidRPr="008A48C8">
        <w:t>, UK (US$100 million</w:t>
      </w:r>
      <w:r w:rsidRPr="008A48C8">
        <w:rPr>
          <w:rStyle w:val="EndnoteReference"/>
        </w:rPr>
        <w:endnoteReference w:id="16"/>
      </w:r>
      <w:r w:rsidRPr="008A48C8">
        <w:t>),</w:t>
      </w:r>
      <w:r>
        <w:t xml:space="preserve"> and</w:t>
      </w:r>
      <w:r w:rsidRPr="008A48C8">
        <w:t xml:space="preserve"> US.</w:t>
      </w:r>
      <w:r w:rsidR="004313B8" w:rsidRPr="004313B8">
        <w:t xml:space="preserve"> </w:t>
      </w:r>
      <w:r w:rsidRPr="008A48C8">
        <w:t>Australia’s official development assistance to Burma in 2013-14 accounted for approximately 0.07 per</w:t>
      </w:r>
      <w:r w:rsidR="000C6063">
        <w:t xml:space="preserve"> </w:t>
      </w:r>
      <w:r w:rsidRPr="008A48C8">
        <w:t xml:space="preserve">cent of </w:t>
      </w:r>
      <w:r w:rsidR="00301B10">
        <w:t>Burma</w:t>
      </w:r>
      <w:r w:rsidRPr="008A48C8">
        <w:t>’s estimated 2013 gross domestic product</w:t>
      </w:r>
      <w:r w:rsidR="004313B8">
        <w:t>.</w:t>
      </w:r>
      <w:r w:rsidRPr="008A48C8">
        <w:rPr>
          <w:rStyle w:val="EndnoteReference"/>
        </w:rPr>
        <w:endnoteReference w:id="17"/>
      </w:r>
    </w:p>
    <w:p w:rsidR="00E71C4F" w:rsidRPr="00E71C4F" w:rsidRDefault="00E71C4F" w:rsidP="00E71C4F">
      <w:pPr>
        <w:pStyle w:val="Caption"/>
      </w:pPr>
      <w:r>
        <w:t xml:space="preserve">Table </w:t>
      </w:r>
      <w:fldSimple w:instr=" SEQ Table \* ARABIC ">
        <w:r w:rsidR="007D1E48">
          <w:rPr>
            <w:noProof/>
          </w:rPr>
          <w:t>1</w:t>
        </w:r>
      </w:fldSimple>
      <w:r>
        <w:t xml:space="preserve"> - Expenditure in FY 2013-14 </w:t>
      </w:r>
      <w:r w:rsidRPr="00E71C4F">
        <w:rPr>
          <w:sz w:val="14"/>
          <w:szCs w:val="14"/>
        </w:rPr>
        <w:t>(Source: AidWorks and External Budget Branch, DFAT)</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E71C4F" w:rsidRPr="00180B19" w:rsidTr="00E31C1C">
        <w:trPr>
          <w:cnfStyle w:val="000000010000" w:firstRow="0" w:lastRow="0" w:firstColumn="0" w:lastColumn="0" w:oddVBand="0" w:evenVBand="0" w:oddHBand="0" w:evenHBand="1" w:firstRowFirstColumn="0" w:firstRowLastColumn="0" w:lastRowFirstColumn="0" w:lastRowLastColumn="0"/>
          <w:trHeight w:val="221"/>
        </w:trPr>
        <w:tc>
          <w:tcPr>
            <w:tcW w:w="6211" w:type="dxa"/>
          </w:tcPr>
          <w:p w:rsidR="00E71C4F" w:rsidRPr="00180B19" w:rsidRDefault="00E71C4F" w:rsidP="000D733F">
            <w:pPr>
              <w:pStyle w:val="TableHeading1"/>
            </w:pPr>
            <w:r w:rsidRPr="00180B19">
              <w:t>Objective</w:t>
            </w:r>
          </w:p>
        </w:tc>
        <w:tc>
          <w:tcPr>
            <w:tcW w:w="990" w:type="dxa"/>
          </w:tcPr>
          <w:p w:rsidR="00E71C4F" w:rsidRPr="00180B19" w:rsidRDefault="00E71C4F" w:rsidP="000D733F">
            <w:pPr>
              <w:pStyle w:val="TableHeading1"/>
            </w:pPr>
            <w:r w:rsidRPr="00180B19">
              <w:t>A$ million</w:t>
            </w:r>
          </w:p>
        </w:tc>
        <w:tc>
          <w:tcPr>
            <w:tcW w:w="1464" w:type="dxa"/>
          </w:tcPr>
          <w:p w:rsidR="00E71C4F" w:rsidRPr="00180B19" w:rsidRDefault="00E71C4F" w:rsidP="000D733F">
            <w:pPr>
              <w:pStyle w:val="TableHeading1"/>
            </w:pPr>
            <w:r w:rsidRPr="00180B19">
              <w:t>% of bilateral program</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Pr="0019341B" w:rsidRDefault="00E71C4F" w:rsidP="004A741E">
            <w:pPr>
              <w:pStyle w:val="TableTextEntries"/>
            </w:pPr>
            <w:r>
              <w:t>EDUCATION</w:t>
            </w:r>
          </w:p>
        </w:tc>
        <w:tc>
          <w:tcPr>
            <w:tcW w:w="990" w:type="dxa"/>
            <w:shd w:val="clear" w:color="auto" w:fill="auto"/>
          </w:tcPr>
          <w:p w:rsidR="00E71C4F" w:rsidRPr="00ED0BF7" w:rsidRDefault="00E71C4F" w:rsidP="004212F6">
            <w:pPr>
              <w:pStyle w:val="TableTextEntries"/>
            </w:pPr>
            <w:r>
              <w:t>28.276</w:t>
            </w:r>
          </w:p>
        </w:tc>
        <w:tc>
          <w:tcPr>
            <w:tcW w:w="1464" w:type="dxa"/>
            <w:shd w:val="clear" w:color="auto" w:fill="auto"/>
          </w:tcPr>
          <w:p w:rsidR="00E71C4F" w:rsidRPr="00ED0BF7" w:rsidRDefault="00E71C4F" w:rsidP="000D733F">
            <w:pPr>
              <w:pStyle w:val="TableTextEntries"/>
            </w:pPr>
            <w:r>
              <w:t>33</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Pr="0019341B" w:rsidRDefault="00E71C4F" w:rsidP="004A741E">
            <w:pPr>
              <w:pStyle w:val="TableTextEntries"/>
            </w:pPr>
            <w:r>
              <w:t>HEALTH</w:t>
            </w:r>
          </w:p>
        </w:tc>
        <w:tc>
          <w:tcPr>
            <w:tcW w:w="990" w:type="dxa"/>
            <w:shd w:val="clear" w:color="auto" w:fill="auto"/>
          </w:tcPr>
          <w:p w:rsidR="00E71C4F" w:rsidRPr="00ED0BF7" w:rsidRDefault="00E71C4F" w:rsidP="000D733F">
            <w:pPr>
              <w:pStyle w:val="TableTextEntries"/>
            </w:pPr>
            <w:r>
              <w:t>13.026</w:t>
            </w:r>
          </w:p>
        </w:tc>
        <w:tc>
          <w:tcPr>
            <w:tcW w:w="1464" w:type="dxa"/>
            <w:shd w:val="clear" w:color="auto" w:fill="auto"/>
          </w:tcPr>
          <w:p w:rsidR="00E71C4F" w:rsidRPr="00ED0BF7" w:rsidRDefault="00E71C4F" w:rsidP="00AA556A">
            <w:pPr>
              <w:pStyle w:val="TableTextEntries"/>
            </w:pPr>
            <w:r>
              <w:t>15</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Default="00E71C4F" w:rsidP="004A741E">
            <w:pPr>
              <w:pStyle w:val="TableTextEntries"/>
            </w:pPr>
            <w:r>
              <w:t>LIVELIHOODS</w:t>
            </w:r>
          </w:p>
        </w:tc>
        <w:tc>
          <w:tcPr>
            <w:tcW w:w="990" w:type="dxa"/>
            <w:shd w:val="clear" w:color="auto" w:fill="auto"/>
          </w:tcPr>
          <w:p w:rsidR="00E71C4F" w:rsidRPr="00ED0BF7" w:rsidRDefault="00E71C4F" w:rsidP="000D733F">
            <w:pPr>
              <w:pStyle w:val="TableTextEntries"/>
            </w:pPr>
            <w:r>
              <w:t>7.106</w:t>
            </w:r>
          </w:p>
        </w:tc>
        <w:tc>
          <w:tcPr>
            <w:tcW w:w="1464" w:type="dxa"/>
            <w:shd w:val="clear" w:color="auto" w:fill="auto"/>
          </w:tcPr>
          <w:p w:rsidR="00E71C4F" w:rsidRPr="00ED0BF7" w:rsidRDefault="00E71C4F" w:rsidP="000D733F">
            <w:pPr>
              <w:pStyle w:val="TableTextEntries"/>
            </w:pPr>
            <w:r>
              <w:t>8</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Default="00E71C4F" w:rsidP="004A741E">
            <w:pPr>
              <w:pStyle w:val="TableTextEntries"/>
            </w:pPr>
            <w:r>
              <w:t>PEACE AND HUMANITARIAN</w:t>
            </w:r>
          </w:p>
        </w:tc>
        <w:tc>
          <w:tcPr>
            <w:tcW w:w="990" w:type="dxa"/>
            <w:shd w:val="clear" w:color="auto" w:fill="auto"/>
          </w:tcPr>
          <w:p w:rsidR="00E71C4F" w:rsidRPr="00ED0BF7" w:rsidRDefault="002B3926" w:rsidP="000D733F">
            <w:pPr>
              <w:pStyle w:val="TableTextEntries"/>
            </w:pPr>
            <w:r>
              <w:t>18</w:t>
            </w:r>
            <w:r w:rsidR="00E71C4F">
              <w:t>.939</w:t>
            </w:r>
          </w:p>
        </w:tc>
        <w:tc>
          <w:tcPr>
            <w:tcW w:w="1464" w:type="dxa"/>
            <w:shd w:val="clear" w:color="auto" w:fill="auto"/>
          </w:tcPr>
          <w:p w:rsidR="00E71C4F" w:rsidRPr="00ED0BF7" w:rsidRDefault="002B3926" w:rsidP="007D2E29">
            <w:pPr>
              <w:pStyle w:val="TableTextEntries"/>
            </w:pPr>
            <w:r>
              <w:t>2</w:t>
            </w:r>
            <w:r w:rsidR="00E71C4F">
              <w:t>2</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Default="00E71C4F" w:rsidP="004A741E">
            <w:pPr>
              <w:pStyle w:val="TableTextEntries"/>
            </w:pPr>
            <w:r>
              <w:t>REFORM AND GOVERNANCE</w:t>
            </w:r>
          </w:p>
        </w:tc>
        <w:tc>
          <w:tcPr>
            <w:tcW w:w="990" w:type="dxa"/>
            <w:shd w:val="clear" w:color="auto" w:fill="auto"/>
          </w:tcPr>
          <w:p w:rsidR="00E71C4F" w:rsidRPr="00ED0BF7" w:rsidRDefault="00E71C4F" w:rsidP="000D733F">
            <w:pPr>
              <w:pStyle w:val="TableTextEntries"/>
            </w:pPr>
            <w:r>
              <w:t>6.938</w:t>
            </w:r>
          </w:p>
        </w:tc>
        <w:tc>
          <w:tcPr>
            <w:tcW w:w="1464" w:type="dxa"/>
            <w:shd w:val="clear" w:color="auto" w:fill="auto"/>
          </w:tcPr>
          <w:p w:rsidR="00E71C4F" w:rsidRPr="00ED0BF7" w:rsidRDefault="00E71C4F" w:rsidP="000D733F">
            <w:pPr>
              <w:pStyle w:val="TableTextEntries"/>
            </w:pPr>
            <w:r>
              <w:t>8</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Default="00E71C4F" w:rsidP="002B3926">
            <w:pPr>
              <w:pStyle w:val="TableTextEntries"/>
            </w:pPr>
            <w:r>
              <w:t>DFAT GLOBAL AND REGIONAL PROGRAMS</w:t>
            </w:r>
            <w:r w:rsidR="002B3926">
              <w:t xml:space="preserve"> </w:t>
            </w:r>
          </w:p>
        </w:tc>
        <w:tc>
          <w:tcPr>
            <w:tcW w:w="990" w:type="dxa"/>
            <w:shd w:val="clear" w:color="auto" w:fill="auto"/>
          </w:tcPr>
          <w:p w:rsidR="00E71C4F" w:rsidRPr="00ED0BF7" w:rsidRDefault="002B3926" w:rsidP="002B3926">
            <w:pPr>
              <w:pStyle w:val="TableTextEntries"/>
            </w:pPr>
            <w:r>
              <w:t>8</w:t>
            </w:r>
            <w:r w:rsidR="00E71C4F">
              <w:t>.933</w:t>
            </w:r>
          </w:p>
        </w:tc>
        <w:tc>
          <w:tcPr>
            <w:tcW w:w="1464" w:type="dxa"/>
            <w:shd w:val="clear" w:color="auto" w:fill="auto"/>
          </w:tcPr>
          <w:p w:rsidR="00E71C4F" w:rsidRPr="00ED0BF7" w:rsidRDefault="002B3926" w:rsidP="000D733F">
            <w:pPr>
              <w:pStyle w:val="TableTextEntries"/>
            </w:pPr>
            <w:r>
              <w:t>1</w:t>
            </w:r>
            <w:r w:rsidR="00E71C4F">
              <w:t>0</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Default="00E71C4F" w:rsidP="004A741E">
            <w:pPr>
              <w:pStyle w:val="TableTextEntries"/>
            </w:pPr>
            <w:r>
              <w:t>OTHER</w:t>
            </w:r>
          </w:p>
        </w:tc>
        <w:tc>
          <w:tcPr>
            <w:tcW w:w="990" w:type="dxa"/>
            <w:shd w:val="clear" w:color="auto" w:fill="auto"/>
          </w:tcPr>
          <w:p w:rsidR="00E71C4F" w:rsidRPr="00ED0BF7" w:rsidRDefault="00E71C4F" w:rsidP="004212F6">
            <w:pPr>
              <w:pStyle w:val="TableTextEntries"/>
            </w:pPr>
            <w:r>
              <w:t>2.328</w:t>
            </w:r>
          </w:p>
        </w:tc>
        <w:tc>
          <w:tcPr>
            <w:tcW w:w="1464" w:type="dxa"/>
            <w:shd w:val="clear" w:color="auto" w:fill="auto"/>
          </w:tcPr>
          <w:p w:rsidR="00E71C4F" w:rsidRPr="00ED0BF7" w:rsidRDefault="00E71C4F" w:rsidP="000D733F">
            <w:pPr>
              <w:pStyle w:val="TableTextEntries"/>
            </w:pPr>
            <w:r>
              <w:t>3</w:t>
            </w:r>
          </w:p>
        </w:tc>
      </w:tr>
      <w:tr w:rsidR="00E71C4F" w:rsidRPr="00180B19" w:rsidTr="00855AA8">
        <w:trPr>
          <w:cnfStyle w:val="000000010000" w:firstRow="0" w:lastRow="0" w:firstColumn="0" w:lastColumn="0" w:oddVBand="0" w:evenVBand="0" w:oddHBand="0" w:evenHBand="1" w:firstRowFirstColumn="0" w:firstRowLastColumn="0" w:lastRowFirstColumn="0" w:lastRowLastColumn="0"/>
        </w:trPr>
        <w:tc>
          <w:tcPr>
            <w:tcW w:w="6211" w:type="dxa"/>
          </w:tcPr>
          <w:p w:rsidR="00E71C4F" w:rsidRPr="00AA556A" w:rsidRDefault="00E71C4F" w:rsidP="004A741E">
            <w:pPr>
              <w:pStyle w:val="TableTextEntries"/>
              <w:rPr>
                <w:b/>
              </w:rPr>
            </w:pPr>
            <w:r w:rsidRPr="00AA556A">
              <w:rPr>
                <w:b/>
              </w:rPr>
              <w:t>Total</w:t>
            </w:r>
          </w:p>
        </w:tc>
        <w:tc>
          <w:tcPr>
            <w:tcW w:w="990" w:type="dxa"/>
            <w:shd w:val="clear" w:color="auto" w:fill="auto"/>
          </w:tcPr>
          <w:p w:rsidR="00E71C4F" w:rsidRPr="00855AA8" w:rsidRDefault="00E71C4F" w:rsidP="004212F6">
            <w:pPr>
              <w:pStyle w:val="TableTextEntries"/>
              <w:rPr>
                <w:b/>
              </w:rPr>
            </w:pPr>
            <w:r w:rsidRPr="00855AA8">
              <w:rPr>
                <w:b/>
              </w:rPr>
              <w:t>85.</w:t>
            </w:r>
            <w:r>
              <w:rPr>
                <w:b/>
              </w:rPr>
              <w:t>549</w:t>
            </w:r>
          </w:p>
        </w:tc>
        <w:tc>
          <w:tcPr>
            <w:tcW w:w="1464" w:type="dxa"/>
            <w:shd w:val="clear" w:color="auto" w:fill="auto"/>
          </w:tcPr>
          <w:p w:rsidR="00E71C4F" w:rsidRDefault="00E71C4F" w:rsidP="000D733F">
            <w:pPr>
              <w:pStyle w:val="TableTextEntries"/>
            </w:pPr>
          </w:p>
        </w:tc>
      </w:tr>
    </w:tbl>
    <w:p w:rsidR="009C6A14" w:rsidRDefault="002B3926" w:rsidP="001D2BAC">
      <w:pPr>
        <w:pStyle w:val="Note"/>
        <w:rPr>
          <w:rFonts w:ascii="Helvetica" w:hAnsi="Helvetica" w:cs="Arial"/>
          <w:color w:val="007FAD"/>
          <w:kern w:val="28"/>
          <w:szCs w:val="28"/>
        </w:rPr>
      </w:pPr>
      <w:r w:rsidRPr="00ED0BF7">
        <w:rPr>
          <w:b/>
        </w:rPr>
        <w:t>Note</w:t>
      </w:r>
      <w:r w:rsidRPr="00ED0BF7">
        <w:t xml:space="preserve">: </w:t>
      </w:r>
      <w:r>
        <w:t>DFAT Global and Regional Programs and Other include scholarships, fellowships, volunteers, Australian Civilian Corps, Australian NGO Cooperation Programs, Regional activities and program administration.</w:t>
      </w:r>
    </w:p>
    <w:p w:rsidR="00E71C4F" w:rsidRPr="00E31C1C" w:rsidRDefault="00E71C4F" w:rsidP="00E31C1C">
      <w:pPr>
        <w:pStyle w:val="Heading2"/>
        <w:rPr>
          <w:sz w:val="28"/>
        </w:rPr>
      </w:pPr>
      <w:r w:rsidRPr="00E31C1C">
        <w:rPr>
          <w:sz w:val="28"/>
        </w:rPr>
        <w:t>Progress towards objectives</w:t>
      </w:r>
      <w:r w:rsidRPr="00E31C1C">
        <w:rPr>
          <w:sz w:val="28"/>
        </w:rPr>
        <w:tab/>
      </w:r>
    </w:p>
    <w:p w:rsidR="00E71C4F" w:rsidRDefault="003356C1" w:rsidP="00803547">
      <w:pPr>
        <w:pStyle w:val="ListBullet"/>
        <w:numPr>
          <w:ilvl w:val="0"/>
          <w:numId w:val="0"/>
        </w:numPr>
        <w:spacing w:line="260" w:lineRule="exact"/>
      </w:pPr>
      <w:r w:rsidRPr="00F04095">
        <w:t>Australia has achieved good results since the commencement of a longer term development program in February 2010</w:t>
      </w:r>
      <w:r>
        <w:t>,</w:t>
      </w:r>
      <w:r w:rsidRPr="00F04095">
        <w:t xml:space="preserve"> </w:t>
      </w:r>
      <w:r>
        <w:t>c</w:t>
      </w:r>
      <w:r w:rsidRPr="00F04095">
        <w:t>ontributing towards rebuilding the capacity of people and institutions in Burma in areas vital to the country’s development</w:t>
      </w:r>
      <w:r>
        <w:t>.</w:t>
      </w:r>
      <w:r w:rsidR="001D2BAC">
        <w:t xml:space="preserve"> </w:t>
      </w:r>
      <w:r w:rsidR="00E71C4F">
        <w:t xml:space="preserve">The performance of the Australian aid program to Burma is measured against a set of objectives articulated in </w:t>
      </w:r>
      <w:r w:rsidR="00501FB1" w:rsidRPr="00E45389">
        <w:t xml:space="preserve">the </w:t>
      </w:r>
      <w:r w:rsidR="00501FB1" w:rsidRPr="00E45389">
        <w:lastRenderedPageBreak/>
        <w:t xml:space="preserve">Burma </w:t>
      </w:r>
      <w:r w:rsidR="00501FB1">
        <w:t>p</w:t>
      </w:r>
      <w:r w:rsidR="00501FB1" w:rsidRPr="00E45389">
        <w:t>rogram</w:t>
      </w:r>
      <w:r w:rsidR="00501FB1" w:rsidRPr="00503D74">
        <w:t xml:space="preserve"> </w:t>
      </w:r>
      <w:r w:rsidR="00501FB1">
        <w:t xml:space="preserve">Performance Assessment Framework (PAF) drawn from </w:t>
      </w:r>
      <w:r w:rsidR="00E71C4F">
        <w:t xml:space="preserve">the </w:t>
      </w:r>
      <w:r w:rsidR="00E71C4F" w:rsidRPr="00803547">
        <w:rPr>
          <w:i/>
        </w:rPr>
        <w:t>Australia-Myanmar Aid Program Strategy 2012-2014</w:t>
      </w:r>
      <w:r w:rsidR="00E71C4F">
        <w:t>. These objectives form the basis for how progress of Australia’s current aid investments in Burma will be demonstrated in this report.</w:t>
      </w:r>
    </w:p>
    <w:p w:rsidR="00E71C4F" w:rsidRDefault="00E71C4F" w:rsidP="000D733F">
      <w:pPr>
        <w:pStyle w:val="Caption"/>
      </w:pPr>
      <w:r>
        <w:t xml:space="preserve">Table </w:t>
      </w:r>
      <w:fldSimple w:instr=" SEQ Table \* ARABIC ">
        <w:r w:rsidR="007D1E48">
          <w:rPr>
            <w:noProof/>
          </w:rPr>
          <w:t>2</w:t>
        </w:r>
      </w:fldSimple>
      <w:r>
        <w:t xml:space="preserve"> - Rating of the program's progress towards Australia’s aid objectives</w:t>
      </w:r>
    </w:p>
    <w:tbl>
      <w:tblPr>
        <w:tblStyle w:val="APPR"/>
        <w:tblW w:w="5000" w:type="pct"/>
        <w:tblLook w:val="0000" w:firstRow="0" w:lastRow="0" w:firstColumn="0" w:lastColumn="0" w:noHBand="0" w:noVBand="0"/>
      </w:tblPr>
      <w:tblGrid>
        <w:gridCol w:w="6234"/>
        <w:gridCol w:w="1026"/>
        <w:gridCol w:w="426"/>
        <w:gridCol w:w="1091"/>
      </w:tblGrid>
      <w:tr w:rsidR="00E71C4F" w:rsidRPr="0019341B" w:rsidTr="00E31C1C">
        <w:trPr>
          <w:cnfStyle w:val="000000010000" w:firstRow="0" w:lastRow="0" w:firstColumn="0" w:lastColumn="0" w:oddVBand="0" w:evenVBand="0" w:oddHBand="0" w:evenHBand="1" w:firstRowFirstColumn="0" w:firstRowLastColumn="0" w:lastRowFirstColumn="0" w:lastRowLastColumn="0"/>
          <w:trHeight w:val="321"/>
        </w:trPr>
        <w:tc>
          <w:tcPr>
            <w:tcW w:w="6029" w:type="dxa"/>
          </w:tcPr>
          <w:p w:rsidR="00E71C4F" w:rsidRPr="0019341B" w:rsidRDefault="00E71C4F" w:rsidP="000D733F">
            <w:pPr>
              <w:pStyle w:val="TableTextColumnHeading"/>
            </w:pPr>
            <w:r w:rsidRPr="0019341B">
              <w:rPr>
                <w:noProof/>
                <w:lang w:eastAsia="en-AU"/>
              </w:rPr>
              <w:drawing>
                <wp:anchor distT="0" distB="0" distL="114300" distR="114300" simplePos="0" relativeHeight="251669504" behindDoc="0" locked="0" layoutInCell="1" allowOverlap="1" wp14:anchorId="19D70B8E" wp14:editId="69E2F81C">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E71C4F" w:rsidRPr="0019341B" w:rsidRDefault="00E71C4F" w:rsidP="000D733F">
            <w:pPr>
              <w:pStyle w:val="TableTextColumnHeading"/>
            </w:pPr>
            <w:r>
              <w:t>Previous Rating</w:t>
            </w:r>
          </w:p>
        </w:tc>
        <w:tc>
          <w:tcPr>
            <w:tcW w:w="388" w:type="dxa"/>
          </w:tcPr>
          <w:p w:rsidR="00E71C4F" w:rsidRDefault="00E71C4F" w:rsidP="000D733F">
            <w:pPr>
              <w:pStyle w:val="TableTextColumnHeading"/>
            </w:pPr>
          </w:p>
        </w:tc>
        <w:tc>
          <w:tcPr>
            <w:tcW w:w="1021" w:type="dxa"/>
          </w:tcPr>
          <w:p w:rsidR="00E71C4F" w:rsidRPr="0019341B" w:rsidRDefault="00E71C4F" w:rsidP="000D733F">
            <w:pPr>
              <w:pStyle w:val="TableTextColumnHeading"/>
            </w:pPr>
            <w:r>
              <w:t>Current Rating</w:t>
            </w:r>
          </w:p>
        </w:tc>
      </w:tr>
      <w:tr w:rsidR="00E71C4F" w:rsidRPr="009D53C4" w:rsidTr="00143CD7">
        <w:trPr>
          <w:cnfStyle w:val="000000010000" w:firstRow="0" w:lastRow="0" w:firstColumn="0" w:lastColumn="0" w:oddVBand="0" w:evenVBand="0" w:oddHBand="0" w:evenHBand="1" w:firstRowFirstColumn="0" w:firstRowLastColumn="0" w:lastRowFirstColumn="0" w:lastRowLastColumn="0"/>
        </w:trPr>
        <w:tc>
          <w:tcPr>
            <w:tcW w:w="6029" w:type="dxa"/>
          </w:tcPr>
          <w:p w:rsidR="00E71C4F" w:rsidRPr="00290A94" w:rsidRDefault="00E71C4F" w:rsidP="00E31C1C">
            <w:pPr>
              <w:pStyle w:val="TableTextEntries"/>
              <w:spacing w:after="0"/>
            </w:pPr>
            <w:r w:rsidRPr="00290A94">
              <w:rPr>
                <w:iCs w:val="0"/>
              </w:rPr>
              <w:t>1.</w:t>
            </w:r>
            <w:r w:rsidRPr="00290A94">
              <w:t xml:space="preserve"> IMPROVING THE DELIVERY OF BASIC EDUCATION TO THE POOR</w:t>
            </w:r>
          </w:p>
        </w:tc>
        <w:tc>
          <w:tcPr>
            <w:tcW w:w="972" w:type="dxa"/>
            <w:shd w:val="clear" w:color="auto" w:fill="92D050"/>
            <w:noWrap/>
          </w:tcPr>
          <w:p w:rsidR="00E71C4F" w:rsidRPr="00443639" w:rsidRDefault="00E71C4F" w:rsidP="00E31C1C">
            <w:pPr>
              <w:pStyle w:val="TableTextEntries"/>
              <w:jc w:val="center"/>
              <w:rPr>
                <w:color w:val="FFFFFF" w:themeColor="background1"/>
              </w:rPr>
            </w:pPr>
            <w:r w:rsidRPr="00443639">
              <w:rPr>
                <w:color w:val="FFFFFF" w:themeColor="background1"/>
              </w:rPr>
              <w:t>Green</w:t>
            </w:r>
          </w:p>
        </w:tc>
        <w:tc>
          <w:tcPr>
            <w:tcW w:w="388" w:type="dxa"/>
          </w:tcPr>
          <w:p w:rsidR="00E71C4F" w:rsidRPr="00443639" w:rsidRDefault="00E71C4F" w:rsidP="000D733F">
            <w:pPr>
              <w:pStyle w:val="TableTextEntries"/>
              <w:jc w:val="center"/>
              <w:rPr>
                <w:color w:val="FFFFFF" w:themeColor="background1"/>
              </w:rPr>
            </w:pPr>
          </w:p>
        </w:tc>
        <w:tc>
          <w:tcPr>
            <w:tcW w:w="1021" w:type="dxa"/>
            <w:shd w:val="clear" w:color="auto" w:fill="92D050"/>
            <w:noWrap/>
          </w:tcPr>
          <w:p w:rsidR="00E71C4F" w:rsidRPr="00443639" w:rsidRDefault="00E71C4F" w:rsidP="00E31C1C">
            <w:pPr>
              <w:pStyle w:val="TableTextEntries"/>
              <w:jc w:val="center"/>
              <w:rPr>
                <w:color w:val="FFFFFF" w:themeColor="background1"/>
              </w:rPr>
            </w:pPr>
            <w:r w:rsidRPr="00443639">
              <w:rPr>
                <w:color w:val="FFFFFF" w:themeColor="background1"/>
              </w:rPr>
              <w:t>Green</w:t>
            </w:r>
          </w:p>
        </w:tc>
      </w:tr>
      <w:tr w:rsidR="00E71C4F" w:rsidRPr="009D53C4" w:rsidTr="003745D5">
        <w:trPr>
          <w:cnfStyle w:val="000000010000" w:firstRow="0" w:lastRow="0" w:firstColumn="0" w:lastColumn="0" w:oddVBand="0" w:evenVBand="0" w:oddHBand="0" w:evenHBand="1" w:firstRowFirstColumn="0" w:firstRowLastColumn="0" w:lastRowFirstColumn="0" w:lastRowLastColumn="0"/>
        </w:trPr>
        <w:tc>
          <w:tcPr>
            <w:tcW w:w="6029" w:type="dxa"/>
          </w:tcPr>
          <w:p w:rsidR="00E71C4F" w:rsidRPr="00290A94" w:rsidRDefault="00E71C4F" w:rsidP="00E31C1C">
            <w:pPr>
              <w:pStyle w:val="TableTextEntries"/>
              <w:spacing w:after="0"/>
            </w:pPr>
            <w:r w:rsidRPr="00290A94">
              <w:t>2. IMPROVING THE DELIVERY OF HEALTH SERVICES TO THE POOR</w:t>
            </w:r>
          </w:p>
        </w:tc>
        <w:tc>
          <w:tcPr>
            <w:tcW w:w="972" w:type="dxa"/>
            <w:shd w:val="clear" w:color="auto" w:fill="92D050"/>
            <w:noWrap/>
          </w:tcPr>
          <w:p w:rsidR="00E71C4F" w:rsidRPr="00443639" w:rsidRDefault="00E71C4F" w:rsidP="000D733F">
            <w:pPr>
              <w:pStyle w:val="TableTextEntries"/>
              <w:jc w:val="center"/>
              <w:rPr>
                <w:color w:val="FFFFFF" w:themeColor="background1"/>
              </w:rPr>
            </w:pPr>
            <w:r>
              <w:rPr>
                <w:color w:val="FFFFFF" w:themeColor="background1"/>
              </w:rPr>
              <w:t>Green</w:t>
            </w:r>
          </w:p>
        </w:tc>
        <w:tc>
          <w:tcPr>
            <w:tcW w:w="388" w:type="dxa"/>
          </w:tcPr>
          <w:p w:rsidR="00E71C4F" w:rsidRPr="00443639" w:rsidRDefault="00E71C4F" w:rsidP="000D733F">
            <w:pPr>
              <w:pStyle w:val="TableTextEntries"/>
              <w:jc w:val="center"/>
              <w:rPr>
                <w:color w:val="FFFFFF" w:themeColor="background1"/>
              </w:rPr>
            </w:pPr>
          </w:p>
        </w:tc>
        <w:tc>
          <w:tcPr>
            <w:tcW w:w="1021" w:type="dxa"/>
            <w:shd w:val="clear" w:color="auto" w:fill="92D050"/>
            <w:noWrap/>
          </w:tcPr>
          <w:p w:rsidR="00E71C4F" w:rsidRPr="00443639" w:rsidRDefault="00E71C4F" w:rsidP="000D733F">
            <w:pPr>
              <w:pStyle w:val="TableTextEntries"/>
              <w:jc w:val="center"/>
              <w:rPr>
                <w:color w:val="FFFFFF" w:themeColor="background1"/>
              </w:rPr>
            </w:pPr>
            <w:r>
              <w:rPr>
                <w:color w:val="FFFFFF" w:themeColor="background1"/>
              </w:rPr>
              <w:t>Green</w:t>
            </w:r>
          </w:p>
        </w:tc>
      </w:tr>
      <w:tr w:rsidR="00E71C4F" w:rsidRPr="009D53C4" w:rsidTr="00E5517A">
        <w:trPr>
          <w:cnfStyle w:val="000000010000" w:firstRow="0" w:lastRow="0" w:firstColumn="0" w:lastColumn="0" w:oddVBand="0" w:evenVBand="0" w:oddHBand="0" w:evenHBand="1" w:firstRowFirstColumn="0" w:firstRowLastColumn="0" w:lastRowFirstColumn="0" w:lastRowLastColumn="0"/>
        </w:trPr>
        <w:tc>
          <w:tcPr>
            <w:tcW w:w="6029" w:type="dxa"/>
          </w:tcPr>
          <w:p w:rsidR="00E71C4F" w:rsidRPr="00290A94" w:rsidRDefault="00E71C4F" w:rsidP="00E31C1C">
            <w:pPr>
              <w:pStyle w:val="TableTextEntries"/>
            </w:pPr>
            <w:r w:rsidRPr="00290A94">
              <w:t>3. IMPROVING THE LIVELIHOODS OF THE RURAL POOR</w:t>
            </w:r>
          </w:p>
        </w:tc>
        <w:tc>
          <w:tcPr>
            <w:tcW w:w="972" w:type="dxa"/>
            <w:shd w:val="clear" w:color="auto" w:fill="92D050"/>
            <w:noWrap/>
          </w:tcPr>
          <w:p w:rsidR="00E71C4F" w:rsidRPr="00443639" w:rsidRDefault="00E71C4F" w:rsidP="000D733F">
            <w:pPr>
              <w:pStyle w:val="TableTextEntries"/>
              <w:jc w:val="center"/>
              <w:rPr>
                <w:color w:val="FFFFFF" w:themeColor="background1"/>
              </w:rPr>
            </w:pPr>
            <w:r w:rsidRPr="00443639">
              <w:rPr>
                <w:color w:val="FFFFFF" w:themeColor="background1"/>
              </w:rPr>
              <w:t>Green</w:t>
            </w:r>
          </w:p>
        </w:tc>
        <w:tc>
          <w:tcPr>
            <w:tcW w:w="388" w:type="dxa"/>
          </w:tcPr>
          <w:p w:rsidR="00E71C4F" w:rsidRPr="00443639" w:rsidRDefault="00E71C4F" w:rsidP="000D733F">
            <w:pPr>
              <w:pStyle w:val="TableTextEntries"/>
              <w:jc w:val="center"/>
              <w:rPr>
                <w:color w:val="FFFFFF" w:themeColor="background1"/>
              </w:rPr>
            </w:pPr>
          </w:p>
        </w:tc>
        <w:tc>
          <w:tcPr>
            <w:tcW w:w="1021" w:type="dxa"/>
            <w:shd w:val="clear" w:color="auto" w:fill="F79646" w:themeFill="accent6"/>
            <w:noWrap/>
          </w:tcPr>
          <w:p w:rsidR="00E71C4F" w:rsidRPr="00443639" w:rsidRDefault="00E5517A" w:rsidP="00E5517A">
            <w:pPr>
              <w:pStyle w:val="TableTextEntries"/>
              <w:jc w:val="center"/>
              <w:rPr>
                <w:color w:val="FFFFFF" w:themeColor="background1"/>
              </w:rPr>
            </w:pPr>
            <w:r>
              <w:rPr>
                <w:color w:val="FFFFFF" w:themeColor="background1"/>
              </w:rPr>
              <w:t>Amber</w:t>
            </w:r>
          </w:p>
        </w:tc>
      </w:tr>
      <w:tr w:rsidR="00E71C4F" w:rsidRPr="00E31C1C" w:rsidTr="00E31C1C">
        <w:trPr>
          <w:cnfStyle w:val="000000010000" w:firstRow="0" w:lastRow="0" w:firstColumn="0" w:lastColumn="0" w:oddVBand="0" w:evenVBand="0" w:oddHBand="0" w:evenHBand="1" w:firstRowFirstColumn="0" w:firstRowLastColumn="0" w:lastRowFirstColumn="0" w:lastRowLastColumn="0"/>
          <w:trHeight w:val="132"/>
        </w:trPr>
        <w:tc>
          <w:tcPr>
            <w:tcW w:w="6029" w:type="dxa"/>
          </w:tcPr>
          <w:p w:rsidR="00E71C4F" w:rsidRPr="00290A94" w:rsidRDefault="00E71C4F" w:rsidP="00E31C1C">
            <w:pPr>
              <w:pStyle w:val="TableTextEntries"/>
              <w:spacing w:after="0"/>
              <w:rPr>
                <w:iCs w:val="0"/>
              </w:rPr>
            </w:pPr>
            <w:r w:rsidRPr="00290A94">
              <w:rPr>
                <w:iCs w:val="0"/>
              </w:rPr>
              <w:t>4. ADDRESSING THE NEEDS OF CONFLICT AND DISASTER AFFECTED PEOPLE</w:t>
            </w:r>
          </w:p>
        </w:tc>
        <w:tc>
          <w:tcPr>
            <w:tcW w:w="972" w:type="dxa"/>
            <w:shd w:val="clear" w:color="auto" w:fill="92D050"/>
            <w:noWrap/>
          </w:tcPr>
          <w:p w:rsidR="00E71C4F" w:rsidRPr="00E31C1C" w:rsidRDefault="00E71C4F" w:rsidP="00E31C1C">
            <w:pPr>
              <w:pStyle w:val="TableTextEntries"/>
              <w:jc w:val="center"/>
              <w:rPr>
                <w:color w:val="FFFFFF" w:themeColor="background1"/>
              </w:rPr>
            </w:pPr>
            <w:r w:rsidRPr="00E31C1C">
              <w:rPr>
                <w:color w:val="FFFFFF" w:themeColor="background1"/>
              </w:rPr>
              <w:t>Green</w:t>
            </w:r>
          </w:p>
        </w:tc>
        <w:tc>
          <w:tcPr>
            <w:tcW w:w="388" w:type="dxa"/>
          </w:tcPr>
          <w:p w:rsidR="00E71C4F" w:rsidRPr="00E31C1C" w:rsidRDefault="00E71C4F" w:rsidP="00E31C1C">
            <w:pPr>
              <w:pStyle w:val="TableTextEntries"/>
              <w:jc w:val="center"/>
              <w:rPr>
                <w:color w:val="FFFFFF" w:themeColor="background1"/>
              </w:rPr>
            </w:pPr>
          </w:p>
        </w:tc>
        <w:tc>
          <w:tcPr>
            <w:tcW w:w="1021" w:type="dxa"/>
            <w:shd w:val="clear" w:color="auto" w:fill="92D050"/>
            <w:noWrap/>
          </w:tcPr>
          <w:p w:rsidR="00E71C4F" w:rsidRPr="00E31C1C" w:rsidRDefault="00E71C4F" w:rsidP="00E31C1C">
            <w:pPr>
              <w:pStyle w:val="TableTextEntries"/>
              <w:jc w:val="center"/>
              <w:rPr>
                <w:color w:val="FFFFFF" w:themeColor="background1"/>
              </w:rPr>
            </w:pPr>
            <w:r w:rsidRPr="00E31C1C">
              <w:rPr>
                <w:color w:val="FFFFFF" w:themeColor="background1"/>
              </w:rPr>
              <w:t>Green</w:t>
            </w:r>
          </w:p>
        </w:tc>
      </w:tr>
      <w:tr w:rsidR="00E71C4F" w:rsidRPr="009D53C4" w:rsidTr="00E5517A">
        <w:trPr>
          <w:cnfStyle w:val="000000010000" w:firstRow="0" w:lastRow="0" w:firstColumn="0" w:lastColumn="0" w:oddVBand="0" w:evenVBand="0" w:oddHBand="0" w:evenHBand="1" w:firstRowFirstColumn="0" w:firstRowLastColumn="0" w:lastRowFirstColumn="0" w:lastRowLastColumn="0"/>
        </w:trPr>
        <w:tc>
          <w:tcPr>
            <w:tcW w:w="6029" w:type="dxa"/>
          </w:tcPr>
          <w:p w:rsidR="00E71C4F" w:rsidRPr="00290A94" w:rsidRDefault="00E71C4F" w:rsidP="00E31C1C">
            <w:pPr>
              <w:pStyle w:val="TableTextEntries"/>
            </w:pPr>
            <w:r w:rsidRPr="00290A94">
              <w:t>5. SUPPORTING REFORM AND IMPROVED GOVERNANCE</w:t>
            </w:r>
          </w:p>
        </w:tc>
        <w:tc>
          <w:tcPr>
            <w:tcW w:w="972" w:type="dxa"/>
            <w:shd w:val="clear" w:color="auto" w:fill="F79646" w:themeFill="accent6"/>
            <w:noWrap/>
          </w:tcPr>
          <w:p w:rsidR="00E71C4F" w:rsidRPr="00443639" w:rsidRDefault="00E71C4F" w:rsidP="00FF3954">
            <w:pPr>
              <w:pStyle w:val="TableTextEntries"/>
              <w:jc w:val="center"/>
              <w:rPr>
                <w:color w:val="FFFFFF" w:themeColor="background1"/>
              </w:rPr>
            </w:pPr>
            <w:r w:rsidRPr="00FF3954">
              <w:rPr>
                <w:color w:val="FFFFFF" w:themeColor="background1"/>
              </w:rPr>
              <w:t>Amber</w:t>
            </w:r>
          </w:p>
        </w:tc>
        <w:tc>
          <w:tcPr>
            <w:tcW w:w="388" w:type="dxa"/>
          </w:tcPr>
          <w:p w:rsidR="00E71C4F" w:rsidRPr="00443639" w:rsidRDefault="00E71C4F" w:rsidP="000D733F">
            <w:pPr>
              <w:pStyle w:val="TableTextEntries"/>
              <w:jc w:val="center"/>
              <w:rPr>
                <w:color w:val="FFFFFF" w:themeColor="background1"/>
              </w:rPr>
            </w:pPr>
          </w:p>
        </w:tc>
        <w:tc>
          <w:tcPr>
            <w:tcW w:w="1021" w:type="dxa"/>
            <w:shd w:val="clear" w:color="auto" w:fill="92D050"/>
            <w:noWrap/>
          </w:tcPr>
          <w:p w:rsidR="00E71C4F" w:rsidRPr="00443639" w:rsidRDefault="00E5517A" w:rsidP="00E5517A">
            <w:pPr>
              <w:pStyle w:val="TableTextEntries"/>
              <w:jc w:val="center"/>
              <w:rPr>
                <w:color w:val="FFFFFF" w:themeColor="background1"/>
              </w:rPr>
            </w:pPr>
            <w:r>
              <w:rPr>
                <w:color w:val="FFFFFF" w:themeColor="background1"/>
              </w:rPr>
              <w:t>Green</w:t>
            </w:r>
          </w:p>
        </w:tc>
      </w:tr>
    </w:tbl>
    <w:p w:rsidR="00E71C4F" w:rsidRPr="001D2BAC" w:rsidRDefault="00E71C4F" w:rsidP="001D2BAC">
      <w:pPr>
        <w:pStyle w:val="Note"/>
        <w:rPr>
          <w:sz w:val="2"/>
        </w:rPr>
      </w:pPr>
      <w:r w:rsidRPr="00ED0BF7">
        <w:rPr>
          <w:b/>
        </w:rPr>
        <w:t>Note</w:t>
      </w:r>
      <w:r w:rsidRPr="00ED0BF7">
        <w:t xml:space="preserve">: </w:t>
      </w:r>
      <w:r>
        <w:t>Green ratings indicate that progress is as expected at this point in time and Amber ratings indicate that progress is somewhat less than expected at this point in time</w:t>
      </w:r>
    </w:p>
    <w:p w:rsidR="00E71C4F" w:rsidRDefault="00E71C4F" w:rsidP="00804F48">
      <w:pPr>
        <w:pStyle w:val="ListBullet"/>
        <w:numPr>
          <w:ilvl w:val="0"/>
          <w:numId w:val="0"/>
        </w:numPr>
        <w:spacing w:before="240"/>
        <w:rPr>
          <w:rFonts w:ascii="Helvetica" w:hAnsi="Helvetica" w:cs="Arial"/>
          <w:b/>
          <w:color w:val="124486"/>
          <w:kern w:val="28"/>
          <w:sz w:val="22"/>
          <w:szCs w:val="22"/>
          <w:lang w:eastAsia="zh-CN"/>
        </w:rPr>
      </w:pPr>
      <w:r w:rsidRPr="00B33C5B">
        <w:rPr>
          <w:rFonts w:ascii="Helvetica" w:hAnsi="Helvetica" w:cs="Arial"/>
          <w:b/>
          <w:color w:val="124486"/>
          <w:kern w:val="28"/>
          <w:sz w:val="22"/>
          <w:szCs w:val="22"/>
          <w:lang w:eastAsia="zh-CN"/>
        </w:rPr>
        <w:t>Education</w:t>
      </w:r>
    </w:p>
    <w:tbl>
      <w:tblPr>
        <w:tblStyle w:val="APPR"/>
        <w:tblW w:w="5000" w:type="pct"/>
        <w:tblLook w:val="0000" w:firstRow="0" w:lastRow="0" w:firstColumn="0" w:lastColumn="0" w:noHBand="0" w:noVBand="0"/>
      </w:tblPr>
      <w:tblGrid>
        <w:gridCol w:w="6234"/>
        <w:gridCol w:w="1026"/>
        <w:gridCol w:w="426"/>
        <w:gridCol w:w="1091"/>
      </w:tblGrid>
      <w:tr w:rsidR="00804F48" w:rsidRPr="009D53C4" w:rsidTr="00804F48">
        <w:trPr>
          <w:cnfStyle w:val="000000010000" w:firstRow="0" w:lastRow="0" w:firstColumn="0" w:lastColumn="0" w:oddVBand="0" w:evenVBand="0" w:oddHBand="0" w:evenHBand="1" w:firstRowFirstColumn="0" w:firstRowLastColumn="0" w:lastRowFirstColumn="0" w:lastRowLastColumn="0"/>
        </w:trPr>
        <w:tc>
          <w:tcPr>
            <w:tcW w:w="6192" w:type="dxa"/>
          </w:tcPr>
          <w:p w:rsidR="00804F48" w:rsidRPr="00290A94" w:rsidRDefault="00804F48" w:rsidP="00804F48">
            <w:pPr>
              <w:pStyle w:val="TableTextEntries"/>
              <w:spacing w:after="0"/>
            </w:pPr>
            <w:r>
              <w:rPr>
                <w:iCs w:val="0"/>
              </w:rPr>
              <w:t xml:space="preserve">OBJECTIVE </w:t>
            </w:r>
            <w:r w:rsidRPr="00290A94">
              <w:rPr>
                <w:iCs w:val="0"/>
              </w:rPr>
              <w:t>1.</w:t>
            </w:r>
            <w:r w:rsidRPr="00290A94">
              <w:t xml:space="preserve"> IMPROVING THE DELIVERY OF BASIC EDUCATION TO THE POOR</w:t>
            </w:r>
          </w:p>
        </w:tc>
        <w:tc>
          <w:tcPr>
            <w:tcW w:w="998" w:type="dxa"/>
            <w:shd w:val="clear" w:color="auto" w:fill="auto"/>
            <w:noWrap/>
          </w:tcPr>
          <w:p w:rsidR="00804F48" w:rsidRPr="00443639" w:rsidRDefault="00804F48" w:rsidP="00804F48">
            <w:pPr>
              <w:pStyle w:val="TableTextEntries"/>
              <w:rPr>
                <w:color w:val="FFFFFF" w:themeColor="background1"/>
              </w:rPr>
            </w:pPr>
          </w:p>
        </w:tc>
        <w:tc>
          <w:tcPr>
            <w:tcW w:w="398" w:type="dxa"/>
          </w:tcPr>
          <w:p w:rsidR="00804F48" w:rsidRPr="00443639" w:rsidRDefault="00804F48" w:rsidP="00804F48">
            <w:pPr>
              <w:pStyle w:val="TableTextEntries"/>
              <w:jc w:val="center"/>
              <w:rPr>
                <w:color w:val="FFFFFF" w:themeColor="background1"/>
              </w:rPr>
            </w:pPr>
          </w:p>
        </w:tc>
        <w:tc>
          <w:tcPr>
            <w:tcW w:w="1049" w:type="dxa"/>
            <w:shd w:val="clear" w:color="auto" w:fill="92D050"/>
            <w:noWrap/>
          </w:tcPr>
          <w:p w:rsidR="00804F48" w:rsidRPr="00443639" w:rsidRDefault="00804F48" w:rsidP="00804F48">
            <w:pPr>
              <w:pStyle w:val="TableTextEntries"/>
              <w:jc w:val="center"/>
              <w:rPr>
                <w:color w:val="FFFFFF" w:themeColor="background1"/>
              </w:rPr>
            </w:pPr>
            <w:r w:rsidRPr="00443639">
              <w:rPr>
                <w:color w:val="FFFFFF" w:themeColor="background1"/>
              </w:rPr>
              <w:t>Green</w:t>
            </w:r>
          </w:p>
        </w:tc>
      </w:tr>
    </w:tbl>
    <w:p w:rsidR="00E45389" w:rsidRDefault="00E71C4F" w:rsidP="00803547">
      <w:pPr>
        <w:pStyle w:val="ListBullet"/>
        <w:numPr>
          <w:ilvl w:val="0"/>
          <w:numId w:val="0"/>
        </w:numPr>
        <w:spacing w:before="120" w:line="260" w:lineRule="exact"/>
      </w:pPr>
      <w:r>
        <w:rPr>
          <w:color w:val="000000" w:themeColor="text1"/>
          <w:kern w:val="28"/>
          <w:lang w:eastAsia="zh-CN"/>
        </w:rPr>
        <w:t xml:space="preserve">The education objective in 2013-14 was rated green due to </w:t>
      </w:r>
      <w:r w:rsidR="00A47E8D">
        <w:rPr>
          <w:color w:val="000000" w:themeColor="text1"/>
          <w:kern w:val="28"/>
          <w:lang w:eastAsia="zh-CN"/>
        </w:rPr>
        <w:t>improvements in education access and the</w:t>
      </w:r>
      <w:r w:rsidR="00A47E8D" w:rsidRPr="00126560">
        <w:t xml:space="preserve"> </w:t>
      </w:r>
      <w:r w:rsidRPr="00126560">
        <w:t>quality of teaching in basic education</w:t>
      </w:r>
      <w:r>
        <w:t xml:space="preserve"> and strong progress on education reform</w:t>
      </w:r>
      <w:r w:rsidR="00A47E8D">
        <w:t>, in line with identified PAF milestones</w:t>
      </w:r>
      <w:r>
        <w:t>.</w:t>
      </w:r>
      <w:r w:rsidRPr="00126560">
        <w:rPr>
          <w:color w:val="000000" w:themeColor="text1"/>
          <w:kern w:val="28"/>
          <w:lang w:eastAsia="zh-CN"/>
        </w:rPr>
        <w:t xml:space="preserve"> </w:t>
      </w:r>
      <w:r w:rsidRPr="00126560">
        <w:t xml:space="preserve">Australia </w:t>
      </w:r>
      <w:r w:rsidR="00E45389">
        <w:t xml:space="preserve">is the lead donor in education in Burma </w:t>
      </w:r>
      <w:r w:rsidR="00A47E8D">
        <w:t>supporting increased enrolment, retention and quality, in line with the Government’s priorities.</w:t>
      </w:r>
      <w:r w:rsidRPr="00126560">
        <w:t xml:space="preserve"> </w:t>
      </w:r>
      <w:r w:rsidR="00F40BA1">
        <w:t xml:space="preserve">In 2013-14 </w:t>
      </w:r>
      <w:r w:rsidRPr="00126560">
        <w:t>Australia</w:t>
      </w:r>
      <w:r w:rsidR="00F40BA1">
        <w:t xml:space="preserve"> </w:t>
      </w:r>
      <w:r w:rsidRPr="00126560">
        <w:t>invest</w:t>
      </w:r>
      <w:r w:rsidR="00F40BA1">
        <w:t>ed</w:t>
      </w:r>
      <w:r w:rsidRPr="00126560">
        <w:t xml:space="preserve"> </w:t>
      </w:r>
      <w:r>
        <w:t>over $30 million</w:t>
      </w:r>
      <w:r w:rsidRPr="008A48C8">
        <w:rPr>
          <w:rStyle w:val="EndnoteReference"/>
        </w:rPr>
        <w:endnoteReference w:id="18"/>
      </w:r>
      <w:r w:rsidRPr="00126560">
        <w:t xml:space="preserve"> through the UNICEF led Quality Basic Education Programme (QBEP); the Myanmar Education Consortium (MEC); the School Grants and Stipends Program </w:t>
      </w:r>
      <w:r w:rsidR="00E45389">
        <w:t>in partnership with the World Bank</w:t>
      </w:r>
      <w:r w:rsidRPr="00126560">
        <w:t>; technical assistance and research</w:t>
      </w:r>
      <w:r w:rsidR="00F40BA1">
        <w:t>; and long and short-term scholarships</w:t>
      </w:r>
      <w:r w:rsidR="009C6A14">
        <w:t xml:space="preserve"> (40 recipients)</w:t>
      </w:r>
      <w:r w:rsidR="00F40BA1">
        <w:t xml:space="preserve"> and awards</w:t>
      </w:r>
      <w:r w:rsidR="009C6A14">
        <w:t xml:space="preserve"> (66 recipients)</w:t>
      </w:r>
      <w:r w:rsidRPr="00126560">
        <w:t>.</w:t>
      </w:r>
      <w:r w:rsidR="00A47E8D">
        <w:t xml:space="preserve"> </w:t>
      </w:r>
    </w:p>
    <w:p w:rsidR="00AD2B58" w:rsidRDefault="00AD2B58" w:rsidP="00803547">
      <w:pPr>
        <w:pStyle w:val="ListBullet"/>
        <w:numPr>
          <w:ilvl w:val="0"/>
          <w:numId w:val="0"/>
        </w:numPr>
        <w:spacing w:line="260" w:lineRule="exact"/>
      </w:pPr>
      <w:r w:rsidRPr="00565269">
        <w:t xml:space="preserve">President </w:t>
      </w:r>
      <w:r w:rsidR="003356C1">
        <w:t>Thein Sein</w:t>
      </w:r>
      <w:r w:rsidR="00565269" w:rsidRPr="00126560">
        <w:t xml:space="preserve"> </w:t>
      </w:r>
      <w:r w:rsidRPr="00126560">
        <w:t xml:space="preserve">continues to champion education reform and push for rapid action to improve education services. </w:t>
      </w:r>
      <w:r w:rsidR="00FC4A38">
        <w:t>T</w:t>
      </w:r>
      <w:r w:rsidRPr="00126560">
        <w:t>he scale of need remains significant</w:t>
      </w:r>
      <w:r w:rsidR="00A47E8D">
        <w:t xml:space="preserve">, and whilst progress towards education MDGs show 95 per cent of children completing primary school, this </w:t>
      </w:r>
      <w:r w:rsidR="003356C1">
        <w:t>masks</w:t>
      </w:r>
      <w:r w:rsidR="00A47E8D">
        <w:t xml:space="preserve"> significant drops in secondary enrolment rates and poor competency levels.</w:t>
      </w:r>
      <w:r w:rsidR="00A47E8D">
        <w:rPr>
          <w:rStyle w:val="EndnoteReference"/>
        </w:rPr>
        <w:endnoteReference w:id="19"/>
      </w:r>
      <w:r w:rsidR="00A47E8D">
        <w:t xml:space="preserve"> The provision of education remains highly politicised, with the quality and reach of services varying across the country</w:t>
      </w:r>
      <w:r>
        <w:t>.</w:t>
      </w:r>
      <w:r w:rsidRPr="00126560">
        <w:t xml:space="preserve"> </w:t>
      </w:r>
      <w:r w:rsidR="003356C1">
        <w:t>Proposed c</w:t>
      </w:r>
      <w:r w:rsidRPr="00126560">
        <w:t>hanges to the curriculum, budgeting, language of instruction and the responsibilities of different levels of government remain challenging and contested.</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1.a: Improved quality of teaching and learning practices in basic education in government and complementary schools</w:t>
      </w:r>
    </w:p>
    <w:p w:rsidR="00E71C4F" w:rsidRPr="00126560" w:rsidRDefault="00760E0F" w:rsidP="00803547">
      <w:pPr>
        <w:pStyle w:val="ListBullet"/>
        <w:numPr>
          <w:ilvl w:val="0"/>
          <w:numId w:val="0"/>
        </w:numPr>
        <w:spacing w:line="260" w:lineRule="exact"/>
      </w:pPr>
      <w:r w:rsidRPr="00126560">
        <w:t>Australia’s investment has contributed to increased enrolment</w:t>
      </w:r>
      <w:r w:rsidR="00605B64">
        <w:t>,</w:t>
      </w:r>
      <w:r w:rsidRPr="00126560">
        <w:t xml:space="preserve"> including </w:t>
      </w:r>
      <w:r>
        <w:t xml:space="preserve">15,327 </w:t>
      </w:r>
      <w:r w:rsidRPr="00126560">
        <w:t>children</w:t>
      </w:r>
      <w:r>
        <w:t xml:space="preserve"> </w:t>
      </w:r>
      <w:r w:rsidRPr="00126560">
        <w:t>benefiting from early childhood development interventions</w:t>
      </w:r>
      <w:r>
        <w:t xml:space="preserve"> (90% of program target)</w:t>
      </w:r>
      <w:r>
        <w:rPr>
          <w:rStyle w:val="EndnoteReference"/>
        </w:rPr>
        <w:endnoteReference w:id="20"/>
      </w:r>
      <w:r>
        <w:t xml:space="preserve"> and 34,726 children received nutritional support (93% of target)</w:t>
      </w:r>
      <w:r>
        <w:rPr>
          <w:rStyle w:val="EndnoteReference"/>
        </w:rPr>
        <w:endnoteReference w:id="21"/>
      </w:r>
      <w:r w:rsidR="00591EC5">
        <w:t>, promoting enrolment in areas where food is scarce</w:t>
      </w:r>
      <w:r w:rsidR="00C00316">
        <w:t>. Partner</w:t>
      </w:r>
      <w:r w:rsidR="00E71C4F" w:rsidRPr="00126560">
        <w:t xml:space="preserve"> report</w:t>
      </w:r>
      <w:r w:rsidR="00C00316">
        <w:t>ing indicates</w:t>
      </w:r>
      <w:r w:rsidR="00E71C4F" w:rsidRPr="00126560">
        <w:t xml:space="preserve"> an additional 24,330 school enrolments</w:t>
      </w:r>
      <w:r w:rsidR="00E71C4F">
        <w:t xml:space="preserve"> (83</w:t>
      </w:r>
      <w:r w:rsidR="00E71C4F" w:rsidRPr="00864914">
        <w:t>% of target</w:t>
      </w:r>
      <w:r w:rsidR="00E71C4F">
        <w:t>)</w:t>
      </w:r>
      <w:r w:rsidR="008A1996">
        <w:rPr>
          <w:rStyle w:val="EndnoteReference"/>
        </w:rPr>
        <w:endnoteReference w:id="22"/>
      </w:r>
      <w:r w:rsidR="00E71C4F" w:rsidRPr="00126560">
        <w:t xml:space="preserve"> and UNICEF has made progress in influencing broader early childhood care and development policy with the government now distributing early learning education materials. </w:t>
      </w:r>
      <w:r w:rsidR="001E1DBF">
        <w:t>Due to increased capacity, t</w:t>
      </w:r>
      <w:r w:rsidR="00E71C4F" w:rsidRPr="00126560">
        <w:t xml:space="preserve">he Ministry of Education took over the provision of basic education supplies to schools in 2013, distributing school books and </w:t>
      </w:r>
      <w:r w:rsidR="003356C1">
        <w:t>financial support to students</w:t>
      </w:r>
      <w:r w:rsidR="001E1DBF">
        <w:t>.</w:t>
      </w:r>
    </w:p>
    <w:p w:rsidR="00E71C4F" w:rsidRDefault="00760E0F" w:rsidP="00803547">
      <w:pPr>
        <w:pStyle w:val="ListBullet"/>
        <w:numPr>
          <w:ilvl w:val="0"/>
          <w:numId w:val="0"/>
        </w:numPr>
        <w:spacing w:line="260" w:lineRule="exact"/>
      </w:pPr>
      <w:r>
        <w:t xml:space="preserve">Australia’s investments are impacting </w:t>
      </w:r>
      <w:r w:rsidRPr="00126560">
        <w:t>learning environment</w:t>
      </w:r>
      <w:r>
        <w:t>s</w:t>
      </w:r>
      <w:r w:rsidRPr="00126560">
        <w:t xml:space="preserve"> with </w:t>
      </w:r>
      <w:r>
        <w:t>2</w:t>
      </w:r>
      <w:r w:rsidR="00FD081A">
        <w:t>99</w:t>
      </w:r>
      <w:r w:rsidR="005A5467">
        <w:t>,962</w:t>
      </w:r>
      <w:r w:rsidRPr="00126560">
        <w:t xml:space="preserve"> </w:t>
      </w:r>
      <w:r>
        <w:t>children receiv</w:t>
      </w:r>
      <w:r w:rsidR="00806E51">
        <w:t>ing</w:t>
      </w:r>
      <w:r w:rsidRPr="00126560">
        <w:t xml:space="preserve"> school supplies</w:t>
      </w:r>
      <w:r>
        <w:t xml:space="preserve"> (</w:t>
      </w:r>
      <w:r w:rsidR="005A5467">
        <w:t>100</w:t>
      </w:r>
      <w:r w:rsidRPr="00787A68">
        <w:t>% of target</w:t>
      </w:r>
      <w:r>
        <w:t>)</w:t>
      </w:r>
      <w:r>
        <w:rPr>
          <w:rStyle w:val="EndnoteReference"/>
        </w:rPr>
        <w:endnoteReference w:id="23"/>
      </w:r>
      <w:r w:rsidRPr="00126560">
        <w:t xml:space="preserve">; </w:t>
      </w:r>
      <w:r>
        <w:t xml:space="preserve">10,476 </w:t>
      </w:r>
      <w:r w:rsidRPr="00126560">
        <w:t>out of school children enrolled in non-formal education</w:t>
      </w:r>
      <w:r>
        <w:t xml:space="preserve"> (83% of target)</w:t>
      </w:r>
      <w:r w:rsidRPr="00126560">
        <w:rPr>
          <w:vertAlign w:val="superscript"/>
        </w:rPr>
        <w:endnoteReference w:id="24"/>
      </w:r>
      <w:r w:rsidR="00806E51">
        <w:t xml:space="preserve"> and</w:t>
      </w:r>
      <w:r w:rsidRPr="00126560">
        <w:t xml:space="preserve"> </w:t>
      </w:r>
      <w:r w:rsidR="00E71C4F" w:rsidRPr="00126560">
        <w:t>6,</w:t>
      </w:r>
      <w:r w:rsidR="00E71C4F">
        <w:t>728</w:t>
      </w:r>
      <w:r w:rsidR="00E71C4F" w:rsidRPr="00126560">
        <w:t xml:space="preserve"> teachers</w:t>
      </w:r>
      <w:r w:rsidR="00E71C4F">
        <w:t xml:space="preserve"> </w:t>
      </w:r>
      <w:r w:rsidR="00E71C4F" w:rsidRPr="00126560">
        <w:t>gain</w:t>
      </w:r>
      <w:r w:rsidR="00806E51">
        <w:t>ing</w:t>
      </w:r>
      <w:r w:rsidR="00E71C4F" w:rsidRPr="00126560">
        <w:t xml:space="preserve"> recognition as competent to </w:t>
      </w:r>
      <w:r w:rsidR="00E71C4F">
        <w:t>apply improved teaching methods (</w:t>
      </w:r>
      <w:r w:rsidR="00E26437">
        <w:t>134</w:t>
      </w:r>
      <w:r w:rsidR="00E71C4F">
        <w:t>% of target)</w:t>
      </w:r>
      <w:r w:rsidR="00E2630B">
        <w:rPr>
          <w:rStyle w:val="EndnoteReference"/>
        </w:rPr>
        <w:endnoteReference w:id="25"/>
      </w:r>
      <w:r w:rsidR="00D50DE2">
        <w:t xml:space="preserve">. </w:t>
      </w:r>
      <w:r w:rsidR="00806E51">
        <w:t>A</w:t>
      </w:r>
      <w:r>
        <w:t xml:space="preserve">n assessment of primary enrolment rates and survival rates to grade 5 in targeted townships was hampered by limitations in national data.  Australia supported </w:t>
      </w:r>
      <w:r w:rsidR="001E1DBF">
        <w:t>an</w:t>
      </w:r>
      <w:r w:rsidR="00B41512">
        <w:t xml:space="preserve"> </w:t>
      </w:r>
      <w:r>
        <w:t>Early Grade Reading Assessment and sectoral assessments to form a stronger evidence base to measure future progress.</w:t>
      </w:r>
    </w:p>
    <w:p w:rsidR="00E71C4F" w:rsidRPr="00126560" w:rsidRDefault="00E71C4F" w:rsidP="00803547">
      <w:pPr>
        <w:pStyle w:val="ListBullet"/>
        <w:numPr>
          <w:ilvl w:val="0"/>
          <w:numId w:val="0"/>
        </w:numPr>
        <w:spacing w:line="260" w:lineRule="exact"/>
      </w:pPr>
      <w:r w:rsidRPr="00126560">
        <w:lastRenderedPageBreak/>
        <w:t>An independent mid-term review of QBEP in June 2014 highlighted positive progress in child friendly teaching approaches</w:t>
      </w:r>
      <w:r>
        <w:t xml:space="preserve">. </w:t>
      </w:r>
      <w:r w:rsidRPr="00126560">
        <w:t xml:space="preserve">The mid-term review recommended that QBEP </w:t>
      </w:r>
      <w:r w:rsidR="00393336">
        <w:t xml:space="preserve">focus on </w:t>
      </w:r>
      <w:r w:rsidRPr="00126560">
        <w:t>provi</w:t>
      </w:r>
      <w:r w:rsidR="00760E0F">
        <w:t>ding</w:t>
      </w:r>
      <w:r>
        <w:t xml:space="preserve"> </w:t>
      </w:r>
      <w:r w:rsidRPr="00126560">
        <w:t xml:space="preserve">technical analysis and advice to strengthen </w:t>
      </w:r>
      <w:r>
        <w:t xml:space="preserve">government </w:t>
      </w:r>
      <w:r w:rsidR="003579D0">
        <w:t>service provision</w:t>
      </w:r>
      <w:r w:rsidR="00760E0F">
        <w:t>, recognising the potential to duplicate government engagement in the sector</w:t>
      </w:r>
      <w:r w:rsidR="003579D0">
        <w:t>.</w:t>
      </w:r>
    </w:p>
    <w:p w:rsidR="00393336" w:rsidRDefault="00F17F3B" w:rsidP="00803547">
      <w:pPr>
        <w:pStyle w:val="ListBullet"/>
        <w:numPr>
          <w:ilvl w:val="0"/>
          <w:numId w:val="0"/>
        </w:numPr>
        <w:spacing w:line="260" w:lineRule="exact"/>
        <w:rPr>
          <w:highlight w:val="yellow"/>
        </w:rPr>
      </w:pPr>
      <w:r>
        <w:t xml:space="preserve">In partnership with UNESCO, </w:t>
      </w:r>
      <w:r w:rsidR="00393336">
        <w:t>the Strengthening Teach</w:t>
      </w:r>
      <w:r w:rsidR="003579D0">
        <w:t>er Education in Myanmar p</w:t>
      </w:r>
      <w:r w:rsidR="00393336">
        <w:t xml:space="preserve">roject </w:t>
      </w:r>
      <w:r>
        <w:t xml:space="preserve">commenced in 2014. This </w:t>
      </w:r>
      <w:r w:rsidR="00393336">
        <w:t>focusse</w:t>
      </w:r>
      <w:r>
        <w:t>s</w:t>
      </w:r>
      <w:r w:rsidR="00393336">
        <w:t xml:space="preserve"> on pre-service teacher training and linking teacher education to new practices in schools </w:t>
      </w:r>
      <w:r>
        <w:t xml:space="preserve">and </w:t>
      </w:r>
      <w:r w:rsidR="00393336">
        <w:t xml:space="preserve">enabling </w:t>
      </w:r>
      <w:r>
        <w:t xml:space="preserve">teaching </w:t>
      </w:r>
      <w:r w:rsidR="00393336">
        <w:t xml:space="preserve">in multiple contexts </w:t>
      </w:r>
      <w:r>
        <w:t xml:space="preserve">with </w:t>
      </w:r>
      <w:r w:rsidR="00393336">
        <w:t xml:space="preserve">diverse groups of children. </w:t>
      </w:r>
    </w:p>
    <w:p w:rsidR="00E71C4F" w:rsidRPr="00126560" w:rsidRDefault="00255AA5" w:rsidP="00803547">
      <w:pPr>
        <w:pStyle w:val="ListBullet"/>
        <w:numPr>
          <w:ilvl w:val="0"/>
          <w:numId w:val="0"/>
        </w:numPr>
        <w:spacing w:line="260" w:lineRule="exact"/>
      </w:pPr>
      <w:r>
        <w:t xml:space="preserve">Australia is also balancing investments in the formal government education system with investments in local non-government and civil society groups delivering education services in newly accessible areas. </w:t>
      </w:r>
      <w:r w:rsidR="00E71C4F" w:rsidRPr="00126560">
        <w:t xml:space="preserve">During 2013, a freer </w:t>
      </w:r>
      <w:r w:rsidR="00F17F3B">
        <w:t>environment</w:t>
      </w:r>
      <w:r w:rsidR="00E71C4F" w:rsidRPr="00126560">
        <w:t xml:space="preserve"> for civil society enabled </w:t>
      </w:r>
      <w:r w:rsidR="00E71C4F">
        <w:t xml:space="preserve">Australia, through MEC, </w:t>
      </w:r>
      <w:r w:rsidR="00E71C4F" w:rsidRPr="00126560">
        <w:t>to work with local education providers</w:t>
      </w:r>
      <w:r w:rsidR="00E26437">
        <w:t xml:space="preserve"> already delivering much needed services in the non-government education system</w:t>
      </w:r>
      <w:r w:rsidR="00806E51">
        <w:t xml:space="preserve">, </w:t>
      </w:r>
      <w:r w:rsidR="00760E0F">
        <w:t>help</w:t>
      </w:r>
      <w:r w:rsidR="00806E51">
        <w:t>ing</w:t>
      </w:r>
      <w:r w:rsidR="00760E0F">
        <w:t xml:space="preserve"> </w:t>
      </w:r>
      <w:r w:rsidR="00806E51">
        <w:t xml:space="preserve">to </w:t>
      </w:r>
      <w:r w:rsidR="00760E0F">
        <w:t>build the competency of non-government education providers. The MEC team has focused on developing activities that adopt ‘do no harm’ principles, particularly for work in newly accessible areas.</w:t>
      </w:r>
      <w:r w:rsidR="00784858">
        <w:t xml:space="preserve"> </w:t>
      </w:r>
      <w:r w:rsidR="00206009">
        <w:t>Over</w:t>
      </w:r>
      <w:r w:rsidR="00E71C4F" w:rsidRPr="00126560">
        <w:t xml:space="preserve"> 15</w:t>
      </w:r>
      <w:r w:rsidR="00206009">
        <w:t>0</w:t>
      </w:r>
      <w:r w:rsidR="00E71C4F" w:rsidRPr="00126560">
        <w:t xml:space="preserve"> expressions of interest </w:t>
      </w:r>
      <w:r w:rsidR="00206009">
        <w:t xml:space="preserve">were </w:t>
      </w:r>
      <w:r w:rsidR="00E71C4F" w:rsidRPr="00126560">
        <w:t xml:space="preserve">received for funding and 13 </w:t>
      </w:r>
      <w:r w:rsidR="00E71C4F">
        <w:t xml:space="preserve">selected </w:t>
      </w:r>
      <w:r w:rsidR="00206009">
        <w:t xml:space="preserve">partners </w:t>
      </w:r>
      <w:r w:rsidR="00E71C4F">
        <w:t>commenced projects in June 2014</w:t>
      </w:r>
      <w:r w:rsidR="00E71C4F" w:rsidRPr="00126560">
        <w:t xml:space="preserve"> across 13 states and regions</w:t>
      </w:r>
      <w:r w:rsidR="00760E0F">
        <w:t>, supporting children in rural and remote areas.</w:t>
      </w:r>
      <w:r w:rsidR="00760E0F" w:rsidRPr="00126560">
        <w:t xml:space="preserve"> </w:t>
      </w:r>
      <w:r w:rsidR="00760E0F">
        <w:t xml:space="preserve">Activities </w:t>
      </w:r>
      <w:r w:rsidR="00E71C4F" w:rsidRPr="00126560">
        <w:t>cover early childhood development, primary schooling, and education programs for disabled children and out of school</w:t>
      </w:r>
      <w:r w:rsidR="00E71C4F">
        <w:t xml:space="preserve"> children</w:t>
      </w:r>
      <w:r w:rsidR="00E71C4F" w:rsidRPr="00126560">
        <w:t>.</w:t>
      </w:r>
      <w:r w:rsidR="00760E0F">
        <w:t xml:space="preserve"> MEC’s results overall have however been slightly lower than expected, due to start-up delays.</w:t>
      </w:r>
    </w:p>
    <w:p w:rsidR="00760E0F" w:rsidRDefault="00E71C4F" w:rsidP="00803547">
      <w:pPr>
        <w:pStyle w:val="ListBullet"/>
        <w:numPr>
          <w:ilvl w:val="0"/>
          <w:numId w:val="0"/>
        </w:numPr>
        <w:spacing w:line="260" w:lineRule="exact"/>
      </w:pPr>
      <w:r w:rsidRPr="00126560">
        <w:t xml:space="preserve">Disability inclusive education is a priority </w:t>
      </w:r>
      <w:r w:rsidR="00784858">
        <w:t>for</w:t>
      </w:r>
      <w:r w:rsidR="00784858" w:rsidRPr="00126560">
        <w:t xml:space="preserve"> </w:t>
      </w:r>
      <w:r w:rsidRPr="00126560">
        <w:t>MEC</w:t>
      </w:r>
      <w:r w:rsidR="000E2B3F">
        <w:t>,</w:t>
      </w:r>
      <w:r w:rsidR="00762C56">
        <w:t xml:space="preserve"> wh</w:t>
      </w:r>
      <w:r w:rsidR="000E2B3F">
        <w:t>ich</w:t>
      </w:r>
      <w:r w:rsidRPr="00126560">
        <w:t xml:space="preserve"> developed disability guidelines to inform the selection of organisations support</w:t>
      </w:r>
      <w:r w:rsidR="00784858">
        <w:t>ing</w:t>
      </w:r>
      <w:r w:rsidRPr="00126560">
        <w:t xml:space="preserve"> disability inclusive education</w:t>
      </w:r>
      <w:r w:rsidR="00784858">
        <w:t>.</w:t>
      </w:r>
      <w:r w:rsidRPr="00126560">
        <w:t xml:space="preserve"> </w:t>
      </w:r>
      <w:r w:rsidR="00784858">
        <w:t>T</w:t>
      </w:r>
      <w:r w:rsidRPr="00126560">
        <w:t xml:space="preserve">wo new MEC partners focus on </w:t>
      </w:r>
      <w:r w:rsidR="00762C56">
        <w:t>this area</w:t>
      </w:r>
      <w:r>
        <w:t xml:space="preserve">. </w:t>
      </w:r>
      <w:r w:rsidR="00B5029A">
        <w:t xml:space="preserve">MEC also </w:t>
      </w:r>
      <w:r w:rsidR="00B5029A" w:rsidRPr="0053432B">
        <w:t>develop</w:t>
      </w:r>
      <w:r w:rsidR="00B5029A">
        <w:t>ed</w:t>
      </w:r>
      <w:r w:rsidR="00B5029A" w:rsidRPr="0053432B">
        <w:t xml:space="preserve"> a gender strategy in 2013</w:t>
      </w:r>
      <w:r w:rsidR="00B5029A">
        <w:t xml:space="preserve"> and is working with partners to build their capacity to implement gender responsive projects.</w:t>
      </w:r>
      <w:r w:rsidR="00784858">
        <w:t xml:space="preserve"> </w:t>
      </w:r>
      <w:r w:rsidR="00B5029A">
        <w:t xml:space="preserve">While </w:t>
      </w:r>
      <w:r w:rsidRPr="00C93B2C">
        <w:t xml:space="preserve">Australia </w:t>
      </w:r>
      <w:r w:rsidR="00B5029A">
        <w:t xml:space="preserve">has </w:t>
      </w:r>
      <w:r w:rsidRPr="00C93B2C">
        <w:t>designed education investments to respond to the educational needs of girls and boys</w:t>
      </w:r>
      <w:r w:rsidR="00B5029A">
        <w:t>,</w:t>
      </w:r>
      <w:r w:rsidRPr="00C93B2C">
        <w:t xml:space="preserve"> there have been challenges to ensuring </w:t>
      </w:r>
      <w:r w:rsidR="00760E0F">
        <w:t>progress</w:t>
      </w:r>
      <w:r w:rsidRPr="00C93B2C">
        <w:t>, including a lack of sex disaggregated data</w:t>
      </w:r>
      <w:r w:rsidR="00760E0F">
        <w:t xml:space="preserve">, mainly from QBEP investments. </w:t>
      </w:r>
      <w:r w:rsidR="003D1C52">
        <w:t>F</w:t>
      </w:r>
      <w:r w:rsidR="00760E0F">
        <w:t xml:space="preserve">uture reporting </w:t>
      </w:r>
      <w:r w:rsidR="003D1C52">
        <w:t xml:space="preserve">aims to </w:t>
      </w:r>
      <w:r w:rsidR="00760E0F">
        <w:t>address this</w:t>
      </w:r>
      <w:r w:rsidRPr="00C93B2C">
        <w:t>.</w:t>
      </w:r>
      <w:r>
        <w:t xml:space="preserve"> </w:t>
      </w:r>
    </w:p>
    <w:p w:rsidR="00E71C4F" w:rsidRPr="00126560" w:rsidRDefault="00760E0F" w:rsidP="00803547">
      <w:pPr>
        <w:pStyle w:val="ListBullet"/>
        <w:numPr>
          <w:ilvl w:val="0"/>
          <w:numId w:val="0"/>
        </w:numPr>
        <w:spacing w:line="260" w:lineRule="exact"/>
      </w:pPr>
      <w:r w:rsidRPr="009F4761">
        <w:t>Australia</w:t>
      </w:r>
      <w:r w:rsidR="008E6706">
        <w:t xml:space="preserve"> i</w:t>
      </w:r>
      <w:r w:rsidRPr="009F4761">
        <w:t xml:space="preserve">s providing gender sensitive teacher training, providing adolescent health modules </w:t>
      </w:r>
      <w:r w:rsidR="008E6706">
        <w:t xml:space="preserve">and </w:t>
      </w:r>
      <w:r w:rsidRPr="009F4761">
        <w:t xml:space="preserve">completing </w:t>
      </w:r>
      <w:r>
        <w:t>early childhood</w:t>
      </w:r>
      <w:r w:rsidRPr="009F4761">
        <w:t xml:space="preserve"> research and preparing gender guidelines for the MEC program and associated training.</w:t>
      </w:r>
      <w:r>
        <w:t xml:space="preserve"> </w:t>
      </w:r>
      <w:r w:rsidR="00E71C4F" w:rsidRPr="00126560">
        <w:t>Australia’s education program needs to better measure progress towards gender equality and ensure that programs are improving education for girls and increasing the safety of the school environment</w:t>
      </w:r>
      <w:r w:rsidR="00784858">
        <w:t>.</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 xml:space="preserve">Objective 1.b: Implementation </w:t>
      </w:r>
      <w:r>
        <w:rPr>
          <w:rFonts w:ascii="Helvetica" w:hAnsi="Helvetica" w:cs="Arial"/>
          <w:color w:val="007FAD"/>
          <w:kern w:val="28"/>
          <w:sz w:val="22"/>
          <w:szCs w:val="22"/>
        </w:rPr>
        <w:t xml:space="preserve">of </w:t>
      </w:r>
      <w:r w:rsidR="003F5EAD">
        <w:rPr>
          <w:rFonts w:ascii="Helvetica" w:hAnsi="Helvetica" w:cs="Arial"/>
          <w:color w:val="007FAD"/>
          <w:kern w:val="28"/>
          <w:sz w:val="22"/>
          <w:szCs w:val="22"/>
        </w:rPr>
        <w:t xml:space="preserve">the Myanmar </w:t>
      </w:r>
      <w:r w:rsidRPr="008A48C8">
        <w:rPr>
          <w:rFonts w:ascii="Helvetica" w:hAnsi="Helvetica" w:cs="Arial"/>
          <w:color w:val="007FAD"/>
          <w:kern w:val="28"/>
          <w:sz w:val="22"/>
          <w:szCs w:val="22"/>
        </w:rPr>
        <w:t>Government</w:t>
      </w:r>
      <w:r w:rsidR="003F5EAD">
        <w:rPr>
          <w:rFonts w:ascii="Helvetica" w:hAnsi="Helvetica" w:cs="Arial"/>
          <w:color w:val="007FAD"/>
          <w:kern w:val="28"/>
          <w:sz w:val="22"/>
          <w:szCs w:val="22"/>
        </w:rPr>
        <w:t>’s</w:t>
      </w:r>
      <w:r w:rsidRPr="008A48C8">
        <w:rPr>
          <w:rFonts w:ascii="Helvetica" w:hAnsi="Helvetica" w:cs="Arial"/>
          <w:color w:val="007FAD"/>
          <w:kern w:val="28"/>
          <w:sz w:val="22"/>
          <w:szCs w:val="22"/>
        </w:rPr>
        <w:t xml:space="preserve"> Framework for </w:t>
      </w:r>
      <w:r w:rsidR="005E0800">
        <w:rPr>
          <w:rFonts w:ascii="Helvetica" w:hAnsi="Helvetica" w:cs="Arial"/>
          <w:color w:val="007FAD"/>
          <w:kern w:val="28"/>
          <w:sz w:val="22"/>
          <w:szCs w:val="22"/>
        </w:rPr>
        <w:t>Economic</w:t>
      </w:r>
      <w:r w:rsidR="005E0800" w:rsidRPr="008A48C8">
        <w:rPr>
          <w:rFonts w:ascii="Helvetica" w:hAnsi="Helvetica" w:cs="Arial"/>
          <w:color w:val="007FAD"/>
          <w:kern w:val="28"/>
          <w:sz w:val="22"/>
          <w:szCs w:val="22"/>
        </w:rPr>
        <w:t xml:space="preserve"> </w:t>
      </w:r>
      <w:r w:rsidRPr="008A48C8">
        <w:rPr>
          <w:rFonts w:ascii="Helvetica" w:hAnsi="Helvetica" w:cs="Arial"/>
          <w:color w:val="007FAD"/>
          <w:kern w:val="28"/>
          <w:sz w:val="22"/>
          <w:szCs w:val="22"/>
        </w:rPr>
        <w:t xml:space="preserve">and Social Reform </w:t>
      </w:r>
    </w:p>
    <w:p w:rsidR="00760E0F" w:rsidRDefault="00E71C4F" w:rsidP="00803547">
      <w:pPr>
        <w:pStyle w:val="BodyText"/>
        <w:spacing w:after="120" w:line="260" w:lineRule="exact"/>
      </w:pPr>
      <w:r w:rsidRPr="00126560">
        <w:t>Australian support for education reform has</w:t>
      </w:r>
      <w:r>
        <w:t xml:space="preserve"> continued to align with the Myanmar Government’s</w:t>
      </w:r>
      <w:r w:rsidRPr="00126560">
        <w:t xml:space="preserve"> </w:t>
      </w:r>
      <w:r w:rsidR="00084AB4">
        <w:t xml:space="preserve">key policy priorities outlined in the </w:t>
      </w:r>
      <w:r w:rsidRPr="00126560">
        <w:t xml:space="preserve">Framework for </w:t>
      </w:r>
      <w:r>
        <w:t>Economic</w:t>
      </w:r>
      <w:r w:rsidRPr="00126560">
        <w:t xml:space="preserve"> and Social Reform (FESR). </w:t>
      </w:r>
      <w:r w:rsidR="00760E0F">
        <w:t>Australia has rapidly established a position of influence</w:t>
      </w:r>
      <w:r w:rsidR="008E6706">
        <w:t xml:space="preserve"> in the sector</w:t>
      </w:r>
      <w:r w:rsidR="00760E0F">
        <w:t xml:space="preserve"> and used this to encourage increased government spending and improved education quality, planning and budgeting to support sustainable changes across the system.</w:t>
      </w:r>
    </w:p>
    <w:p w:rsidR="00591EC5" w:rsidRDefault="00E71C4F" w:rsidP="00803547">
      <w:pPr>
        <w:pStyle w:val="BodyText"/>
        <w:spacing w:after="120" w:line="260" w:lineRule="exact"/>
      </w:pPr>
      <w:r w:rsidRPr="00126560">
        <w:t xml:space="preserve">Australia and other donors’ investments to the Comprehensive Education Sector Review (CESR) process </w:t>
      </w:r>
      <w:r w:rsidR="00784858">
        <w:t>have</w:t>
      </w:r>
      <w:r w:rsidR="00784858" w:rsidRPr="00126560">
        <w:t xml:space="preserve"> </w:t>
      </w:r>
      <w:r w:rsidRPr="00126560">
        <w:t xml:space="preserve">informed the development of a new Education law and developed an evidence base for new policies, legislation and budgets. The </w:t>
      </w:r>
      <w:r w:rsidR="00255AA5">
        <w:t>CESR has informed the Government’s 2014</w:t>
      </w:r>
      <w:r w:rsidR="00784858">
        <w:noBreakHyphen/>
      </w:r>
      <w:r w:rsidR="00255AA5">
        <w:t>15 budget which has led to the recruitment of 50,000 new teachers</w:t>
      </w:r>
      <w:r w:rsidR="00760E0F">
        <w:t xml:space="preserve"> </w:t>
      </w:r>
      <w:r w:rsidR="00255AA5">
        <w:t xml:space="preserve">and a tripling of the education budget. The CESR is providing the evidence base for the </w:t>
      </w:r>
      <w:r w:rsidRPr="00126560">
        <w:t xml:space="preserve">first costed </w:t>
      </w:r>
      <w:r w:rsidR="00255AA5">
        <w:t xml:space="preserve">education </w:t>
      </w:r>
      <w:r w:rsidRPr="00126560">
        <w:t xml:space="preserve">sector plan and corresponding annual budget for </w:t>
      </w:r>
      <w:r w:rsidR="00255AA5">
        <w:t>20</w:t>
      </w:r>
      <w:r w:rsidRPr="00126560">
        <w:t>15</w:t>
      </w:r>
      <w:r w:rsidR="00255AA5">
        <w:t>-</w:t>
      </w:r>
      <w:r w:rsidRPr="00126560">
        <w:t xml:space="preserve">16. </w:t>
      </w:r>
    </w:p>
    <w:p w:rsidR="00036EA3" w:rsidRDefault="003F3D7D" w:rsidP="00803547">
      <w:pPr>
        <w:pStyle w:val="ListBullet"/>
        <w:numPr>
          <w:ilvl w:val="0"/>
          <w:numId w:val="0"/>
        </w:numPr>
        <w:spacing w:line="260" w:lineRule="exact"/>
      </w:pPr>
      <w:r w:rsidRPr="00126560">
        <w:t>Australia increasingly support</w:t>
      </w:r>
      <w:r>
        <w:t>ed</w:t>
      </w:r>
      <w:r w:rsidRPr="00126560">
        <w:t xml:space="preserve"> government systems, partnering with the Ministry of Education and the World Bank to expand the Myanmar Government’s school grants and stipends program.</w:t>
      </w:r>
      <w:r>
        <w:t xml:space="preserve"> Australia helped improve the government’s management approach and assessment, increasing the possible benefits for schools, and helped introduce a conflict sensitive approach for the expanded program. The investment will</w:t>
      </w:r>
      <w:r w:rsidRPr="00126560">
        <w:t xml:space="preserve"> help strengthen the education system by decentralising </w:t>
      </w:r>
      <w:r w:rsidRPr="00126560">
        <w:lastRenderedPageBreak/>
        <w:t>education financing and empowering school m</w:t>
      </w:r>
      <w:r>
        <w:t>anagers and officials at</w:t>
      </w:r>
      <w:r w:rsidRPr="00126560">
        <w:t xml:space="preserve"> 43,000 government schools. </w:t>
      </w:r>
    </w:p>
    <w:p w:rsidR="00E71C4F" w:rsidRPr="00126560" w:rsidRDefault="003F3D7D" w:rsidP="00803547">
      <w:pPr>
        <w:pStyle w:val="ListBullet"/>
        <w:numPr>
          <w:ilvl w:val="0"/>
          <w:numId w:val="0"/>
        </w:numPr>
        <w:spacing w:line="260" w:lineRule="exact"/>
      </w:pPr>
      <w:r>
        <w:t>Australia also helped to strengthen education management to enable planned reforms to be realised.</w:t>
      </w:r>
      <w:r w:rsidR="00036EA3">
        <w:t xml:space="preserve"> </w:t>
      </w:r>
      <w:r w:rsidR="00255AA5">
        <w:t xml:space="preserve">Over the past year, </w:t>
      </w:r>
      <w:r w:rsidR="00C9760E">
        <w:t xml:space="preserve">UNICEF enrolled </w:t>
      </w:r>
      <w:r w:rsidR="00E71C4F" w:rsidRPr="00126560">
        <w:t>7</w:t>
      </w:r>
      <w:r w:rsidR="00E71C4F">
        <w:t>58</w:t>
      </w:r>
      <w:r w:rsidR="00E71C4F" w:rsidRPr="00126560">
        <w:t xml:space="preserve"> master trainers, head teachers and township officers</w:t>
      </w:r>
      <w:r w:rsidR="00E71C4F">
        <w:t xml:space="preserve"> </w:t>
      </w:r>
      <w:r w:rsidR="00E71C4F" w:rsidRPr="00E71C4F">
        <w:t>(68% of target</w:t>
      </w:r>
      <w:r w:rsidR="00E71C4F">
        <w:t>)</w:t>
      </w:r>
      <w:r w:rsidR="00E71C4F" w:rsidRPr="00126560">
        <w:t xml:space="preserve"> in school management and leadership training</w:t>
      </w:r>
      <w:r w:rsidR="00C9760E">
        <w:t>.</w:t>
      </w:r>
      <w:r w:rsidR="00255AA5">
        <w:rPr>
          <w:rStyle w:val="EndnoteReference"/>
        </w:rPr>
        <w:endnoteReference w:id="26"/>
      </w:r>
      <w:r w:rsidR="00E71C4F" w:rsidRPr="00126560">
        <w:t xml:space="preserve"> This is lower than the target of 1,</w:t>
      </w:r>
      <w:r w:rsidR="00E71C4F">
        <w:t>117</w:t>
      </w:r>
      <w:r w:rsidR="00E71C4F" w:rsidRPr="00126560">
        <w:t>, along with a lower number of townships developing standardised Township Education Plans</w:t>
      </w:r>
      <w:r w:rsidR="00762C56">
        <w:t>.</w:t>
      </w:r>
      <w:r w:rsidR="00255AA5">
        <w:rPr>
          <w:rStyle w:val="EndnoteReference"/>
        </w:rPr>
        <w:endnoteReference w:id="27"/>
      </w:r>
      <w:r w:rsidR="00E71C4F">
        <w:t xml:space="preserve"> </w:t>
      </w:r>
      <w:r w:rsidR="00E71C4F" w:rsidRPr="00126560">
        <w:t xml:space="preserve">The lack of progress is </w:t>
      </w:r>
      <w:r w:rsidR="00A91306">
        <w:t>due to</w:t>
      </w:r>
      <w:r w:rsidR="00E71C4F" w:rsidRPr="00126560">
        <w:t xml:space="preserve"> UNICEF’s </w:t>
      </w:r>
      <w:r w:rsidR="00A91306">
        <w:t>focus on supplementing service delivery rather than addressing capacity constraints in the sector. This was highlighted in the mid-term review</w:t>
      </w:r>
      <w:r w:rsidR="00822900">
        <w:t>.</w:t>
      </w:r>
      <w:r w:rsidR="00A91306">
        <w:t xml:space="preserve"> </w:t>
      </w:r>
      <w:r w:rsidR="00822900">
        <w:t>T</w:t>
      </w:r>
      <w:r w:rsidR="00A91306">
        <w:t>he next phase of QBEP will focus more on building government capacity.</w:t>
      </w:r>
    </w:p>
    <w:p w:rsidR="00E71C4F" w:rsidRPr="00126560" w:rsidRDefault="00E71C4F" w:rsidP="00803547">
      <w:pPr>
        <w:pStyle w:val="BodyText"/>
        <w:spacing w:after="120" w:line="260" w:lineRule="exact"/>
      </w:pPr>
      <w:r w:rsidRPr="00126560">
        <w:t>Australia provided funding, through the World Bank, to support the Ministry of Education’s first early grade reading assessment</w:t>
      </w:r>
      <w:r w:rsidR="00036EA3" w:rsidRPr="00036EA3">
        <w:t xml:space="preserve"> </w:t>
      </w:r>
      <w:r w:rsidR="00036EA3" w:rsidRPr="00126560">
        <w:t>in January 2014</w:t>
      </w:r>
      <w:r w:rsidR="00036EA3">
        <w:t xml:space="preserve">, </w:t>
      </w:r>
      <w:r w:rsidR="00036EA3" w:rsidRPr="00126560">
        <w:t>establish</w:t>
      </w:r>
      <w:r w:rsidR="00036EA3">
        <w:t>ing</w:t>
      </w:r>
      <w:r w:rsidR="00036EA3" w:rsidRPr="00126560">
        <w:t xml:space="preserve"> a baseline for reading performance in Burma’s primary schools.</w:t>
      </w:r>
      <w:r w:rsidR="00F82AB5">
        <w:rPr>
          <w:rStyle w:val="EndnoteReference"/>
        </w:rPr>
        <w:endnoteReference w:id="28"/>
      </w:r>
      <w:r w:rsidRPr="00126560">
        <w:t xml:space="preserve"> Data will assist with the preparation of </w:t>
      </w:r>
      <w:r>
        <w:t xml:space="preserve">the </w:t>
      </w:r>
      <w:r w:rsidRPr="00126560">
        <w:t>Myanmar</w:t>
      </w:r>
      <w:r>
        <w:t xml:space="preserve"> Government’s</w:t>
      </w:r>
      <w:r w:rsidRPr="00126560">
        <w:t xml:space="preserve"> investment</w:t>
      </w:r>
      <w:r>
        <w:t>s</w:t>
      </w:r>
      <w:r w:rsidRPr="00126560">
        <w:t xml:space="preserve"> </w:t>
      </w:r>
      <w:r>
        <w:t>in</w:t>
      </w:r>
      <w:r w:rsidRPr="00126560">
        <w:t xml:space="preserve"> reading ability</w:t>
      </w:r>
      <w:r>
        <w:t>,</w:t>
      </w:r>
      <w:r w:rsidRPr="00126560">
        <w:t xml:space="preserve"> education curricula and sector plan</w:t>
      </w:r>
      <w:r>
        <w:t>ning and will inform assessments of Australia’s investments</w:t>
      </w:r>
      <w:r w:rsidRPr="00126560">
        <w:t>.</w:t>
      </w:r>
    </w:p>
    <w:p w:rsidR="00E71C4F" w:rsidRPr="00126560" w:rsidRDefault="00E71C4F" w:rsidP="00803547">
      <w:pPr>
        <w:pStyle w:val="BodyText"/>
        <w:spacing w:after="120" w:line="260" w:lineRule="exact"/>
      </w:pPr>
      <w:r w:rsidRPr="00126560">
        <w:t>Whilst remaining focused on basic education, Australia was able to respond to requests for additional support in tertiary education</w:t>
      </w:r>
      <w:r w:rsidR="00A91306">
        <w:t>. Australia fostered links between Australian and Burmese tertiary education systems including a partnership between the Australian National University and Rangoon University, and</w:t>
      </w:r>
      <w:r w:rsidR="00762C56">
        <w:t xml:space="preserve"> </w:t>
      </w:r>
      <w:r w:rsidRPr="00126560">
        <w:t>the provision of technical advice to the Parliamentary Committee working to revitalise Rangoon University</w:t>
      </w:r>
      <w:r>
        <w:t xml:space="preserve"> </w:t>
      </w:r>
      <w:r w:rsidRPr="00126560">
        <w:t xml:space="preserve">as a centre of recognised academic learning and research. </w:t>
      </w:r>
      <w:r w:rsidR="00626D36">
        <w:t xml:space="preserve">This built on analysis of the tertiary sector funded by Australia as part of the CESR and an Australian funded study tour of senior Burmese </w:t>
      </w:r>
      <w:r w:rsidR="000E2B3F">
        <w:t xml:space="preserve">education </w:t>
      </w:r>
      <w:r w:rsidR="00A91306">
        <w:t>reformers</w:t>
      </w:r>
      <w:r w:rsidR="00626D36">
        <w:t>.</w:t>
      </w:r>
      <w:r w:rsidR="00036EA3">
        <w:t xml:space="preserve"> </w:t>
      </w:r>
      <w:r w:rsidR="00196352">
        <w:t>T</w:t>
      </w:r>
      <w:r w:rsidR="00036EA3">
        <w:t>he New Colombo Plan will provide an opportunity for students to study in Burma in 2015.</w:t>
      </w:r>
    </w:p>
    <w:p w:rsidR="00E71C4F" w:rsidRDefault="00E71C4F" w:rsidP="00804F48">
      <w:pPr>
        <w:pStyle w:val="ListBullet"/>
        <w:numPr>
          <w:ilvl w:val="0"/>
          <w:numId w:val="0"/>
        </w:numPr>
        <w:spacing w:before="24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Health</w:t>
      </w:r>
    </w:p>
    <w:tbl>
      <w:tblPr>
        <w:tblStyle w:val="APPR"/>
        <w:tblW w:w="5000" w:type="pct"/>
        <w:tblLook w:val="0000" w:firstRow="0" w:lastRow="0" w:firstColumn="0" w:lastColumn="0" w:noHBand="0" w:noVBand="0"/>
      </w:tblPr>
      <w:tblGrid>
        <w:gridCol w:w="6234"/>
        <w:gridCol w:w="1026"/>
        <w:gridCol w:w="426"/>
        <w:gridCol w:w="1091"/>
      </w:tblGrid>
      <w:tr w:rsidR="00804F48" w:rsidRPr="009D53C4" w:rsidTr="00804F48">
        <w:trPr>
          <w:cnfStyle w:val="000000010000" w:firstRow="0" w:lastRow="0" w:firstColumn="0" w:lastColumn="0" w:oddVBand="0" w:evenVBand="0" w:oddHBand="0" w:evenHBand="1" w:firstRowFirstColumn="0" w:firstRowLastColumn="0" w:lastRowFirstColumn="0" w:lastRowLastColumn="0"/>
        </w:trPr>
        <w:tc>
          <w:tcPr>
            <w:tcW w:w="6029" w:type="dxa"/>
          </w:tcPr>
          <w:p w:rsidR="00804F48" w:rsidRPr="00290A94" w:rsidRDefault="00804F48" w:rsidP="00804F48">
            <w:pPr>
              <w:pStyle w:val="TableTextEntries"/>
              <w:spacing w:after="0"/>
            </w:pPr>
            <w:r>
              <w:t xml:space="preserve">OBJECTIVE </w:t>
            </w:r>
            <w:r w:rsidRPr="00290A94">
              <w:t>2. IMPROVING THE DELIVERY OF HEALTH SERVICES TO THE POOR</w:t>
            </w:r>
          </w:p>
        </w:tc>
        <w:tc>
          <w:tcPr>
            <w:tcW w:w="972" w:type="dxa"/>
            <w:shd w:val="clear" w:color="auto" w:fill="auto"/>
            <w:noWrap/>
          </w:tcPr>
          <w:p w:rsidR="00804F48" w:rsidRPr="00443639" w:rsidRDefault="00804F48" w:rsidP="00804F48">
            <w:pPr>
              <w:pStyle w:val="TableTextEntries"/>
              <w:jc w:val="center"/>
              <w:rPr>
                <w:color w:val="FFFFFF" w:themeColor="background1"/>
              </w:rPr>
            </w:pPr>
          </w:p>
        </w:tc>
        <w:tc>
          <w:tcPr>
            <w:tcW w:w="388" w:type="dxa"/>
          </w:tcPr>
          <w:p w:rsidR="00804F48" w:rsidRPr="00443639" w:rsidRDefault="00804F48" w:rsidP="00804F48">
            <w:pPr>
              <w:pStyle w:val="TableTextEntries"/>
              <w:jc w:val="center"/>
              <w:rPr>
                <w:color w:val="FFFFFF" w:themeColor="background1"/>
              </w:rPr>
            </w:pPr>
          </w:p>
        </w:tc>
        <w:tc>
          <w:tcPr>
            <w:tcW w:w="1021" w:type="dxa"/>
            <w:shd w:val="clear" w:color="auto" w:fill="92D050"/>
            <w:noWrap/>
          </w:tcPr>
          <w:p w:rsidR="00804F48" w:rsidRPr="00443639" w:rsidRDefault="00804F48" w:rsidP="00804F48">
            <w:pPr>
              <w:pStyle w:val="TableTextEntries"/>
              <w:jc w:val="center"/>
              <w:rPr>
                <w:color w:val="FFFFFF" w:themeColor="background1"/>
              </w:rPr>
            </w:pPr>
            <w:r>
              <w:rPr>
                <w:color w:val="FFFFFF" w:themeColor="background1"/>
              </w:rPr>
              <w:t>Green</w:t>
            </w:r>
          </w:p>
        </w:tc>
      </w:tr>
    </w:tbl>
    <w:p w:rsidR="00591EC5" w:rsidRPr="0068479D" w:rsidRDefault="00E71C4F" w:rsidP="00803547">
      <w:pPr>
        <w:pStyle w:val="BodyText"/>
        <w:spacing w:before="120" w:after="120" w:line="260" w:lineRule="exact"/>
      </w:pPr>
      <w:r w:rsidRPr="0068479D">
        <w:t xml:space="preserve">Progress towards the health objective is rated green as </w:t>
      </w:r>
      <w:r>
        <w:t>Australia’s support</w:t>
      </w:r>
      <w:r w:rsidRPr="0068479D">
        <w:t xml:space="preserve"> ha</w:t>
      </w:r>
      <w:r>
        <w:t>s</w:t>
      </w:r>
      <w:r w:rsidRPr="0068479D">
        <w:t xml:space="preserve"> led to improved service delivery at a national level</w:t>
      </w:r>
      <w:r>
        <w:t xml:space="preserve"> </w:t>
      </w:r>
      <w:r w:rsidRPr="0068479D">
        <w:t>through targeting</w:t>
      </w:r>
      <w:r w:rsidR="00565269">
        <w:t xml:space="preserve"> the </w:t>
      </w:r>
      <w:r w:rsidRPr="0068479D">
        <w:t>poorest state</w:t>
      </w:r>
      <w:r w:rsidRPr="00F82AB5">
        <w:t>s and regions. Australia’s aid to the health sector in Burma is promoting economic growth and stability</w:t>
      </w:r>
      <w:r w:rsidR="00414FCC" w:rsidRPr="00F82AB5">
        <w:t xml:space="preserve"> by supporting service delivery </w:t>
      </w:r>
      <w:r w:rsidR="00565269">
        <w:t xml:space="preserve">with the government </w:t>
      </w:r>
      <w:r w:rsidR="00414FCC" w:rsidRPr="00F82AB5">
        <w:t xml:space="preserve">to improve the health </w:t>
      </w:r>
      <w:r w:rsidR="00E54754" w:rsidRPr="00F82AB5">
        <w:t>of Burma’s current and future workforce</w:t>
      </w:r>
      <w:r w:rsidR="00F82AB5">
        <w:t xml:space="preserve"> and help</w:t>
      </w:r>
      <w:r w:rsidR="001144B2">
        <w:t>ing</w:t>
      </w:r>
      <w:r w:rsidR="00F82AB5">
        <w:t xml:space="preserve"> to reduce the threat of communicable diseases</w:t>
      </w:r>
      <w:r w:rsidRPr="00F82AB5">
        <w:t>.</w:t>
      </w:r>
      <w:r w:rsidR="00E375F5">
        <w:rPr>
          <w:rStyle w:val="EndnoteReference"/>
        </w:rPr>
        <w:endnoteReference w:id="29"/>
      </w:r>
    </w:p>
    <w:p w:rsidR="00E71C4F" w:rsidRPr="0068479D" w:rsidRDefault="00E71C4F" w:rsidP="00803547">
      <w:pPr>
        <w:pStyle w:val="BodyText"/>
        <w:spacing w:after="120" w:line="260" w:lineRule="exact"/>
      </w:pPr>
      <w:r w:rsidRPr="0068479D">
        <w:t>Australia’s investment to the health sector has been consolidated through the Three Millennium Development Goal (3MDG) Fund which plays a critical role in expanding access to health services for Burma’s poor</w:t>
      </w:r>
      <w:r w:rsidR="00AB1DC0">
        <w:t>.</w:t>
      </w:r>
      <w:r w:rsidR="00AB1DC0">
        <w:rPr>
          <w:rStyle w:val="EndnoteReference"/>
        </w:rPr>
        <w:endnoteReference w:id="30"/>
      </w:r>
      <w:r w:rsidRPr="0068479D">
        <w:t xml:space="preserve"> As the second largest contributor to 3MDG</w:t>
      </w:r>
      <w:r w:rsidR="00626D36">
        <w:rPr>
          <w:rStyle w:val="EndnoteReference"/>
        </w:rPr>
        <w:endnoteReference w:id="31"/>
      </w:r>
      <w:r w:rsidRPr="0068479D">
        <w:t>, Australia provided $13 million in 2013-14 working in partnership with the United Kingdom, the European Union, Denmark, Sweden, Switzerland and the United States</w:t>
      </w:r>
      <w:r w:rsidR="00626D36">
        <w:t>.</w:t>
      </w:r>
    </w:p>
    <w:p w:rsidR="00E71C4F" w:rsidRPr="0068479D" w:rsidRDefault="00E71C4F" w:rsidP="00803547">
      <w:pPr>
        <w:pStyle w:val="BodyText"/>
        <w:spacing w:after="120" w:line="260" w:lineRule="exact"/>
      </w:pPr>
      <w:r w:rsidRPr="0068479D">
        <w:t>President</w:t>
      </w:r>
      <w:r>
        <w:t xml:space="preserve"> </w:t>
      </w:r>
      <w:r w:rsidR="000E2B3F">
        <w:t>Thein Sein</w:t>
      </w:r>
      <w:r w:rsidR="00565269" w:rsidRPr="0068479D">
        <w:t xml:space="preserve"> </w:t>
      </w:r>
      <w:r w:rsidRPr="0068479D">
        <w:t xml:space="preserve">has identified health system reform as a critical priority </w:t>
      </w:r>
      <w:r w:rsidR="00626D36">
        <w:t xml:space="preserve">with </w:t>
      </w:r>
      <w:r w:rsidRPr="0068479D">
        <w:t xml:space="preserve">political pressure to speed up reform prior to the national elections in 2015. </w:t>
      </w:r>
      <w:r>
        <w:t>Consequently</w:t>
      </w:r>
      <w:r w:rsidRPr="0068479D">
        <w:t xml:space="preserve"> </w:t>
      </w:r>
      <w:r>
        <w:t>the Ministry of Health (</w:t>
      </w:r>
      <w:r w:rsidRPr="0068479D">
        <w:t>MOH</w:t>
      </w:r>
      <w:r>
        <w:t>)</w:t>
      </w:r>
      <w:r w:rsidRPr="0068479D">
        <w:t xml:space="preserve"> develop</w:t>
      </w:r>
      <w:r>
        <w:t>ed</w:t>
      </w:r>
      <w:r w:rsidRPr="0068479D">
        <w:t xml:space="preserve"> a new strategic health plan aimed at achieving universal health coverage to enhance health, social cohesion and sustainable human and economic development. </w:t>
      </w:r>
      <w:r>
        <w:t>Australia’s</w:t>
      </w:r>
      <w:r w:rsidRPr="0068479D">
        <w:t xml:space="preserve"> investment </w:t>
      </w:r>
      <w:r w:rsidR="00414FCC">
        <w:t>in</w:t>
      </w:r>
      <w:r w:rsidRPr="0068479D">
        <w:t xml:space="preserve"> 3MDG is </w:t>
      </w:r>
      <w:r w:rsidR="00BA6156">
        <w:t>well</w:t>
      </w:r>
      <w:r w:rsidRPr="0068479D">
        <w:t xml:space="preserve"> positioned to align with these reforms. </w:t>
      </w:r>
    </w:p>
    <w:p w:rsidR="00565269" w:rsidRPr="00565269" w:rsidRDefault="00E71C4F" w:rsidP="00803547">
      <w:pPr>
        <w:pStyle w:val="BodyText"/>
        <w:spacing w:after="120" w:line="260" w:lineRule="exact"/>
        <w:rPr>
          <w:szCs w:val="21"/>
        </w:rPr>
      </w:pPr>
      <w:r w:rsidRPr="0068479D">
        <w:t xml:space="preserve">3MDG is catalysing reforms to build a more robust </w:t>
      </w:r>
      <w:r w:rsidR="00565269">
        <w:t xml:space="preserve">national </w:t>
      </w:r>
      <w:r w:rsidRPr="0068479D">
        <w:t xml:space="preserve">health system including </w:t>
      </w:r>
      <w:r w:rsidR="00565269">
        <w:t xml:space="preserve">through support to strengthen accessibility of medicines, reliable information management systems, health workforce reforms and </w:t>
      </w:r>
      <w:r w:rsidRPr="0068479D">
        <w:t xml:space="preserve">engagement of private sector in service delivery. </w:t>
      </w:r>
      <w:r w:rsidR="00565269">
        <w:rPr>
          <w:szCs w:val="21"/>
        </w:rPr>
        <w:t>3MDG is also seeking to enhance health services accountability and responsiveness to beneficiaries through capacity development of target communities, civil society organis</w:t>
      </w:r>
      <w:r w:rsidR="00B40100">
        <w:rPr>
          <w:szCs w:val="21"/>
        </w:rPr>
        <w:t xml:space="preserve">ations and the public sector. </w:t>
      </w:r>
      <w:r w:rsidR="00565269">
        <w:rPr>
          <w:szCs w:val="21"/>
        </w:rPr>
        <w:t xml:space="preserve">In 2013, 3MDG </w:t>
      </w:r>
      <w:r w:rsidR="000E2B3F">
        <w:rPr>
          <w:szCs w:val="21"/>
        </w:rPr>
        <w:t xml:space="preserve">developed a </w:t>
      </w:r>
      <w:r w:rsidR="00565269">
        <w:rPr>
          <w:szCs w:val="21"/>
        </w:rPr>
        <w:t xml:space="preserve">strategy and action plan with inclusion of gender and disability </w:t>
      </w:r>
      <w:r w:rsidR="00A23BCC">
        <w:rPr>
          <w:szCs w:val="21"/>
        </w:rPr>
        <w:t>approaches to support policy development and capacity building for implementing partners</w:t>
      </w:r>
      <w:r w:rsidR="00431899">
        <w:rPr>
          <w:szCs w:val="21"/>
        </w:rPr>
        <w:t>.</w:t>
      </w:r>
      <w:r w:rsidR="00A23BCC">
        <w:rPr>
          <w:rStyle w:val="EndnoteReference"/>
          <w:szCs w:val="21"/>
        </w:rPr>
        <w:endnoteReference w:id="32"/>
      </w:r>
      <w:r w:rsidR="00565269">
        <w:rPr>
          <w:szCs w:val="21"/>
        </w:rPr>
        <w:t xml:space="preserve"> </w:t>
      </w:r>
    </w:p>
    <w:p w:rsidR="00C76EF1" w:rsidRDefault="00C93B2C" w:rsidP="00803547">
      <w:pPr>
        <w:pStyle w:val="BodyText"/>
        <w:spacing w:after="120" w:line="260" w:lineRule="exact"/>
      </w:pPr>
      <w:r>
        <w:t xml:space="preserve">Australia’s future engagement in the health sector will need to consider </w:t>
      </w:r>
      <w:r w:rsidR="00E71C4F" w:rsidRPr="0068479D">
        <w:t>increase</w:t>
      </w:r>
      <w:r>
        <w:t>d</w:t>
      </w:r>
      <w:r w:rsidR="00E71C4F" w:rsidRPr="0068479D">
        <w:t xml:space="preserve"> donor </w:t>
      </w:r>
      <w:r>
        <w:t xml:space="preserve">engagement in </w:t>
      </w:r>
      <w:r w:rsidR="00431899">
        <w:t>the sector</w:t>
      </w:r>
      <w:r w:rsidR="00E71C4F" w:rsidRPr="0068479D">
        <w:t xml:space="preserve">. Japan has pledged $50 million to sector reforms and the World Bank </w:t>
      </w:r>
      <w:r w:rsidR="00E71C4F" w:rsidRPr="0068479D">
        <w:lastRenderedPageBreak/>
        <w:t xml:space="preserve">has </w:t>
      </w:r>
      <w:r w:rsidR="00E71C4F">
        <w:t xml:space="preserve">pledged </w:t>
      </w:r>
      <w:r w:rsidR="00E71C4F" w:rsidRPr="0068479D">
        <w:t>$200 million</w:t>
      </w:r>
      <w:r w:rsidR="008E1D9E">
        <w:t xml:space="preserve"> to help accelerate progress toward Universal Health Coverage</w:t>
      </w:r>
      <w:r w:rsidR="00E71C4F" w:rsidRPr="0068479D">
        <w:t xml:space="preserve">. </w:t>
      </w:r>
      <w:r w:rsidR="00E71C4F">
        <w:t>W</w:t>
      </w:r>
      <w:r w:rsidR="00E71C4F" w:rsidRPr="0068479D">
        <w:t>hil</w:t>
      </w:r>
      <w:r w:rsidR="00E71C4F">
        <w:t>st</w:t>
      </w:r>
      <w:r w:rsidR="00E71C4F" w:rsidRPr="0068479D">
        <w:t xml:space="preserve"> increased funding is needed</w:t>
      </w:r>
      <w:r w:rsidR="00E71C4F">
        <w:t>,</w:t>
      </w:r>
      <w:r w:rsidR="00E71C4F" w:rsidRPr="0068479D">
        <w:t xml:space="preserve"> the diversity of players makes coordination more challenging. Australia’s role as a lead donor to </w:t>
      </w:r>
      <w:r w:rsidR="005A04CD">
        <w:t>3MDG</w:t>
      </w:r>
      <w:r w:rsidR="00E71C4F" w:rsidRPr="0068479D">
        <w:t xml:space="preserve"> and as a representative on the Health Sector Working Group provide</w:t>
      </w:r>
      <w:r w:rsidR="00E71C4F">
        <w:t>s</w:t>
      </w:r>
      <w:r w:rsidR="00E71C4F" w:rsidRPr="0068479D">
        <w:t xml:space="preserve"> considerable visibility with the Myanmar</w:t>
      </w:r>
      <w:r w:rsidR="00431899">
        <w:t xml:space="preserve"> Government</w:t>
      </w:r>
      <w:r w:rsidR="00E71C4F" w:rsidRPr="0068479D">
        <w:t xml:space="preserve"> </w:t>
      </w:r>
      <w:r w:rsidR="005A04CD">
        <w:t xml:space="preserve">to maintain focus and momentum on health reforms </w:t>
      </w:r>
      <w:r w:rsidR="00C76EF1">
        <w:t xml:space="preserve">and inclusive engagement with stakeholders across the sector. </w:t>
      </w:r>
      <w:r w:rsidR="00C76EF1" w:rsidRPr="00D0466E">
        <w:t xml:space="preserve">Australia’s position as a leading donor </w:t>
      </w:r>
      <w:r w:rsidR="009337BE">
        <w:t xml:space="preserve">also </w:t>
      </w:r>
      <w:r w:rsidR="00C76EF1" w:rsidRPr="00D0466E">
        <w:t xml:space="preserve">enabled advocacy for fair and equitable access to health services in Burma, including in </w:t>
      </w:r>
      <w:r w:rsidR="00C76EF1">
        <w:t>conflict affected areas</w:t>
      </w:r>
      <w:r w:rsidR="00C76EF1" w:rsidRPr="00D0466E">
        <w:t>.</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2.a: Increased access to and availability of essential maternal and child health services for the poorest and most vulnerable in targeted areas</w:t>
      </w:r>
    </w:p>
    <w:p w:rsidR="00E71C4F" w:rsidRPr="0068479D" w:rsidRDefault="00E71C4F" w:rsidP="00803547">
      <w:pPr>
        <w:pStyle w:val="BodyText"/>
        <w:spacing w:after="120" w:line="260" w:lineRule="exact"/>
      </w:pPr>
      <w:r>
        <w:t>P</w:t>
      </w:r>
      <w:r w:rsidRPr="0068479D">
        <w:t>rogress has been positive</w:t>
      </w:r>
      <w:r>
        <w:t xml:space="preserve"> in t</w:t>
      </w:r>
      <w:r w:rsidRPr="0068479D">
        <w:t xml:space="preserve">he first year of </w:t>
      </w:r>
      <w:r>
        <w:t xml:space="preserve">3MDG </w:t>
      </w:r>
      <w:r w:rsidRPr="0068479D">
        <w:t>implementation</w:t>
      </w:r>
      <w:r>
        <w:t xml:space="preserve"> </w:t>
      </w:r>
      <w:r w:rsidRPr="0068479D">
        <w:t xml:space="preserve">and key </w:t>
      </w:r>
      <w:r>
        <w:t>Australian</w:t>
      </w:r>
      <w:r w:rsidRPr="0068479D">
        <w:t xml:space="preserve"> milestones related to maternal and child health services for the poorest and most vulnerable are</w:t>
      </w:r>
      <w:r w:rsidR="00605B64">
        <w:t xml:space="preserve"> either being exceeded or are</w:t>
      </w:r>
      <w:r w:rsidRPr="0068479D">
        <w:t xml:space="preserve"> close to being on track. </w:t>
      </w:r>
      <w:r w:rsidR="00004EFD">
        <w:t>Addressing Millennium Development Goals 4 and 5</w:t>
      </w:r>
      <w:r w:rsidR="00004EFD">
        <w:rPr>
          <w:rStyle w:val="EndnoteReference"/>
        </w:rPr>
        <w:endnoteReference w:id="33"/>
      </w:r>
      <w:r w:rsidR="00431899">
        <w:t>,</w:t>
      </w:r>
      <w:r w:rsidR="00004EFD">
        <w:t xml:space="preserve"> t</w:t>
      </w:r>
      <w:r w:rsidRPr="0068479D">
        <w:t>here were strong achievements to combat preventable maternal and child mortality with</w:t>
      </w:r>
      <w:r w:rsidR="00942B9A">
        <w:t xml:space="preserve"> Australian support resulting in</w:t>
      </w:r>
      <w:r w:rsidRPr="0068479D">
        <w:t xml:space="preserve"> </w:t>
      </w:r>
      <w:r>
        <w:t>5,</w:t>
      </w:r>
      <w:r w:rsidR="00C350F8">
        <w:t>800</w:t>
      </w:r>
      <w:r w:rsidRPr="0068479D">
        <w:t xml:space="preserve"> additional births (</w:t>
      </w:r>
      <w:r w:rsidRPr="003F0CF6">
        <w:t>7</w:t>
      </w:r>
      <w:r w:rsidR="003F0CF6" w:rsidRPr="003F0CF6">
        <w:t>6</w:t>
      </w:r>
      <w:r w:rsidRPr="003F0CF6">
        <w:t>%</w:t>
      </w:r>
      <w:r w:rsidR="003F0CF6">
        <w:t xml:space="preserve"> </w:t>
      </w:r>
      <w:r w:rsidRPr="0068479D">
        <w:t>of target) attended by a skilled birth attendant</w:t>
      </w:r>
      <w:r w:rsidRPr="0068479D">
        <w:rPr>
          <w:vertAlign w:val="superscript"/>
        </w:rPr>
        <w:endnoteReference w:id="34"/>
      </w:r>
      <w:r w:rsidRPr="0068479D">
        <w:t>, 1</w:t>
      </w:r>
      <w:r>
        <w:t>,</w:t>
      </w:r>
      <w:r w:rsidRPr="0068479D">
        <w:t>900 pregnant women (169% of target) supported for emergency obstetric care referral</w:t>
      </w:r>
      <w:r w:rsidR="00222B39">
        <w:rPr>
          <w:rStyle w:val="EndnoteReference"/>
        </w:rPr>
        <w:endnoteReference w:id="35"/>
      </w:r>
      <w:r w:rsidRPr="0068479D">
        <w:t xml:space="preserve">, </w:t>
      </w:r>
      <w:r>
        <w:t>9,3</w:t>
      </w:r>
      <w:r w:rsidR="00BA6156">
        <w:t>0</w:t>
      </w:r>
      <w:r>
        <w:t>0</w:t>
      </w:r>
      <w:r w:rsidRPr="0068479D">
        <w:t xml:space="preserve"> children (9</w:t>
      </w:r>
      <w:r>
        <w:t>5</w:t>
      </w:r>
      <w:r w:rsidRPr="0068479D">
        <w:t>% of target) immunised with DTP3 or Pentax 3 vaccines</w:t>
      </w:r>
      <w:r w:rsidRPr="0068479D">
        <w:rPr>
          <w:vertAlign w:val="superscript"/>
        </w:rPr>
        <w:endnoteReference w:id="36"/>
      </w:r>
      <w:r w:rsidRPr="0068479D">
        <w:t xml:space="preserve"> and 11,000 children (11</w:t>
      </w:r>
      <w:r w:rsidR="003F0CF6">
        <w:t>7</w:t>
      </w:r>
      <w:r w:rsidRPr="0068479D">
        <w:t>% of target) against measles</w:t>
      </w:r>
      <w:r w:rsidR="00762C56">
        <w:t>.</w:t>
      </w:r>
      <w:r w:rsidR="005B53CB">
        <w:rPr>
          <w:rStyle w:val="EndnoteReference"/>
        </w:rPr>
        <w:endnoteReference w:id="37"/>
      </w:r>
    </w:p>
    <w:p w:rsidR="00E71C4F" w:rsidRPr="0068479D" w:rsidRDefault="000C6063" w:rsidP="00803547">
      <w:pPr>
        <w:pStyle w:val="BodyText"/>
        <w:spacing w:after="120" w:line="260" w:lineRule="exact"/>
      </w:pPr>
      <w:r>
        <w:t>3MDG</w:t>
      </w:r>
      <w:r w:rsidR="00E71C4F" w:rsidRPr="0068479D">
        <w:t xml:space="preserve"> results reflect health service delivery to an estimated population of 1.9 million. In 2014, the Fund will expand service delivery to an estimated population of 4.5 million, and </w:t>
      </w:r>
      <w:r w:rsidR="00431899">
        <w:t>a</w:t>
      </w:r>
      <w:r w:rsidR="00E71C4F" w:rsidRPr="0068479D">
        <w:t>i</w:t>
      </w:r>
      <w:r w:rsidR="00431899">
        <w:t>m</w:t>
      </w:r>
      <w:r w:rsidR="00E71C4F" w:rsidRPr="0068479D">
        <w:t>s to achieve</w:t>
      </w:r>
      <w:r w:rsidR="00C76EF1">
        <w:t xml:space="preserve"> </w:t>
      </w:r>
      <w:r w:rsidR="00E71C4F" w:rsidRPr="0068479D">
        <w:t xml:space="preserve">population coverage of 8 million by 2016 in seven </w:t>
      </w:r>
      <w:r>
        <w:t xml:space="preserve">poor </w:t>
      </w:r>
      <w:r w:rsidR="00E71C4F" w:rsidRPr="0068479D">
        <w:t xml:space="preserve">states and regions. Challenges in expanding service delivery to conflict affected states required diligence to ensure approaches which do no harm. </w:t>
      </w:r>
      <w:r w:rsidR="00E71C4F">
        <w:t xml:space="preserve">A </w:t>
      </w:r>
      <w:r w:rsidR="00E71C4F" w:rsidRPr="0068479D">
        <w:t xml:space="preserve">framework </w:t>
      </w:r>
      <w:r w:rsidR="00E71C4F">
        <w:t xml:space="preserve">has been developed </w:t>
      </w:r>
      <w:r w:rsidR="00E71C4F" w:rsidRPr="0068479D">
        <w:t xml:space="preserve">for </w:t>
      </w:r>
      <w:r w:rsidR="00431899">
        <w:t xml:space="preserve">conflict sensitive </w:t>
      </w:r>
      <w:r w:rsidR="00E71C4F" w:rsidRPr="0068479D">
        <w:t>engagement in areas emerging from conflict including Kayah, Shan, Kachin and potentially Rakhine States</w:t>
      </w:r>
      <w:r w:rsidR="00E71C4F">
        <w:t>.</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2.b: Increased access to and availability of HIV, TB and malaria interventions</w:t>
      </w:r>
    </w:p>
    <w:p w:rsidR="00206009" w:rsidRDefault="00605B64" w:rsidP="00803547">
      <w:pPr>
        <w:pStyle w:val="BodyText"/>
        <w:spacing w:after="120" w:line="260" w:lineRule="exact"/>
        <w:rPr>
          <w:rFonts w:ascii="Calibri" w:hAnsi="Calibri" w:cs="Calibri"/>
          <w:color w:val="1F497D"/>
          <w:sz w:val="22"/>
          <w:szCs w:val="22"/>
        </w:rPr>
      </w:pPr>
      <w:r>
        <w:t>P</w:t>
      </w:r>
      <w:r w:rsidR="00E71C4F" w:rsidRPr="0068479D">
        <w:t>rogress</w:t>
      </w:r>
      <w:r>
        <w:t xml:space="preserve"> was made</w:t>
      </w:r>
      <w:r w:rsidR="00E71C4F" w:rsidRPr="0068479D">
        <w:t xml:space="preserve"> </w:t>
      </w:r>
      <w:r w:rsidR="00431899">
        <w:t>i</w:t>
      </w:r>
      <w:r w:rsidR="00E71C4F" w:rsidRPr="0068479D">
        <w:t xml:space="preserve">n addressing communicable diseases with </w:t>
      </w:r>
      <w:r w:rsidR="00870960">
        <w:t>increases</w:t>
      </w:r>
      <w:r w:rsidR="00431899">
        <w:t xml:space="preserve"> in</w:t>
      </w:r>
      <w:r w:rsidR="00E71C4F" w:rsidRPr="0068479D">
        <w:t xml:space="preserve"> access to harm reduction services</w:t>
      </w:r>
      <w:r w:rsidR="00C76EF1">
        <w:t xml:space="preserve"> and</w:t>
      </w:r>
      <w:r w:rsidR="00E71C4F" w:rsidRPr="0068479D">
        <w:t xml:space="preserve"> </w:t>
      </w:r>
      <w:r w:rsidR="00431899">
        <w:t xml:space="preserve">drug-resistant malaria containment </w:t>
      </w:r>
      <w:r w:rsidR="00E71C4F" w:rsidRPr="0068479D">
        <w:t xml:space="preserve">activities </w:t>
      </w:r>
      <w:r w:rsidR="00C76EF1">
        <w:t xml:space="preserve">as well as </w:t>
      </w:r>
      <w:r w:rsidR="00E71C4F" w:rsidRPr="0068479D">
        <w:t xml:space="preserve">innovative initiatives launched to deliver joint </w:t>
      </w:r>
      <w:r w:rsidR="00431899">
        <w:t>tuberculosis</w:t>
      </w:r>
      <w:r w:rsidR="00E71C4F" w:rsidRPr="0068479D">
        <w:t xml:space="preserve"> and HIV services in prisons. Achievements include 6</w:t>
      </w:r>
      <w:r w:rsidR="00E71C4F">
        <w:t>,</w:t>
      </w:r>
      <w:r w:rsidR="00E71C4F" w:rsidRPr="0068479D">
        <w:t>300 intravenous substance abusers (</w:t>
      </w:r>
      <w:r w:rsidR="003F0CF6">
        <w:t>82</w:t>
      </w:r>
      <w:r w:rsidR="00E71C4F" w:rsidRPr="0068479D">
        <w:t>% of target</w:t>
      </w:r>
      <w:r w:rsidR="00222B39">
        <w:t>)</w:t>
      </w:r>
      <w:r w:rsidR="00222B39" w:rsidRPr="00222B39">
        <w:t xml:space="preserve"> </w:t>
      </w:r>
      <w:r w:rsidR="00222B39" w:rsidRPr="0068479D">
        <w:t>receiv</w:t>
      </w:r>
      <w:r w:rsidR="00C76EF1">
        <w:t>ing</w:t>
      </w:r>
      <w:r w:rsidR="00222B39" w:rsidRPr="0068479D">
        <w:t xml:space="preserve"> harm reduction services</w:t>
      </w:r>
      <w:r w:rsidR="00FC4606">
        <w:rPr>
          <w:rStyle w:val="EndnoteReference"/>
        </w:rPr>
        <w:endnoteReference w:id="38"/>
      </w:r>
      <w:r w:rsidR="00E71C4F" w:rsidRPr="0068479D">
        <w:t>, with service coverage estimated at 25</w:t>
      </w:r>
      <w:r w:rsidR="00A817CB">
        <w:t xml:space="preserve"> per cent</w:t>
      </w:r>
      <w:r w:rsidR="00E71C4F" w:rsidRPr="0068479D">
        <w:t xml:space="preserve"> of the total intraveno</w:t>
      </w:r>
      <w:r w:rsidR="00222B39">
        <w:t xml:space="preserve">us substance abuse population. </w:t>
      </w:r>
      <w:r w:rsidR="00E71C4F" w:rsidRPr="0068479D">
        <w:t xml:space="preserve">Drug resistant malaria activities were scaled up with activities in 52 </w:t>
      </w:r>
      <w:r w:rsidR="00870960">
        <w:t xml:space="preserve">drug-resistant </w:t>
      </w:r>
      <w:r w:rsidR="00E71C4F" w:rsidRPr="0068479D">
        <w:t>malaria containment townships (up from 26</w:t>
      </w:r>
      <w:r w:rsidR="00206009">
        <w:t>)</w:t>
      </w:r>
      <w:r w:rsidR="00FC4606">
        <w:rPr>
          <w:rStyle w:val="EndnoteReference"/>
        </w:rPr>
        <w:endnoteReference w:id="39"/>
      </w:r>
      <w:r w:rsidR="00E71C4F" w:rsidRPr="0068479D">
        <w:t>, and more than 11,000 confirmed malaria cases trea</w:t>
      </w:r>
      <w:r w:rsidR="00206009">
        <w:t xml:space="preserve">ted within 24 hours of onset of </w:t>
      </w:r>
      <w:r w:rsidR="00E71C4F" w:rsidRPr="0068479D">
        <w:t>symptoms</w:t>
      </w:r>
      <w:r w:rsidR="00206009">
        <w:t xml:space="preserve"> </w:t>
      </w:r>
      <w:r w:rsidR="00E71C4F" w:rsidRPr="0068479D">
        <w:t>(</w:t>
      </w:r>
      <w:r w:rsidR="00492C01">
        <w:t>58</w:t>
      </w:r>
      <w:r w:rsidR="00E71C4F" w:rsidRPr="0068479D">
        <w:t>% of target).</w:t>
      </w:r>
      <w:r w:rsidR="00206009">
        <w:t xml:space="preserve"> Anticipated targets for malaria treatment were not met due to an overall decline in malaria </w:t>
      </w:r>
      <w:r w:rsidR="00206009" w:rsidRPr="00206009">
        <w:t>incidence</w:t>
      </w:r>
      <w:r w:rsidR="00206009">
        <w:t>.</w:t>
      </w:r>
    </w:p>
    <w:p w:rsidR="000C6063" w:rsidRDefault="00BF7FCF" w:rsidP="00803547">
      <w:pPr>
        <w:pStyle w:val="BodyText"/>
        <w:spacing w:after="120" w:line="260" w:lineRule="exact"/>
      </w:pPr>
      <w:r>
        <w:t xml:space="preserve">Due to the </w:t>
      </w:r>
      <w:r w:rsidR="00C76EF1">
        <w:t>strength of the national programs</w:t>
      </w:r>
      <w:r w:rsidRPr="00BF7FCF">
        <w:t>, m</w:t>
      </w:r>
      <w:r w:rsidR="00E71C4F" w:rsidRPr="0068479D">
        <w:t xml:space="preserve">ost communicable disease services were delivered by </w:t>
      </w:r>
      <w:r w:rsidR="00C76EF1">
        <w:t xml:space="preserve">MOH with assistance from the </w:t>
      </w:r>
      <w:r w:rsidR="00E71C4F" w:rsidRPr="0068479D">
        <w:t>U</w:t>
      </w:r>
      <w:r w:rsidR="00E71C4F">
        <w:t xml:space="preserve">nited </w:t>
      </w:r>
      <w:r w:rsidR="00E71C4F" w:rsidRPr="0068479D">
        <w:t>N</w:t>
      </w:r>
      <w:r w:rsidR="00E71C4F">
        <w:t>ations</w:t>
      </w:r>
      <w:r w:rsidR="00E71C4F" w:rsidRPr="0068479D">
        <w:t xml:space="preserve">, with </w:t>
      </w:r>
      <w:r w:rsidR="00E71C4F">
        <w:t>non-government organisations</w:t>
      </w:r>
      <w:r w:rsidR="00E71C4F" w:rsidRPr="0068479D">
        <w:t xml:space="preserve"> taking a much smaller role than in the delivery of maternal and child health services. Interventions were delivered </w:t>
      </w:r>
      <w:r w:rsidR="00C62751">
        <w:t>to poor and vulnerable communities across a</w:t>
      </w:r>
      <w:r w:rsidR="00E71C4F" w:rsidRPr="0068479D">
        <w:t xml:space="preserve"> wide geographical area. </w:t>
      </w:r>
      <w:r w:rsidR="00822900">
        <w:t>C</w:t>
      </w:r>
      <w:r w:rsidR="00E71C4F" w:rsidRPr="0068479D">
        <w:t xml:space="preserve">ommunicable disease </w:t>
      </w:r>
      <w:r w:rsidR="00E71C4F">
        <w:t xml:space="preserve">interventions </w:t>
      </w:r>
      <w:r w:rsidR="00E71C4F" w:rsidRPr="0068479D">
        <w:t>fac</w:t>
      </w:r>
      <w:r w:rsidR="00870960">
        <w:t>e</w:t>
      </w:r>
      <w:r w:rsidR="00E71C4F" w:rsidRPr="0068479D">
        <w:t xml:space="preserve"> funding shortfall</w:t>
      </w:r>
      <w:r w:rsidR="00870960">
        <w:t>s</w:t>
      </w:r>
      <w:r w:rsidR="00E71C4F" w:rsidRPr="0068479D">
        <w:t xml:space="preserve"> due to high needs. Global Fund</w:t>
      </w:r>
      <w:r w:rsidR="00E71C4F">
        <w:t xml:space="preserve"> financing</w:t>
      </w:r>
      <w:r w:rsidR="00E71C4F" w:rsidRPr="0068479D">
        <w:t xml:space="preserve"> has not been at </w:t>
      </w:r>
      <w:r w:rsidR="00242396">
        <w:t>expected</w:t>
      </w:r>
      <w:r w:rsidR="00E71C4F" w:rsidRPr="0068479D">
        <w:t xml:space="preserve"> level</w:t>
      </w:r>
      <w:r w:rsidR="00242396">
        <w:t>s</w:t>
      </w:r>
      <w:r w:rsidR="00E71C4F" w:rsidRPr="0068479D">
        <w:t xml:space="preserve"> and there are crucial gaps in addressing multi drug resistant </w:t>
      </w:r>
      <w:r w:rsidR="00870960">
        <w:t>tuberculosis</w:t>
      </w:r>
      <w:r w:rsidR="00870960" w:rsidRPr="0068479D">
        <w:t xml:space="preserve"> </w:t>
      </w:r>
      <w:r w:rsidR="00E71C4F" w:rsidRPr="0068479D">
        <w:t>and other emerging health threats. In response</w:t>
      </w:r>
      <w:r w:rsidR="00D0466E">
        <w:t>,</w:t>
      </w:r>
      <w:r w:rsidR="00E71C4F" w:rsidRPr="0068479D">
        <w:t xml:space="preserve"> 3MDG increased funding for communicable diseases from $45 million to over $70 million</w:t>
      </w:r>
      <w:r w:rsidR="00870960">
        <w:t xml:space="preserve">, </w:t>
      </w:r>
      <w:r w:rsidR="00E71C4F" w:rsidRPr="0068479D">
        <w:t>ensur</w:t>
      </w:r>
      <w:r w:rsidR="00870960">
        <w:t>ing</w:t>
      </w:r>
      <w:r w:rsidR="00E71C4F" w:rsidRPr="0068479D">
        <w:t xml:space="preserve"> continuation of essential services and disease containment.</w:t>
      </w:r>
    </w:p>
    <w:p w:rsidR="00E71C4F" w:rsidRPr="00C62751" w:rsidRDefault="00E71C4F" w:rsidP="00804F48">
      <w:pPr>
        <w:pStyle w:val="ListBullet"/>
        <w:numPr>
          <w:ilvl w:val="0"/>
          <w:numId w:val="0"/>
        </w:numPr>
        <w:spacing w:before="240"/>
        <w:rPr>
          <w:rFonts w:ascii="Helvetica" w:hAnsi="Helvetica" w:cs="Arial"/>
          <w:b/>
          <w:color w:val="124486"/>
          <w:kern w:val="28"/>
          <w:sz w:val="22"/>
          <w:szCs w:val="22"/>
          <w:lang w:eastAsia="zh-CN"/>
        </w:rPr>
      </w:pPr>
      <w:r w:rsidRPr="00C62751">
        <w:rPr>
          <w:rFonts w:ascii="Helvetica" w:hAnsi="Helvetica" w:cs="Arial"/>
          <w:b/>
          <w:color w:val="124486"/>
          <w:kern w:val="28"/>
          <w:sz w:val="22"/>
          <w:szCs w:val="22"/>
          <w:lang w:eastAsia="zh-CN"/>
        </w:rPr>
        <w:t>Livelihoods</w:t>
      </w:r>
    </w:p>
    <w:tbl>
      <w:tblPr>
        <w:tblStyle w:val="APPR"/>
        <w:tblW w:w="5000" w:type="pct"/>
        <w:tblLook w:val="0000" w:firstRow="0" w:lastRow="0" w:firstColumn="0" w:lastColumn="0" w:noHBand="0" w:noVBand="0"/>
      </w:tblPr>
      <w:tblGrid>
        <w:gridCol w:w="6234"/>
        <w:gridCol w:w="1026"/>
        <w:gridCol w:w="426"/>
        <w:gridCol w:w="1091"/>
      </w:tblGrid>
      <w:tr w:rsidR="00804F48" w:rsidRPr="009D53C4" w:rsidTr="00804F48">
        <w:trPr>
          <w:cnfStyle w:val="000000010000" w:firstRow="0" w:lastRow="0" w:firstColumn="0" w:lastColumn="0" w:oddVBand="0" w:evenVBand="0" w:oddHBand="0" w:evenHBand="1" w:firstRowFirstColumn="0" w:firstRowLastColumn="0" w:lastRowFirstColumn="0" w:lastRowLastColumn="0"/>
        </w:trPr>
        <w:tc>
          <w:tcPr>
            <w:tcW w:w="6029" w:type="dxa"/>
          </w:tcPr>
          <w:p w:rsidR="00804F48" w:rsidRPr="00290A94" w:rsidRDefault="00804F48" w:rsidP="00804F48">
            <w:pPr>
              <w:pStyle w:val="TableTextEntries"/>
            </w:pPr>
            <w:r>
              <w:t xml:space="preserve">OBJECTIVE </w:t>
            </w:r>
            <w:r w:rsidRPr="00290A94">
              <w:t>3. IMPROVING THE LIVELIHOODS OF THE RURAL POOR</w:t>
            </w:r>
          </w:p>
        </w:tc>
        <w:tc>
          <w:tcPr>
            <w:tcW w:w="972" w:type="dxa"/>
            <w:shd w:val="clear" w:color="auto" w:fill="auto"/>
            <w:noWrap/>
          </w:tcPr>
          <w:p w:rsidR="00804F48" w:rsidRPr="00443639" w:rsidRDefault="00804F48" w:rsidP="00804F48">
            <w:pPr>
              <w:pStyle w:val="TableTextEntries"/>
              <w:jc w:val="center"/>
              <w:rPr>
                <w:color w:val="FFFFFF" w:themeColor="background1"/>
              </w:rPr>
            </w:pPr>
          </w:p>
        </w:tc>
        <w:tc>
          <w:tcPr>
            <w:tcW w:w="388" w:type="dxa"/>
          </w:tcPr>
          <w:p w:rsidR="00804F48" w:rsidRPr="00443639" w:rsidRDefault="00804F48" w:rsidP="00804F48">
            <w:pPr>
              <w:pStyle w:val="TableTextEntries"/>
              <w:jc w:val="center"/>
              <w:rPr>
                <w:color w:val="FFFFFF" w:themeColor="background1"/>
              </w:rPr>
            </w:pPr>
          </w:p>
        </w:tc>
        <w:tc>
          <w:tcPr>
            <w:tcW w:w="1021" w:type="dxa"/>
            <w:shd w:val="clear" w:color="auto" w:fill="F79646" w:themeFill="accent6"/>
            <w:noWrap/>
          </w:tcPr>
          <w:p w:rsidR="00804F48" w:rsidRPr="00443639" w:rsidRDefault="00804F48" w:rsidP="00804F48">
            <w:pPr>
              <w:pStyle w:val="TableTextEntries"/>
              <w:jc w:val="center"/>
              <w:rPr>
                <w:color w:val="FFFFFF" w:themeColor="background1"/>
              </w:rPr>
            </w:pPr>
            <w:r>
              <w:rPr>
                <w:color w:val="FFFFFF" w:themeColor="background1"/>
              </w:rPr>
              <w:t>Amber</w:t>
            </w:r>
          </w:p>
        </w:tc>
      </w:tr>
    </w:tbl>
    <w:p w:rsidR="00107634" w:rsidRDefault="00107634" w:rsidP="00803547">
      <w:pPr>
        <w:pStyle w:val="ListBullet"/>
        <w:numPr>
          <w:ilvl w:val="0"/>
          <w:numId w:val="0"/>
        </w:numPr>
        <w:spacing w:before="120" w:line="260" w:lineRule="exact"/>
      </w:pPr>
      <w:r w:rsidRPr="00ED0BF7">
        <w:t xml:space="preserve">The </w:t>
      </w:r>
      <w:r>
        <w:t xml:space="preserve">livelihoods </w:t>
      </w:r>
      <w:r w:rsidRPr="00ED0BF7">
        <w:t xml:space="preserve">objective </w:t>
      </w:r>
      <w:r>
        <w:t>is rated amber due to delays in implementation of key programs. In 2013</w:t>
      </w:r>
      <w:r w:rsidR="00242396">
        <w:noBreakHyphen/>
      </w:r>
      <w:r>
        <w:t xml:space="preserve">14 </w:t>
      </w:r>
      <w:r w:rsidRPr="00126560">
        <w:t>Australia</w:t>
      </w:r>
      <w:r>
        <w:t xml:space="preserve"> </w:t>
      </w:r>
      <w:r w:rsidRPr="00126560">
        <w:t>invest</w:t>
      </w:r>
      <w:r>
        <w:t>ed</w:t>
      </w:r>
      <w:r w:rsidRPr="00126560">
        <w:t xml:space="preserve"> </w:t>
      </w:r>
      <w:r>
        <w:t>over $7 million</w:t>
      </w:r>
      <w:r w:rsidRPr="00126560">
        <w:t xml:space="preserve"> </w:t>
      </w:r>
      <w:r>
        <w:rPr>
          <w:szCs w:val="21"/>
        </w:rPr>
        <w:t>in</w:t>
      </w:r>
      <w:r w:rsidRPr="00784A35">
        <w:rPr>
          <w:szCs w:val="21"/>
        </w:rPr>
        <w:t xml:space="preserve"> agricultural </w:t>
      </w:r>
      <w:r>
        <w:rPr>
          <w:szCs w:val="21"/>
        </w:rPr>
        <w:t xml:space="preserve">and rural </w:t>
      </w:r>
      <w:r w:rsidRPr="00784A35">
        <w:rPr>
          <w:szCs w:val="21"/>
        </w:rPr>
        <w:t>development</w:t>
      </w:r>
      <w:r>
        <w:rPr>
          <w:szCs w:val="21"/>
        </w:rPr>
        <w:t xml:space="preserve"> with a focus on improving</w:t>
      </w:r>
      <w:r w:rsidRPr="00D576F9">
        <w:rPr>
          <w:szCs w:val="21"/>
        </w:rPr>
        <w:t xml:space="preserve"> food security, welfare and net incomes of rural households </w:t>
      </w:r>
      <w:r>
        <w:rPr>
          <w:szCs w:val="21"/>
        </w:rPr>
        <w:t>(objective 3</w:t>
      </w:r>
      <w:r w:rsidR="00E325BC">
        <w:rPr>
          <w:szCs w:val="21"/>
        </w:rPr>
        <w:t>.</w:t>
      </w:r>
      <w:r>
        <w:rPr>
          <w:szCs w:val="21"/>
        </w:rPr>
        <w:t>a) and improving</w:t>
      </w:r>
      <w:r w:rsidRPr="00F2667E">
        <w:rPr>
          <w:szCs w:val="21"/>
        </w:rPr>
        <w:t xml:space="preserve"> access to markets and financial inclusion of the rural poor</w:t>
      </w:r>
      <w:r>
        <w:rPr>
          <w:szCs w:val="21"/>
        </w:rPr>
        <w:t xml:space="preserve"> (objective 3</w:t>
      </w:r>
      <w:r w:rsidR="00E325BC">
        <w:rPr>
          <w:szCs w:val="21"/>
        </w:rPr>
        <w:t>.</w:t>
      </w:r>
      <w:r>
        <w:rPr>
          <w:szCs w:val="21"/>
        </w:rPr>
        <w:t xml:space="preserve">b). </w:t>
      </w:r>
      <w:r>
        <w:t xml:space="preserve">Most PAF </w:t>
      </w:r>
      <w:r>
        <w:lastRenderedPageBreak/>
        <w:t>milestones against the objectives were achieved, though these reflected low expectations of progress in 2013</w:t>
      </w:r>
      <w:r w:rsidR="00242396">
        <w:noBreakHyphen/>
      </w:r>
      <w:r>
        <w:t>14 due to anticipated challenges in the operating environment.</w:t>
      </w:r>
    </w:p>
    <w:p w:rsidR="00107634" w:rsidRDefault="00107634" w:rsidP="00803547">
      <w:pPr>
        <w:pStyle w:val="ListBullet"/>
        <w:numPr>
          <w:ilvl w:val="0"/>
          <w:numId w:val="0"/>
        </w:numPr>
        <w:spacing w:line="260" w:lineRule="exact"/>
        <w:rPr>
          <w:szCs w:val="21"/>
        </w:rPr>
      </w:pPr>
      <w:r w:rsidRPr="00784A35">
        <w:rPr>
          <w:szCs w:val="21"/>
        </w:rPr>
        <w:t xml:space="preserve">The </w:t>
      </w:r>
      <w:r>
        <w:rPr>
          <w:szCs w:val="21"/>
        </w:rPr>
        <w:t>Myanmar G</w:t>
      </w:r>
      <w:r w:rsidRPr="00784A35">
        <w:rPr>
          <w:szCs w:val="21"/>
        </w:rPr>
        <w:t>overnment is committed to reduci</w:t>
      </w:r>
      <w:r>
        <w:rPr>
          <w:szCs w:val="21"/>
        </w:rPr>
        <w:t>ng poverty in Burma from 25 to 15 per</w:t>
      </w:r>
      <w:r w:rsidRPr="00784A35">
        <w:rPr>
          <w:szCs w:val="21"/>
        </w:rPr>
        <w:t>cent by 2015</w:t>
      </w:r>
      <w:r>
        <w:rPr>
          <w:szCs w:val="21"/>
        </w:rPr>
        <w:t>.</w:t>
      </w:r>
      <w:r w:rsidRPr="00784A35">
        <w:rPr>
          <w:szCs w:val="21"/>
        </w:rPr>
        <w:t xml:space="preserve"> </w:t>
      </w:r>
      <w:r>
        <w:rPr>
          <w:szCs w:val="21"/>
        </w:rPr>
        <w:t xml:space="preserve">Growth in the agriculture sector, which </w:t>
      </w:r>
      <w:r w:rsidRPr="00784A35">
        <w:rPr>
          <w:szCs w:val="21"/>
        </w:rPr>
        <w:t xml:space="preserve">accounts for </w:t>
      </w:r>
      <w:r>
        <w:rPr>
          <w:szCs w:val="21"/>
        </w:rPr>
        <w:t>an estimated 70 per</w:t>
      </w:r>
      <w:r w:rsidR="001144B2">
        <w:rPr>
          <w:szCs w:val="21"/>
        </w:rPr>
        <w:t xml:space="preserve"> </w:t>
      </w:r>
      <w:r>
        <w:rPr>
          <w:szCs w:val="21"/>
        </w:rPr>
        <w:t>cent of the work force and around 36 per cent of GDP</w:t>
      </w:r>
      <w:r w:rsidRPr="000B18FA">
        <w:rPr>
          <w:rStyle w:val="EndnoteReference"/>
        </w:rPr>
        <w:endnoteReference w:id="40"/>
      </w:r>
      <w:r w:rsidR="00870960">
        <w:rPr>
          <w:szCs w:val="21"/>
        </w:rPr>
        <w:t>,</w:t>
      </w:r>
      <w:r>
        <w:rPr>
          <w:szCs w:val="21"/>
        </w:rPr>
        <w:t xml:space="preserve"> is important to achieving this goal.</w:t>
      </w:r>
      <w:r w:rsidRPr="00D6660A">
        <w:t xml:space="preserve"> </w:t>
      </w:r>
      <w:r w:rsidRPr="00D6660A">
        <w:rPr>
          <w:szCs w:val="21"/>
        </w:rPr>
        <w:t xml:space="preserve">This potential, however, needs to be assessed in line with broader trends in the economy which note new sectors are emerging that are having an increasingly important role in economic growth (e.g. telecommunications, extractive industries, manufacturing and services). </w:t>
      </w:r>
      <w:r w:rsidR="00983838">
        <w:rPr>
          <w:szCs w:val="21"/>
        </w:rPr>
        <w:t>L</w:t>
      </w:r>
      <w:r w:rsidRPr="00D6660A">
        <w:rPr>
          <w:szCs w:val="21"/>
        </w:rPr>
        <w:t xml:space="preserve">imited productivity growth and constraints to trade have the potential to </w:t>
      </w:r>
      <w:r>
        <w:rPr>
          <w:szCs w:val="21"/>
        </w:rPr>
        <w:t xml:space="preserve">limit progress in the sector and </w:t>
      </w:r>
      <w:r w:rsidRPr="00D6660A">
        <w:rPr>
          <w:szCs w:val="21"/>
        </w:rPr>
        <w:t>weigh down Burma’s overall economic growth.</w:t>
      </w:r>
    </w:p>
    <w:p w:rsidR="00107634" w:rsidRDefault="00107634" w:rsidP="00803547">
      <w:pPr>
        <w:pStyle w:val="ListBullet"/>
        <w:numPr>
          <w:ilvl w:val="0"/>
          <w:numId w:val="0"/>
        </w:numPr>
        <w:spacing w:line="260" w:lineRule="exact"/>
      </w:pPr>
      <w:r w:rsidRPr="00AB6D3C">
        <w:rPr>
          <w:szCs w:val="21"/>
        </w:rPr>
        <w:t xml:space="preserve">Australia’s current support is focused on addressing poverty and targeting development assistance to Burma’s poor and vulnerable people living in rural areas. </w:t>
      </w:r>
      <w:r>
        <w:t>Australia has helped improve food security, welfare and net incomes of rural households through support to the Livelihoods and Food Security Trust Fund (LIFT)</w:t>
      </w:r>
      <w:r w:rsidR="00983838">
        <w:t xml:space="preserve"> </w:t>
      </w:r>
      <w:r>
        <w:t xml:space="preserve">since 2009. </w:t>
      </w:r>
      <w:r w:rsidRPr="00DF4142">
        <w:t>By the end of 2013, Australia</w:t>
      </w:r>
      <w:r>
        <w:t>’s support to LIFT</w:t>
      </w:r>
      <w:r w:rsidRPr="00DF4142">
        <w:t xml:space="preserve"> enabled 7,639 poor households (93% of target) in rural areas to increase their net incomes from agricultural and off-farm activities</w:t>
      </w:r>
      <w:r>
        <w:rPr>
          <w:rStyle w:val="EndnoteReference"/>
        </w:rPr>
        <w:endnoteReference w:id="41"/>
      </w:r>
      <w:r w:rsidRPr="00DF4142">
        <w:t xml:space="preserve">, and 25,750 poor </w:t>
      </w:r>
      <w:r w:rsidR="00983838">
        <w:t>beneficiaries</w:t>
      </w:r>
      <w:r w:rsidR="00983838" w:rsidRPr="00DF4142">
        <w:t xml:space="preserve"> </w:t>
      </w:r>
      <w:r w:rsidRPr="00DF4142">
        <w:t>(208% of target) to increase food security by at least one month</w:t>
      </w:r>
      <w:r>
        <w:t>.</w:t>
      </w:r>
      <w:r>
        <w:rPr>
          <w:rStyle w:val="EndnoteReference"/>
        </w:rPr>
        <w:endnoteReference w:id="42"/>
      </w:r>
      <w:r>
        <w:t xml:space="preserve"> Australia has also enabled </w:t>
      </w:r>
      <w:r w:rsidRPr="00260083">
        <w:t>15,575 poor households</w:t>
      </w:r>
      <w:r>
        <w:t xml:space="preserve"> (151% of target) to access financial services and credit for livelihoods activities.</w:t>
      </w:r>
      <w:r>
        <w:rPr>
          <w:rStyle w:val="EndnoteReference"/>
        </w:rPr>
        <w:endnoteReference w:id="43"/>
      </w:r>
      <w:r>
        <w:t xml:space="preserve"> Women represented 69 per cent</w:t>
      </w:r>
      <w:r w:rsidRPr="009E70FA">
        <w:t xml:space="preserve"> of </w:t>
      </w:r>
      <w:r>
        <w:t xml:space="preserve">financial </w:t>
      </w:r>
      <w:r w:rsidRPr="009E70FA">
        <w:t>borrower</w:t>
      </w:r>
      <w:r>
        <w:t>s for agricultural activities, and 86 per cent of borrowers for non-agricultural activities.</w:t>
      </w:r>
      <w:r>
        <w:rPr>
          <w:rStyle w:val="EndnoteReference"/>
        </w:rPr>
        <w:endnoteReference w:id="44"/>
      </w:r>
      <w:r>
        <w:t xml:space="preserve"> </w:t>
      </w:r>
      <w:r w:rsidRPr="00E30110">
        <w:t>LIFT</w:t>
      </w:r>
      <w:r w:rsidRPr="00DF029D">
        <w:t xml:space="preserve"> is helping to develop laws, policies, systems and practices to help guarantee women’s economic rights and equal opportunities in livelihoods</w:t>
      </w:r>
      <w:r>
        <w:t xml:space="preserve"> activities, including advocating for </w:t>
      </w:r>
      <w:r w:rsidRPr="001D2BAC">
        <w:rPr>
          <w:rFonts w:cs="Arial"/>
          <w:szCs w:val="21"/>
        </w:rPr>
        <w:t>women’s equal rights to land in national land use legislation</w:t>
      </w:r>
      <w:r>
        <w:t>.</w:t>
      </w:r>
      <w:r>
        <w:rPr>
          <w:rStyle w:val="EndnoteReference"/>
        </w:rPr>
        <w:endnoteReference w:id="45"/>
      </w:r>
    </w:p>
    <w:p w:rsidR="00107634" w:rsidRDefault="00107634" w:rsidP="00803547">
      <w:pPr>
        <w:pStyle w:val="ListBullet"/>
        <w:numPr>
          <w:ilvl w:val="0"/>
          <w:numId w:val="0"/>
        </w:numPr>
        <w:spacing w:line="260" w:lineRule="exact"/>
      </w:pPr>
      <w:r>
        <w:t>Other significant developments in 2013-14 include efforts by LIFT</w:t>
      </w:r>
      <w:r w:rsidR="008E3F5B">
        <w:t xml:space="preserve"> </w:t>
      </w:r>
      <w:r>
        <w:t xml:space="preserve">to engage commercial businesses in agricultural activities and to expand activities into newly accessible areas due to </w:t>
      </w:r>
      <w:r w:rsidR="00BB2572">
        <w:t xml:space="preserve">progress through </w:t>
      </w:r>
      <w:r>
        <w:t>the peace process. LIFT also commissioned the United Nations Capital</w:t>
      </w:r>
      <w:r w:rsidR="00242396">
        <w:t xml:space="preserve"> Development</w:t>
      </w:r>
      <w:r>
        <w:t xml:space="preserve"> Fund (UNCDF) to conduct nationwide research on barriers to small and medium enterprise development. UNCDF worked closely with the Government in undertaking the research </w:t>
      </w:r>
      <w:r w:rsidR="00FD744F">
        <w:t>and is now preparing a road map</w:t>
      </w:r>
      <w:r>
        <w:t xml:space="preserve"> on addressing constraints to financial inclusion and promoting private sector growth. The ACIAR Multidisciplinary Research Program to Improve Food Security in Burma, funded by DFAT, support</w:t>
      </w:r>
      <w:r w:rsidR="00983838">
        <w:t>s</w:t>
      </w:r>
      <w:r>
        <w:t xml:space="preserve"> agricultural and rural development research and policy. By building capacity in Burma’s government and research institutions to undertake research into better food production techniques and improve policies in the sector, the ACIAR program will help improve Burma’s trade prospects and the livelihoods of rural households involved in production. After a delay of almost two years, </w:t>
      </w:r>
      <w:r w:rsidRPr="00BB2CED">
        <w:t xml:space="preserve">ACIAR signed a memorandum of understanding with the Ministry for Agriculture and Irrigation in November 2013 </w:t>
      </w:r>
      <w:r>
        <w:t xml:space="preserve">that </w:t>
      </w:r>
      <w:r w:rsidRPr="00BB2CED">
        <w:t>permitt</w:t>
      </w:r>
      <w:r>
        <w:t>ed</w:t>
      </w:r>
      <w:r w:rsidRPr="00BB2CED">
        <w:t xml:space="preserve"> the program to become fully operational</w:t>
      </w:r>
      <w:r>
        <w:t>,</w:t>
      </w:r>
      <w:r w:rsidRPr="00BB2CED">
        <w:t xml:space="preserve"> achieving the </w:t>
      </w:r>
      <w:r w:rsidR="008506CD">
        <w:t xml:space="preserve">2013-14 </w:t>
      </w:r>
      <w:r w:rsidRPr="00BB2CED">
        <w:t xml:space="preserve">PAF milestone. </w:t>
      </w:r>
      <w:r>
        <w:t xml:space="preserve">Since signing the MOU, </w:t>
      </w:r>
      <w:r w:rsidRPr="00BB2CED">
        <w:t>ACIAR</w:t>
      </w:r>
      <w:r>
        <w:t xml:space="preserve"> </w:t>
      </w:r>
      <w:r w:rsidRPr="00BB2CED">
        <w:t>establish</w:t>
      </w:r>
      <w:r>
        <w:t>ed</w:t>
      </w:r>
      <w:r w:rsidRPr="00BB2CED">
        <w:t xml:space="preserve"> a research management team and </w:t>
      </w:r>
      <w:r>
        <w:t>commenced research and</w:t>
      </w:r>
      <w:r w:rsidRPr="00BB2CED">
        <w:t xml:space="preserve"> training </w:t>
      </w:r>
      <w:r>
        <w:t>activities, including</w:t>
      </w:r>
      <w:r w:rsidRPr="00BB2CED">
        <w:t xml:space="preserve"> training for 1,152 people </w:t>
      </w:r>
      <w:r>
        <w:t xml:space="preserve">on improved farming techniques, and </w:t>
      </w:r>
      <w:r w:rsidRPr="00BB2CED">
        <w:t>conven</w:t>
      </w:r>
      <w:r w:rsidR="008506CD">
        <w:t>ing</w:t>
      </w:r>
      <w:r w:rsidRPr="00BB2CED">
        <w:t xml:space="preserve"> a national symposium on fisheries and aquaculture</w:t>
      </w:r>
      <w:r w:rsidR="00983838">
        <w:t xml:space="preserve"> research</w:t>
      </w:r>
      <w:r>
        <w:t xml:space="preserve">. </w:t>
      </w:r>
      <w:r w:rsidRPr="00BB2CED">
        <w:t xml:space="preserve">As the program becomes fully operational, </w:t>
      </w:r>
      <w:r>
        <w:t>DFAT expects program improve</w:t>
      </w:r>
      <w:r w:rsidR="008506CD">
        <w:t>ments including increased</w:t>
      </w:r>
      <w:r>
        <w:t xml:space="preserve"> results. </w:t>
      </w:r>
    </w:p>
    <w:p w:rsidR="00107634" w:rsidRDefault="00107634" w:rsidP="00803547">
      <w:pPr>
        <w:pStyle w:val="ListBullet"/>
        <w:numPr>
          <w:ilvl w:val="0"/>
          <w:numId w:val="0"/>
        </w:numPr>
        <w:spacing w:line="260" w:lineRule="exact"/>
      </w:pPr>
      <w:r>
        <w:t>CARE’s program, Strengthening Partnerships and Resilience of Communities in northern Rakhine State (SPARC), continued to experience setbacks due to the ongoing impact of communal violence. SPARC activities were put on hold in 2012 following outbreak</w:t>
      </w:r>
      <w:r w:rsidR="008506CD">
        <w:t>s</w:t>
      </w:r>
      <w:r>
        <w:t xml:space="preserve"> of violence </w:t>
      </w:r>
      <w:r w:rsidR="008506CD">
        <w:t>with</w:t>
      </w:r>
      <w:r>
        <w:t xml:space="preserve"> resources redirected to provide immediate humanitarian support to affected communities. Outbreaks of violence in Rakhine State in 2013 and 2014 continued to present barriers to implementation. SPARC is slowly resuming activities</w:t>
      </w:r>
      <w:r w:rsidR="001144B2">
        <w:t>,</w:t>
      </w:r>
      <w:r>
        <w:t xml:space="preserve"> achieving the </w:t>
      </w:r>
      <w:r w:rsidR="008506CD">
        <w:t xml:space="preserve">2013-14 </w:t>
      </w:r>
      <w:r>
        <w:t>PAF milestone. If conflict continues, CARE may consider shifting the focus of SPARC to humanitarian assistance to respond to needs on the ground.</w:t>
      </w:r>
    </w:p>
    <w:p w:rsidR="00107634" w:rsidRDefault="00107634" w:rsidP="00803547">
      <w:pPr>
        <w:pStyle w:val="ListBullet"/>
        <w:numPr>
          <w:ilvl w:val="0"/>
          <w:numId w:val="0"/>
        </w:numPr>
        <w:spacing w:line="260" w:lineRule="exact"/>
      </w:pPr>
      <w:r w:rsidRPr="00D6660A">
        <w:rPr>
          <w:szCs w:val="21"/>
        </w:rPr>
        <w:t xml:space="preserve">With new opportunities </w:t>
      </w:r>
      <w:r>
        <w:rPr>
          <w:szCs w:val="21"/>
        </w:rPr>
        <w:t>emerging</w:t>
      </w:r>
      <w:r w:rsidRPr="00D6660A">
        <w:rPr>
          <w:szCs w:val="21"/>
        </w:rPr>
        <w:t xml:space="preserve"> in Burma</w:t>
      </w:r>
      <w:r>
        <w:rPr>
          <w:szCs w:val="21"/>
        </w:rPr>
        <w:t xml:space="preserve"> through the changing economic landscape, it is timely to question how </w:t>
      </w:r>
      <w:r w:rsidRPr="00D6660A">
        <w:rPr>
          <w:szCs w:val="21"/>
        </w:rPr>
        <w:t xml:space="preserve">Australia’s </w:t>
      </w:r>
      <w:r>
        <w:rPr>
          <w:szCs w:val="21"/>
        </w:rPr>
        <w:t xml:space="preserve">aid can most effectively help to reduce poverty and promote </w:t>
      </w:r>
      <w:r>
        <w:rPr>
          <w:szCs w:val="21"/>
        </w:rPr>
        <w:lastRenderedPageBreak/>
        <w:t>economic growth in rural areas</w:t>
      </w:r>
      <w:r w:rsidRPr="00D6660A">
        <w:rPr>
          <w:szCs w:val="21"/>
        </w:rPr>
        <w:t>.</w:t>
      </w:r>
      <w:r>
        <w:rPr>
          <w:szCs w:val="21"/>
        </w:rPr>
        <w:t xml:space="preserve"> This question will be examined in the course of preparing </w:t>
      </w:r>
      <w:r w:rsidR="008506CD">
        <w:rPr>
          <w:szCs w:val="21"/>
        </w:rPr>
        <w:t>the Burma Program’s</w:t>
      </w:r>
      <w:r>
        <w:rPr>
          <w:szCs w:val="21"/>
        </w:rPr>
        <w:t xml:space="preserve"> Aid Investment Plan, due to be </w:t>
      </w:r>
      <w:r w:rsidR="008E3F5B">
        <w:rPr>
          <w:szCs w:val="21"/>
        </w:rPr>
        <w:t>developed</w:t>
      </w:r>
      <w:r>
        <w:rPr>
          <w:szCs w:val="21"/>
        </w:rPr>
        <w:t xml:space="preserve"> </w:t>
      </w:r>
      <w:r w:rsidR="008E3F5B">
        <w:rPr>
          <w:szCs w:val="21"/>
        </w:rPr>
        <w:t>by</w:t>
      </w:r>
      <w:r>
        <w:rPr>
          <w:szCs w:val="21"/>
        </w:rPr>
        <w:t xml:space="preserve"> July 2015.</w:t>
      </w:r>
    </w:p>
    <w:p w:rsidR="00E71C4F" w:rsidRPr="004A741E" w:rsidRDefault="00E71C4F" w:rsidP="001E1DBF">
      <w:pPr>
        <w:pStyle w:val="ListBullet"/>
        <w:numPr>
          <w:ilvl w:val="0"/>
          <w:numId w:val="0"/>
        </w:numPr>
        <w:spacing w:before="24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Peace and Humanitarian</w:t>
      </w:r>
    </w:p>
    <w:tbl>
      <w:tblPr>
        <w:tblStyle w:val="APPR"/>
        <w:tblW w:w="5000" w:type="pct"/>
        <w:tblLook w:val="0000" w:firstRow="0" w:lastRow="0" w:firstColumn="0" w:lastColumn="0" w:noHBand="0" w:noVBand="0"/>
      </w:tblPr>
      <w:tblGrid>
        <w:gridCol w:w="6234"/>
        <w:gridCol w:w="1026"/>
        <w:gridCol w:w="426"/>
        <w:gridCol w:w="1091"/>
      </w:tblGrid>
      <w:tr w:rsidR="00804F48" w:rsidRPr="00E31C1C" w:rsidTr="00804F48">
        <w:trPr>
          <w:cnfStyle w:val="000000010000" w:firstRow="0" w:lastRow="0" w:firstColumn="0" w:lastColumn="0" w:oddVBand="0" w:evenVBand="0" w:oddHBand="0" w:evenHBand="1" w:firstRowFirstColumn="0" w:firstRowLastColumn="0" w:lastRowFirstColumn="0" w:lastRowLastColumn="0"/>
          <w:trHeight w:val="132"/>
        </w:trPr>
        <w:tc>
          <w:tcPr>
            <w:tcW w:w="6029" w:type="dxa"/>
          </w:tcPr>
          <w:p w:rsidR="00804F48" w:rsidRPr="00290A94" w:rsidRDefault="00804F48" w:rsidP="00804F48">
            <w:pPr>
              <w:pStyle w:val="TableTextEntries"/>
              <w:spacing w:after="0"/>
              <w:rPr>
                <w:iCs w:val="0"/>
              </w:rPr>
            </w:pPr>
            <w:r>
              <w:rPr>
                <w:iCs w:val="0"/>
              </w:rPr>
              <w:t xml:space="preserve">OBJECTIVE </w:t>
            </w:r>
            <w:r w:rsidRPr="00290A94">
              <w:rPr>
                <w:iCs w:val="0"/>
              </w:rPr>
              <w:t>4. ADDRESSING THE NEEDS OF CONFLICT AND DISASTER AFFECTED PEOPLE</w:t>
            </w:r>
          </w:p>
        </w:tc>
        <w:tc>
          <w:tcPr>
            <w:tcW w:w="972" w:type="dxa"/>
            <w:shd w:val="clear" w:color="auto" w:fill="auto"/>
            <w:noWrap/>
          </w:tcPr>
          <w:p w:rsidR="00804F48" w:rsidRPr="00E31C1C" w:rsidRDefault="00804F48" w:rsidP="00804F48">
            <w:pPr>
              <w:pStyle w:val="TableTextEntries"/>
              <w:jc w:val="center"/>
              <w:rPr>
                <w:color w:val="FFFFFF" w:themeColor="background1"/>
              </w:rPr>
            </w:pPr>
          </w:p>
        </w:tc>
        <w:tc>
          <w:tcPr>
            <w:tcW w:w="388" w:type="dxa"/>
          </w:tcPr>
          <w:p w:rsidR="00804F48" w:rsidRPr="00E31C1C" w:rsidRDefault="00804F48" w:rsidP="00804F48">
            <w:pPr>
              <w:pStyle w:val="TableTextEntries"/>
              <w:jc w:val="center"/>
              <w:rPr>
                <w:color w:val="FFFFFF" w:themeColor="background1"/>
              </w:rPr>
            </w:pPr>
          </w:p>
        </w:tc>
        <w:tc>
          <w:tcPr>
            <w:tcW w:w="1021" w:type="dxa"/>
            <w:shd w:val="clear" w:color="auto" w:fill="92D050"/>
            <w:noWrap/>
          </w:tcPr>
          <w:p w:rsidR="00804F48" w:rsidRPr="00E31C1C" w:rsidRDefault="00804F48" w:rsidP="00804F48">
            <w:pPr>
              <w:pStyle w:val="TableTextEntries"/>
              <w:jc w:val="center"/>
              <w:rPr>
                <w:color w:val="FFFFFF" w:themeColor="background1"/>
              </w:rPr>
            </w:pPr>
            <w:r w:rsidRPr="00E31C1C">
              <w:rPr>
                <w:color w:val="FFFFFF" w:themeColor="background1"/>
              </w:rPr>
              <w:t>Green</w:t>
            </w:r>
          </w:p>
        </w:tc>
      </w:tr>
    </w:tbl>
    <w:p w:rsidR="00E71C4F" w:rsidRPr="00AC60AA" w:rsidRDefault="0030123B" w:rsidP="00803547">
      <w:pPr>
        <w:pStyle w:val="ListBullet"/>
        <w:numPr>
          <w:ilvl w:val="0"/>
          <w:numId w:val="0"/>
        </w:numPr>
        <w:spacing w:before="120" w:line="260" w:lineRule="exact"/>
      </w:pPr>
      <w:r>
        <w:t xml:space="preserve">While it is difficult to clearly attribute progress in </w:t>
      </w:r>
      <w:r w:rsidR="003657F1">
        <w:t>Burma’s</w:t>
      </w:r>
      <w:r>
        <w:t xml:space="preserve"> peace process to Australian support, t</w:t>
      </w:r>
      <w:r w:rsidR="00E71C4F" w:rsidRPr="00AC60AA">
        <w:t xml:space="preserve">he objective was rated green because </w:t>
      </w:r>
      <w:r w:rsidR="00E71C4F">
        <w:t xml:space="preserve">Australia’s funding </w:t>
      </w:r>
      <w:r>
        <w:t xml:space="preserve">has helped </w:t>
      </w:r>
      <w:r w:rsidR="00E71C4F">
        <w:t>increase participation and confidence in the peace process</w:t>
      </w:r>
      <w:r w:rsidR="003657F1">
        <w:t xml:space="preserve"> </w:t>
      </w:r>
      <w:r w:rsidR="00983838">
        <w:t xml:space="preserve">with </w:t>
      </w:r>
      <w:r w:rsidR="003657F1">
        <w:t>most 2013-14 PAF milestones achieved</w:t>
      </w:r>
      <w:r w:rsidR="008506CD">
        <w:t>.</w:t>
      </w:r>
      <w:r w:rsidR="003657F1">
        <w:rPr>
          <w:rStyle w:val="EndnoteReference"/>
        </w:rPr>
        <w:endnoteReference w:id="46"/>
      </w:r>
      <w:r w:rsidR="00E71C4F" w:rsidRPr="00AC60AA">
        <w:t xml:space="preserve"> 2013</w:t>
      </w:r>
      <w:r w:rsidR="008506CD">
        <w:noBreakHyphen/>
        <w:t>1</w:t>
      </w:r>
      <w:r w:rsidR="00E71C4F" w:rsidRPr="00AC60AA">
        <w:t>4 has seen continued efforts on behalf of all parties</w:t>
      </w:r>
      <w:r w:rsidR="00227A7B">
        <w:t xml:space="preserve"> (the Myanmar G</w:t>
      </w:r>
      <w:r w:rsidR="00E71C4F">
        <w:t>overnment and ethnic armed groups)</w:t>
      </w:r>
      <w:r w:rsidR="00E71C4F" w:rsidRPr="00AC60AA">
        <w:t xml:space="preserve"> to reach a </w:t>
      </w:r>
      <w:r w:rsidR="00E71C4F">
        <w:t>Nationwide C</w:t>
      </w:r>
      <w:r w:rsidR="00E71C4F" w:rsidRPr="00AC60AA">
        <w:t xml:space="preserve">easefire </w:t>
      </w:r>
      <w:r w:rsidR="00E71C4F">
        <w:t>A</w:t>
      </w:r>
      <w:r w:rsidR="00E71C4F" w:rsidRPr="00AC60AA">
        <w:t>greement. Since the previous reporting period</w:t>
      </w:r>
      <w:r w:rsidR="00983838">
        <w:t>,</w:t>
      </w:r>
      <w:r w:rsidR="00E71C4F" w:rsidRPr="00AC60AA">
        <w:t xml:space="preserve"> ceasefire discussions have evolved from bilateral discussions </w:t>
      </w:r>
      <w:r w:rsidR="00E71C4F">
        <w:t xml:space="preserve">with </w:t>
      </w:r>
      <w:r w:rsidR="00E71C4F" w:rsidRPr="00AC60AA">
        <w:t xml:space="preserve">individual armed groups </w:t>
      </w:r>
      <w:r w:rsidR="00983838">
        <w:t>to</w:t>
      </w:r>
      <w:r w:rsidR="00983838" w:rsidRPr="00AC60AA">
        <w:t xml:space="preserve"> </w:t>
      </w:r>
      <w:r w:rsidR="00E71C4F" w:rsidRPr="00AC60AA">
        <w:t>a period of sustained</w:t>
      </w:r>
      <w:r w:rsidR="00E71C4F">
        <w:t>, increasingly formalised</w:t>
      </w:r>
      <w:r w:rsidR="00E71C4F" w:rsidRPr="00AC60AA">
        <w:t xml:space="preserve"> negotiation</w:t>
      </w:r>
      <w:r w:rsidR="00E71C4F">
        <w:t>s</w:t>
      </w:r>
      <w:r w:rsidR="00E71C4F" w:rsidRPr="00AC60AA">
        <w:t xml:space="preserve"> between the Myanmar Government and ethnic armed groups collectively</w:t>
      </w:r>
      <w:r w:rsidR="00E71C4F">
        <w:t>.</w:t>
      </w:r>
    </w:p>
    <w:p w:rsidR="0030123B" w:rsidRPr="00AC60AA" w:rsidRDefault="00E71C4F" w:rsidP="00803547">
      <w:pPr>
        <w:pStyle w:val="ListBullet"/>
        <w:numPr>
          <w:ilvl w:val="0"/>
          <w:numId w:val="0"/>
        </w:numPr>
        <w:spacing w:line="260" w:lineRule="exact"/>
      </w:pPr>
      <w:r w:rsidRPr="00AC60AA">
        <w:t>In a positive development, 2013-14 has also seen growing involvement from the Tatmadaw (Burmese military) in the negotiation process. In July 2014, parties agreed a third draft of the Nationwide Ceasefire Agreement text and continue to work towards finalising the agreement before the 2015 national elections in Burma. While recent progress has been positive, the peace process remains fragile</w:t>
      </w:r>
      <w:r w:rsidR="00983838">
        <w:t xml:space="preserve"> with</w:t>
      </w:r>
      <w:r w:rsidR="0030123B">
        <w:t xml:space="preserve"> a lack of accurate and credible information about conditions in conflict-affected areas. Australia is working with the World Bank and other donors to help resolve this and strengthen the evidence base for our programs. </w:t>
      </w:r>
    </w:p>
    <w:p w:rsidR="00E71C4F" w:rsidRDefault="00E71C4F" w:rsidP="00803547">
      <w:pPr>
        <w:pStyle w:val="ListBullet"/>
        <w:numPr>
          <w:ilvl w:val="0"/>
          <w:numId w:val="0"/>
        </w:numPr>
        <w:spacing w:line="260" w:lineRule="exact"/>
      </w:pPr>
      <w:r w:rsidRPr="00AC60AA">
        <w:t>Despite progress in the peace process</w:t>
      </w:r>
      <w:r w:rsidR="00242396">
        <w:t>,</w:t>
      </w:r>
      <w:r w:rsidRPr="00AC60AA">
        <w:t xml:space="preserve"> a number of humanitarian challenges remain</w:t>
      </w:r>
      <w:r>
        <w:t>, including large-scale</w:t>
      </w:r>
      <w:r w:rsidRPr="00AC60AA">
        <w:t xml:space="preserve"> displace</w:t>
      </w:r>
      <w:r>
        <w:t>ment</w:t>
      </w:r>
      <w:r w:rsidRPr="00AC60AA">
        <w:t xml:space="preserve"> as a result of conflict and sectarian violence. Periodic clashes continue to occur between </w:t>
      </w:r>
      <w:r w:rsidR="001144B2">
        <w:t xml:space="preserve">the </w:t>
      </w:r>
      <w:r w:rsidRPr="00AC60AA">
        <w:t>Tatmadaw and various armed groups in Kachin and northern Shan States</w:t>
      </w:r>
      <w:r w:rsidR="004A47B5">
        <w:t xml:space="preserve"> with</w:t>
      </w:r>
      <w:r w:rsidRPr="00AC60AA">
        <w:t xml:space="preserve"> </w:t>
      </w:r>
      <w:r w:rsidR="004A47B5">
        <w:t>m</w:t>
      </w:r>
      <w:r w:rsidRPr="00AC60AA">
        <w:t xml:space="preserve">ore than 100,000 people </w:t>
      </w:r>
      <w:r w:rsidR="004A47B5">
        <w:t>still</w:t>
      </w:r>
      <w:r w:rsidRPr="00AC60AA">
        <w:t xml:space="preserve"> displaced since the outbreak of conflict in 2011. Access to displaced people in non-government controlled areas remains difficult. </w:t>
      </w:r>
    </w:p>
    <w:p w:rsidR="00E71C4F" w:rsidRPr="00AC60AA" w:rsidRDefault="00E71C4F" w:rsidP="00803547">
      <w:pPr>
        <w:pStyle w:val="ListBullet"/>
        <w:numPr>
          <w:ilvl w:val="0"/>
          <w:numId w:val="0"/>
        </w:numPr>
        <w:spacing w:line="260" w:lineRule="exact"/>
      </w:pPr>
      <w:r w:rsidRPr="00AC60AA">
        <w:t>In Rakhine State, more than 140,000 people remain displaced following communal violence in 2012</w:t>
      </w:r>
      <w:r w:rsidR="00227A7B">
        <w:t xml:space="preserve"> and</w:t>
      </w:r>
      <w:r w:rsidRPr="00AC60AA">
        <w:t xml:space="preserve"> a number of smaller outbreaks of violence in 2013-14 that have further exacerbated humanitarian need</w:t>
      </w:r>
      <w:r w:rsidR="009B3E8C">
        <w:t>,</w:t>
      </w:r>
      <w:r>
        <w:t xml:space="preserve"> including</w:t>
      </w:r>
      <w:r w:rsidRPr="00AC60AA">
        <w:t xml:space="preserve"> targeting </w:t>
      </w:r>
      <w:r>
        <w:t xml:space="preserve">of </w:t>
      </w:r>
      <w:r w:rsidRPr="00AC60AA">
        <w:t>UN offices and international NGOs</w:t>
      </w:r>
      <w:r w:rsidR="009B3E8C">
        <w:t>,</w:t>
      </w:r>
      <w:r w:rsidRPr="00AC60AA">
        <w:t xml:space="preserve"> result</w:t>
      </w:r>
      <w:r>
        <w:t>ing</w:t>
      </w:r>
      <w:r w:rsidRPr="00AC60AA">
        <w:t xml:space="preserve"> in the destruction of property and relocation of aid workers. This violence had a significant impact on the ability of humanitarian agencies to deliver vital services and </w:t>
      </w:r>
      <w:r>
        <w:t xml:space="preserve">it </w:t>
      </w:r>
      <w:r w:rsidRPr="00AC60AA">
        <w:t>has taken months for aid efforts to return to normal scale.</w:t>
      </w:r>
      <w:r w:rsidRPr="00AC60AA">
        <w:rPr>
          <w:rStyle w:val="EndnoteReference"/>
        </w:rPr>
        <w:endnoteReference w:id="47"/>
      </w:r>
      <w:r w:rsidRPr="00AC60AA">
        <w:t xml:space="preserve"> </w:t>
      </w:r>
      <w:r w:rsidR="00227A7B">
        <w:t xml:space="preserve">Australia has </w:t>
      </w:r>
      <w:r w:rsidR="00227A7B" w:rsidRPr="00227A7B">
        <w:t xml:space="preserve">consistently raised </w:t>
      </w:r>
      <w:r w:rsidR="00227A7B">
        <w:t xml:space="preserve">concerns regarding ongoing violence </w:t>
      </w:r>
      <w:r w:rsidR="00227A7B" w:rsidRPr="00227A7B">
        <w:t>directly with the Myanmar Governm</w:t>
      </w:r>
      <w:r w:rsidR="00227A7B">
        <w:t xml:space="preserve">ent and encouraged </w:t>
      </w:r>
      <w:r w:rsidR="0030123B">
        <w:t>efforts to resolve the underlying causes of the situation.</w:t>
      </w:r>
    </w:p>
    <w:p w:rsidR="000C6063" w:rsidRDefault="00E71C4F" w:rsidP="00803547">
      <w:pPr>
        <w:pStyle w:val="ListBullet"/>
        <w:numPr>
          <w:ilvl w:val="0"/>
          <w:numId w:val="0"/>
        </w:numPr>
        <w:spacing w:line="260" w:lineRule="exact"/>
      </w:pPr>
      <w:r w:rsidRPr="00AC60AA">
        <w:t xml:space="preserve">Australia increased its humanitarian assistance </w:t>
      </w:r>
      <w:r w:rsidR="009B3E8C">
        <w:t>to</w:t>
      </w:r>
      <w:r w:rsidR="009B3E8C" w:rsidRPr="00AC60AA">
        <w:t xml:space="preserve"> </w:t>
      </w:r>
      <w:r w:rsidRPr="00AC60AA">
        <w:t xml:space="preserve">refugees along the Thai-Burma border. </w:t>
      </w:r>
      <w:r>
        <w:t xml:space="preserve">Recent </w:t>
      </w:r>
      <w:r w:rsidR="00C62751">
        <w:t>changes</w:t>
      </w:r>
      <w:r>
        <w:t xml:space="preserve"> in Burma have increased the possibility for voluntary repatriation to Burma, </w:t>
      </w:r>
      <w:r w:rsidRPr="00AC60AA">
        <w:t xml:space="preserve">but </w:t>
      </w:r>
      <w:r>
        <w:t>all parties agree</w:t>
      </w:r>
      <w:r w:rsidRPr="00AC60AA">
        <w:t xml:space="preserve"> that the time for return is not yet right.</w:t>
      </w:r>
      <w:r w:rsidRPr="00AC60AA">
        <w:rPr>
          <w:rStyle w:val="EndnoteReference"/>
        </w:rPr>
        <w:endnoteReference w:id="48"/>
      </w:r>
      <w:r w:rsidRPr="00AC60AA">
        <w:t xml:space="preserve"> Australia provides funding for essential food, shelter, health and education services. Australia support</w:t>
      </w:r>
      <w:r w:rsidR="009B3E8C">
        <w:t>s</w:t>
      </w:r>
      <w:r w:rsidRPr="00AC60AA">
        <w:t xml:space="preserve"> programs to assist refugees prepare for potential voluntary return to Burma</w:t>
      </w:r>
      <w:r>
        <w:t xml:space="preserve"> when people are ready and conditions are conducive</w:t>
      </w:r>
      <w:r w:rsidRPr="00AC60AA">
        <w:t xml:space="preserve">. This includes </w:t>
      </w:r>
      <w:r>
        <w:t xml:space="preserve">providing vocational training for skills in demand in Burma and </w:t>
      </w:r>
      <w:r w:rsidRPr="00AC60AA">
        <w:t>funding informatio</w:t>
      </w:r>
      <w:r>
        <w:t xml:space="preserve">n centres in refugee camps </w:t>
      </w:r>
      <w:r w:rsidR="009B3E8C">
        <w:t xml:space="preserve">to provide </w:t>
      </w:r>
      <w:r w:rsidRPr="00AC60AA">
        <w:t>up</w:t>
      </w:r>
      <w:r w:rsidRPr="00AC60AA">
        <w:noBreakHyphen/>
        <w:t>to</w:t>
      </w:r>
      <w:r w:rsidRPr="00AC60AA">
        <w:noBreakHyphen/>
        <w:t xml:space="preserve">date and accurate information about the peace process and conditions in Burma </w:t>
      </w:r>
      <w:r w:rsidR="009B3E8C">
        <w:t xml:space="preserve">to </w:t>
      </w:r>
      <w:r w:rsidRPr="00AC60AA">
        <w:t>inform</w:t>
      </w:r>
      <w:r>
        <w:t xml:space="preserve"> </w:t>
      </w:r>
      <w:r w:rsidR="009B3E8C">
        <w:t xml:space="preserve">people’s </w:t>
      </w:r>
      <w:r>
        <w:t>decisions about their future</w:t>
      </w:r>
      <w:r w:rsidRPr="00AC60AA">
        <w:t>.</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4</w:t>
      </w:r>
      <w:r>
        <w:rPr>
          <w:rFonts w:ascii="Helvetica" w:hAnsi="Helvetica" w:cs="Arial"/>
          <w:color w:val="007FAD"/>
          <w:kern w:val="28"/>
          <w:sz w:val="22"/>
          <w:szCs w:val="22"/>
        </w:rPr>
        <w:t>.</w:t>
      </w:r>
      <w:r w:rsidRPr="008A48C8">
        <w:rPr>
          <w:rFonts w:ascii="Helvetica" w:hAnsi="Helvetica" w:cs="Arial"/>
          <w:color w:val="007FAD"/>
          <w:kern w:val="28"/>
          <w:sz w:val="22"/>
          <w:szCs w:val="22"/>
        </w:rPr>
        <w:t>a</w:t>
      </w:r>
      <w:r>
        <w:rPr>
          <w:rFonts w:ascii="Helvetica" w:hAnsi="Helvetica" w:cs="Arial"/>
          <w:color w:val="007FAD"/>
          <w:kern w:val="28"/>
          <w:sz w:val="22"/>
          <w:szCs w:val="22"/>
        </w:rPr>
        <w:t xml:space="preserve"> and 4.b</w:t>
      </w:r>
      <w:r w:rsidRPr="008A48C8">
        <w:rPr>
          <w:rFonts w:ascii="Helvetica" w:hAnsi="Helvetica" w:cs="Arial"/>
          <w:color w:val="007FAD"/>
          <w:kern w:val="28"/>
          <w:sz w:val="22"/>
          <w:szCs w:val="22"/>
        </w:rPr>
        <w:t>: Widespread confidence that peace negotiations and political dialogue will le</w:t>
      </w:r>
      <w:r>
        <w:rPr>
          <w:rFonts w:ascii="Helvetica" w:hAnsi="Helvetica" w:cs="Arial"/>
          <w:color w:val="007FAD"/>
          <w:kern w:val="28"/>
          <w:sz w:val="22"/>
          <w:szCs w:val="22"/>
        </w:rPr>
        <w:t>ad to a lasting end to conflict; and</w:t>
      </w:r>
      <w:r w:rsidRPr="008A48C8">
        <w:rPr>
          <w:rFonts w:ascii="Helvetica" w:hAnsi="Helvetica" w:cs="Arial"/>
          <w:color w:val="007FAD"/>
          <w:kern w:val="28"/>
          <w:sz w:val="22"/>
          <w:szCs w:val="22"/>
        </w:rPr>
        <w:t xml:space="preserve"> </w:t>
      </w:r>
      <w:r w:rsidR="001144B2">
        <w:rPr>
          <w:rFonts w:ascii="Helvetica" w:hAnsi="Helvetica" w:cs="Arial"/>
          <w:color w:val="007FAD"/>
          <w:kern w:val="28"/>
          <w:sz w:val="22"/>
          <w:szCs w:val="22"/>
        </w:rPr>
        <w:t>f</w:t>
      </w:r>
      <w:r w:rsidRPr="008A48C8">
        <w:rPr>
          <w:rFonts w:ascii="Helvetica" w:hAnsi="Helvetica" w:cs="Arial"/>
          <w:color w:val="007FAD"/>
          <w:kern w:val="28"/>
          <w:sz w:val="22"/>
          <w:szCs w:val="22"/>
        </w:rPr>
        <w:t>ormal peace process continues despite major changes in domestic political environment, and pressures from group</w:t>
      </w:r>
      <w:r>
        <w:rPr>
          <w:rFonts w:ascii="Helvetica" w:hAnsi="Helvetica" w:cs="Arial"/>
          <w:color w:val="007FAD"/>
          <w:kern w:val="28"/>
          <w:sz w:val="22"/>
          <w:szCs w:val="22"/>
        </w:rPr>
        <w:t>s opposed to process</w:t>
      </w:r>
    </w:p>
    <w:p w:rsidR="00E71C4F" w:rsidRPr="00AC60AA" w:rsidRDefault="00B62992" w:rsidP="00803547">
      <w:pPr>
        <w:pStyle w:val="BodyText"/>
        <w:spacing w:after="120" w:line="260" w:lineRule="exact"/>
      </w:pPr>
      <w:r>
        <w:t>G</w:t>
      </w:r>
      <w:r w:rsidR="00E71C4F" w:rsidRPr="00AC60AA">
        <w:t>ood progress</w:t>
      </w:r>
      <w:r>
        <w:t xml:space="preserve"> was made</w:t>
      </w:r>
      <w:r w:rsidR="00E71C4F" w:rsidRPr="00AC60AA">
        <w:t xml:space="preserve"> in 2013-14 against Australian peacebuilding and humanitarian assistance objectives </w:t>
      </w:r>
      <w:r>
        <w:t>with</w:t>
      </w:r>
      <w:r w:rsidRPr="00AC60AA">
        <w:t xml:space="preserve"> </w:t>
      </w:r>
      <w:r w:rsidR="00E71C4F" w:rsidRPr="00AC60AA">
        <w:t>most major milestones reached.</w:t>
      </w:r>
      <w:r w:rsidR="00E71C4F">
        <w:t xml:space="preserve"> Whil</w:t>
      </w:r>
      <w:r>
        <w:t>e</w:t>
      </w:r>
      <w:r w:rsidR="00E71C4F">
        <w:t xml:space="preserve"> </w:t>
      </w:r>
      <w:r w:rsidR="00E71C4F" w:rsidRPr="00AC60AA">
        <w:t xml:space="preserve">Australia does not </w:t>
      </w:r>
      <w:r w:rsidR="00E71C4F">
        <w:t xml:space="preserve">directly </w:t>
      </w:r>
      <w:r w:rsidR="00E71C4F" w:rsidRPr="00AC60AA">
        <w:t xml:space="preserve">participate in the </w:t>
      </w:r>
      <w:r w:rsidR="00E71C4F">
        <w:t xml:space="preserve">peace </w:t>
      </w:r>
      <w:r w:rsidR="00E71C4F" w:rsidRPr="00AC60AA">
        <w:t>negotiations</w:t>
      </w:r>
      <w:r w:rsidR="00E71C4F">
        <w:t xml:space="preserve">, </w:t>
      </w:r>
      <w:r w:rsidR="00E71C4F" w:rsidRPr="00AC60AA">
        <w:t xml:space="preserve">our aid </w:t>
      </w:r>
      <w:r w:rsidR="0030123B">
        <w:t xml:space="preserve">aims to </w:t>
      </w:r>
      <w:r w:rsidR="00E71C4F" w:rsidRPr="00AC60AA">
        <w:t xml:space="preserve">strengthen the locally-led process. </w:t>
      </w:r>
      <w:r w:rsidR="00E71C4F" w:rsidRPr="00AC60AA">
        <w:lastRenderedPageBreak/>
        <w:t xml:space="preserve">Australian support </w:t>
      </w:r>
      <w:r w:rsidR="00E71C4F">
        <w:t>helped</w:t>
      </w:r>
      <w:r w:rsidR="00E71C4F" w:rsidRPr="00AC60AA">
        <w:t xml:space="preserve"> increase the </w:t>
      </w:r>
      <w:r w:rsidR="00E71C4F">
        <w:t>ability</w:t>
      </w:r>
      <w:r w:rsidR="00E71C4F" w:rsidRPr="00AC60AA">
        <w:t xml:space="preserve"> of the Myanmar Government and ethnic groups to engage effectively in the process</w:t>
      </w:r>
      <w:r w:rsidR="00E71C4F">
        <w:t xml:space="preserve"> by providing staffing support and training. </w:t>
      </w:r>
      <w:r w:rsidR="00E71C4F" w:rsidRPr="00AC60AA">
        <w:t>Australian advisors to the Myanmar Peace Cente</w:t>
      </w:r>
      <w:r w:rsidR="00E71C4F">
        <w:t>r</w:t>
      </w:r>
      <w:r w:rsidR="00E71C4F" w:rsidRPr="00AC60AA">
        <w:t xml:space="preserve"> and support to ethnic groups</w:t>
      </w:r>
      <w:r w:rsidR="000C6063">
        <w:t xml:space="preserve"> </w:t>
      </w:r>
      <w:r w:rsidR="009B3E8C">
        <w:t>w</w:t>
      </w:r>
      <w:r w:rsidR="00E71C4F" w:rsidRPr="00AC60AA">
        <w:t>as</w:t>
      </w:r>
      <w:r w:rsidR="00E71C4F">
        <w:t xml:space="preserve"> targeted to</w:t>
      </w:r>
      <w:r w:rsidR="00E71C4F" w:rsidRPr="00AC60AA">
        <w:t xml:space="preserve"> </w:t>
      </w:r>
      <w:r w:rsidR="00E71C4F">
        <w:t xml:space="preserve">assist parties participate and </w:t>
      </w:r>
      <w:r w:rsidR="00E71C4F" w:rsidRPr="00AC60AA">
        <w:t>articulate their negotiating positions.</w:t>
      </w:r>
    </w:p>
    <w:p w:rsidR="00E71C4F" w:rsidRPr="00AC60AA" w:rsidRDefault="00E71C4F" w:rsidP="00803547">
      <w:pPr>
        <w:pStyle w:val="BodyText"/>
        <w:spacing w:after="120" w:line="260" w:lineRule="exact"/>
      </w:pPr>
      <w:r w:rsidRPr="00AC60AA">
        <w:t>Australia has continued support for Norwegian People’s Aid</w:t>
      </w:r>
      <w:r w:rsidR="00B62992">
        <w:t xml:space="preserve"> </w:t>
      </w:r>
      <w:r w:rsidRPr="00AC60AA">
        <w:t xml:space="preserve">to expand aid into conflict-affected areas and build confidence in the peace process. The second phase </w:t>
      </w:r>
      <w:r>
        <w:t xml:space="preserve">(March 2014 – March 2015) </w:t>
      </w:r>
      <w:r w:rsidRPr="00AC60AA">
        <w:t xml:space="preserve">is designed to expand the target population and move beyond short-term humanitarian assistance, by focusing on early recovery through livelihoods and small scale development. </w:t>
      </w:r>
      <w:r>
        <w:t>Activity</w:t>
      </w:r>
      <w:r w:rsidRPr="00AC60AA">
        <w:t xml:space="preserve"> reports indicate evidence of increased engagement and improved relations between target communities, government and military authorities at the local level through informal mechanisms for dialogue</w:t>
      </w:r>
      <w:r w:rsidR="00B62992">
        <w:t xml:space="preserve"> - </w:t>
      </w:r>
      <w:r w:rsidR="0007327A">
        <w:t>an indicator of improved local confidence in the peace process.</w:t>
      </w:r>
    </w:p>
    <w:p w:rsidR="00E71C4F" w:rsidRPr="00AC60AA" w:rsidRDefault="00E71C4F" w:rsidP="00803547">
      <w:pPr>
        <w:pStyle w:val="BodyText"/>
        <w:spacing w:after="120" w:line="260" w:lineRule="exact"/>
      </w:pPr>
      <w:r w:rsidRPr="00AC60AA">
        <w:t xml:space="preserve">Australia is working with the Centre for Peace and Conflict Studies (CPCS) on a program of analytical work that will focus on monitoring perceptions, concerns, and political-conflict dynamics at the local level in ceasefire areas through periodic, qualitative data collection. The intention is to develop a rich, regularly updated snapshot of current trends in conflict-affected areas, to gauge key transformative changes such as confidence in the peace process, trust in officials and perceptions of personal security. </w:t>
      </w:r>
      <w:r w:rsidR="0007327A">
        <w:t xml:space="preserve">This information will help inform Australia’s aid to conflict-affected areas and ensure </w:t>
      </w:r>
      <w:r w:rsidR="00B62992">
        <w:t xml:space="preserve">support </w:t>
      </w:r>
      <w:r w:rsidR="0007327A">
        <w:t>is conflict sensitive.</w:t>
      </w:r>
    </w:p>
    <w:p w:rsidR="0007327A" w:rsidRPr="00AC60AA" w:rsidRDefault="00E71C4F" w:rsidP="00803547">
      <w:pPr>
        <w:pStyle w:val="BodyText"/>
        <w:spacing w:after="120" w:line="260" w:lineRule="exact"/>
      </w:pPr>
      <w:r w:rsidRPr="00AC60AA">
        <w:t>Australian aid</w:t>
      </w:r>
      <w:r>
        <w:t>, though</w:t>
      </w:r>
      <w:r w:rsidRPr="00AC60AA">
        <w:t xml:space="preserve"> the Norwegian Refugee Council</w:t>
      </w:r>
      <w:r>
        <w:t xml:space="preserve">, </w:t>
      </w:r>
      <w:r w:rsidRPr="00AC60AA">
        <w:t>has provided National Registration Cards to 13,665 people</w:t>
      </w:r>
      <w:r w:rsidRPr="00B411DE">
        <w:t xml:space="preserve"> </w:t>
      </w:r>
      <w:r w:rsidRPr="00AC60AA">
        <w:t>in southern Shan State</w:t>
      </w:r>
      <w:r>
        <w:t>, of whom 7,405 are female</w:t>
      </w:r>
      <w:r w:rsidRPr="00AC60AA">
        <w:t>.</w:t>
      </w:r>
      <w:r w:rsidRPr="00481362">
        <w:rPr>
          <w:rFonts w:eastAsia="SimSun"/>
          <w:vertAlign w:val="superscript"/>
        </w:rPr>
        <w:endnoteReference w:id="49"/>
      </w:r>
      <w:r w:rsidRPr="00AC60AA">
        <w:t xml:space="preserve"> Of these, 8,135 people received their National Registration Card for the first time – exceeding Australia’s milestone of 5,000</w:t>
      </w:r>
      <w:r>
        <w:t xml:space="preserve"> (163% of target)</w:t>
      </w:r>
      <w:r w:rsidRPr="00AC60AA">
        <w:t>. These cards will allow people to access education and health services, start businesses and vote in upcoming elections.</w:t>
      </w:r>
      <w:r w:rsidR="004A47B5">
        <w:t xml:space="preserve"> </w:t>
      </w:r>
      <w:r w:rsidR="0007327A">
        <w:t xml:space="preserve">Australian support to the Shalom Foundation aims to strengthen </w:t>
      </w:r>
      <w:r w:rsidR="004A47B5">
        <w:t xml:space="preserve">the role of </w:t>
      </w:r>
      <w:r w:rsidR="0007327A">
        <w:t>women in the peace process by providing negotiation skills training and building a network of peers to provide support and mentoring</w:t>
      </w:r>
      <w:r w:rsidR="004A47B5">
        <w:t>.</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4</w:t>
      </w:r>
      <w:r>
        <w:rPr>
          <w:rFonts w:ascii="Helvetica" w:hAnsi="Helvetica" w:cs="Arial"/>
          <w:color w:val="007FAD"/>
          <w:kern w:val="28"/>
          <w:sz w:val="22"/>
          <w:szCs w:val="22"/>
        </w:rPr>
        <w:t>.c</w:t>
      </w:r>
      <w:r w:rsidRPr="008A48C8">
        <w:rPr>
          <w:rFonts w:ascii="Helvetica" w:hAnsi="Helvetica" w:cs="Arial"/>
          <w:color w:val="007FAD"/>
          <w:kern w:val="28"/>
          <w:sz w:val="22"/>
          <w:szCs w:val="22"/>
        </w:rPr>
        <w:t>: Targeted development /humanitarian needs addressed in ceasefire areas</w:t>
      </w:r>
      <w:r>
        <w:rPr>
          <w:rFonts w:ascii="Helvetica" w:hAnsi="Helvetica" w:cs="Arial"/>
          <w:color w:val="007FAD"/>
          <w:kern w:val="28"/>
          <w:sz w:val="22"/>
          <w:szCs w:val="22"/>
        </w:rPr>
        <w:t>, without exacerbating conflict</w:t>
      </w:r>
    </w:p>
    <w:p w:rsidR="00E71C4F" w:rsidRPr="00AC60AA" w:rsidRDefault="00E71C4F" w:rsidP="00803547">
      <w:pPr>
        <w:pStyle w:val="BodyText"/>
        <w:spacing w:after="120" w:line="260" w:lineRule="exact"/>
      </w:pPr>
      <w:r w:rsidRPr="00AC60AA">
        <w:t xml:space="preserve">Australian humanitarian funding continues to provide </w:t>
      </w:r>
      <w:r w:rsidR="0007327A">
        <w:t>appropriate and effective</w:t>
      </w:r>
      <w:r w:rsidRPr="00AC60AA">
        <w:t xml:space="preserve"> assistance to people affected by conflict</w:t>
      </w:r>
      <w:r w:rsidR="004A47B5">
        <w:t xml:space="preserve"> in Burma.</w:t>
      </w:r>
      <w:r w:rsidRPr="00AC60AA">
        <w:t xml:space="preserve"> </w:t>
      </w:r>
      <w:r w:rsidR="004A47B5">
        <w:t>Australia’s assistance</w:t>
      </w:r>
      <w:r w:rsidR="0007327A">
        <w:t xml:space="preserve"> support</w:t>
      </w:r>
      <w:r w:rsidR="004A47B5">
        <w:t>s</w:t>
      </w:r>
      <w:r w:rsidR="0007327A">
        <w:t xml:space="preserve"> partners who address the needs </w:t>
      </w:r>
      <w:r w:rsidR="001F3060">
        <w:t>of the most</w:t>
      </w:r>
      <w:r w:rsidR="0007327A">
        <w:t xml:space="preserve"> affected people </w:t>
      </w:r>
      <w:r w:rsidR="001F3060">
        <w:t>by</w:t>
      </w:r>
      <w:r w:rsidR="0007327A">
        <w:t xml:space="preserve"> coordinat</w:t>
      </w:r>
      <w:r w:rsidR="001F3060">
        <w:t>ing</w:t>
      </w:r>
      <w:r w:rsidR="0007327A">
        <w:t xml:space="preserve"> efforts with other humanitarian actors</w:t>
      </w:r>
      <w:r w:rsidRPr="00AC60AA">
        <w:t>. In 2013-14, Australia provided $10 million</w:t>
      </w:r>
      <w:r w:rsidRPr="00481362">
        <w:rPr>
          <w:rFonts w:eastAsia="SimSun"/>
          <w:vertAlign w:val="superscript"/>
        </w:rPr>
        <w:endnoteReference w:id="50"/>
      </w:r>
      <w:r w:rsidRPr="00AC60AA">
        <w:t xml:space="preserve"> in humanitarian assistance in Burma, including:</w:t>
      </w:r>
      <w:r>
        <w:t xml:space="preserve"> </w:t>
      </w:r>
      <w:r w:rsidRPr="00AC60AA">
        <w:t>$5 million to the World Food Programme to help provide emergency food assistance</w:t>
      </w:r>
      <w:r>
        <w:t xml:space="preserve"> to</w:t>
      </w:r>
      <w:r w:rsidRPr="00AC60AA">
        <w:t xml:space="preserve"> 1.3 million people across the country</w:t>
      </w:r>
      <w:r w:rsidRPr="00481362">
        <w:rPr>
          <w:rFonts w:eastAsia="SimSun"/>
          <w:vertAlign w:val="superscript"/>
        </w:rPr>
        <w:endnoteReference w:id="51"/>
      </w:r>
      <w:r>
        <w:t xml:space="preserve">; </w:t>
      </w:r>
      <w:r w:rsidRPr="00AC60AA">
        <w:t xml:space="preserve">$2 million to the UN Office for the Coordination of Humanitarian Affairs Emergency Response Fund to </w:t>
      </w:r>
      <w:r w:rsidR="0007327A">
        <w:t>support a coordinated approach to humanitarian preparedness and response</w:t>
      </w:r>
      <w:r>
        <w:t xml:space="preserve">; </w:t>
      </w:r>
      <w:r w:rsidRPr="00AC60AA">
        <w:t>$1.7 million to Save the Children to provide education and child protection programs for 21,000 displaced people in Rakhine State</w:t>
      </w:r>
      <w:r w:rsidRPr="00481362">
        <w:rPr>
          <w:rFonts w:eastAsia="SimSun"/>
          <w:vertAlign w:val="superscript"/>
        </w:rPr>
        <w:endnoteReference w:id="52"/>
      </w:r>
      <w:r>
        <w:t xml:space="preserve">; and </w:t>
      </w:r>
      <w:r w:rsidRPr="00AC60AA">
        <w:t>$1.3 million to Oxfam to provide clean water, sanitation and emergency food for 16,249 displaced people in Kachin State</w:t>
      </w:r>
      <w:r w:rsidR="00762C56">
        <w:t>.</w:t>
      </w:r>
      <w:r w:rsidRPr="00481362">
        <w:rPr>
          <w:rFonts w:eastAsia="SimSun"/>
          <w:vertAlign w:val="superscript"/>
        </w:rPr>
        <w:endnoteReference w:id="53"/>
      </w:r>
      <w:r>
        <w:t xml:space="preserve"> Funding for these activities was provided late in June 2014 and implementation will be rolled out in 2014-15.</w:t>
      </w:r>
    </w:p>
    <w:p w:rsidR="00E71C4F" w:rsidRDefault="00E71C4F" w:rsidP="00803547">
      <w:pPr>
        <w:pStyle w:val="BodyText"/>
        <w:spacing w:after="120" w:line="260" w:lineRule="exact"/>
      </w:pPr>
      <w:r w:rsidRPr="00AC60AA">
        <w:t xml:space="preserve">Australia increased funding for </w:t>
      </w:r>
      <w:r>
        <w:t xml:space="preserve">the </w:t>
      </w:r>
      <w:r w:rsidRPr="00AC60AA">
        <w:t xml:space="preserve">120,000 </w:t>
      </w:r>
      <w:r w:rsidR="00E53B09">
        <w:t>long-term</w:t>
      </w:r>
      <w:r w:rsidR="00E53B09">
        <w:rPr>
          <w:rStyle w:val="EndnoteReference"/>
        </w:rPr>
        <w:endnoteReference w:id="54"/>
      </w:r>
      <w:r w:rsidR="00E53B09">
        <w:t xml:space="preserve"> </w:t>
      </w:r>
      <w:r w:rsidRPr="00AC60AA">
        <w:t xml:space="preserve">refugees from Burma </w:t>
      </w:r>
      <w:r>
        <w:t xml:space="preserve">living </w:t>
      </w:r>
      <w:r w:rsidRPr="00AC60AA">
        <w:t xml:space="preserve">in </w:t>
      </w:r>
      <w:r>
        <w:t xml:space="preserve">camps in </w:t>
      </w:r>
      <w:r w:rsidRPr="00AC60AA">
        <w:t>Thailand to $4 million for food, shelter, health and education services</w:t>
      </w:r>
      <w:r>
        <w:t xml:space="preserve"> and vocational training</w:t>
      </w:r>
      <w:r w:rsidRPr="00AC60AA">
        <w:t xml:space="preserve">. This funding </w:t>
      </w:r>
      <w:r>
        <w:t>included the provision of</w:t>
      </w:r>
      <w:r w:rsidRPr="00AC60AA">
        <w:t xml:space="preserve"> food assistance and shelter to </w:t>
      </w:r>
      <w:r w:rsidRPr="0014368E">
        <w:t>8,400 refugees</w:t>
      </w:r>
      <w:r w:rsidRPr="0014368E">
        <w:rPr>
          <w:rStyle w:val="EndnoteReference"/>
        </w:rPr>
        <w:endnoteReference w:id="55"/>
      </w:r>
      <w:r w:rsidRPr="0014368E">
        <w:t xml:space="preserve"> </w:t>
      </w:r>
      <w:r>
        <w:t>(</w:t>
      </w:r>
      <w:r w:rsidRPr="0014368E">
        <w:t>50.5% female) (</w:t>
      </w:r>
      <w:r>
        <w:t xml:space="preserve">100% of target) </w:t>
      </w:r>
      <w:r w:rsidRPr="0014368E">
        <w:t>and the design of a community</w:t>
      </w:r>
      <w:r w:rsidRPr="0014368E">
        <w:noBreakHyphen/>
        <w:t>managed ration targeting system to ensure the most</w:t>
      </w:r>
      <w:r w:rsidRPr="00AC60AA">
        <w:t xml:space="preserve"> vulnerable households receive support</w:t>
      </w:r>
      <w:r w:rsidR="00762C56">
        <w:t>.</w:t>
      </w:r>
      <w:r w:rsidRPr="00481362">
        <w:rPr>
          <w:rFonts w:eastAsia="SimSun"/>
          <w:vertAlign w:val="superscript"/>
        </w:rPr>
        <w:endnoteReference w:id="56"/>
      </w:r>
      <w:r w:rsidR="00E53B09">
        <w:t xml:space="preserve"> S</w:t>
      </w:r>
      <w:r>
        <w:t xml:space="preserve">tunting </w:t>
      </w:r>
      <w:r w:rsidR="00E53B09">
        <w:t xml:space="preserve">in the camps </w:t>
      </w:r>
      <w:r>
        <w:t>remains high</w:t>
      </w:r>
      <w:r w:rsidR="00E53B09">
        <w:t xml:space="preserve"> and</w:t>
      </w:r>
      <w:r>
        <w:t xml:space="preserve"> </w:t>
      </w:r>
      <w:r w:rsidR="00E53B09">
        <w:t>f</w:t>
      </w:r>
      <w:r w:rsidRPr="00180B3A">
        <w:t>urther work is required to analyse the causes in 2014</w:t>
      </w:r>
      <w:r>
        <w:noBreakHyphen/>
      </w:r>
      <w:r w:rsidRPr="00180B3A">
        <w:t>15</w:t>
      </w:r>
      <w:r w:rsidR="00E53B09">
        <w:t xml:space="preserve"> </w:t>
      </w:r>
      <w:r w:rsidR="00E53B09" w:rsidRPr="00E53B09">
        <w:rPr>
          <w:noProof/>
        </w:rPr>
        <w:t xml:space="preserve">so food and nutrition responses </w:t>
      </w:r>
      <w:r w:rsidR="00F22906">
        <w:rPr>
          <w:noProof/>
        </w:rPr>
        <w:t>can</w:t>
      </w:r>
      <w:r w:rsidR="00F22906" w:rsidRPr="00E53B09">
        <w:rPr>
          <w:noProof/>
        </w:rPr>
        <w:t xml:space="preserve"> </w:t>
      </w:r>
      <w:r w:rsidR="00E53B09" w:rsidRPr="00E53B09">
        <w:rPr>
          <w:noProof/>
        </w:rPr>
        <w:t>be better targeted</w:t>
      </w:r>
      <w:r w:rsidRPr="00180B3A">
        <w:t>.</w:t>
      </w:r>
      <w:r w:rsidR="00E53B09">
        <w:t xml:space="preserve"> Australia</w:t>
      </w:r>
      <w:r>
        <w:t xml:space="preserve"> provided a</w:t>
      </w:r>
      <w:r w:rsidRPr="00AC60AA">
        <w:t xml:space="preserve">ccess to quality basic health services for </w:t>
      </w:r>
      <w:r>
        <w:t>13</w:t>
      </w:r>
      <w:r w:rsidRPr="00AC60AA">
        <w:t>,</w:t>
      </w:r>
      <w:r>
        <w:t>440</w:t>
      </w:r>
      <w:r w:rsidRPr="00AC60AA">
        <w:t xml:space="preserve"> refugees</w:t>
      </w:r>
      <w:r w:rsidRPr="00481362">
        <w:rPr>
          <w:rFonts w:eastAsia="SimSun"/>
          <w:vertAlign w:val="superscript"/>
        </w:rPr>
        <w:endnoteReference w:id="57"/>
      </w:r>
      <w:r>
        <w:t xml:space="preserve"> (100% of target) delivered by the International Rescue Committee and </w:t>
      </w:r>
      <w:r w:rsidRPr="00CA205F">
        <w:t>Première Urgence - Aide Médicale Internationale</w:t>
      </w:r>
      <w:r>
        <w:t>. An independent evaluation found IRC’s health services to be a model of good practice in refugee (overcrowded) contexts.</w:t>
      </w:r>
      <w:r w:rsidRPr="00481362">
        <w:rPr>
          <w:rFonts w:eastAsia="SimSun"/>
          <w:vertAlign w:val="superscript"/>
        </w:rPr>
        <w:endnoteReference w:id="58"/>
      </w:r>
      <w:r>
        <w:t>Australia’s support p</w:t>
      </w:r>
      <w:r w:rsidRPr="00AC60AA">
        <w:t>rovi</w:t>
      </w:r>
      <w:r>
        <w:t>ded</w:t>
      </w:r>
      <w:r w:rsidRPr="00AC60AA">
        <w:t xml:space="preserve"> basic education to </w:t>
      </w:r>
      <w:r>
        <w:t>8,100</w:t>
      </w:r>
      <w:r w:rsidRPr="00AC60AA">
        <w:t xml:space="preserve"> children</w:t>
      </w:r>
      <w:r>
        <w:rPr>
          <w:rStyle w:val="EndnoteReference"/>
        </w:rPr>
        <w:endnoteReference w:id="59"/>
      </w:r>
      <w:r>
        <w:t xml:space="preserve"> (100% of target)</w:t>
      </w:r>
      <w:r w:rsidRPr="00AC60AA">
        <w:t xml:space="preserve"> in seven camps and supported efforts to ensure that the qualifications of teachers and learning of children is recognised by the Myanmar </w:t>
      </w:r>
      <w:r w:rsidRPr="00AC60AA">
        <w:lastRenderedPageBreak/>
        <w:t>Government</w:t>
      </w:r>
      <w:r w:rsidR="00605B64">
        <w:t>.</w:t>
      </w:r>
      <w:r w:rsidRPr="00481362">
        <w:rPr>
          <w:rFonts w:eastAsia="SimSun"/>
          <w:vertAlign w:val="superscript"/>
        </w:rPr>
        <w:endnoteReference w:id="60"/>
      </w:r>
      <w:r>
        <w:t xml:space="preserve"> Over </w:t>
      </w:r>
      <w:r w:rsidRPr="00AC60AA">
        <w:t>3,</w:t>
      </w:r>
      <w:r>
        <w:t>700</w:t>
      </w:r>
      <w:r w:rsidRPr="00AC60AA">
        <w:t xml:space="preserve"> refugees (</w:t>
      </w:r>
      <w:r>
        <w:t>62% female</w:t>
      </w:r>
      <w:r w:rsidRPr="00AC60AA">
        <w:t>)</w:t>
      </w:r>
      <w:r>
        <w:t xml:space="preserve"> (205</w:t>
      </w:r>
      <w:r w:rsidRPr="003152F7">
        <w:t>% of target</w:t>
      </w:r>
      <w:r>
        <w:t>)</w:t>
      </w:r>
      <w:r w:rsidRPr="00AC60AA">
        <w:t xml:space="preserve"> </w:t>
      </w:r>
      <w:r>
        <w:t xml:space="preserve">were </w:t>
      </w:r>
      <w:r w:rsidRPr="00AC60AA">
        <w:t>trained in vocational skills</w:t>
      </w:r>
      <w:r w:rsidRPr="00481362">
        <w:rPr>
          <w:rFonts w:eastAsia="SimSun"/>
          <w:vertAlign w:val="superscript"/>
        </w:rPr>
        <w:endnoteReference w:id="61"/>
      </w:r>
      <w:r w:rsidRPr="00481362">
        <w:rPr>
          <w:rStyle w:val="EndnoteReference"/>
        </w:rPr>
        <w:t>.</w:t>
      </w:r>
      <w:r w:rsidR="00626893">
        <w:t>and the</w:t>
      </w:r>
      <w:r>
        <w:t xml:space="preserve"> Myanmar Government </w:t>
      </w:r>
      <w:r w:rsidR="00F22906">
        <w:t>has</w:t>
      </w:r>
      <w:r>
        <w:t xml:space="preserve"> agreed in principle to recognise the vocational training qualification of refugees. Australia’s support </w:t>
      </w:r>
      <w:r w:rsidR="00F22906">
        <w:t xml:space="preserve">also </w:t>
      </w:r>
      <w:r>
        <w:t>i</w:t>
      </w:r>
      <w:r w:rsidRPr="00AC60AA">
        <w:t>mproved refuge</w:t>
      </w:r>
      <w:r>
        <w:t>e committee election guidelines,</w:t>
      </w:r>
      <w:r w:rsidRPr="00AC60AA">
        <w:t xml:space="preserve"> </w:t>
      </w:r>
      <w:r>
        <w:t>and increased</w:t>
      </w:r>
      <w:r w:rsidRPr="00AC60AA">
        <w:t xml:space="preserve"> women’s refugee committee representation participation in camp management</w:t>
      </w:r>
      <w:r w:rsidR="00605B64">
        <w:t>.</w:t>
      </w:r>
      <w:r w:rsidRPr="00AC60AA">
        <w:rPr>
          <w:rStyle w:val="EndnoteReference"/>
        </w:rPr>
        <w:endnoteReference w:id="62"/>
      </w:r>
    </w:p>
    <w:p w:rsidR="0007327A" w:rsidRDefault="0007327A" w:rsidP="00803547">
      <w:pPr>
        <w:pStyle w:val="BodyText"/>
        <w:spacing w:after="120" w:line="260" w:lineRule="exact"/>
      </w:pPr>
      <w:r w:rsidRPr="00682755">
        <w:t>Burma has been identified as a priority country for Australian Civilian Corps (ACC) support. In 2013-14 four ACC deployments supported humanitarian objectives in Burma.</w:t>
      </w:r>
      <w:r>
        <w:t xml:space="preserve"> </w:t>
      </w:r>
      <w:r w:rsidR="00BD2BCF">
        <w:t>Through UNHCR, UNICEF and UNFPA, t</w:t>
      </w:r>
      <w:r>
        <w:t>h</w:t>
      </w:r>
      <w:r w:rsidR="00BD2BCF">
        <w:t>e</w:t>
      </w:r>
      <w:r w:rsidR="00874FDB">
        <w:t>s</w:t>
      </w:r>
      <w:r w:rsidR="00BD2BCF">
        <w:t>e deployments</w:t>
      </w:r>
      <w:r>
        <w:t xml:space="preserve"> include</w:t>
      </w:r>
      <w:r w:rsidR="00BD2BCF">
        <w:t>d</w:t>
      </w:r>
      <w:r w:rsidR="00874FDB">
        <w:t xml:space="preserve"> </w:t>
      </w:r>
      <w:r w:rsidRPr="00682755">
        <w:t>support</w:t>
      </w:r>
      <w:r w:rsidR="00BD2BCF">
        <w:t xml:space="preserve"> for</w:t>
      </w:r>
      <w:r w:rsidR="00874FDB">
        <w:t xml:space="preserve"> </w:t>
      </w:r>
      <w:r w:rsidRPr="00682755">
        <w:t>internally displaced persons camp coordination,</w:t>
      </w:r>
      <w:r w:rsidR="00BD2BCF">
        <w:t xml:space="preserve"> child protection, addressing sexual and gender-based violence,</w:t>
      </w:r>
      <w:r w:rsidRPr="00682755">
        <w:t xml:space="preserve"> water, sanitation and hygiene monitoring,</w:t>
      </w:r>
      <w:r w:rsidR="00BD2BCF">
        <w:t xml:space="preserve"> and women, peace and security issues</w:t>
      </w:r>
      <w:r w:rsidRPr="00682755">
        <w:t>.</w:t>
      </w:r>
    </w:p>
    <w:p w:rsidR="00E71C4F" w:rsidRDefault="00E71C4F" w:rsidP="001E1DBF">
      <w:pPr>
        <w:pStyle w:val="ListBullet"/>
        <w:numPr>
          <w:ilvl w:val="0"/>
          <w:numId w:val="0"/>
        </w:numPr>
        <w:spacing w:before="24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Governance</w:t>
      </w:r>
    </w:p>
    <w:tbl>
      <w:tblPr>
        <w:tblStyle w:val="APPR"/>
        <w:tblW w:w="5000" w:type="pct"/>
        <w:tblLook w:val="0000" w:firstRow="0" w:lastRow="0" w:firstColumn="0" w:lastColumn="0" w:noHBand="0" w:noVBand="0"/>
      </w:tblPr>
      <w:tblGrid>
        <w:gridCol w:w="6234"/>
        <w:gridCol w:w="1026"/>
        <w:gridCol w:w="426"/>
        <w:gridCol w:w="1091"/>
      </w:tblGrid>
      <w:tr w:rsidR="001E1DBF" w:rsidRPr="009D53C4" w:rsidTr="001E1DBF">
        <w:trPr>
          <w:cnfStyle w:val="000000010000" w:firstRow="0" w:lastRow="0" w:firstColumn="0" w:lastColumn="0" w:oddVBand="0" w:evenVBand="0" w:oddHBand="0" w:evenHBand="1" w:firstRowFirstColumn="0" w:firstRowLastColumn="0" w:lastRowFirstColumn="0" w:lastRowLastColumn="0"/>
        </w:trPr>
        <w:tc>
          <w:tcPr>
            <w:tcW w:w="6029" w:type="dxa"/>
          </w:tcPr>
          <w:p w:rsidR="001E1DBF" w:rsidRPr="00290A94" w:rsidRDefault="001E1DBF" w:rsidP="00B41512">
            <w:pPr>
              <w:pStyle w:val="TableTextEntries"/>
            </w:pPr>
            <w:r>
              <w:t xml:space="preserve">OBJECTIVE </w:t>
            </w:r>
            <w:r w:rsidRPr="00290A94">
              <w:t>5. SUPPORTING REFORM AND IMPROVED GOVERNANCE</w:t>
            </w:r>
          </w:p>
        </w:tc>
        <w:tc>
          <w:tcPr>
            <w:tcW w:w="972" w:type="dxa"/>
            <w:shd w:val="clear" w:color="auto" w:fill="auto"/>
            <w:noWrap/>
          </w:tcPr>
          <w:p w:rsidR="001E1DBF" w:rsidRPr="00443639" w:rsidRDefault="001E1DBF" w:rsidP="00B41512">
            <w:pPr>
              <w:pStyle w:val="TableTextEntries"/>
              <w:jc w:val="center"/>
              <w:rPr>
                <w:color w:val="FFFFFF" w:themeColor="background1"/>
              </w:rPr>
            </w:pPr>
          </w:p>
        </w:tc>
        <w:tc>
          <w:tcPr>
            <w:tcW w:w="388" w:type="dxa"/>
          </w:tcPr>
          <w:p w:rsidR="001E1DBF" w:rsidRPr="00443639" w:rsidRDefault="001E1DBF" w:rsidP="00B41512">
            <w:pPr>
              <w:pStyle w:val="TableTextEntries"/>
              <w:jc w:val="center"/>
              <w:rPr>
                <w:color w:val="FFFFFF" w:themeColor="background1"/>
              </w:rPr>
            </w:pPr>
          </w:p>
        </w:tc>
        <w:tc>
          <w:tcPr>
            <w:tcW w:w="1021" w:type="dxa"/>
            <w:shd w:val="clear" w:color="auto" w:fill="92D050"/>
            <w:noWrap/>
          </w:tcPr>
          <w:p w:rsidR="001E1DBF" w:rsidRPr="00443639" w:rsidRDefault="001E1DBF" w:rsidP="00B41512">
            <w:pPr>
              <w:pStyle w:val="TableTextEntries"/>
              <w:jc w:val="center"/>
              <w:rPr>
                <w:color w:val="FFFFFF" w:themeColor="background1"/>
              </w:rPr>
            </w:pPr>
            <w:r>
              <w:rPr>
                <w:color w:val="FFFFFF" w:themeColor="background1"/>
              </w:rPr>
              <w:t>Green</w:t>
            </w:r>
          </w:p>
        </w:tc>
      </w:tr>
    </w:tbl>
    <w:p w:rsidR="00A01926" w:rsidRDefault="00E71C4F" w:rsidP="00803547">
      <w:pPr>
        <w:pStyle w:val="ListBullet"/>
        <w:numPr>
          <w:ilvl w:val="0"/>
          <w:numId w:val="0"/>
        </w:numPr>
        <w:spacing w:before="120" w:line="260" w:lineRule="exact"/>
      </w:pPr>
      <w:r w:rsidRPr="00FC6C31">
        <w:t xml:space="preserve">Australia’s progress against its </w:t>
      </w:r>
      <w:r>
        <w:t xml:space="preserve">reform and </w:t>
      </w:r>
      <w:r w:rsidRPr="00FC6C31">
        <w:t xml:space="preserve">governance objective is rated </w:t>
      </w:r>
      <w:r w:rsidR="00A01926">
        <w:t>green</w:t>
      </w:r>
      <w:r w:rsidR="00DD5419">
        <w:t xml:space="preserve"> in light of the Myanmar Government’s progress in advancing major reforms</w:t>
      </w:r>
      <w:r w:rsidR="00A01926">
        <w:t xml:space="preserve"> </w:t>
      </w:r>
      <w:r w:rsidR="00DD5419">
        <w:t>w</w:t>
      </w:r>
      <w:r w:rsidR="00A01926">
        <w:t>ith Australia’s support</w:t>
      </w:r>
      <w:r w:rsidR="00DD5419">
        <w:t xml:space="preserve">. </w:t>
      </w:r>
      <w:r w:rsidR="00626893">
        <w:t>P</w:t>
      </w:r>
      <w:r w:rsidR="00A01926">
        <w:t xml:space="preserve">rogress </w:t>
      </w:r>
      <w:r w:rsidR="00DB60F0">
        <w:t xml:space="preserve">against </w:t>
      </w:r>
      <w:r w:rsidR="00606707">
        <w:t>relevant</w:t>
      </w:r>
      <w:r w:rsidR="00A01926">
        <w:t xml:space="preserve"> PAF milestones</w:t>
      </w:r>
      <w:r w:rsidR="00A01926">
        <w:rPr>
          <w:rStyle w:val="EndnoteReference"/>
        </w:rPr>
        <w:endnoteReference w:id="63"/>
      </w:r>
      <w:r w:rsidR="00A01926">
        <w:t xml:space="preserve"> has been achieved: census data has been collected</w:t>
      </w:r>
      <w:r w:rsidR="00762EBA">
        <w:t>;</w:t>
      </w:r>
      <w:r w:rsidR="00A01926">
        <w:t xml:space="preserve"> a conflict-sensitive strategy for data dissemination is almost complete; a clearer consensus has been established across government and with donors on major public financial management reforms</w:t>
      </w:r>
      <w:r w:rsidR="00762EBA">
        <w:t>;</w:t>
      </w:r>
      <w:r w:rsidR="00A01926">
        <w:t xml:space="preserve"> and </w:t>
      </w:r>
      <w:r w:rsidR="00806E51">
        <w:t>the Myanmar</w:t>
      </w:r>
      <w:r w:rsidR="00A01926">
        <w:t xml:space="preserve"> Government has advanced the development and delivery of its agenda for the ASEAN economic pillar.</w:t>
      </w:r>
    </w:p>
    <w:p w:rsidR="00E71C4F" w:rsidRDefault="00E71C4F" w:rsidP="00803547">
      <w:pPr>
        <w:pStyle w:val="ListBullet"/>
        <w:numPr>
          <w:ilvl w:val="0"/>
          <w:numId w:val="0"/>
        </w:numPr>
        <w:spacing w:line="260" w:lineRule="exact"/>
      </w:pPr>
      <w:r>
        <w:t>G</w:t>
      </w:r>
      <w:r w:rsidRPr="004057E0">
        <w:t>iven</w:t>
      </w:r>
      <w:r>
        <w:t xml:space="preserve"> Burma’s</w:t>
      </w:r>
      <w:r w:rsidRPr="004057E0">
        <w:t xml:space="preserve"> fluid operating context</w:t>
      </w:r>
      <w:r>
        <w:t>, Australia adopted a flexible and responsive approach t</w:t>
      </w:r>
      <w:r w:rsidR="00A01926">
        <w:t>o</w:t>
      </w:r>
      <w:r>
        <w:t xml:space="preserve"> support Burma’s immediate reform priorities while undertaking analysis and establishing critical partnerships to lay the foundation for a longer-term program.</w:t>
      </w:r>
      <w:r w:rsidR="00A01926">
        <w:t xml:space="preserve"> While this approach was relevant at the time of design, it has resulted in program fragmentation</w:t>
      </w:r>
      <w:r w:rsidR="00A01926">
        <w:rPr>
          <w:rStyle w:val="EndnoteReference"/>
        </w:rPr>
        <w:endnoteReference w:id="64"/>
      </w:r>
      <w:r w:rsidR="00A01926">
        <w:t xml:space="preserve"> with subsequent resource implications and challenges in ensuring quality monitoring and evaluation (M&amp;E). Gender equality, in particular, is not sufficiently reflected in program objectives or M&amp;E systems</w:t>
      </w:r>
      <w:r w:rsidR="00087ABB">
        <w:t>.</w:t>
      </w:r>
      <w:r w:rsidR="00A01926">
        <w:t xml:space="preserve"> </w:t>
      </w:r>
      <w:r w:rsidR="00626893">
        <w:t>TA</w:t>
      </w:r>
      <w:r w:rsidR="00A01926">
        <w:t xml:space="preserve"> political-economy assessment and review </w:t>
      </w:r>
      <w:r w:rsidR="00626893">
        <w:t xml:space="preserve">of </w:t>
      </w:r>
      <w:r w:rsidR="00A01926">
        <w:t xml:space="preserve">the program’s objectives, approach and focus </w:t>
      </w:r>
      <w:r w:rsidR="00626893">
        <w:t xml:space="preserve">will be undertaken </w:t>
      </w:r>
      <w:r w:rsidR="00A01926">
        <w:t>in September 2014, to identify reform</w:t>
      </w:r>
      <w:r w:rsidR="00606707">
        <w:t xml:space="preserve"> areas in line with </w:t>
      </w:r>
      <w:r w:rsidR="00A01926">
        <w:t>Australia’s new aid policy.</w:t>
      </w:r>
    </w:p>
    <w:p w:rsidR="00E71C4F" w:rsidRPr="008A48C8" w:rsidRDefault="00E71C4F" w:rsidP="00803547">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5</w:t>
      </w:r>
      <w:r>
        <w:rPr>
          <w:rFonts w:ascii="Helvetica" w:hAnsi="Helvetica" w:cs="Arial"/>
          <w:color w:val="007FAD"/>
          <w:kern w:val="28"/>
          <w:sz w:val="22"/>
          <w:szCs w:val="22"/>
        </w:rPr>
        <w:t>.</w:t>
      </w:r>
      <w:r w:rsidRPr="008A48C8">
        <w:rPr>
          <w:rFonts w:ascii="Helvetica" w:hAnsi="Helvetica" w:cs="Arial"/>
          <w:color w:val="007FAD"/>
          <w:kern w:val="28"/>
          <w:sz w:val="22"/>
          <w:szCs w:val="22"/>
        </w:rPr>
        <w:t>a</w:t>
      </w:r>
      <w:r>
        <w:rPr>
          <w:rFonts w:ascii="Helvetica" w:hAnsi="Helvetica" w:cs="Arial"/>
          <w:color w:val="007FAD"/>
          <w:kern w:val="28"/>
          <w:sz w:val="22"/>
          <w:szCs w:val="22"/>
        </w:rPr>
        <w:t xml:space="preserve"> and 5.b</w:t>
      </w:r>
      <w:r w:rsidRPr="008A48C8">
        <w:rPr>
          <w:rFonts w:ascii="Helvetica" w:hAnsi="Helvetica" w:cs="Arial"/>
          <w:color w:val="007FAD"/>
          <w:kern w:val="28"/>
          <w:sz w:val="22"/>
          <w:szCs w:val="22"/>
        </w:rPr>
        <w:t xml:space="preserve">: Reform momentum in </w:t>
      </w:r>
      <w:r>
        <w:rPr>
          <w:rFonts w:ascii="Helvetica" w:hAnsi="Helvetica" w:cs="Arial"/>
          <w:color w:val="007FAD"/>
          <w:kern w:val="28"/>
          <w:sz w:val="22"/>
          <w:szCs w:val="22"/>
        </w:rPr>
        <w:t>Burma</w:t>
      </w:r>
      <w:r w:rsidRPr="008A48C8">
        <w:rPr>
          <w:rFonts w:ascii="Helvetica" w:hAnsi="Helvetica" w:cs="Arial"/>
          <w:color w:val="007FAD"/>
          <w:kern w:val="28"/>
          <w:sz w:val="22"/>
          <w:szCs w:val="22"/>
        </w:rPr>
        <w:t xml:space="preserve"> has been sustained or accelerated</w:t>
      </w:r>
      <w:r>
        <w:rPr>
          <w:rFonts w:ascii="Helvetica" w:hAnsi="Helvetica" w:cs="Arial"/>
          <w:color w:val="007FAD"/>
          <w:kern w:val="28"/>
          <w:sz w:val="22"/>
          <w:szCs w:val="22"/>
        </w:rPr>
        <w:t>;</w:t>
      </w:r>
      <w:r w:rsidRPr="008A48C8">
        <w:rPr>
          <w:rFonts w:ascii="Helvetica" w:hAnsi="Helvetica" w:cs="Arial"/>
          <w:color w:val="007FAD"/>
          <w:kern w:val="28"/>
          <w:sz w:val="22"/>
          <w:szCs w:val="22"/>
        </w:rPr>
        <w:t xml:space="preserve"> and </w:t>
      </w:r>
      <w:r w:rsidR="001144B2">
        <w:rPr>
          <w:rFonts w:ascii="Helvetica" w:hAnsi="Helvetica" w:cs="Arial"/>
          <w:color w:val="007FAD"/>
          <w:kern w:val="28"/>
          <w:sz w:val="22"/>
          <w:szCs w:val="22"/>
        </w:rPr>
        <w:t>r</w:t>
      </w:r>
      <w:r w:rsidRPr="008A48C8">
        <w:rPr>
          <w:rFonts w:ascii="Helvetica" w:hAnsi="Helvetica" w:cs="Arial"/>
          <w:color w:val="007FAD"/>
          <w:kern w:val="28"/>
          <w:sz w:val="22"/>
          <w:szCs w:val="22"/>
        </w:rPr>
        <w:t>eforms that support economic development, democratisation and government accountability have been delivered</w:t>
      </w:r>
    </w:p>
    <w:p w:rsidR="00E71C4F" w:rsidRPr="004057E0" w:rsidRDefault="003D1C52" w:rsidP="00803547">
      <w:pPr>
        <w:spacing w:after="120" w:line="260" w:lineRule="exact"/>
        <w:rPr>
          <w:rFonts w:ascii="Franklin Gothic Book" w:hAnsi="Franklin Gothic Book"/>
          <w:sz w:val="21"/>
        </w:rPr>
      </w:pPr>
      <w:r w:rsidRPr="004057E0">
        <w:rPr>
          <w:rFonts w:ascii="Franklin Gothic Book" w:hAnsi="Franklin Gothic Book"/>
          <w:sz w:val="21"/>
        </w:rPr>
        <w:t xml:space="preserve">There is an urgent need for basic data in Burma to improve </w:t>
      </w:r>
      <w:r w:rsidR="00E325BC">
        <w:rPr>
          <w:rFonts w:ascii="Franklin Gothic Book" w:hAnsi="Franklin Gothic Book"/>
          <w:sz w:val="21"/>
        </w:rPr>
        <w:t>government decision making</w:t>
      </w:r>
      <w:r w:rsidRPr="004057E0">
        <w:rPr>
          <w:rFonts w:ascii="Franklin Gothic Book" w:hAnsi="Franklin Gothic Book"/>
          <w:sz w:val="21"/>
        </w:rPr>
        <w:t xml:space="preserve"> to build a strong economy, and deliver services in line with needs</w:t>
      </w:r>
      <w:r w:rsidR="00087ABB">
        <w:rPr>
          <w:rFonts w:ascii="Franklin Gothic Book" w:hAnsi="Franklin Gothic Book"/>
          <w:sz w:val="21"/>
        </w:rPr>
        <w:t>.</w:t>
      </w:r>
      <w:r w:rsidR="00E71C4F" w:rsidRPr="004057E0">
        <w:rPr>
          <w:rFonts w:ascii="Franklin Gothic Book" w:hAnsi="Franklin Gothic Book"/>
          <w:sz w:val="21"/>
          <w:vertAlign w:val="superscript"/>
        </w:rPr>
        <w:endnoteReference w:id="65"/>
      </w:r>
      <w:r w:rsidR="00E71C4F" w:rsidRPr="004057E0">
        <w:rPr>
          <w:rFonts w:ascii="Franklin Gothic Book" w:hAnsi="Franklin Gothic Book"/>
          <w:sz w:val="21"/>
        </w:rPr>
        <w:t xml:space="preserve"> Australia was one of the first donors to support ($3 million</w:t>
      </w:r>
      <w:r w:rsidR="00E71C4F" w:rsidRPr="00481362">
        <w:rPr>
          <w:rFonts w:ascii="Franklin Gothic Book" w:hAnsi="Franklin Gothic Book"/>
          <w:vertAlign w:val="superscript"/>
        </w:rPr>
        <w:endnoteReference w:id="66"/>
      </w:r>
      <w:r w:rsidR="00E71C4F" w:rsidRPr="004057E0">
        <w:rPr>
          <w:rFonts w:ascii="Franklin Gothic Book" w:hAnsi="Franklin Gothic Book"/>
          <w:sz w:val="21"/>
        </w:rPr>
        <w:t xml:space="preserve">) the United Nations Population Fund (UNFPA) to help Burma conduct its first census in 30 years. Australia’s early support for the census was a catalyst for other donors to provide assistance, without which, UNFPA may have withdrawn support, leaving a </w:t>
      </w:r>
      <w:r w:rsidR="00A01926">
        <w:rPr>
          <w:rFonts w:ascii="Franklin Gothic Book" w:hAnsi="Franklin Gothic Book"/>
          <w:sz w:val="21"/>
        </w:rPr>
        <w:t xml:space="preserve">newly formed civilian </w:t>
      </w:r>
      <w:r w:rsidR="00E71C4F" w:rsidRPr="004057E0">
        <w:rPr>
          <w:rFonts w:ascii="Franklin Gothic Book" w:hAnsi="Franklin Gothic Book"/>
          <w:sz w:val="21"/>
        </w:rPr>
        <w:t xml:space="preserve">government to conduct the census. </w:t>
      </w:r>
      <w:r w:rsidR="00E71C4F">
        <w:rPr>
          <w:rFonts w:ascii="Franklin Gothic Book" w:hAnsi="Franklin Gothic Book"/>
          <w:sz w:val="21"/>
        </w:rPr>
        <w:t>Australia</w:t>
      </w:r>
      <w:r w:rsidR="00E71C4F" w:rsidRPr="004057E0">
        <w:rPr>
          <w:rFonts w:ascii="Franklin Gothic Book" w:hAnsi="Franklin Gothic Book"/>
          <w:sz w:val="21"/>
        </w:rPr>
        <w:t xml:space="preserve"> also mobilised</w:t>
      </w:r>
      <w:r w:rsidR="00C62751">
        <w:rPr>
          <w:rFonts w:ascii="Franklin Gothic Book" w:hAnsi="Franklin Gothic Book"/>
          <w:sz w:val="21"/>
        </w:rPr>
        <w:t xml:space="preserve"> </w:t>
      </w:r>
      <w:r w:rsidR="00E71C4F">
        <w:rPr>
          <w:rFonts w:ascii="Franklin Gothic Book" w:hAnsi="Franklin Gothic Book"/>
          <w:sz w:val="21"/>
        </w:rPr>
        <w:t xml:space="preserve">at short notice </w:t>
      </w:r>
      <w:r w:rsidR="00E71C4F" w:rsidRPr="004057E0">
        <w:rPr>
          <w:rFonts w:ascii="Franklin Gothic Book" w:hAnsi="Franklin Gothic Book"/>
          <w:sz w:val="21"/>
        </w:rPr>
        <w:t>the Australian Bureau of Statistics (ABS, $130,000) to design and deliver training to enumerators to help improve data quality</w:t>
      </w:r>
      <w:r w:rsidR="00E71C4F">
        <w:rPr>
          <w:rFonts w:ascii="Franklin Gothic Book" w:hAnsi="Franklin Gothic Book"/>
          <w:sz w:val="21"/>
        </w:rPr>
        <w:t>.</w:t>
      </w:r>
      <w:r w:rsidR="00456DFF">
        <w:rPr>
          <w:rFonts w:ascii="Franklin Gothic Book" w:hAnsi="Franklin Gothic Book"/>
          <w:sz w:val="21"/>
        </w:rPr>
        <w:t xml:space="preserve"> </w:t>
      </w:r>
      <w:r w:rsidR="00606707">
        <w:rPr>
          <w:rFonts w:ascii="Franklin Gothic Book" w:hAnsi="Franklin Gothic Book"/>
          <w:sz w:val="21"/>
        </w:rPr>
        <w:t xml:space="preserve">The </w:t>
      </w:r>
      <w:r w:rsidR="00606707" w:rsidRPr="00606707">
        <w:rPr>
          <w:rFonts w:ascii="Franklin Gothic Book" w:hAnsi="Franklin Gothic Book"/>
          <w:sz w:val="21"/>
        </w:rPr>
        <w:t xml:space="preserve">government </w:t>
      </w:r>
      <w:r w:rsidR="00242396">
        <w:rPr>
          <w:rFonts w:ascii="Franklin Gothic Book" w:hAnsi="Franklin Gothic Book"/>
          <w:sz w:val="21"/>
        </w:rPr>
        <w:t>released</w:t>
      </w:r>
      <w:r w:rsidR="00606707" w:rsidRPr="00606707">
        <w:rPr>
          <w:rFonts w:ascii="Franklin Gothic Book" w:hAnsi="Franklin Gothic Book"/>
          <w:sz w:val="21"/>
        </w:rPr>
        <w:t xml:space="preserve"> preliminary census data in </w:t>
      </w:r>
      <w:r w:rsidR="00242396">
        <w:rPr>
          <w:rFonts w:ascii="Franklin Gothic Book" w:hAnsi="Franklin Gothic Book"/>
          <w:sz w:val="21"/>
        </w:rPr>
        <w:t>September</w:t>
      </w:r>
      <w:r w:rsidR="00606707" w:rsidRPr="00606707">
        <w:rPr>
          <w:rFonts w:ascii="Franklin Gothic Book" w:hAnsi="Franklin Gothic Book"/>
          <w:sz w:val="21"/>
        </w:rPr>
        <w:t xml:space="preserve"> 2014</w:t>
      </w:r>
      <w:r w:rsidR="00606707">
        <w:rPr>
          <w:rFonts w:ascii="Franklin Gothic Book" w:hAnsi="Franklin Gothic Book"/>
          <w:sz w:val="21"/>
        </w:rPr>
        <w:t>.</w:t>
      </w:r>
    </w:p>
    <w:p w:rsidR="00E71C4F" w:rsidRPr="004057E0" w:rsidRDefault="00E71C4F" w:rsidP="00803547">
      <w:pPr>
        <w:spacing w:after="120" w:line="260" w:lineRule="exact"/>
        <w:rPr>
          <w:rFonts w:ascii="Franklin Gothic Book" w:hAnsi="Franklin Gothic Book"/>
          <w:sz w:val="21"/>
        </w:rPr>
      </w:pPr>
      <w:r w:rsidRPr="004057E0">
        <w:rPr>
          <w:rFonts w:ascii="Franklin Gothic Book" w:hAnsi="Franklin Gothic Book"/>
          <w:sz w:val="21"/>
        </w:rPr>
        <w:t xml:space="preserve">Evidence suggests Australian support helped improve the technical conduct and conflict-sensitivity of the census. Both the ABS and UNFPA reported </w:t>
      </w:r>
      <w:r>
        <w:rPr>
          <w:rFonts w:ascii="Franklin Gothic Book" w:hAnsi="Franklin Gothic Book"/>
          <w:sz w:val="21"/>
        </w:rPr>
        <w:t>the Myanmar</w:t>
      </w:r>
      <w:r w:rsidRPr="004057E0">
        <w:rPr>
          <w:rFonts w:ascii="Franklin Gothic Book" w:hAnsi="Franklin Gothic Book"/>
          <w:sz w:val="21"/>
        </w:rPr>
        <w:t xml:space="preserve"> </w:t>
      </w:r>
      <w:r>
        <w:rPr>
          <w:rFonts w:ascii="Franklin Gothic Book" w:hAnsi="Franklin Gothic Book"/>
          <w:sz w:val="21"/>
        </w:rPr>
        <w:t>G</w:t>
      </w:r>
      <w:r w:rsidRPr="004057E0">
        <w:rPr>
          <w:rFonts w:ascii="Franklin Gothic Book" w:hAnsi="Franklin Gothic Book"/>
          <w:sz w:val="21"/>
        </w:rPr>
        <w:t>overnment t</w:t>
      </w:r>
      <w:r>
        <w:rPr>
          <w:rFonts w:ascii="Franklin Gothic Book" w:hAnsi="Franklin Gothic Book"/>
          <w:sz w:val="21"/>
        </w:rPr>
        <w:t xml:space="preserve">ook on board technical advice. </w:t>
      </w:r>
      <w:r w:rsidRPr="004057E0">
        <w:rPr>
          <w:rFonts w:ascii="Franklin Gothic Book" w:hAnsi="Franklin Gothic Book"/>
          <w:sz w:val="21"/>
        </w:rPr>
        <w:t xml:space="preserve">Australia also </w:t>
      </w:r>
      <w:r w:rsidR="00087ABB">
        <w:rPr>
          <w:rFonts w:ascii="Franklin Gothic Book" w:hAnsi="Franklin Gothic Book"/>
          <w:sz w:val="21"/>
        </w:rPr>
        <w:t xml:space="preserve">led </w:t>
      </w:r>
      <w:r w:rsidRPr="004057E0">
        <w:rPr>
          <w:rFonts w:ascii="Franklin Gothic Book" w:hAnsi="Franklin Gothic Book"/>
          <w:sz w:val="21"/>
        </w:rPr>
        <w:t>donor advocacy for increased conflict-sensitivity and lent international support to the government’s efforts to work with ethnic armed groups to negotiate data collection in are</w:t>
      </w:r>
      <w:r>
        <w:rPr>
          <w:rFonts w:ascii="Franklin Gothic Book" w:hAnsi="Franklin Gothic Book"/>
          <w:sz w:val="21"/>
        </w:rPr>
        <w:t xml:space="preserve">as outside government control. </w:t>
      </w:r>
      <w:r w:rsidRPr="004057E0">
        <w:rPr>
          <w:rFonts w:ascii="Franklin Gothic Book" w:hAnsi="Franklin Gothic Book"/>
          <w:sz w:val="21"/>
        </w:rPr>
        <w:t xml:space="preserve">As a result, </w:t>
      </w:r>
      <w:r w:rsidR="00087ABB">
        <w:rPr>
          <w:rFonts w:ascii="Franklin Gothic Book" w:hAnsi="Franklin Gothic Book"/>
          <w:sz w:val="21"/>
        </w:rPr>
        <w:t>the</w:t>
      </w:r>
      <w:r w:rsidR="00087ABB" w:rsidRPr="004057E0">
        <w:rPr>
          <w:rFonts w:ascii="Franklin Gothic Book" w:hAnsi="Franklin Gothic Book"/>
          <w:sz w:val="21"/>
        </w:rPr>
        <w:t xml:space="preserve"> </w:t>
      </w:r>
      <w:r w:rsidRPr="004057E0">
        <w:rPr>
          <w:rFonts w:ascii="Franklin Gothic Book" w:hAnsi="Franklin Gothic Book"/>
          <w:sz w:val="21"/>
        </w:rPr>
        <w:t>government successfully delivered the census in every district of seven of nine conflict-affected states, and without incident in most parts of the country</w:t>
      </w:r>
      <w:r w:rsidR="00087ABB">
        <w:rPr>
          <w:rFonts w:ascii="Franklin Gothic Book" w:hAnsi="Franklin Gothic Book"/>
          <w:sz w:val="21"/>
        </w:rPr>
        <w:t>.</w:t>
      </w:r>
      <w:r w:rsidRPr="00481362">
        <w:rPr>
          <w:rFonts w:ascii="Franklin Gothic Book" w:hAnsi="Franklin Gothic Book"/>
          <w:vertAlign w:val="superscript"/>
        </w:rPr>
        <w:endnoteReference w:id="67"/>
      </w:r>
      <w:r w:rsidRPr="004057E0">
        <w:rPr>
          <w:rFonts w:ascii="Franklin Gothic Book" w:hAnsi="Franklin Gothic Book"/>
          <w:sz w:val="21"/>
        </w:rPr>
        <w:t xml:space="preserve"> </w:t>
      </w:r>
      <w:r w:rsidR="00626893">
        <w:rPr>
          <w:rFonts w:ascii="Franklin Gothic Book" w:hAnsi="Franklin Gothic Book"/>
          <w:sz w:val="21"/>
        </w:rPr>
        <w:t>O</w:t>
      </w:r>
      <w:r w:rsidRPr="004057E0">
        <w:rPr>
          <w:rFonts w:ascii="Franklin Gothic Book" w:hAnsi="Franklin Gothic Book"/>
          <w:sz w:val="21"/>
        </w:rPr>
        <w:t>ver 70</w:t>
      </w:r>
      <w:r w:rsidR="001144B2">
        <w:rPr>
          <w:rFonts w:ascii="Franklin Gothic Book" w:hAnsi="Franklin Gothic Book"/>
          <w:sz w:val="21"/>
        </w:rPr>
        <w:t xml:space="preserve"> per cent</w:t>
      </w:r>
      <w:r w:rsidRPr="004057E0">
        <w:rPr>
          <w:rFonts w:ascii="Franklin Gothic Book" w:hAnsi="Franklin Gothic Book"/>
          <w:sz w:val="21"/>
        </w:rPr>
        <w:t xml:space="preserve"> of enumerators were women, who are being paid, where possible, through the formal banking sector,</w:t>
      </w:r>
      <w:r w:rsidR="00A01926" w:rsidRPr="00A01926">
        <w:rPr>
          <w:rFonts w:ascii="Franklin Gothic Book" w:hAnsi="Franklin Gothic Book"/>
          <w:sz w:val="21"/>
        </w:rPr>
        <w:t xml:space="preserve"> </w:t>
      </w:r>
      <w:r w:rsidR="00A01926">
        <w:rPr>
          <w:rFonts w:ascii="Franklin Gothic Book" w:hAnsi="Franklin Gothic Book"/>
          <w:sz w:val="21"/>
        </w:rPr>
        <w:t xml:space="preserve">introducing </w:t>
      </w:r>
      <w:r w:rsidR="00606707">
        <w:rPr>
          <w:rFonts w:ascii="Franklin Gothic Book" w:hAnsi="Franklin Gothic Book"/>
          <w:sz w:val="21"/>
        </w:rPr>
        <w:t>them</w:t>
      </w:r>
      <w:r w:rsidR="00A01926">
        <w:rPr>
          <w:rFonts w:ascii="Franklin Gothic Book" w:hAnsi="Franklin Gothic Book"/>
          <w:sz w:val="21"/>
        </w:rPr>
        <w:t xml:space="preserve"> to financial services for the first time</w:t>
      </w:r>
      <w:r>
        <w:rPr>
          <w:rFonts w:ascii="Franklin Gothic Book" w:hAnsi="Franklin Gothic Book"/>
          <w:sz w:val="21"/>
        </w:rPr>
        <w:t>.</w:t>
      </w:r>
      <w:r w:rsidR="000C6063">
        <w:rPr>
          <w:rFonts w:ascii="Franklin Gothic Book" w:hAnsi="Franklin Gothic Book"/>
          <w:sz w:val="21"/>
        </w:rPr>
        <w:t xml:space="preserve"> </w:t>
      </w:r>
      <w:r w:rsidRPr="004057E0">
        <w:rPr>
          <w:rFonts w:ascii="Franklin Gothic Book" w:hAnsi="Franklin Gothic Book"/>
          <w:sz w:val="21"/>
        </w:rPr>
        <w:t xml:space="preserve">There were, however, serious issues in delivering the census </w:t>
      </w:r>
      <w:r w:rsidRPr="004057E0">
        <w:rPr>
          <w:rFonts w:ascii="Franklin Gothic Book" w:hAnsi="Franklin Gothic Book"/>
          <w:sz w:val="21"/>
        </w:rPr>
        <w:lastRenderedPageBreak/>
        <w:t xml:space="preserve">in Rakhine State where the Rohingya were not able to self-identify, in violation of international standards. </w:t>
      </w:r>
      <w:r w:rsidR="00626893">
        <w:rPr>
          <w:rFonts w:ascii="Franklin Gothic Book" w:hAnsi="Franklin Gothic Book"/>
          <w:sz w:val="21"/>
        </w:rPr>
        <w:t>L</w:t>
      </w:r>
      <w:r w:rsidRPr="004057E0">
        <w:rPr>
          <w:rFonts w:ascii="Franklin Gothic Book" w:hAnsi="Franklin Gothic Book"/>
          <w:sz w:val="21"/>
        </w:rPr>
        <w:t xml:space="preserve">essons </w:t>
      </w:r>
      <w:r w:rsidR="00626893">
        <w:rPr>
          <w:rFonts w:ascii="Franklin Gothic Book" w:hAnsi="Franklin Gothic Book"/>
          <w:sz w:val="21"/>
        </w:rPr>
        <w:t xml:space="preserve">learned </w:t>
      </w:r>
      <w:r w:rsidRPr="004057E0">
        <w:rPr>
          <w:rFonts w:ascii="Franklin Gothic Book" w:hAnsi="Franklin Gothic Book"/>
          <w:sz w:val="21"/>
        </w:rPr>
        <w:t xml:space="preserve">have been important in informing </w:t>
      </w:r>
      <w:r w:rsidR="00A01926">
        <w:rPr>
          <w:rFonts w:ascii="Franklin Gothic Book" w:hAnsi="Franklin Gothic Book"/>
          <w:sz w:val="21"/>
        </w:rPr>
        <w:t>a conflict-sensitive approach to</w:t>
      </w:r>
      <w:r w:rsidR="00A01926" w:rsidRPr="004057E0">
        <w:rPr>
          <w:rFonts w:ascii="Franklin Gothic Book" w:hAnsi="Franklin Gothic Book"/>
          <w:sz w:val="21"/>
        </w:rPr>
        <w:t xml:space="preserve"> </w:t>
      </w:r>
      <w:r w:rsidRPr="004057E0">
        <w:rPr>
          <w:rFonts w:ascii="Franklin Gothic Book" w:hAnsi="Franklin Gothic Book"/>
          <w:sz w:val="21"/>
        </w:rPr>
        <w:t>census data dissemination</w:t>
      </w:r>
      <w:r w:rsidR="00A01926">
        <w:rPr>
          <w:rFonts w:ascii="Franklin Gothic Book" w:hAnsi="Franklin Gothic Book"/>
          <w:sz w:val="21"/>
        </w:rPr>
        <w:t>.</w:t>
      </w:r>
      <w:r w:rsidRPr="00043742">
        <w:rPr>
          <w:rFonts w:ascii="Franklin Gothic Book" w:hAnsi="Franklin Gothic Book"/>
          <w:vertAlign w:val="superscript"/>
        </w:rPr>
        <w:endnoteReference w:id="68"/>
      </w:r>
    </w:p>
    <w:p w:rsidR="00E71C4F" w:rsidRPr="00512881" w:rsidRDefault="00E325BC" w:rsidP="00803547">
      <w:pPr>
        <w:spacing w:after="120" w:line="260" w:lineRule="exact"/>
        <w:rPr>
          <w:rFonts w:ascii="Franklin Gothic Book" w:hAnsi="Franklin Gothic Book"/>
          <w:sz w:val="21"/>
          <w:lang w:val="en-GB"/>
        </w:rPr>
      </w:pPr>
      <w:r w:rsidRPr="004057E0">
        <w:rPr>
          <w:rFonts w:ascii="Franklin Gothic Book" w:hAnsi="Franklin Gothic Book"/>
          <w:sz w:val="21"/>
        </w:rPr>
        <w:t>A number of other important reforms that support economic development, democratisation and government accountability have been progressed</w:t>
      </w:r>
      <w:r>
        <w:rPr>
          <w:rFonts w:ascii="Franklin Gothic Book" w:hAnsi="Franklin Gothic Book"/>
          <w:sz w:val="21"/>
        </w:rPr>
        <w:t>.</w:t>
      </w:r>
      <w:r w:rsidRPr="004057E0">
        <w:rPr>
          <w:rFonts w:ascii="Franklin Gothic Book" w:hAnsi="Franklin Gothic Book"/>
          <w:sz w:val="21"/>
        </w:rPr>
        <w:t xml:space="preserve"> </w:t>
      </w:r>
      <w:r>
        <w:rPr>
          <w:rFonts w:ascii="Franklin Gothic Book" w:hAnsi="Franklin Gothic Book"/>
          <w:sz w:val="21"/>
        </w:rPr>
        <w:t xml:space="preserve">A </w:t>
      </w:r>
      <w:r w:rsidRPr="004057E0">
        <w:rPr>
          <w:rFonts w:ascii="Franklin Gothic Book" w:hAnsi="Franklin Gothic Book"/>
          <w:sz w:val="21"/>
        </w:rPr>
        <w:t xml:space="preserve">key focus for Australia in 2013-14 was addressing critical information gaps to inform important public revenue management reforms. </w:t>
      </w:r>
      <w:r w:rsidR="00E71C4F" w:rsidRPr="004057E0">
        <w:rPr>
          <w:rFonts w:ascii="Franklin Gothic Book" w:hAnsi="Franklin Gothic Book"/>
          <w:sz w:val="21"/>
        </w:rPr>
        <w:t xml:space="preserve">Unless Burma can plan, mobilise, deploy and report on how it uses its financial and human resources, front line service delivery will not improve. Australia funded the World Bank ($1.7 million) to help </w:t>
      </w:r>
      <w:r w:rsidR="00E71C4F">
        <w:rPr>
          <w:rFonts w:ascii="Franklin Gothic Book" w:hAnsi="Franklin Gothic Book"/>
          <w:sz w:val="21"/>
        </w:rPr>
        <w:t>the Government</w:t>
      </w:r>
      <w:r w:rsidR="00E71C4F" w:rsidRPr="004057E0">
        <w:rPr>
          <w:rFonts w:ascii="Franklin Gothic Book" w:hAnsi="Franklin Gothic Book"/>
          <w:sz w:val="21"/>
        </w:rPr>
        <w:t xml:space="preserve"> undertake its first Public Expenditure Review to map how government expenditure is prioritised and spent</w:t>
      </w:r>
      <w:r w:rsidR="00E71C4F">
        <w:rPr>
          <w:rFonts w:ascii="Franklin Gothic Book" w:hAnsi="Franklin Gothic Book"/>
          <w:sz w:val="21"/>
        </w:rPr>
        <w:t>,</w:t>
      </w:r>
      <w:r w:rsidR="00E71C4F" w:rsidRPr="004057E0">
        <w:rPr>
          <w:rFonts w:ascii="Franklin Gothic Book" w:hAnsi="Franklin Gothic Book"/>
          <w:sz w:val="21"/>
        </w:rPr>
        <w:t xml:space="preserve"> and develop</w:t>
      </w:r>
      <w:r w:rsidR="00E71C4F">
        <w:rPr>
          <w:rFonts w:ascii="Franklin Gothic Book" w:hAnsi="Franklin Gothic Book"/>
          <w:sz w:val="21"/>
        </w:rPr>
        <w:t>ed</w:t>
      </w:r>
      <w:r w:rsidR="00E71C4F" w:rsidRPr="004057E0">
        <w:rPr>
          <w:rFonts w:ascii="Franklin Gothic Book" w:hAnsi="Franklin Gothic Book"/>
          <w:sz w:val="21"/>
        </w:rPr>
        <w:t xml:space="preserve"> a Financial Sector Development Masterplan to promote responsible investment and financial </w:t>
      </w:r>
      <w:r w:rsidR="00E71C4F">
        <w:rPr>
          <w:rFonts w:ascii="Franklin Gothic Book" w:hAnsi="Franklin Gothic Book"/>
          <w:sz w:val="21"/>
        </w:rPr>
        <w:t>inclusion.</w:t>
      </w:r>
    </w:p>
    <w:p w:rsidR="00E71C4F" w:rsidRDefault="003C268B" w:rsidP="00803547">
      <w:pPr>
        <w:spacing w:after="120" w:line="260" w:lineRule="exact"/>
        <w:rPr>
          <w:rFonts w:ascii="Franklin Gothic Book" w:hAnsi="Franklin Gothic Book"/>
          <w:sz w:val="21"/>
        </w:rPr>
      </w:pPr>
      <w:r>
        <w:rPr>
          <w:rFonts w:ascii="Franklin Gothic Book" w:hAnsi="Franklin Gothic Book"/>
          <w:sz w:val="21"/>
        </w:rPr>
        <w:t xml:space="preserve">With support from Australia, </w:t>
      </w:r>
      <w:r w:rsidRPr="004057E0">
        <w:rPr>
          <w:rFonts w:ascii="Franklin Gothic Book" w:hAnsi="Franklin Gothic Book"/>
          <w:sz w:val="21"/>
        </w:rPr>
        <w:t>the</w:t>
      </w:r>
      <w:r w:rsidR="00E71C4F" w:rsidRPr="004057E0">
        <w:rPr>
          <w:rFonts w:ascii="Franklin Gothic Book" w:hAnsi="Franklin Gothic Book"/>
          <w:sz w:val="21"/>
        </w:rPr>
        <w:t xml:space="preserve"> World Bank’s analytical </w:t>
      </w:r>
      <w:r w:rsidR="00E71C4F" w:rsidRPr="00043742">
        <w:rPr>
          <w:rFonts w:ascii="Franklin Gothic Book" w:hAnsi="Franklin Gothic Book"/>
          <w:sz w:val="21"/>
        </w:rPr>
        <w:t>work</w:t>
      </w:r>
      <w:r w:rsidR="00E71C4F" w:rsidRPr="00043742">
        <w:rPr>
          <w:rFonts w:ascii="Franklin Gothic Book" w:hAnsi="Franklin Gothic Book"/>
          <w:vertAlign w:val="superscript"/>
        </w:rPr>
        <w:endnoteReference w:id="69"/>
      </w:r>
      <w:r w:rsidR="00E71C4F" w:rsidRPr="00043742">
        <w:rPr>
          <w:rFonts w:ascii="Franklin Gothic Book" w:hAnsi="Franklin Gothic Book"/>
          <w:sz w:val="21"/>
        </w:rPr>
        <w:t xml:space="preserve"> directly informed </w:t>
      </w:r>
      <w:r w:rsidR="00E71C4F" w:rsidRPr="00713439">
        <w:rPr>
          <w:rFonts w:ascii="Franklin Gothic Book" w:hAnsi="Franklin Gothic Book"/>
          <w:sz w:val="21"/>
        </w:rPr>
        <w:t xml:space="preserve">the </w:t>
      </w:r>
      <w:r w:rsidR="00A01926">
        <w:rPr>
          <w:rFonts w:ascii="Franklin Gothic Book" w:hAnsi="Franklin Gothic Book"/>
          <w:sz w:val="21"/>
        </w:rPr>
        <w:t>desi</w:t>
      </w:r>
      <w:r w:rsidR="00DB60F0">
        <w:rPr>
          <w:rFonts w:ascii="Franklin Gothic Book" w:hAnsi="Franklin Gothic Book"/>
          <w:sz w:val="21"/>
        </w:rPr>
        <w:t>g</w:t>
      </w:r>
      <w:r w:rsidR="00A01926">
        <w:rPr>
          <w:rFonts w:ascii="Franklin Gothic Book" w:hAnsi="Franklin Gothic Book"/>
          <w:sz w:val="21"/>
        </w:rPr>
        <w:t>n</w:t>
      </w:r>
      <w:r w:rsidR="00A01926" w:rsidRPr="00713439">
        <w:rPr>
          <w:rFonts w:ascii="Franklin Gothic Book" w:hAnsi="Franklin Gothic Book"/>
          <w:sz w:val="21"/>
        </w:rPr>
        <w:t xml:space="preserve"> </w:t>
      </w:r>
      <w:r w:rsidRPr="00713439">
        <w:rPr>
          <w:rFonts w:ascii="Franklin Gothic Book" w:hAnsi="Franklin Gothic Book"/>
          <w:sz w:val="21"/>
        </w:rPr>
        <w:t xml:space="preserve">of the </w:t>
      </w:r>
      <w:r w:rsidR="00E71C4F" w:rsidRPr="00713439">
        <w:rPr>
          <w:rFonts w:ascii="Franklin Gothic Book" w:hAnsi="Franklin Gothic Book"/>
          <w:sz w:val="21"/>
        </w:rPr>
        <w:t xml:space="preserve">government’s five-year </w:t>
      </w:r>
      <w:r w:rsidR="009B28AD" w:rsidRPr="00713439">
        <w:rPr>
          <w:rFonts w:ascii="Franklin Gothic Book" w:hAnsi="Franklin Gothic Book"/>
          <w:sz w:val="21"/>
        </w:rPr>
        <w:t xml:space="preserve">$55 million </w:t>
      </w:r>
      <w:r w:rsidR="00E71C4F" w:rsidRPr="00713439">
        <w:rPr>
          <w:rFonts w:ascii="Franklin Gothic Book" w:hAnsi="Franklin Gothic Book"/>
          <w:sz w:val="21"/>
        </w:rPr>
        <w:t xml:space="preserve">public financial management (PFM) reform </w:t>
      </w:r>
      <w:r w:rsidR="009B28AD" w:rsidRPr="00713439">
        <w:rPr>
          <w:rFonts w:ascii="Franklin Gothic Book" w:hAnsi="Franklin Gothic Book"/>
          <w:sz w:val="21"/>
        </w:rPr>
        <w:t>program</w:t>
      </w:r>
      <w:r w:rsidR="00E71C4F" w:rsidRPr="00713439">
        <w:rPr>
          <w:rFonts w:ascii="Franklin Gothic Book" w:hAnsi="Franklin Gothic Book"/>
          <w:vertAlign w:val="superscript"/>
        </w:rPr>
        <w:endnoteReference w:id="70"/>
      </w:r>
      <w:r w:rsidR="00E71C4F" w:rsidRPr="00713439">
        <w:rPr>
          <w:rFonts w:ascii="Franklin Gothic Book" w:hAnsi="Franklin Gothic Book"/>
          <w:sz w:val="21"/>
        </w:rPr>
        <w:t xml:space="preserve"> </w:t>
      </w:r>
      <w:r w:rsidR="00A01926">
        <w:rPr>
          <w:rFonts w:ascii="Franklin Gothic Book" w:hAnsi="Franklin Gothic Book"/>
          <w:sz w:val="21"/>
        </w:rPr>
        <w:t>to</w:t>
      </w:r>
      <w:r w:rsidR="00A01926" w:rsidRPr="00713439">
        <w:rPr>
          <w:rFonts w:ascii="Franklin Gothic Book" w:hAnsi="Franklin Gothic Book"/>
          <w:sz w:val="21"/>
        </w:rPr>
        <w:t xml:space="preserve"> </w:t>
      </w:r>
      <w:r w:rsidR="00713439" w:rsidRPr="00713439">
        <w:rPr>
          <w:rFonts w:ascii="Franklin Gothic Book" w:hAnsi="Franklin Gothic Book"/>
          <w:sz w:val="21"/>
        </w:rPr>
        <w:t xml:space="preserve">help </w:t>
      </w:r>
      <w:r w:rsidR="00626893">
        <w:rPr>
          <w:rFonts w:ascii="Franklin Gothic Book" w:hAnsi="Franklin Gothic Book"/>
          <w:sz w:val="21"/>
        </w:rPr>
        <w:t xml:space="preserve">the </w:t>
      </w:r>
      <w:r w:rsidR="00713439" w:rsidRPr="00713439">
        <w:rPr>
          <w:rFonts w:ascii="Franklin Gothic Book" w:hAnsi="Franklin Gothic Book"/>
          <w:sz w:val="21"/>
        </w:rPr>
        <w:t xml:space="preserve">government </w:t>
      </w:r>
      <w:r w:rsidR="00A01926">
        <w:rPr>
          <w:rFonts w:ascii="Franklin Gothic Book" w:hAnsi="Franklin Gothic Book"/>
          <w:sz w:val="21"/>
        </w:rPr>
        <w:t xml:space="preserve">efficiently collect revenues </w:t>
      </w:r>
      <w:r w:rsidR="00713439" w:rsidRPr="00713439">
        <w:rPr>
          <w:rFonts w:ascii="Franklin Gothic Book" w:hAnsi="Franklin Gothic Book"/>
          <w:sz w:val="21"/>
        </w:rPr>
        <w:t>and allocat</w:t>
      </w:r>
      <w:r w:rsidR="00A01926">
        <w:rPr>
          <w:rFonts w:ascii="Franklin Gothic Book" w:hAnsi="Franklin Gothic Book"/>
          <w:sz w:val="21"/>
        </w:rPr>
        <w:t>e</w:t>
      </w:r>
      <w:r w:rsidR="00713439" w:rsidRPr="00713439">
        <w:rPr>
          <w:rFonts w:ascii="Franklin Gothic Book" w:hAnsi="Franklin Gothic Book"/>
          <w:sz w:val="21"/>
        </w:rPr>
        <w:t xml:space="preserve"> resources for service delivery. Th</w:t>
      </w:r>
      <w:r w:rsidR="00713439">
        <w:rPr>
          <w:rFonts w:ascii="Franklin Gothic Book" w:hAnsi="Franklin Gothic Book"/>
          <w:sz w:val="21"/>
        </w:rPr>
        <w:t>is</w:t>
      </w:r>
      <w:r w:rsidR="00713439" w:rsidRPr="00713439">
        <w:rPr>
          <w:rFonts w:ascii="Franklin Gothic Book" w:hAnsi="Franklin Gothic Book"/>
          <w:sz w:val="21"/>
        </w:rPr>
        <w:t xml:space="preserve"> work </w:t>
      </w:r>
      <w:r w:rsidR="00E71C4F" w:rsidRPr="00713439">
        <w:rPr>
          <w:rFonts w:ascii="Franklin Gothic Book" w:hAnsi="Franklin Gothic Book"/>
          <w:sz w:val="21"/>
        </w:rPr>
        <w:t xml:space="preserve">was essential </w:t>
      </w:r>
      <w:r w:rsidR="00713439" w:rsidRPr="00713439">
        <w:rPr>
          <w:rFonts w:ascii="Franklin Gothic Book" w:hAnsi="Franklin Gothic Book"/>
          <w:sz w:val="21"/>
        </w:rPr>
        <w:t>in</w:t>
      </w:r>
      <w:r w:rsidR="00E71C4F" w:rsidRPr="00713439">
        <w:rPr>
          <w:rFonts w:ascii="Franklin Gothic Book" w:hAnsi="Franklin Gothic Book"/>
          <w:sz w:val="21"/>
        </w:rPr>
        <w:t xml:space="preserve"> building government capacity and ownership of the reform agenda. It also established mechanisms that successfully facilitate inter-government coordination and reform consistency</w:t>
      </w:r>
      <w:r w:rsidR="00E71C4F" w:rsidRPr="00043742">
        <w:rPr>
          <w:rFonts w:ascii="Franklin Gothic Book" w:hAnsi="Franklin Gothic Book"/>
          <w:vertAlign w:val="superscript"/>
        </w:rPr>
        <w:endnoteReference w:id="71"/>
      </w:r>
      <w:r w:rsidR="00713439">
        <w:rPr>
          <w:rFonts w:ascii="Franklin Gothic Book" w:hAnsi="Franklin Gothic Book"/>
          <w:sz w:val="21"/>
        </w:rPr>
        <w:t xml:space="preserve"> </w:t>
      </w:r>
      <w:r w:rsidR="00E71C4F" w:rsidRPr="00043742">
        <w:rPr>
          <w:rFonts w:ascii="Franklin Gothic Book" w:hAnsi="Franklin Gothic Book"/>
          <w:sz w:val="21"/>
        </w:rPr>
        <w:t>and provided a platform for donor coordination</w:t>
      </w:r>
      <w:r w:rsidR="00EA5A19">
        <w:rPr>
          <w:rFonts w:ascii="Franklin Gothic Book" w:hAnsi="Franklin Gothic Book"/>
          <w:sz w:val="21"/>
        </w:rPr>
        <w:t>.</w:t>
      </w:r>
      <w:r w:rsidR="00E71C4F" w:rsidRPr="00043742">
        <w:rPr>
          <w:rFonts w:ascii="Franklin Gothic Book" w:hAnsi="Franklin Gothic Book"/>
          <w:vertAlign w:val="superscript"/>
        </w:rPr>
        <w:endnoteReference w:id="72"/>
      </w:r>
      <w:r w:rsidR="00E71C4F" w:rsidRPr="00043742">
        <w:rPr>
          <w:rFonts w:ascii="Franklin Gothic Book" w:hAnsi="Franklin Gothic Book"/>
          <w:sz w:val="21"/>
        </w:rPr>
        <w:t xml:space="preserve"> These results have helped </w:t>
      </w:r>
      <w:r w:rsidR="00E71C4F">
        <w:rPr>
          <w:rFonts w:ascii="Franklin Gothic Book" w:hAnsi="Franklin Gothic Book"/>
          <w:sz w:val="21"/>
        </w:rPr>
        <w:t>Australia</w:t>
      </w:r>
      <w:r w:rsidR="00E71C4F" w:rsidRPr="00043742">
        <w:rPr>
          <w:rFonts w:ascii="Franklin Gothic Book" w:hAnsi="Franklin Gothic Book"/>
          <w:sz w:val="21"/>
        </w:rPr>
        <w:t xml:space="preserve"> achieve its two milestones in this area which focused on establishing a clearer consensus between government and donors on p</w:t>
      </w:r>
      <w:r w:rsidR="00E71C4F">
        <w:rPr>
          <w:rFonts w:ascii="Franklin Gothic Book" w:hAnsi="Franklin Gothic Book"/>
          <w:sz w:val="21"/>
        </w:rPr>
        <w:t xml:space="preserve">riority areas for PFM reforms. </w:t>
      </w:r>
      <w:r w:rsidR="00E71C4F" w:rsidRPr="00043742">
        <w:rPr>
          <w:rFonts w:ascii="Franklin Gothic Book" w:hAnsi="Franklin Gothic Book"/>
          <w:sz w:val="21"/>
        </w:rPr>
        <w:t>By contrast, our support to the World Bank’s Financial Sector Development Masterplan has struggled in implementation due to its reliance on the nascent Central Bank and weak donor coordination.</w:t>
      </w:r>
    </w:p>
    <w:p w:rsidR="00713439" w:rsidRPr="00713439" w:rsidRDefault="00713439" w:rsidP="00803547">
      <w:pPr>
        <w:spacing w:after="120" w:line="260" w:lineRule="exact"/>
        <w:rPr>
          <w:rFonts w:ascii="Franklin Gothic Book" w:hAnsi="Franklin Gothic Book"/>
          <w:sz w:val="21"/>
        </w:rPr>
      </w:pPr>
      <w:r w:rsidRPr="00713439">
        <w:rPr>
          <w:rFonts w:ascii="Franklin Gothic Book" w:hAnsi="Franklin Gothic Book"/>
          <w:sz w:val="21"/>
        </w:rPr>
        <w:t xml:space="preserve">Australia also worked closely with the International Finance </w:t>
      </w:r>
      <w:r w:rsidR="001144B2">
        <w:rPr>
          <w:rFonts w:ascii="Franklin Gothic Book" w:hAnsi="Franklin Gothic Book"/>
          <w:sz w:val="21"/>
        </w:rPr>
        <w:t>Corporation</w:t>
      </w:r>
      <w:r w:rsidRPr="00713439">
        <w:rPr>
          <w:rFonts w:ascii="Franklin Gothic Book" w:hAnsi="Franklin Gothic Book"/>
          <w:sz w:val="21"/>
        </w:rPr>
        <w:t xml:space="preserve"> in 2013-14 in establishing a program to improve the enabling environment for trade and investment. The emphasis of the program is to develop and implement policy frameworks to promote the pr</w:t>
      </w:r>
      <w:r>
        <w:rPr>
          <w:rFonts w:ascii="Franklin Gothic Book" w:hAnsi="Franklin Gothic Book"/>
          <w:sz w:val="21"/>
        </w:rPr>
        <w:t xml:space="preserve">ivate sector and to improve </w:t>
      </w:r>
      <w:r w:rsidRPr="00713439">
        <w:rPr>
          <w:rFonts w:ascii="Franklin Gothic Book" w:hAnsi="Franklin Gothic Book"/>
          <w:sz w:val="21"/>
        </w:rPr>
        <w:t xml:space="preserve">dialogue </w:t>
      </w:r>
      <w:r>
        <w:rPr>
          <w:rFonts w:ascii="Franklin Gothic Book" w:hAnsi="Franklin Gothic Book"/>
          <w:sz w:val="21"/>
        </w:rPr>
        <w:t xml:space="preserve">and trust </w:t>
      </w:r>
      <w:r w:rsidRPr="00713439">
        <w:rPr>
          <w:rFonts w:ascii="Franklin Gothic Book" w:hAnsi="Franklin Gothic Book"/>
          <w:sz w:val="21"/>
        </w:rPr>
        <w:t>between business and government. Australia provided $600,000 towards the program in June 2014 and will r</w:t>
      </w:r>
      <w:r>
        <w:rPr>
          <w:rFonts w:ascii="Franklin Gothic Book" w:hAnsi="Franklin Gothic Book"/>
          <w:sz w:val="21"/>
        </w:rPr>
        <w:t>eport on results in 2015.</w:t>
      </w:r>
    </w:p>
    <w:p w:rsidR="00E71C4F" w:rsidRDefault="00E71C4F" w:rsidP="00803547">
      <w:pPr>
        <w:spacing w:after="120" w:line="260" w:lineRule="exact"/>
        <w:rPr>
          <w:rFonts w:ascii="Franklin Gothic Book" w:hAnsi="Franklin Gothic Book"/>
          <w:sz w:val="21"/>
        </w:rPr>
      </w:pPr>
      <w:r w:rsidRPr="004057E0">
        <w:rPr>
          <w:rFonts w:ascii="Franklin Gothic Book" w:hAnsi="Franklin Gothic Book"/>
          <w:sz w:val="21"/>
        </w:rPr>
        <w:t xml:space="preserve">The second key </w:t>
      </w:r>
      <w:r w:rsidRPr="00772606">
        <w:rPr>
          <w:rFonts w:ascii="Franklin Gothic Book" w:hAnsi="Franklin Gothic Book"/>
          <w:sz w:val="21"/>
        </w:rPr>
        <w:t>focus for Australia in 2013-14 was supporting institutions for a transparent, accountable and responsive state. Australia provided $2 million</w:t>
      </w:r>
      <w:r w:rsidRPr="00772606">
        <w:rPr>
          <w:rStyle w:val="EndnoteReference"/>
        </w:rPr>
        <w:endnoteReference w:id="73"/>
      </w:r>
      <w:r w:rsidRPr="00772606">
        <w:rPr>
          <w:rFonts w:ascii="Franklin Gothic Book" w:hAnsi="Franklin Gothic Book"/>
          <w:sz w:val="21"/>
        </w:rPr>
        <w:t xml:space="preserve"> to the</w:t>
      </w:r>
      <w:r w:rsidRPr="004057E0">
        <w:rPr>
          <w:rFonts w:ascii="Franklin Gothic Book" w:hAnsi="Franklin Gothic Book"/>
          <w:sz w:val="21"/>
        </w:rPr>
        <w:t xml:space="preserve"> United Nations Development Programme’s (UNDP)</w:t>
      </w:r>
      <w:r>
        <w:rPr>
          <w:rFonts w:ascii="Franklin Gothic Book" w:hAnsi="Franklin Gothic Book"/>
          <w:sz w:val="21"/>
        </w:rPr>
        <w:t xml:space="preserve"> democratic governance program </w:t>
      </w:r>
      <w:r w:rsidRPr="004057E0">
        <w:rPr>
          <w:rFonts w:ascii="Franklin Gothic Book" w:hAnsi="Franklin Gothic Book"/>
          <w:sz w:val="21"/>
        </w:rPr>
        <w:t>(2013-2015) which aims to strengthen accountable, responsive public institutions, promote adherence to rule of law and human rights, and support inclusive political processes</w:t>
      </w:r>
      <w:r w:rsidRPr="00DF029D">
        <w:rPr>
          <w:rFonts w:ascii="Franklin Gothic Book" w:hAnsi="Franklin Gothic Book"/>
          <w:sz w:val="21"/>
        </w:rPr>
        <w:t xml:space="preserve"> that place emphasis on women</w:t>
      </w:r>
      <w:r w:rsidRPr="004057E0">
        <w:rPr>
          <w:rFonts w:ascii="Franklin Gothic Book" w:hAnsi="Franklin Gothic Book"/>
          <w:sz w:val="21"/>
        </w:rPr>
        <w:t xml:space="preserve">. The rule of law and access to justice activities have been the most successful in providing relevant sectoral analysis that formed the basis for improved relations and program engagement with justice sector actors (e.g. the Union Attorney General’s </w:t>
      </w:r>
      <w:r>
        <w:rPr>
          <w:rFonts w:ascii="Franklin Gothic Book" w:hAnsi="Franklin Gothic Book"/>
          <w:sz w:val="21"/>
        </w:rPr>
        <w:t xml:space="preserve">Office and the Supreme Court). </w:t>
      </w:r>
    </w:p>
    <w:p w:rsidR="00E71C4F" w:rsidRDefault="0034587F" w:rsidP="00803547">
      <w:pPr>
        <w:spacing w:after="120" w:line="260" w:lineRule="exact"/>
        <w:rPr>
          <w:rFonts w:ascii="Franklin Gothic Book" w:hAnsi="Franklin Gothic Book"/>
          <w:sz w:val="21"/>
        </w:rPr>
      </w:pPr>
      <w:r>
        <w:rPr>
          <w:rFonts w:ascii="Franklin Gothic Book" w:hAnsi="Franklin Gothic Book"/>
          <w:sz w:val="21"/>
        </w:rPr>
        <w:t>T</w:t>
      </w:r>
      <w:r w:rsidR="00E71C4F" w:rsidRPr="004057E0">
        <w:rPr>
          <w:rFonts w:ascii="Franklin Gothic Book" w:hAnsi="Franklin Gothic Book"/>
          <w:sz w:val="21"/>
        </w:rPr>
        <w:t>he UNDP program has made limited progress in its 18 months. The breadth of the objectives appears to have limited UNDP’s ability to identify</w:t>
      </w:r>
      <w:r w:rsidR="00724F90">
        <w:rPr>
          <w:rFonts w:ascii="Franklin Gothic Book" w:hAnsi="Franklin Gothic Book"/>
          <w:sz w:val="21"/>
        </w:rPr>
        <w:t xml:space="preserve"> and support relevant reforms. </w:t>
      </w:r>
      <w:r w:rsidR="00E71C4F" w:rsidRPr="004057E0">
        <w:rPr>
          <w:rFonts w:ascii="Franklin Gothic Book" w:hAnsi="Franklin Gothic Book"/>
          <w:sz w:val="21"/>
        </w:rPr>
        <w:t xml:space="preserve">For example, UNDP is working with the Union Civil Service Board as the key counterpart for Public Administration Reform (PAR), yet the President’s Office has since created a separate Delivery Unit which has become the </w:t>
      </w:r>
      <w:r w:rsidR="00E71C4F">
        <w:rPr>
          <w:rFonts w:ascii="Franklin Gothic Book" w:hAnsi="Franklin Gothic Book"/>
          <w:sz w:val="21"/>
        </w:rPr>
        <w:t>f</w:t>
      </w:r>
      <w:r w:rsidR="00E71C4F" w:rsidRPr="004057E0">
        <w:rPr>
          <w:rFonts w:ascii="Franklin Gothic Book" w:hAnsi="Franklin Gothic Book"/>
          <w:sz w:val="21"/>
        </w:rPr>
        <w:t>ocus of PAR efforts. At our suggestion, the UNDP will undertake a program evaluation early 2015, which will help inform future f</w:t>
      </w:r>
      <w:r w:rsidR="00E71C4F">
        <w:rPr>
          <w:rFonts w:ascii="Franklin Gothic Book" w:hAnsi="Franklin Gothic Book"/>
          <w:sz w:val="21"/>
        </w:rPr>
        <w:t>u</w:t>
      </w:r>
      <w:r w:rsidR="00E71C4F" w:rsidRPr="004057E0">
        <w:rPr>
          <w:rFonts w:ascii="Franklin Gothic Book" w:hAnsi="Franklin Gothic Book"/>
          <w:sz w:val="21"/>
        </w:rPr>
        <w:t>nding decisions.</w:t>
      </w:r>
    </w:p>
    <w:p w:rsidR="00E71C4F" w:rsidRDefault="00E71C4F" w:rsidP="00803547">
      <w:pPr>
        <w:spacing w:after="120" w:line="260" w:lineRule="exact"/>
        <w:rPr>
          <w:rFonts w:ascii="Franklin Gothic Book" w:hAnsi="Franklin Gothic Book"/>
          <w:sz w:val="21"/>
        </w:rPr>
      </w:pPr>
      <w:r w:rsidRPr="00AE26E6">
        <w:rPr>
          <w:rFonts w:ascii="Franklin Gothic Book" w:hAnsi="Franklin Gothic Book"/>
          <w:sz w:val="21"/>
        </w:rPr>
        <w:t>Australia</w:t>
      </w:r>
      <w:r w:rsidR="00810853">
        <w:rPr>
          <w:rFonts w:ascii="Franklin Gothic Book" w:hAnsi="Franklin Gothic Book"/>
          <w:sz w:val="21"/>
        </w:rPr>
        <w:t>’s support</w:t>
      </w:r>
      <w:r w:rsidRPr="00AE26E6">
        <w:rPr>
          <w:rFonts w:ascii="Franklin Gothic Book" w:hAnsi="Franklin Gothic Book"/>
          <w:sz w:val="21"/>
        </w:rPr>
        <w:t xml:space="preserve"> to the Revenue Watch Institute (RWI)</w:t>
      </w:r>
      <w:r w:rsidR="00810853" w:rsidRPr="00810853">
        <w:rPr>
          <w:rFonts w:ascii="Franklin Gothic Book" w:hAnsi="Franklin Gothic Book"/>
          <w:sz w:val="21"/>
        </w:rPr>
        <w:t xml:space="preserve"> </w:t>
      </w:r>
      <w:r w:rsidR="00810853">
        <w:rPr>
          <w:rFonts w:ascii="Franklin Gothic Book" w:hAnsi="Franklin Gothic Book"/>
          <w:sz w:val="21"/>
        </w:rPr>
        <w:t>(</w:t>
      </w:r>
      <w:r w:rsidR="00810853" w:rsidRPr="00AE26E6">
        <w:rPr>
          <w:rFonts w:ascii="Franklin Gothic Book" w:hAnsi="Franklin Gothic Book"/>
          <w:sz w:val="21"/>
        </w:rPr>
        <w:t>$500,000</w:t>
      </w:r>
      <w:r w:rsidR="00810853">
        <w:rPr>
          <w:rFonts w:ascii="Franklin Gothic Book" w:hAnsi="Franklin Gothic Book"/>
          <w:sz w:val="21"/>
        </w:rPr>
        <w:t xml:space="preserve">, </w:t>
      </w:r>
      <w:r w:rsidR="00810853" w:rsidRPr="00AE26E6">
        <w:rPr>
          <w:rFonts w:ascii="Franklin Gothic Book" w:hAnsi="Franklin Gothic Book"/>
          <w:sz w:val="21"/>
        </w:rPr>
        <w:t>2013-15)</w:t>
      </w:r>
      <w:r w:rsidRPr="00AE26E6">
        <w:rPr>
          <w:rFonts w:ascii="Franklin Gothic Book" w:hAnsi="Franklin Gothic Book"/>
          <w:sz w:val="21"/>
        </w:rPr>
        <w:t xml:space="preserve"> </w:t>
      </w:r>
      <w:r w:rsidR="00810853">
        <w:rPr>
          <w:rFonts w:ascii="Franklin Gothic Book" w:hAnsi="Franklin Gothic Book"/>
          <w:sz w:val="21"/>
        </w:rPr>
        <w:t>helped</w:t>
      </w:r>
      <w:r w:rsidR="00810853" w:rsidRPr="00AE26E6">
        <w:rPr>
          <w:rFonts w:ascii="Franklin Gothic Book" w:hAnsi="Franklin Gothic Book"/>
          <w:sz w:val="21"/>
        </w:rPr>
        <w:t xml:space="preserve"> </w:t>
      </w:r>
      <w:r w:rsidRPr="00AE26E6">
        <w:rPr>
          <w:rFonts w:ascii="Franklin Gothic Book" w:hAnsi="Franklin Gothic Book"/>
          <w:sz w:val="21"/>
        </w:rPr>
        <w:t xml:space="preserve">improve transparency and accountability for natural resource management. RWI helped local civil society to engage in extractives governance, </w:t>
      </w:r>
      <w:r w:rsidR="00810853">
        <w:rPr>
          <w:rFonts w:ascii="Franklin Gothic Book" w:hAnsi="Franklin Gothic Book"/>
          <w:sz w:val="21"/>
        </w:rPr>
        <w:t>including i</w:t>
      </w:r>
      <w:r w:rsidRPr="00AE26E6">
        <w:rPr>
          <w:rFonts w:ascii="Franklin Gothic Book" w:hAnsi="Franklin Gothic Book"/>
          <w:sz w:val="21"/>
        </w:rPr>
        <w:t>n the implementation of the Extractive Industries Transparency Initiative (EITI) process.</w:t>
      </w:r>
      <w:r>
        <w:rPr>
          <w:rFonts w:ascii="Franklin Gothic Book" w:hAnsi="Franklin Gothic Book"/>
          <w:sz w:val="21"/>
        </w:rPr>
        <w:t xml:space="preserve"> </w:t>
      </w:r>
      <w:r w:rsidRPr="00AE26E6">
        <w:rPr>
          <w:rFonts w:ascii="Franklin Gothic Book" w:hAnsi="Franklin Gothic Book"/>
          <w:sz w:val="21"/>
        </w:rPr>
        <w:t>Burma was recently accepted into the EITI process, help</w:t>
      </w:r>
      <w:r w:rsidR="00810853">
        <w:rPr>
          <w:rFonts w:ascii="Franklin Gothic Book" w:hAnsi="Franklin Gothic Book"/>
          <w:sz w:val="21"/>
        </w:rPr>
        <w:t>ing</w:t>
      </w:r>
      <w:r w:rsidRPr="00AE26E6">
        <w:rPr>
          <w:rFonts w:ascii="Franklin Gothic Book" w:hAnsi="Franklin Gothic Book"/>
          <w:sz w:val="21"/>
        </w:rPr>
        <w:t xml:space="preserve"> ensure Burma’s people have the right to see how resources are managed.</w:t>
      </w:r>
    </w:p>
    <w:p w:rsidR="00E71C4F" w:rsidRPr="001375E3" w:rsidRDefault="00E71C4F" w:rsidP="000D733F">
      <w:pPr>
        <w:pStyle w:val="Heading3"/>
        <w:rPr>
          <w:rStyle w:val="BodyTextChar"/>
          <w:b w:val="0"/>
          <w:color w:val="auto"/>
        </w:rPr>
      </w:pPr>
      <w:r w:rsidRPr="009E38C1">
        <w:rPr>
          <w:b w:val="0"/>
          <w:color w:val="007FAD"/>
          <w:sz w:val="28"/>
          <w:szCs w:val="28"/>
          <w:lang w:eastAsia="en-AU"/>
        </w:rPr>
        <w:t>Mutual Obligations</w:t>
      </w:r>
    </w:p>
    <w:p w:rsidR="00E71C4F" w:rsidRPr="00843905" w:rsidRDefault="007B5BC6" w:rsidP="00803547">
      <w:pPr>
        <w:pStyle w:val="BodyText"/>
        <w:spacing w:after="120" w:line="260" w:lineRule="exact"/>
      </w:pPr>
      <w:r>
        <w:t>Australia and the Myanmar</w:t>
      </w:r>
      <w:r w:rsidRPr="00272A65">
        <w:t xml:space="preserve"> </w:t>
      </w:r>
      <w:r>
        <w:t xml:space="preserve">Government have </w:t>
      </w:r>
      <w:r w:rsidRPr="009F265F">
        <w:t xml:space="preserve">a </w:t>
      </w:r>
      <w:r>
        <w:t>M</w:t>
      </w:r>
      <w:r w:rsidRPr="009F265F">
        <w:t xml:space="preserve">emorandum of </w:t>
      </w:r>
      <w:r>
        <w:t>U</w:t>
      </w:r>
      <w:r w:rsidRPr="009F265F">
        <w:t>nderstanding</w:t>
      </w:r>
      <w:r>
        <w:t xml:space="preserve"> on development cooperation</w:t>
      </w:r>
      <w:r w:rsidRPr="009F265F">
        <w:t xml:space="preserve"> </w:t>
      </w:r>
      <w:r>
        <w:t xml:space="preserve">and conducted </w:t>
      </w:r>
      <w:r w:rsidRPr="009F265F">
        <w:t xml:space="preserve">the </w:t>
      </w:r>
      <w:r>
        <w:t>first round of</w:t>
      </w:r>
      <w:r w:rsidRPr="009F265F">
        <w:t xml:space="preserve"> High-Level Consultations on </w:t>
      </w:r>
      <w:r w:rsidR="00A817CB">
        <w:t xml:space="preserve">targeting of </w:t>
      </w:r>
      <w:r>
        <w:t>Australia</w:t>
      </w:r>
      <w:r w:rsidR="00A817CB">
        <w:t>n development</w:t>
      </w:r>
      <w:r>
        <w:t xml:space="preserve"> assistance on 29 July 201</w:t>
      </w:r>
      <w:r w:rsidR="00C76228">
        <w:t>3</w:t>
      </w:r>
      <w:r>
        <w:t xml:space="preserve">. </w:t>
      </w:r>
      <w:r w:rsidR="00942B9A">
        <w:t xml:space="preserve">The Myanmar Government’s </w:t>
      </w:r>
      <w:r w:rsidR="00B41813">
        <w:t xml:space="preserve">broad ranging reform </w:t>
      </w:r>
      <w:r w:rsidR="00942B9A">
        <w:t>priorities</w:t>
      </w:r>
      <w:r w:rsidR="00B41813">
        <w:t xml:space="preserve"> for 2012-15</w:t>
      </w:r>
      <w:r w:rsidR="00942B9A">
        <w:t xml:space="preserve"> </w:t>
      </w:r>
      <w:r w:rsidR="00942B9A" w:rsidRPr="006E22C3">
        <w:t>and guiding principles f</w:t>
      </w:r>
      <w:r w:rsidR="00B41813">
        <w:t>or longer-term development</w:t>
      </w:r>
      <w:r w:rsidR="00942B9A">
        <w:t xml:space="preserve"> </w:t>
      </w:r>
      <w:r w:rsidR="00942B9A">
        <w:lastRenderedPageBreak/>
        <w:t xml:space="preserve">are articulated </w:t>
      </w:r>
      <w:r w:rsidR="00C76228">
        <w:t>in</w:t>
      </w:r>
      <w:r w:rsidR="00942B9A">
        <w:t xml:space="preserve"> </w:t>
      </w:r>
      <w:r w:rsidR="00942B9A" w:rsidRPr="006E22C3">
        <w:t>the Framework for Ec</w:t>
      </w:r>
      <w:r w:rsidR="00942B9A">
        <w:t xml:space="preserve">onomic and Social Reform (FESR). </w:t>
      </w:r>
      <w:r w:rsidR="00C76228">
        <w:t>F</w:t>
      </w:r>
      <w:r w:rsidR="00A14349">
        <w:t xml:space="preserve">ramework </w:t>
      </w:r>
      <w:r w:rsidR="00C76228">
        <w:t xml:space="preserve">priorities </w:t>
      </w:r>
      <w:r w:rsidR="00A14349">
        <w:t xml:space="preserve">include creating conditions for economic growth through improved education and health services; improving the investment climate; and maintaining the momentum for peace. </w:t>
      </w:r>
      <w:r>
        <w:t xml:space="preserve">While </w:t>
      </w:r>
      <w:r w:rsidR="00E71C4F">
        <w:t xml:space="preserve">Australia’s aid program </w:t>
      </w:r>
      <w:r w:rsidR="00A14349">
        <w:t xml:space="preserve">is responsive to these </w:t>
      </w:r>
      <w:r>
        <w:t xml:space="preserve">broad </w:t>
      </w:r>
      <w:r w:rsidR="00A14349">
        <w:t>priorities and Burma’s rapidly changing context</w:t>
      </w:r>
      <w:r>
        <w:t xml:space="preserve">, </w:t>
      </w:r>
      <w:r w:rsidR="00583F49">
        <w:t xml:space="preserve">during the consultations </w:t>
      </w:r>
      <w:r>
        <w:t>senior Australian officials highlighted the need for a more targeted approach to ensure Australia’s support delivers real impact</w:t>
      </w:r>
      <w:r w:rsidR="00A14349">
        <w:t>.</w:t>
      </w:r>
      <w:r>
        <w:t xml:space="preserve"> Targeting of Australian assistance will be</w:t>
      </w:r>
      <w:r w:rsidR="00583F49">
        <w:t xml:space="preserve"> considered under the Aid Investment Plan to be developed by July 2015.</w:t>
      </w:r>
    </w:p>
    <w:p w:rsidR="00E71C4F" w:rsidRPr="001375E3" w:rsidRDefault="00E71C4F" w:rsidP="000D733F">
      <w:pPr>
        <w:pStyle w:val="Heading3"/>
        <w:rPr>
          <w:b w:val="0"/>
          <w:sz w:val="32"/>
          <w:szCs w:val="32"/>
        </w:rPr>
      </w:pPr>
      <w:r w:rsidRPr="009E38C1">
        <w:rPr>
          <w:b w:val="0"/>
          <w:color w:val="007FAD"/>
          <w:sz w:val="28"/>
          <w:szCs w:val="28"/>
          <w:lang w:eastAsia="en-AU"/>
        </w:rPr>
        <w:t>Program Quality and Management</w:t>
      </w:r>
    </w:p>
    <w:p w:rsidR="00E71C4F" w:rsidRDefault="00E71C4F" w:rsidP="00803547">
      <w:pPr>
        <w:pStyle w:val="ListBullet"/>
        <w:numPr>
          <w:ilvl w:val="0"/>
          <w:numId w:val="0"/>
        </w:numPr>
        <w:spacing w:line="260" w:lineRule="exact"/>
      </w:pPr>
      <w:r>
        <w:t xml:space="preserve">In February 2014 a new </w:t>
      </w:r>
      <w:r w:rsidR="00713571">
        <w:t>Performance Assessment F</w:t>
      </w:r>
      <w:r>
        <w:t>ramework (PAF) was developed to frame the progress of Australia’s aid objectives. While broadly useful in terms of guiding performance reporting, in practice the PAF has some problems. Outcome reporting between objectives is inconsistent</w:t>
      </w:r>
      <w:r w:rsidR="00810853">
        <w:t xml:space="preserve"> and</w:t>
      </w:r>
      <w:r w:rsidRPr="00432C48">
        <w:t xml:space="preserve"> </w:t>
      </w:r>
      <w:r w:rsidR="00810853">
        <w:t>i</w:t>
      </w:r>
      <w:r>
        <w:t xml:space="preserve">n some cases PAF objectives are too high-level. </w:t>
      </w:r>
      <w:r w:rsidR="00810853">
        <w:t>A</w:t>
      </w:r>
      <w:r>
        <w:t xml:space="preserve"> number of milestones </w:t>
      </w:r>
      <w:r w:rsidRPr="00FA05F2">
        <w:t xml:space="preserve">were beyond </w:t>
      </w:r>
      <w:r w:rsidR="00810853">
        <w:t>Australia’s</w:t>
      </w:r>
      <w:r w:rsidRPr="00FA05F2">
        <w:t xml:space="preserve"> control and the rapidly changing context rendered other indicators irrelevant</w:t>
      </w:r>
      <w:r w:rsidR="00C76228">
        <w:t>.</w:t>
      </w:r>
      <w:r w:rsidRPr="00FA05F2">
        <w:rPr>
          <w:rStyle w:val="EndnoteReference"/>
        </w:rPr>
        <w:endnoteReference w:id="74"/>
      </w:r>
      <w:r>
        <w:t xml:space="preserve"> The milestones for 2014-15 will be adjusted to ensure they are appropriate and provide an effective measure of Australia’s contributions.</w:t>
      </w:r>
    </w:p>
    <w:p w:rsidR="00450AE0" w:rsidRPr="00126560" w:rsidRDefault="00450AE0" w:rsidP="00803547">
      <w:pPr>
        <w:pStyle w:val="ListBullet"/>
        <w:numPr>
          <w:ilvl w:val="0"/>
          <w:numId w:val="0"/>
        </w:numPr>
        <w:spacing w:line="260" w:lineRule="exact"/>
      </w:pPr>
      <w:r>
        <w:t>Availability of</w:t>
      </w:r>
      <w:r w:rsidRPr="00F36625">
        <w:t xml:space="preserve"> reliable data </w:t>
      </w:r>
      <w:r>
        <w:t>(including gender-disaggregated data) in Burma remains</w:t>
      </w:r>
      <w:r w:rsidRPr="00F36625">
        <w:t xml:space="preserve"> a consistent </w:t>
      </w:r>
      <w:r>
        <w:t>challenge</w:t>
      </w:r>
      <w:r w:rsidRPr="00F36625">
        <w:t xml:space="preserve"> across all program areas</w:t>
      </w:r>
      <w:r>
        <w:t>.</w:t>
      </w:r>
      <w:r w:rsidRPr="00126560">
        <w:t xml:space="preserve"> </w:t>
      </w:r>
      <w:r>
        <w:t>For example, l</w:t>
      </w:r>
      <w:r w:rsidRPr="00126560">
        <w:t>imited data</w:t>
      </w:r>
      <w:r>
        <w:t xml:space="preserve"> in the education sector prevented</w:t>
      </w:r>
      <w:r w:rsidRPr="00126560">
        <w:t xml:space="preserve"> a clear assessment </w:t>
      </w:r>
      <w:r>
        <w:t>of</w:t>
      </w:r>
      <w:r w:rsidR="00810853">
        <w:t xml:space="preserve"> key targets including</w:t>
      </w:r>
      <w:r>
        <w:t xml:space="preserve"> the </w:t>
      </w:r>
      <w:r w:rsidRPr="00126560">
        <w:t>net primary enrolment rate</w:t>
      </w:r>
      <w:r w:rsidR="00810853">
        <w:t>.</w:t>
      </w:r>
      <w:r w:rsidRPr="005F246E">
        <w:rPr>
          <w:rStyle w:val="EndnoteReference"/>
        </w:rPr>
        <w:endnoteReference w:id="75"/>
      </w:r>
      <w:r w:rsidRPr="005F246E">
        <w:t xml:space="preserve"> National</w:t>
      </w:r>
      <w:r w:rsidRPr="00126560">
        <w:t xml:space="preserve"> data to assess progress has not been received due to delays in the compilation of Ministry of Education data, and it is too early in the MEC program to </w:t>
      </w:r>
      <w:r>
        <w:t>measure impact from activities.</w:t>
      </w:r>
    </w:p>
    <w:p w:rsidR="00E71C4F" w:rsidRDefault="00E71C4F" w:rsidP="00803547">
      <w:pPr>
        <w:pStyle w:val="BodyText"/>
        <w:spacing w:after="120" w:line="260" w:lineRule="exact"/>
      </w:pPr>
      <w:r w:rsidRPr="007B66D3">
        <w:rPr>
          <w:i/>
        </w:rPr>
        <w:t>The Australi</w:t>
      </w:r>
      <w:r>
        <w:rPr>
          <w:i/>
        </w:rPr>
        <w:t xml:space="preserve">a-Myanmar Aid Program Strategy </w:t>
      </w:r>
      <w:r w:rsidRPr="007B66D3">
        <w:rPr>
          <w:i/>
        </w:rPr>
        <w:t>2012-</w:t>
      </w:r>
      <w:r>
        <w:rPr>
          <w:i/>
        </w:rPr>
        <w:t>20</w:t>
      </w:r>
      <w:r w:rsidRPr="007B66D3">
        <w:rPr>
          <w:i/>
        </w:rPr>
        <w:t>14</w:t>
      </w:r>
      <w:r>
        <w:t xml:space="preserve"> will be extended into 2015. This strategy will be replaced by an Aid Investment Plan (AIP) which will include performance benchmarks from 2015-16 onwards. </w:t>
      </w:r>
      <w:r w:rsidRPr="008F368A">
        <w:t>Annex D outlines revised objectives and benchmarks which will be reported in next year’s APPR</w:t>
      </w:r>
      <w:r w:rsidR="00FF33FA">
        <w:t xml:space="preserve"> as an interim measure</w:t>
      </w:r>
      <w:r w:rsidRPr="008F368A">
        <w:t>.</w:t>
      </w:r>
    </w:p>
    <w:p w:rsidR="001C750C" w:rsidRPr="009019DA" w:rsidRDefault="00E71C4F" w:rsidP="00803547">
      <w:pPr>
        <w:pStyle w:val="ListBullet"/>
        <w:numPr>
          <w:ilvl w:val="0"/>
          <w:numId w:val="0"/>
        </w:numPr>
        <w:spacing w:line="260" w:lineRule="exact"/>
      </w:pPr>
      <w:r w:rsidRPr="009019DA">
        <w:t xml:space="preserve">On 3 April 2014, the </w:t>
      </w:r>
      <w:r>
        <w:t xml:space="preserve">DFAT </w:t>
      </w:r>
      <w:r w:rsidRPr="009019DA">
        <w:t xml:space="preserve">Aid Investment Committee met to discuss the Burma aid forward pipeline. While rapid scale up in Australian assistance to Burma </w:t>
      </w:r>
      <w:r w:rsidR="00810853">
        <w:t>was</w:t>
      </w:r>
      <w:r>
        <w:t xml:space="preserve"> recognised as </w:t>
      </w:r>
      <w:r w:rsidRPr="009019DA">
        <w:t xml:space="preserve">appropriate, </w:t>
      </w:r>
      <w:r>
        <w:t>reducing</w:t>
      </w:r>
      <w:r w:rsidRPr="009019DA">
        <w:t xml:space="preserve"> program fragmentation and further consolidation remain </w:t>
      </w:r>
      <w:r>
        <w:t>essential</w:t>
      </w:r>
      <w:r w:rsidRPr="009019DA">
        <w:t xml:space="preserve">. In a country </w:t>
      </w:r>
      <w:r>
        <w:t>of significant need</w:t>
      </w:r>
      <w:r w:rsidRPr="009019DA">
        <w:t xml:space="preserve">, careful targeting of aid will continue to be important to avoid dilution of impact and profile. New development </w:t>
      </w:r>
      <w:r w:rsidRPr="00BC3DEF">
        <w:t>players</w:t>
      </w:r>
      <w:r w:rsidRPr="009019DA">
        <w:t xml:space="preserve"> across all sectors enable Australia to reconsider the sectoral spread of our program over the forward pipeline</w:t>
      </w:r>
      <w:r>
        <w:t xml:space="preserve"> and opportunities </w:t>
      </w:r>
      <w:r w:rsidRPr="00D02EFD">
        <w:t>to furth</w:t>
      </w:r>
      <w:r>
        <w:t>er align with new Australian G</w:t>
      </w:r>
      <w:r w:rsidRPr="00D02EFD">
        <w:t>overnment pr</w:t>
      </w:r>
      <w:r>
        <w:t>iorities.</w:t>
      </w:r>
      <w:r w:rsidRPr="00BC3DEF">
        <w:rPr>
          <w:rStyle w:val="EndnoteReference"/>
        </w:rPr>
        <w:endnoteReference w:id="76"/>
      </w:r>
      <w:r w:rsidRPr="009019DA">
        <w:t xml:space="preserve"> </w:t>
      </w:r>
      <w:bookmarkStart w:id="2" w:name="_Toc373853206"/>
      <w:r w:rsidR="001C750C" w:rsidRPr="009019DA">
        <w:t>Focusing on strengthening systems of governance, building national and institutional capacity and supporting political reforms, will help enable the government of the day.</w:t>
      </w:r>
    </w:p>
    <w:p w:rsidR="00E71C4F" w:rsidRPr="00E71C4F" w:rsidRDefault="0070682B" w:rsidP="00803547">
      <w:pPr>
        <w:pStyle w:val="ListBullet"/>
        <w:numPr>
          <w:ilvl w:val="0"/>
          <w:numId w:val="0"/>
        </w:numPr>
        <w:spacing w:line="260" w:lineRule="exact"/>
      </w:pPr>
      <w:r w:rsidRPr="009019DA">
        <w:t xml:space="preserve">In line with the </w:t>
      </w:r>
      <w:r w:rsidR="009019DA">
        <w:t xml:space="preserve">Australian </w:t>
      </w:r>
      <w:r w:rsidR="00D02EFD">
        <w:t>G</w:t>
      </w:r>
      <w:r w:rsidRPr="009019DA">
        <w:t>overnment’s new development policy and performance framework, the Burma Program ma</w:t>
      </w:r>
      <w:r w:rsidR="0062316B" w:rsidRPr="009019DA">
        <w:t>de</w:t>
      </w:r>
      <w:r w:rsidRPr="009019DA">
        <w:t xml:space="preserve"> modest but steady progress toward reducing the numbe</w:t>
      </w:r>
      <w:r w:rsidR="00CE00C3" w:rsidRPr="009019DA">
        <w:t>r of individual investments</w:t>
      </w:r>
      <w:r w:rsidRPr="009019DA">
        <w:t>. The average investment size for Burma increased from 9.6 per cent of total expenditure in June 2012 to 15.2 per cent in June 2014</w:t>
      </w:r>
      <w:r w:rsidR="00A817CB">
        <w:t xml:space="preserve"> and over 90 per cent of programmed funds are currently invested in high-value </w:t>
      </w:r>
      <w:r w:rsidR="00E375F5">
        <w:t xml:space="preserve">investments </w:t>
      </w:r>
      <w:r w:rsidR="00A817CB">
        <w:t>worth over $10 million</w:t>
      </w:r>
      <w:r w:rsidRPr="009019DA">
        <w:t>.</w:t>
      </w:r>
    </w:p>
    <w:p w:rsidR="00FF33FA" w:rsidRPr="00794DE2" w:rsidRDefault="00FF33FA" w:rsidP="00803547">
      <w:pPr>
        <w:pStyle w:val="ListBullet"/>
        <w:numPr>
          <w:ilvl w:val="0"/>
          <w:numId w:val="0"/>
        </w:numPr>
        <w:spacing w:line="260" w:lineRule="exact"/>
      </w:pPr>
      <w:r w:rsidRPr="003C6A70">
        <w:t>Australia</w:t>
      </w:r>
      <w:r>
        <w:t xml:space="preserve"> is</w:t>
      </w:r>
      <w:r w:rsidRPr="003C6A70">
        <w:t xml:space="preserve"> committed to supporting women and promoting gender equality in </w:t>
      </w:r>
      <w:r>
        <w:t xml:space="preserve">Australia’s </w:t>
      </w:r>
      <w:r w:rsidRPr="003C6A70">
        <w:t xml:space="preserve">aid </w:t>
      </w:r>
      <w:r>
        <w:t>to Burma</w:t>
      </w:r>
      <w:r w:rsidR="00794DE2">
        <w:t>. W</w:t>
      </w:r>
      <w:r>
        <w:t xml:space="preserve">omen in </w:t>
      </w:r>
      <w:r w:rsidRPr="00DF029D">
        <w:t xml:space="preserve">Burma have the same basic rights as men, with women represented in the professional sphere and </w:t>
      </w:r>
      <w:r>
        <w:t xml:space="preserve">parity in </w:t>
      </w:r>
      <w:r w:rsidRPr="00DF029D">
        <w:t>primary school enrolment rates</w:t>
      </w:r>
      <w:r w:rsidR="00794DE2">
        <w:t>. However, these statistics mask</w:t>
      </w:r>
      <w:r>
        <w:t xml:space="preserve"> </w:t>
      </w:r>
      <w:r w:rsidR="00794DE2">
        <w:t>an</w:t>
      </w:r>
      <w:r w:rsidRPr="00DF029D">
        <w:t xml:space="preserve"> entrenched gender disparity</w:t>
      </w:r>
      <w:r>
        <w:t>. W</w:t>
      </w:r>
      <w:r w:rsidRPr="00DF029D">
        <w:t xml:space="preserve">omen </w:t>
      </w:r>
      <w:r>
        <w:t xml:space="preserve">are </w:t>
      </w:r>
      <w:r w:rsidRPr="00DF029D">
        <w:t>often relegated to lower paying and less influential professional roles and struggl</w:t>
      </w:r>
      <w:r>
        <w:t>e</w:t>
      </w:r>
      <w:r w:rsidRPr="00DF029D">
        <w:t xml:space="preserve"> to effectively participate in and influence the reform agenda. </w:t>
      </w:r>
      <w:r w:rsidRPr="00794DE2">
        <w:t>Burma’s laws remain largely inconsistent with the promotion and protection of women’s rights to substantive equality, despite acceding to the Convention on the Elimination of All Forms of Discrimination Against Women (CEDAW) in 1997 and recently developing a National Strategic Plan for the Advancement of Women (2013-22).</w:t>
      </w:r>
    </w:p>
    <w:p w:rsidR="00B5029A" w:rsidRDefault="00713439" w:rsidP="00803547">
      <w:pPr>
        <w:pStyle w:val="ListBullet"/>
        <w:numPr>
          <w:ilvl w:val="0"/>
          <w:numId w:val="0"/>
        </w:numPr>
        <w:spacing w:line="260" w:lineRule="exact"/>
      </w:pPr>
      <w:r>
        <w:t xml:space="preserve">While </w:t>
      </w:r>
      <w:r w:rsidR="00857FF3" w:rsidRPr="003C6A70">
        <w:t>Australia’s activities responded to violence against women and girls</w:t>
      </w:r>
      <w:r>
        <w:rPr>
          <w:rStyle w:val="EndnoteReference"/>
        </w:rPr>
        <w:endnoteReference w:id="77"/>
      </w:r>
      <w:r>
        <w:t xml:space="preserve"> </w:t>
      </w:r>
      <w:r w:rsidR="00B5029A">
        <w:t xml:space="preserve">and supported improved education outcomes, </w:t>
      </w:r>
      <w:r>
        <w:t>p</w:t>
      </w:r>
      <w:r w:rsidR="00FF33FA">
        <w:t xml:space="preserve">rogress to improve gender integration and the quality of gender data </w:t>
      </w:r>
      <w:r w:rsidR="00794DE2">
        <w:t>across</w:t>
      </w:r>
      <w:r w:rsidR="00FF33FA">
        <w:t xml:space="preserve"> Australia’s programs</w:t>
      </w:r>
      <w:r w:rsidR="00794DE2">
        <w:t xml:space="preserve"> in Burma</w:t>
      </w:r>
      <w:r w:rsidR="00FF33FA">
        <w:t xml:space="preserve"> has been mixed</w:t>
      </w:r>
      <w:r w:rsidR="00FF33FA" w:rsidRPr="003C6A70">
        <w:t xml:space="preserve"> and too slow</w:t>
      </w:r>
      <w:r w:rsidR="00794DE2">
        <w:t>.</w:t>
      </w:r>
      <w:r w:rsidR="00794DE2" w:rsidRPr="00794DE2">
        <w:t xml:space="preserve"> More needs to be </w:t>
      </w:r>
      <w:r w:rsidR="00794DE2" w:rsidRPr="00794DE2">
        <w:lastRenderedPageBreak/>
        <w:t>done to promote girls and women as equal beneficiaries of the reform underway, and to leverage thi</w:t>
      </w:r>
      <w:r w:rsidR="00794DE2">
        <w:t>s 5</w:t>
      </w:r>
      <w:r w:rsidR="0034587F">
        <w:t>1.8</w:t>
      </w:r>
      <w:r w:rsidR="00794DE2">
        <w:t xml:space="preserve"> per</w:t>
      </w:r>
      <w:r w:rsidR="00F968CA">
        <w:t xml:space="preserve"> </w:t>
      </w:r>
      <w:r w:rsidR="00794DE2" w:rsidRPr="00794DE2">
        <w:t>cent of the population to drive development and economic growth. The capacity of Burmese civil society organisations and government institutions to engage on gender issues is limited, as it has not been viewed as a priority to date by the Myanmar Government or local organisations.</w:t>
      </w:r>
      <w:r w:rsidR="00B5029A">
        <w:t xml:space="preserve"> This has made it hard to find entry points to improve development outcomes for girls and women across all sectors. Australia is supporting improved education outcomes</w:t>
      </w:r>
      <w:r w:rsidR="00F968CA">
        <w:t>,</w:t>
      </w:r>
      <w:r w:rsidR="00B5029A">
        <w:t xml:space="preserve"> engagement in the peace process, economic empowerment, and improved health outcomes for women and girls. The interventions are however small scale, with only 34</w:t>
      </w:r>
      <w:r w:rsidR="00F968CA">
        <w:t xml:space="preserve"> per cent</w:t>
      </w:r>
      <w:r w:rsidR="00B5029A">
        <w:t xml:space="preserve"> of investments in 2013-14 identify gender equality as a significant objective.</w:t>
      </w:r>
    </w:p>
    <w:p w:rsidR="00794DE2" w:rsidRPr="00794DE2" w:rsidRDefault="00794DE2" w:rsidP="00803547">
      <w:pPr>
        <w:pStyle w:val="ListBullet"/>
        <w:numPr>
          <w:ilvl w:val="0"/>
          <w:numId w:val="0"/>
        </w:numPr>
        <w:spacing w:line="260" w:lineRule="exact"/>
      </w:pPr>
      <w:r w:rsidRPr="00794DE2">
        <w:t xml:space="preserve">In 2014-15, Australia will prioritise promoting women’s economic empowerment </w:t>
      </w:r>
      <w:r w:rsidR="00713439">
        <w:t>and continue to push implement</w:t>
      </w:r>
      <w:r w:rsidR="00F968CA">
        <w:t>ing</w:t>
      </w:r>
      <w:r w:rsidR="00713439">
        <w:t xml:space="preserve"> partners to improve gender reporting</w:t>
      </w:r>
      <w:r w:rsidRPr="00794DE2">
        <w:t>.</w:t>
      </w:r>
      <w:r w:rsidR="00B5029A">
        <w:t xml:space="preserve"> Australia will revisit gender analysis to better understand the Burmese context, build partner capacity for gender reporting and develop a more consistent approach across all sectors </w:t>
      </w:r>
      <w:r w:rsidR="00F968CA">
        <w:t>in</w:t>
      </w:r>
      <w:r w:rsidR="00B5029A">
        <w:t xml:space="preserve"> addressing gender.</w:t>
      </w:r>
    </w:p>
    <w:p w:rsidR="000D733F" w:rsidRPr="00450AE0" w:rsidRDefault="000D733F" w:rsidP="00450AE0">
      <w:pPr>
        <w:pStyle w:val="ListBullet"/>
        <w:numPr>
          <w:ilvl w:val="0"/>
          <w:numId w:val="0"/>
        </w:numPr>
        <w:spacing w:before="120"/>
        <w:rPr>
          <w:rFonts w:ascii="Helvetica" w:hAnsi="Helvetica" w:cs="Arial"/>
          <w:b/>
          <w:color w:val="124486"/>
          <w:kern w:val="28"/>
          <w:sz w:val="22"/>
          <w:szCs w:val="22"/>
          <w:lang w:eastAsia="zh-CN"/>
        </w:rPr>
      </w:pPr>
      <w:r w:rsidRPr="00450AE0">
        <w:rPr>
          <w:rFonts w:ascii="Helvetica" w:hAnsi="Helvetica" w:cs="Arial"/>
          <w:b/>
          <w:color w:val="124486"/>
          <w:kern w:val="28"/>
          <w:sz w:val="22"/>
          <w:szCs w:val="22"/>
          <w:lang w:eastAsia="zh-CN"/>
        </w:rPr>
        <w:t xml:space="preserve">Analysis of Quality at Implementation </w:t>
      </w:r>
      <w:r w:rsidR="003D58C5">
        <w:rPr>
          <w:rFonts w:ascii="Helvetica" w:hAnsi="Helvetica" w:cs="Arial"/>
          <w:b/>
          <w:color w:val="124486"/>
          <w:kern w:val="28"/>
          <w:sz w:val="22"/>
          <w:szCs w:val="22"/>
          <w:lang w:eastAsia="zh-CN"/>
        </w:rPr>
        <w:t xml:space="preserve">(QAI) </w:t>
      </w:r>
      <w:r w:rsidRPr="00450AE0">
        <w:rPr>
          <w:rFonts w:ascii="Helvetica" w:hAnsi="Helvetica" w:cs="Arial"/>
          <w:b/>
          <w:color w:val="124486"/>
          <w:kern w:val="28"/>
          <w:sz w:val="22"/>
          <w:szCs w:val="22"/>
          <w:lang w:eastAsia="zh-CN"/>
        </w:rPr>
        <w:t>Reports</w:t>
      </w:r>
    </w:p>
    <w:p w:rsidR="00D727D6" w:rsidRDefault="000118D9" w:rsidP="00803547">
      <w:pPr>
        <w:pStyle w:val="ListBullet"/>
        <w:numPr>
          <w:ilvl w:val="0"/>
          <w:numId w:val="0"/>
        </w:numPr>
        <w:spacing w:line="260" w:lineRule="exact"/>
      </w:pPr>
      <w:r>
        <w:t>In 2013-14 QAI reports were completed for 8 activities.</w:t>
      </w:r>
      <w:r w:rsidR="007D16E9">
        <w:t xml:space="preserve"> Broadly</w:t>
      </w:r>
      <w:r w:rsidR="0024098A">
        <w:t xml:space="preserve">, QAI ratings in 2013-14 improved or remained static against 2012-13 ratings. </w:t>
      </w:r>
      <w:r w:rsidR="004870A4">
        <w:t xml:space="preserve">However, </w:t>
      </w:r>
      <w:r w:rsidR="003F5C07">
        <w:t>only two</w:t>
      </w:r>
      <w:r w:rsidR="004870A4">
        <w:t xml:space="preserve"> programs had </w:t>
      </w:r>
      <w:r w:rsidR="003F5C07">
        <w:t xml:space="preserve">significant </w:t>
      </w:r>
      <w:r w:rsidR="004870A4">
        <w:t xml:space="preserve">reduced </w:t>
      </w:r>
      <w:r w:rsidR="003F5C07">
        <w:t xml:space="preserve">or low </w:t>
      </w:r>
      <w:r w:rsidR="004870A4">
        <w:t>ratings</w:t>
      </w:r>
      <w:r w:rsidR="007C0136">
        <w:t xml:space="preserve"> which will be discussed here</w:t>
      </w:r>
      <w:r w:rsidR="004870A4">
        <w:t>.</w:t>
      </w:r>
    </w:p>
    <w:p w:rsidR="00C552A5" w:rsidRDefault="00E71C4F" w:rsidP="00803547">
      <w:pPr>
        <w:pStyle w:val="ListBullet"/>
        <w:numPr>
          <w:ilvl w:val="0"/>
          <w:numId w:val="0"/>
        </w:numPr>
        <w:spacing w:line="260" w:lineRule="exact"/>
      </w:pPr>
      <w:r>
        <w:t xml:space="preserve">The Multidisciplinary Research Program implemented by </w:t>
      </w:r>
      <w:r w:rsidR="00C552A5">
        <w:t xml:space="preserve">ACIAR </w:t>
      </w:r>
      <w:r w:rsidR="004870A4">
        <w:t>wa</w:t>
      </w:r>
      <w:r w:rsidR="00C552A5">
        <w:t xml:space="preserve">s the only program which received </w:t>
      </w:r>
      <w:r w:rsidR="003D1C52">
        <w:t xml:space="preserve">low </w:t>
      </w:r>
      <w:r w:rsidR="00C552A5">
        <w:t xml:space="preserve">ratings, consistent with </w:t>
      </w:r>
      <w:r>
        <w:t xml:space="preserve">ratings </w:t>
      </w:r>
      <w:r w:rsidR="00C552A5">
        <w:t>in the previous year</w:t>
      </w:r>
      <w:r w:rsidR="003D1C52">
        <w:t>,</w:t>
      </w:r>
      <w:r w:rsidR="00C552A5">
        <w:t xml:space="preserve"> marking the program an Investment Requiring Improvement. The program continues to be relevant to Burma’s needs in the sector, but effectiveness and efficiency are low (ratings of 2 respectively) due to the prolonged </w:t>
      </w:r>
      <w:r w:rsidR="003F5C07">
        <w:t xml:space="preserve">implementation </w:t>
      </w:r>
      <w:r w:rsidR="00C552A5">
        <w:t>delay</w:t>
      </w:r>
      <w:r w:rsidR="001B6B05">
        <w:t>.</w:t>
      </w:r>
      <w:r w:rsidR="00C552A5">
        <w:t xml:space="preserve"> ACIAR </w:t>
      </w:r>
      <w:r w:rsidR="000B0CA6">
        <w:t>will begin participating</w:t>
      </w:r>
      <w:r w:rsidR="00C552A5">
        <w:t xml:space="preserve"> in the high-level donor working groups in 2014-15, </w:t>
      </w:r>
      <w:r w:rsidR="000A6DF7">
        <w:t>supporting government policy and increasing</w:t>
      </w:r>
      <w:r w:rsidR="00C552A5">
        <w:t xml:space="preserve"> Australia’s engagement in the agriculture </w:t>
      </w:r>
      <w:r w:rsidR="001B6B05">
        <w:t>sector.</w:t>
      </w:r>
      <w:r w:rsidR="00C552A5">
        <w:t xml:space="preserve"> Gender equality received a low rating (2)</w:t>
      </w:r>
      <w:r w:rsidR="003D2A84">
        <w:t>. While the program design acknowledges the importance of gender considerations and anecdotal evidence suggests that women are benefiting from capacity building programs,</w:t>
      </w:r>
      <w:r w:rsidR="00C552A5">
        <w:t xml:space="preserve"> the program does not yet have a gender</w:t>
      </w:r>
      <w:r w:rsidR="003D2A84">
        <w:t xml:space="preserve"> strategy in place and gender-disaggregated data is not being reported</w:t>
      </w:r>
      <w:r w:rsidR="000A6DF7">
        <w:t>.</w:t>
      </w:r>
      <w:r w:rsidR="00C552A5">
        <w:t xml:space="preserve"> </w:t>
      </w:r>
      <w:r w:rsidR="000B0CA6">
        <w:t xml:space="preserve">A </w:t>
      </w:r>
      <w:r w:rsidR="00C552A5">
        <w:t xml:space="preserve">program gender strategy </w:t>
      </w:r>
      <w:r w:rsidR="000B0CA6">
        <w:t xml:space="preserve">will be prepared </w:t>
      </w:r>
      <w:r w:rsidR="00C552A5">
        <w:t>in 2014-15 and gender-disaggreg</w:t>
      </w:r>
      <w:r w:rsidR="001B6B05">
        <w:t xml:space="preserve">ated data </w:t>
      </w:r>
      <w:r w:rsidR="000B0CA6">
        <w:t xml:space="preserve">will be provided where possible in </w:t>
      </w:r>
      <w:r w:rsidR="001B6B05">
        <w:t>future reporting</w:t>
      </w:r>
      <w:r w:rsidR="003D2A84">
        <w:t xml:space="preserve"> to allow better oversight of women’s participation</w:t>
      </w:r>
      <w:r w:rsidR="001B6B05">
        <w:t xml:space="preserve">. </w:t>
      </w:r>
      <w:r w:rsidR="00C552A5">
        <w:t xml:space="preserve">A mid-term review of the program in 2015 will provide </w:t>
      </w:r>
      <w:r w:rsidR="000A6DF7">
        <w:t xml:space="preserve">an </w:t>
      </w:r>
      <w:r w:rsidR="00C552A5">
        <w:t xml:space="preserve">opportunity to </w:t>
      </w:r>
      <w:r w:rsidR="000A6DF7">
        <w:t xml:space="preserve">further </w:t>
      </w:r>
      <w:r w:rsidR="00C552A5">
        <w:t xml:space="preserve">assess </w:t>
      </w:r>
      <w:r w:rsidR="000A6DF7">
        <w:t>the program</w:t>
      </w:r>
      <w:r w:rsidR="00C552A5">
        <w:t xml:space="preserve"> </w:t>
      </w:r>
      <w:r w:rsidR="000A6DF7">
        <w:t xml:space="preserve">and </w:t>
      </w:r>
      <w:r w:rsidR="00C552A5">
        <w:t xml:space="preserve">ongoing </w:t>
      </w:r>
      <w:r w:rsidR="000A6DF7">
        <w:t>commitments</w:t>
      </w:r>
      <w:r w:rsidR="00C552A5">
        <w:t>. DFAT is working with ACIAR to address issues requiring improv</w:t>
      </w:r>
      <w:r w:rsidR="003F5C07">
        <w:t>e</w:t>
      </w:r>
      <w:r w:rsidR="00C552A5">
        <w:t>ment.</w:t>
      </w:r>
    </w:p>
    <w:p w:rsidR="000C6063" w:rsidRDefault="00DD785D" w:rsidP="00803547">
      <w:pPr>
        <w:pStyle w:val="ListBullet"/>
        <w:numPr>
          <w:ilvl w:val="0"/>
          <w:numId w:val="0"/>
        </w:numPr>
        <w:spacing w:line="260" w:lineRule="exact"/>
      </w:pPr>
      <w:r w:rsidRPr="00DD785D">
        <w:t xml:space="preserve">The Burma Basic Education program had a reduced rating for gender equality, dropping from a rating of 5 (good quality) in 2012-13 to a rating of 3 (less than adequate quality). The good rating in 2012-13 was justified by the integration of gender equality at all stages of the project cycle narrative </w:t>
      </w:r>
      <w:r w:rsidR="000B0CA6">
        <w:t>though</w:t>
      </w:r>
      <w:r w:rsidRPr="00DD785D">
        <w:t xml:space="preserve"> progress towards </w:t>
      </w:r>
      <w:r w:rsidRPr="00DD785D">
        <w:rPr>
          <w:rFonts w:cs="Arial"/>
          <w:szCs w:val="16"/>
        </w:rPr>
        <w:t xml:space="preserve">gender equality and women’s empowerment </w:t>
      </w:r>
      <w:r w:rsidR="000B0CA6">
        <w:rPr>
          <w:rFonts w:cs="Arial"/>
          <w:szCs w:val="16"/>
        </w:rPr>
        <w:t xml:space="preserve">in practice </w:t>
      </w:r>
      <w:r w:rsidRPr="00DD785D">
        <w:rPr>
          <w:rFonts w:cs="Arial"/>
          <w:szCs w:val="16"/>
        </w:rPr>
        <w:t>was mixed in 2013-14.</w:t>
      </w:r>
      <w:r w:rsidR="000B0CA6">
        <w:rPr>
          <w:rFonts w:cs="Arial"/>
          <w:szCs w:val="16"/>
        </w:rPr>
        <w:t xml:space="preserve"> P</w:t>
      </w:r>
      <w:r w:rsidRPr="00DD785D">
        <w:rPr>
          <w:rFonts w:cs="Arial"/>
          <w:szCs w:val="16"/>
        </w:rPr>
        <w:t>rogress was seen in establishing a gender strategy for the Myanmar Education Consortium.</w:t>
      </w:r>
      <w:r w:rsidRPr="00DD785D">
        <w:t xml:space="preserve"> </w:t>
      </w:r>
      <w:r w:rsidR="000B0CA6">
        <w:t xml:space="preserve">However, </w:t>
      </w:r>
      <w:r w:rsidRPr="00DD785D">
        <w:t>QBEP reporting of gender issues, evidence of gender responsive activities or inclusion of gender-disaggregated outputs</w:t>
      </w:r>
      <w:r w:rsidR="000A6DF7">
        <w:t xml:space="preserve"> was poor</w:t>
      </w:r>
      <w:r w:rsidRPr="00DD785D">
        <w:t xml:space="preserve">. </w:t>
      </w:r>
      <w:r w:rsidR="000A6DF7">
        <w:t>Encouraging commitment to and reporting on gender outcomes by partners will continue to be challenging.</w:t>
      </w:r>
    </w:p>
    <w:p w:rsidR="000D733F" w:rsidRPr="00450AE0" w:rsidRDefault="000D733F" w:rsidP="00450AE0">
      <w:pPr>
        <w:pStyle w:val="ListBullet"/>
        <w:numPr>
          <w:ilvl w:val="0"/>
          <w:numId w:val="0"/>
        </w:numPr>
        <w:rPr>
          <w:rFonts w:ascii="Helvetica" w:hAnsi="Helvetica" w:cs="Arial"/>
          <w:b/>
          <w:color w:val="124486"/>
          <w:kern w:val="28"/>
          <w:sz w:val="22"/>
          <w:szCs w:val="22"/>
          <w:lang w:eastAsia="zh-CN"/>
        </w:rPr>
      </w:pPr>
      <w:r w:rsidRPr="00450AE0">
        <w:rPr>
          <w:rFonts w:ascii="Helvetica" w:hAnsi="Helvetica" w:cs="Arial"/>
          <w:b/>
          <w:color w:val="124486"/>
          <w:kern w:val="28"/>
          <w:sz w:val="22"/>
          <w:szCs w:val="22"/>
          <w:lang w:eastAsia="zh-CN"/>
        </w:rPr>
        <w:t xml:space="preserve">Performance </w:t>
      </w:r>
      <w:r w:rsidR="004F4630" w:rsidRPr="00450AE0">
        <w:rPr>
          <w:rFonts w:ascii="Helvetica" w:hAnsi="Helvetica" w:cs="Arial"/>
          <w:b/>
          <w:color w:val="124486"/>
          <w:kern w:val="28"/>
          <w:sz w:val="22"/>
          <w:szCs w:val="22"/>
          <w:lang w:eastAsia="zh-CN"/>
        </w:rPr>
        <w:t>of key delivery partners</w:t>
      </w:r>
    </w:p>
    <w:p w:rsidR="00A91306" w:rsidRDefault="000A6DF7" w:rsidP="00803547">
      <w:pPr>
        <w:spacing w:after="120" w:line="260" w:lineRule="exact"/>
        <w:rPr>
          <w:rFonts w:ascii="Franklin Gothic Book" w:hAnsi="Franklin Gothic Book"/>
          <w:sz w:val="21"/>
          <w:szCs w:val="21"/>
        </w:rPr>
      </w:pPr>
      <w:r w:rsidRPr="00450AE0">
        <w:rPr>
          <w:rFonts w:ascii="Franklin Gothic Book" w:hAnsi="Franklin Gothic Book"/>
          <w:sz w:val="21"/>
          <w:szCs w:val="21"/>
        </w:rPr>
        <w:t>In 2013-14 Australia started to explore investments with new partners</w:t>
      </w:r>
      <w:r w:rsidR="00B5029A">
        <w:rPr>
          <w:rFonts w:ascii="Franklin Gothic Book" w:hAnsi="Franklin Gothic Book"/>
          <w:sz w:val="21"/>
          <w:szCs w:val="21"/>
        </w:rPr>
        <w:t>, including opportunities to work with the private sector,</w:t>
      </w:r>
      <w:r w:rsidRPr="00450AE0">
        <w:rPr>
          <w:rFonts w:ascii="Franklin Gothic Book" w:hAnsi="Franklin Gothic Book"/>
          <w:sz w:val="21"/>
          <w:szCs w:val="21"/>
        </w:rPr>
        <w:t xml:space="preserve"> as new </w:t>
      </w:r>
      <w:r w:rsidR="00965585">
        <w:rPr>
          <w:rFonts w:ascii="Franklin Gothic Book" w:hAnsi="Franklin Gothic Book"/>
          <w:sz w:val="21"/>
          <w:szCs w:val="21"/>
        </w:rPr>
        <w:t>providers</w:t>
      </w:r>
      <w:r w:rsidR="00965585" w:rsidRPr="00450AE0">
        <w:rPr>
          <w:rFonts w:ascii="Franklin Gothic Book" w:hAnsi="Franklin Gothic Book"/>
          <w:sz w:val="21"/>
          <w:szCs w:val="21"/>
        </w:rPr>
        <w:t xml:space="preserve"> </w:t>
      </w:r>
      <w:r w:rsidR="00965585">
        <w:rPr>
          <w:rFonts w:ascii="Franklin Gothic Book" w:hAnsi="Franklin Gothic Book"/>
          <w:sz w:val="21"/>
          <w:szCs w:val="21"/>
        </w:rPr>
        <w:t>emerge</w:t>
      </w:r>
      <w:r w:rsidR="002D6486">
        <w:rPr>
          <w:rFonts w:ascii="Franklin Gothic Book" w:hAnsi="Franklin Gothic Book"/>
          <w:sz w:val="21"/>
          <w:szCs w:val="21"/>
        </w:rPr>
        <w:t>d</w:t>
      </w:r>
      <w:r w:rsidRPr="00450AE0">
        <w:rPr>
          <w:rFonts w:ascii="Franklin Gothic Book" w:hAnsi="Franklin Gothic Book"/>
          <w:sz w:val="21"/>
          <w:szCs w:val="21"/>
        </w:rPr>
        <w:t>. Australia partner</w:t>
      </w:r>
      <w:r w:rsidR="00B5029A">
        <w:rPr>
          <w:rFonts w:ascii="Franklin Gothic Book" w:hAnsi="Franklin Gothic Book"/>
          <w:sz w:val="21"/>
          <w:szCs w:val="21"/>
        </w:rPr>
        <w:t>ed</w:t>
      </w:r>
      <w:r w:rsidRPr="00450AE0">
        <w:rPr>
          <w:rFonts w:ascii="Franklin Gothic Book" w:hAnsi="Franklin Gothic Book"/>
          <w:sz w:val="21"/>
          <w:szCs w:val="21"/>
        </w:rPr>
        <w:t xml:space="preserve"> with the World Bank in education </w:t>
      </w:r>
      <w:r w:rsidR="00A23BCC">
        <w:rPr>
          <w:rFonts w:ascii="Franklin Gothic Book" w:hAnsi="Franklin Gothic Book"/>
          <w:sz w:val="21"/>
        </w:rPr>
        <w:t>through the school grants and stipends program. Australia contributed a strong understanding of Burma’s political environment and education sector</w:t>
      </w:r>
      <w:r w:rsidR="00965585">
        <w:rPr>
          <w:rFonts w:ascii="Franklin Gothic Book" w:hAnsi="Franklin Gothic Book"/>
          <w:sz w:val="21"/>
        </w:rPr>
        <w:t xml:space="preserve"> in support of</w:t>
      </w:r>
      <w:r w:rsidR="00A23BCC">
        <w:rPr>
          <w:rFonts w:ascii="Franklin Gothic Book" w:hAnsi="Franklin Gothic Book"/>
          <w:sz w:val="21"/>
        </w:rPr>
        <w:t xml:space="preserve"> the World Bank’s recognised technical, financial and capacity building expertise to improve the government’s program. </w:t>
      </w:r>
      <w:r w:rsidR="00B67303">
        <w:rPr>
          <w:rFonts w:ascii="Franklin Gothic Book" w:hAnsi="Franklin Gothic Book"/>
          <w:sz w:val="21"/>
        </w:rPr>
        <w:t xml:space="preserve">Australia’s partnership with the World Bank on the public financial management reform program brought significant financing and technical expertise. </w:t>
      </w:r>
      <w:r w:rsidR="00B67303" w:rsidRPr="002D6486">
        <w:rPr>
          <w:rFonts w:ascii="Franklin Gothic Book" w:hAnsi="Franklin Gothic Book"/>
          <w:sz w:val="21"/>
        </w:rPr>
        <w:t>As World Bank</w:t>
      </w:r>
      <w:r w:rsidR="00965585" w:rsidRPr="002D6486">
        <w:rPr>
          <w:rFonts w:ascii="Franklin Gothic Book" w:hAnsi="Franklin Gothic Book"/>
          <w:sz w:val="21"/>
        </w:rPr>
        <w:t xml:space="preserve"> programs expand </w:t>
      </w:r>
      <w:r w:rsidR="00B67303" w:rsidRPr="002D6486">
        <w:rPr>
          <w:rFonts w:ascii="Franklin Gothic Book" w:hAnsi="Franklin Gothic Book"/>
          <w:sz w:val="21"/>
        </w:rPr>
        <w:t xml:space="preserve">in Burma, it will be important for the Bank to use existing coordination mechanisms and to work closely with Australia and other donors on key decisions and </w:t>
      </w:r>
      <w:r w:rsidR="00965585" w:rsidRPr="002D6486">
        <w:rPr>
          <w:rFonts w:ascii="Franklin Gothic Book" w:hAnsi="Franklin Gothic Book"/>
          <w:sz w:val="21"/>
        </w:rPr>
        <w:t xml:space="preserve">government </w:t>
      </w:r>
      <w:r w:rsidR="00B67303" w:rsidRPr="002D6486">
        <w:rPr>
          <w:rFonts w:ascii="Franklin Gothic Book" w:hAnsi="Franklin Gothic Book"/>
          <w:sz w:val="21"/>
        </w:rPr>
        <w:t>engagement.</w:t>
      </w:r>
    </w:p>
    <w:p w:rsidR="000A6DF7" w:rsidRPr="00450AE0" w:rsidRDefault="000A6DF7" w:rsidP="00803547">
      <w:pPr>
        <w:spacing w:after="120" w:line="260" w:lineRule="exact"/>
        <w:rPr>
          <w:rFonts w:ascii="Franklin Gothic Book" w:hAnsi="Franklin Gothic Book"/>
          <w:sz w:val="21"/>
          <w:szCs w:val="21"/>
        </w:rPr>
      </w:pPr>
      <w:r w:rsidRPr="00450AE0">
        <w:rPr>
          <w:rFonts w:ascii="Franklin Gothic Book" w:hAnsi="Franklin Gothic Book"/>
          <w:sz w:val="21"/>
          <w:szCs w:val="21"/>
        </w:rPr>
        <w:lastRenderedPageBreak/>
        <w:t>The majority of Australia’s aid continues to be implemented through multi-donor trust funds</w:t>
      </w:r>
      <w:r w:rsidR="002D6486">
        <w:rPr>
          <w:rFonts w:ascii="Franklin Gothic Book" w:hAnsi="Franklin Gothic Book"/>
          <w:sz w:val="21"/>
          <w:szCs w:val="21"/>
        </w:rPr>
        <w:t>,</w:t>
      </w:r>
      <w:r w:rsidRPr="00450AE0">
        <w:rPr>
          <w:rFonts w:ascii="Franklin Gothic Book" w:hAnsi="Franklin Gothic Book"/>
          <w:sz w:val="21"/>
          <w:szCs w:val="21"/>
        </w:rPr>
        <w:t xml:space="preserve"> minimis</w:t>
      </w:r>
      <w:r w:rsidR="00DD52DA">
        <w:rPr>
          <w:rFonts w:ascii="Franklin Gothic Book" w:hAnsi="Franklin Gothic Book"/>
          <w:sz w:val="21"/>
          <w:szCs w:val="21"/>
        </w:rPr>
        <w:t>ing</w:t>
      </w:r>
      <w:r w:rsidRPr="00450AE0">
        <w:rPr>
          <w:rFonts w:ascii="Franklin Gothic Book" w:hAnsi="Franklin Gothic Book"/>
          <w:sz w:val="21"/>
          <w:szCs w:val="21"/>
        </w:rPr>
        <w:t xml:space="preserve"> fragmentation, duplication and the risk of overwhelming an already stretched government. However the ability of these mechanisms to respon</w:t>
      </w:r>
      <w:r w:rsidR="002D30E6" w:rsidRPr="00450AE0">
        <w:rPr>
          <w:rFonts w:ascii="Franklin Gothic Book" w:hAnsi="Franklin Gothic Book"/>
          <w:sz w:val="21"/>
          <w:szCs w:val="21"/>
        </w:rPr>
        <w:t>d</w:t>
      </w:r>
      <w:r w:rsidRPr="00450AE0">
        <w:rPr>
          <w:rFonts w:ascii="Franklin Gothic Book" w:hAnsi="Franklin Gothic Book"/>
          <w:sz w:val="21"/>
          <w:szCs w:val="21"/>
        </w:rPr>
        <w:t xml:space="preserve"> to the evolving </w:t>
      </w:r>
      <w:r w:rsidR="00DD52DA">
        <w:rPr>
          <w:rFonts w:ascii="Franklin Gothic Book" w:hAnsi="Franklin Gothic Book"/>
          <w:sz w:val="21"/>
          <w:szCs w:val="21"/>
        </w:rPr>
        <w:t xml:space="preserve">context </w:t>
      </w:r>
      <w:r w:rsidRPr="00450AE0">
        <w:rPr>
          <w:rFonts w:ascii="Franklin Gothic Book" w:hAnsi="Franklin Gothic Book"/>
          <w:sz w:val="21"/>
          <w:szCs w:val="21"/>
        </w:rPr>
        <w:t xml:space="preserve">will </w:t>
      </w:r>
      <w:r w:rsidR="00B67303">
        <w:rPr>
          <w:rFonts w:ascii="Franklin Gothic Book" w:hAnsi="Franklin Gothic Book"/>
          <w:sz w:val="21"/>
          <w:szCs w:val="21"/>
        </w:rPr>
        <w:t xml:space="preserve">test </w:t>
      </w:r>
      <w:r w:rsidRPr="00450AE0">
        <w:rPr>
          <w:rFonts w:ascii="Franklin Gothic Book" w:hAnsi="Franklin Gothic Book"/>
          <w:sz w:val="21"/>
          <w:szCs w:val="21"/>
        </w:rPr>
        <w:t xml:space="preserve">their ongoing relevance. Australia’s approach to aid delivery will be </w:t>
      </w:r>
      <w:r w:rsidR="00DD52DA">
        <w:rPr>
          <w:rFonts w:ascii="Franklin Gothic Book" w:hAnsi="Franklin Gothic Book"/>
          <w:sz w:val="21"/>
          <w:szCs w:val="21"/>
        </w:rPr>
        <w:t>examined</w:t>
      </w:r>
      <w:r w:rsidR="00B67303" w:rsidRPr="00450AE0">
        <w:rPr>
          <w:rFonts w:ascii="Franklin Gothic Book" w:hAnsi="Franklin Gothic Book"/>
          <w:sz w:val="21"/>
          <w:szCs w:val="21"/>
        </w:rPr>
        <w:t xml:space="preserve"> </w:t>
      </w:r>
      <w:r w:rsidRPr="00450AE0">
        <w:rPr>
          <w:rFonts w:ascii="Franklin Gothic Book" w:hAnsi="Franklin Gothic Book"/>
          <w:sz w:val="21"/>
          <w:szCs w:val="21"/>
        </w:rPr>
        <w:t xml:space="preserve">through the </w:t>
      </w:r>
      <w:r w:rsidR="008E3F5B">
        <w:rPr>
          <w:rFonts w:ascii="Franklin Gothic Book" w:hAnsi="Franklin Gothic Book"/>
          <w:sz w:val="21"/>
          <w:szCs w:val="21"/>
        </w:rPr>
        <w:t>AIP</w:t>
      </w:r>
      <w:r w:rsidRPr="00450AE0">
        <w:rPr>
          <w:rFonts w:ascii="Franklin Gothic Book" w:hAnsi="Franklin Gothic Book"/>
          <w:sz w:val="21"/>
          <w:szCs w:val="21"/>
        </w:rPr>
        <w:t>.</w:t>
      </w:r>
    </w:p>
    <w:p w:rsidR="000A6DF7" w:rsidRPr="000A6DF7" w:rsidRDefault="000A6DF7" w:rsidP="00803547">
      <w:pPr>
        <w:spacing w:after="120" w:line="260" w:lineRule="exact"/>
        <w:rPr>
          <w:rFonts w:ascii="Franklin Gothic Book" w:hAnsi="Franklin Gothic Book"/>
          <w:sz w:val="21"/>
        </w:rPr>
      </w:pPr>
      <w:r w:rsidRPr="000A6DF7">
        <w:rPr>
          <w:rFonts w:ascii="Franklin Gothic Book" w:hAnsi="Franklin Gothic Book"/>
          <w:sz w:val="21"/>
        </w:rPr>
        <w:t xml:space="preserve">In the education sector UNICEF </w:t>
      </w:r>
      <w:r w:rsidR="00B67303">
        <w:rPr>
          <w:rFonts w:ascii="Franklin Gothic Book" w:hAnsi="Franklin Gothic Book"/>
          <w:sz w:val="21"/>
        </w:rPr>
        <w:t>had mixed results adapting to</w:t>
      </w:r>
      <w:r w:rsidRPr="000A6DF7">
        <w:rPr>
          <w:rFonts w:ascii="Franklin Gothic Book" w:hAnsi="Franklin Gothic Book"/>
          <w:sz w:val="21"/>
        </w:rPr>
        <w:t xml:space="preserve"> the pace of change in Burma and the opening up of the education system. A mid-term review of QBEP </w:t>
      </w:r>
      <w:r w:rsidR="00B67303">
        <w:rPr>
          <w:rFonts w:ascii="Franklin Gothic Book" w:hAnsi="Franklin Gothic Book"/>
          <w:sz w:val="21"/>
        </w:rPr>
        <w:t>questioned the program</w:t>
      </w:r>
      <w:r w:rsidR="0034587F">
        <w:rPr>
          <w:rFonts w:ascii="Franklin Gothic Book" w:hAnsi="Franklin Gothic Book"/>
          <w:sz w:val="21"/>
        </w:rPr>
        <w:t>’</w:t>
      </w:r>
      <w:r w:rsidR="00B67303">
        <w:rPr>
          <w:rFonts w:ascii="Franklin Gothic Book" w:hAnsi="Franklin Gothic Book"/>
          <w:sz w:val="21"/>
        </w:rPr>
        <w:t xml:space="preserve">s </w:t>
      </w:r>
      <w:r w:rsidR="002D6486">
        <w:rPr>
          <w:rFonts w:ascii="Franklin Gothic Book" w:hAnsi="Franklin Gothic Book"/>
          <w:sz w:val="21"/>
        </w:rPr>
        <w:t xml:space="preserve">service </w:t>
      </w:r>
      <w:r w:rsidR="00B67303">
        <w:rPr>
          <w:rFonts w:ascii="Franklin Gothic Book" w:hAnsi="Franklin Gothic Book"/>
          <w:sz w:val="21"/>
        </w:rPr>
        <w:t xml:space="preserve">duplication and encouraged an increased focus on building government capacity during the next phase of the investment. </w:t>
      </w:r>
      <w:r w:rsidR="00B5029A">
        <w:rPr>
          <w:rFonts w:ascii="Franklin Gothic Book" w:hAnsi="Franklin Gothic Book"/>
          <w:sz w:val="21"/>
        </w:rPr>
        <w:t>Australia is also working with UNICEF to improve gender outcomes under QBEP.</w:t>
      </w:r>
    </w:p>
    <w:p w:rsidR="000A6DF7" w:rsidRPr="000A6DF7" w:rsidRDefault="00DD771A" w:rsidP="00803547">
      <w:pPr>
        <w:spacing w:after="120" w:line="260" w:lineRule="exact"/>
        <w:rPr>
          <w:rFonts w:ascii="Franklin Gothic Book" w:hAnsi="Franklin Gothic Book"/>
          <w:sz w:val="21"/>
          <w:szCs w:val="21"/>
        </w:rPr>
      </w:pPr>
      <w:r>
        <w:rPr>
          <w:rFonts w:ascii="Franklin Gothic Book" w:hAnsi="Franklin Gothic Book"/>
          <w:sz w:val="21"/>
        </w:rPr>
        <w:t>Australia’s partnership with the World Food Programme (WFP) in education will conclude later this year. Whilst it addressed a recognised gap in the sector, WFP was unable to tailor a longer-term investment that aligned with the rest of Australia’s programs in the sector</w:t>
      </w:r>
      <w:r w:rsidR="000C6063">
        <w:rPr>
          <w:rFonts w:ascii="Franklin Gothic Book" w:hAnsi="Franklin Gothic Book"/>
          <w:sz w:val="21"/>
        </w:rPr>
        <w:t xml:space="preserve">. </w:t>
      </w:r>
      <w:r w:rsidR="000A6DF7" w:rsidRPr="000A6DF7">
        <w:rPr>
          <w:rFonts w:ascii="Franklin Gothic Book" w:hAnsi="Franklin Gothic Book"/>
          <w:sz w:val="21"/>
          <w:szCs w:val="21"/>
        </w:rPr>
        <w:t xml:space="preserve">UNDP’s performance in Burma has been </w:t>
      </w:r>
      <w:r w:rsidR="00EE3C23">
        <w:rPr>
          <w:rFonts w:ascii="Franklin Gothic Book" w:hAnsi="Franklin Gothic Book"/>
          <w:sz w:val="21"/>
          <w:szCs w:val="21"/>
        </w:rPr>
        <w:t>hampered</w:t>
      </w:r>
      <w:r w:rsidR="000A6DF7" w:rsidRPr="000A6DF7">
        <w:rPr>
          <w:rFonts w:ascii="Franklin Gothic Book" w:hAnsi="Franklin Gothic Book"/>
          <w:sz w:val="21"/>
          <w:szCs w:val="21"/>
        </w:rPr>
        <w:t xml:space="preserve"> by an overly ambitious scope. While they have had some success in the justice sector, they have not met expectations in other areas of their work. For example, in the </w:t>
      </w:r>
      <w:r w:rsidR="000A6DF7" w:rsidRPr="000A6DF7">
        <w:rPr>
          <w:rFonts w:ascii="Franklin Gothic Book" w:hAnsi="Franklin Gothic Book"/>
          <w:sz w:val="21"/>
        </w:rPr>
        <w:t xml:space="preserve">democratic governance program </w:t>
      </w:r>
      <w:r w:rsidR="000A6DF7" w:rsidRPr="000A6DF7">
        <w:rPr>
          <w:rFonts w:ascii="Franklin Gothic Book" w:hAnsi="Franklin Gothic Book"/>
          <w:sz w:val="21"/>
          <w:szCs w:val="21"/>
        </w:rPr>
        <w:t>they have struggled to build the necessary relationships with government to support, or foster ownership of, parliamentary or public administration reforms. Key deliverables including annual work plans and results frameworks have also been very late, affecting UNDP’s ability to effectively measure progress against any baseline data in the first year of implementation. These delays did, however, provide UNDP space to begin to scale-back the program to something more achievable</w:t>
      </w:r>
      <w:r w:rsidR="00DD52DA">
        <w:rPr>
          <w:rFonts w:ascii="Franklin Gothic Book" w:hAnsi="Franklin Gothic Book"/>
          <w:sz w:val="21"/>
          <w:szCs w:val="21"/>
        </w:rPr>
        <w:t>.</w:t>
      </w:r>
    </w:p>
    <w:p w:rsidR="000A6DF7" w:rsidRPr="000A6DF7" w:rsidRDefault="000A6DF7" w:rsidP="00803547">
      <w:pPr>
        <w:spacing w:after="120" w:line="260" w:lineRule="exact"/>
        <w:rPr>
          <w:rFonts w:ascii="Franklin Gothic Book" w:hAnsi="Franklin Gothic Book"/>
          <w:sz w:val="21"/>
          <w:szCs w:val="21"/>
        </w:rPr>
      </w:pPr>
      <w:r w:rsidRPr="000A6DF7">
        <w:rPr>
          <w:rFonts w:ascii="Franklin Gothic Book" w:hAnsi="Franklin Gothic Book"/>
          <w:sz w:val="21"/>
          <w:szCs w:val="21"/>
        </w:rPr>
        <w:t>In preparing for the national census UNFPA failed to focus on political risks and the adoption of processes that were inclusive and conflict sensitive. Donor</w:t>
      </w:r>
      <w:r w:rsidR="002D6486">
        <w:rPr>
          <w:rFonts w:ascii="Franklin Gothic Book" w:hAnsi="Franklin Gothic Book"/>
          <w:sz w:val="21"/>
          <w:szCs w:val="21"/>
        </w:rPr>
        <w:t>s</w:t>
      </w:r>
      <w:r w:rsidRPr="000A6DF7">
        <w:rPr>
          <w:rFonts w:ascii="Franklin Gothic Book" w:hAnsi="Franklin Gothic Book"/>
          <w:sz w:val="21"/>
          <w:szCs w:val="21"/>
        </w:rPr>
        <w:t xml:space="preserve"> encourage</w:t>
      </w:r>
      <w:r w:rsidR="002D6486">
        <w:rPr>
          <w:rFonts w:ascii="Franklin Gothic Book" w:hAnsi="Franklin Gothic Book"/>
          <w:sz w:val="21"/>
          <w:szCs w:val="21"/>
        </w:rPr>
        <w:t>d</w:t>
      </w:r>
      <w:r w:rsidRPr="000A6DF7">
        <w:rPr>
          <w:rFonts w:ascii="Franklin Gothic Book" w:hAnsi="Franklin Gothic Book"/>
          <w:sz w:val="21"/>
          <w:szCs w:val="21"/>
        </w:rPr>
        <w:t xml:space="preserve"> UNFPA to implement mitigation measures and engage with civil society, ethnic, and religious representatives. The government’s eleventh-hour decision to not allow self-identification by the Rohingya ethnicity, in an attempt to prevent an eruption of violence, showed the limited influence on government of donors and the UN. Despite this set-back, the UNFPA-organi</w:t>
      </w:r>
      <w:r w:rsidR="002D6486">
        <w:rPr>
          <w:rFonts w:ascii="Franklin Gothic Book" w:hAnsi="Franklin Gothic Book"/>
          <w:sz w:val="21"/>
          <w:szCs w:val="21"/>
        </w:rPr>
        <w:t>s</w:t>
      </w:r>
      <w:r w:rsidRPr="000A6DF7">
        <w:rPr>
          <w:rFonts w:ascii="Franklin Gothic Book" w:hAnsi="Franklin Gothic Book"/>
          <w:sz w:val="21"/>
          <w:szCs w:val="21"/>
        </w:rPr>
        <w:t>ed official observer mission highly praised the data collection and preparation phases. In June</w:t>
      </w:r>
      <w:r w:rsidR="002D6486">
        <w:rPr>
          <w:rFonts w:ascii="Franklin Gothic Book" w:hAnsi="Franklin Gothic Book"/>
          <w:sz w:val="21"/>
          <w:szCs w:val="21"/>
        </w:rPr>
        <w:t xml:space="preserve"> 2014,</w:t>
      </w:r>
      <w:r w:rsidRPr="000A6DF7">
        <w:rPr>
          <w:rFonts w:ascii="Franklin Gothic Book" w:hAnsi="Franklin Gothic Book"/>
          <w:sz w:val="21"/>
          <w:szCs w:val="21"/>
        </w:rPr>
        <w:t xml:space="preserve"> UNFPA commissioned a conflict sensitivity review of the next phase, data dissemination, to improve perceptions about the credibility of the data and make the process more inclusive.</w:t>
      </w:r>
    </w:p>
    <w:p w:rsidR="000A6DF7" w:rsidRPr="000A6DF7" w:rsidRDefault="00FD1C14" w:rsidP="00803547">
      <w:pPr>
        <w:spacing w:after="120" w:line="260" w:lineRule="exact"/>
        <w:rPr>
          <w:rFonts w:ascii="Franklin Gothic Book" w:hAnsi="Franklin Gothic Book"/>
          <w:sz w:val="21"/>
          <w:szCs w:val="21"/>
        </w:rPr>
      </w:pPr>
      <w:r>
        <w:rPr>
          <w:rFonts w:ascii="Franklin Gothic Book" w:hAnsi="Franklin Gothic Book"/>
          <w:sz w:val="21"/>
          <w:szCs w:val="21"/>
        </w:rPr>
        <w:t>Performance of the United Nations Office for Project Services (UNOPS),</w:t>
      </w:r>
      <w:r w:rsidRPr="000A6DF7">
        <w:rPr>
          <w:rFonts w:ascii="Franklin Gothic Book" w:hAnsi="Franklin Gothic Book"/>
          <w:sz w:val="21"/>
          <w:szCs w:val="21"/>
        </w:rPr>
        <w:t xml:space="preserve"> </w:t>
      </w:r>
      <w:r>
        <w:rPr>
          <w:rFonts w:ascii="Franklin Gothic Book" w:hAnsi="Franklin Gothic Book"/>
          <w:sz w:val="21"/>
          <w:szCs w:val="21"/>
        </w:rPr>
        <w:t>a</w:t>
      </w:r>
      <w:r w:rsidR="00BF7365">
        <w:rPr>
          <w:rFonts w:ascii="Franklin Gothic Book" w:hAnsi="Franklin Gothic Book"/>
          <w:sz w:val="21"/>
          <w:szCs w:val="21"/>
        </w:rPr>
        <w:t xml:space="preserve">s the </w:t>
      </w:r>
      <w:r w:rsidR="000A6DF7" w:rsidRPr="000A6DF7">
        <w:rPr>
          <w:rFonts w:ascii="Franklin Gothic Book" w:hAnsi="Franklin Gothic Book"/>
          <w:sz w:val="21"/>
          <w:szCs w:val="21"/>
        </w:rPr>
        <w:t xml:space="preserve">Fund Manager </w:t>
      </w:r>
      <w:r w:rsidR="00BF7365">
        <w:rPr>
          <w:rFonts w:ascii="Franklin Gothic Book" w:hAnsi="Franklin Gothic Book"/>
          <w:sz w:val="21"/>
          <w:szCs w:val="21"/>
        </w:rPr>
        <w:t xml:space="preserve">of the 3MDG Fund, </w:t>
      </w:r>
      <w:r w:rsidR="000A6DF7" w:rsidRPr="000A6DF7">
        <w:rPr>
          <w:rFonts w:ascii="Franklin Gothic Book" w:hAnsi="Franklin Gothic Book"/>
          <w:sz w:val="21"/>
          <w:szCs w:val="21"/>
        </w:rPr>
        <w:t>has not always met the expectation</w:t>
      </w:r>
      <w:r>
        <w:rPr>
          <w:rFonts w:ascii="Franklin Gothic Book" w:hAnsi="Franklin Gothic Book"/>
          <w:sz w:val="21"/>
          <w:szCs w:val="21"/>
        </w:rPr>
        <w:t>s</w:t>
      </w:r>
      <w:r w:rsidR="000A6DF7" w:rsidRPr="000A6DF7">
        <w:rPr>
          <w:rFonts w:ascii="Franklin Gothic Book" w:hAnsi="Franklin Gothic Book"/>
          <w:sz w:val="21"/>
          <w:szCs w:val="21"/>
        </w:rPr>
        <w:t xml:space="preserve"> of the Fund Board. During 2013 Australia was able to further efforts to improve the Fund Manager and program performance whilst acting as interim 3MDG Fund Chair. Australia’s chairing of the 3MDG Fund in 2015 provides further opportunities to ensure program quality and build Australian visibi</w:t>
      </w:r>
      <w:r w:rsidR="00E71C4F">
        <w:rPr>
          <w:rFonts w:ascii="Franklin Gothic Book" w:hAnsi="Franklin Gothic Book"/>
          <w:sz w:val="21"/>
          <w:szCs w:val="21"/>
        </w:rPr>
        <w:t>lity and influence.</w:t>
      </w:r>
    </w:p>
    <w:p w:rsidR="000D733F" w:rsidRDefault="000D733F" w:rsidP="000D733F">
      <w:pPr>
        <w:pStyle w:val="Heading3"/>
      </w:pPr>
      <w:r>
        <w:t>Risks</w:t>
      </w:r>
    </w:p>
    <w:p w:rsidR="000D733F" w:rsidRDefault="0085602B" w:rsidP="000D733F">
      <w:pPr>
        <w:pStyle w:val="Caption"/>
      </w:pPr>
      <w:r>
        <w:t xml:space="preserve">Table </w:t>
      </w:r>
      <w:fldSimple w:instr=" SEQ Table \* ARABIC ">
        <w:r w:rsidR="007D1E48">
          <w:rPr>
            <w:noProof/>
          </w:rPr>
          <w:t>3</w:t>
        </w:r>
      </w:fldSimple>
      <w:r w:rsidR="000D733F">
        <w:t xml:space="preserve"> Management of key risks to achieving objectives</w:t>
      </w:r>
    </w:p>
    <w:tbl>
      <w:tblPr>
        <w:tblStyle w:val="APPR"/>
        <w:tblW w:w="5000" w:type="pct"/>
        <w:tblLook w:val="0600" w:firstRow="0" w:lastRow="0" w:firstColumn="0" w:lastColumn="0" w:noHBand="1" w:noVBand="1"/>
      </w:tblPr>
      <w:tblGrid>
        <w:gridCol w:w="2749"/>
        <w:gridCol w:w="3015"/>
        <w:gridCol w:w="3013"/>
      </w:tblGrid>
      <w:tr w:rsidR="000D733F" w:rsidRPr="00180B19" w:rsidTr="001D2BAC">
        <w:tc>
          <w:tcPr>
            <w:tcW w:w="2788" w:type="dxa"/>
            <w:hideMark/>
          </w:tcPr>
          <w:p w:rsidR="000D733F" w:rsidRPr="005023D9" w:rsidRDefault="000D733F" w:rsidP="000D733F">
            <w:pPr>
              <w:pStyle w:val="TableTextColumnHeading"/>
            </w:pPr>
            <w:r w:rsidRPr="005023D9">
              <w:t>Key risks</w:t>
            </w:r>
          </w:p>
        </w:tc>
        <w:tc>
          <w:tcPr>
            <w:tcW w:w="3090" w:type="dxa"/>
          </w:tcPr>
          <w:p w:rsidR="000D733F" w:rsidRPr="005023D9" w:rsidRDefault="000D733F" w:rsidP="000D733F">
            <w:pPr>
              <w:pStyle w:val="TableTextColumnHeading"/>
            </w:pPr>
            <w:r w:rsidRPr="005023D9">
              <w:t>What actions were taken to manage the risks over the past year</w:t>
            </w:r>
            <w:r w:rsidR="001D7E98">
              <w:t>?</w:t>
            </w:r>
          </w:p>
        </w:tc>
        <w:tc>
          <w:tcPr>
            <w:tcW w:w="3070"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F04095" w:rsidRPr="00180B19" w:rsidTr="001D2BAC">
        <w:tc>
          <w:tcPr>
            <w:tcW w:w="2788" w:type="dxa"/>
            <w:shd w:val="clear" w:color="auto" w:fill="auto"/>
          </w:tcPr>
          <w:p w:rsidR="00F04095" w:rsidRDefault="00F04095" w:rsidP="00E32D9D">
            <w:pPr>
              <w:pStyle w:val="TableTextEntries"/>
            </w:pPr>
            <w:r w:rsidRPr="00F04095">
              <w:t>The rapidly changing context in Burma</w:t>
            </w:r>
            <w:r w:rsidR="00E32D9D">
              <w:t>, including the upcoming elections in 2015,</w:t>
            </w:r>
            <w:r w:rsidRPr="00F04095">
              <w:t xml:space="preserve"> means that any Australian investment occurs in a high risk environment</w:t>
            </w:r>
            <w:r w:rsidR="00BC3DEF">
              <w:t>.</w:t>
            </w:r>
          </w:p>
        </w:tc>
        <w:tc>
          <w:tcPr>
            <w:tcW w:w="3090" w:type="dxa"/>
            <w:shd w:val="clear" w:color="auto" w:fill="auto"/>
          </w:tcPr>
          <w:p w:rsidR="00F04095" w:rsidRPr="004C4A3E" w:rsidRDefault="00961D44" w:rsidP="00961D44">
            <w:pPr>
              <w:pStyle w:val="TableTextEntries"/>
            </w:pPr>
            <w:r>
              <w:t>Australia’s aid program is designed to be responsive</w:t>
            </w:r>
            <w:r w:rsidR="00285A2B">
              <w:t>,</w:t>
            </w:r>
            <w:r>
              <w:t xml:space="preserve"> flexible </w:t>
            </w:r>
            <w:r w:rsidR="00285A2B">
              <w:t>and able to adapt.</w:t>
            </w:r>
          </w:p>
        </w:tc>
        <w:tc>
          <w:tcPr>
            <w:tcW w:w="3070" w:type="dxa"/>
            <w:shd w:val="clear" w:color="auto" w:fill="auto"/>
          </w:tcPr>
          <w:p w:rsidR="00F04095" w:rsidRPr="004C4A3E" w:rsidRDefault="004F773A" w:rsidP="008E3F5B">
            <w:pPr>
              <w:pStyle w:val="TableTextEntries"/>
            </w:pPr>
            <w:r>
              <w:t>Australia’s aid program will remain responsive to the evolving operating context and the program approach will be assessed</w:t>
            </w:r>
            <w:r w:rsidR="00285A2B">
              <w:t xml:space="preserve"> as part </w:t>
            </w:r>
            <w:r w:rsidR="000A42CB">
              <w:t xml:space="preserve">of the </w:t>
            </w:r>
            <w:r w:rsidR="008E3F5B">
              <w:t xml:space="preserve">AIP </w:t>
            </w:r>
            <w:r w:rsidR="00285A2B">
              <w:t>process.</w:t>
            </w:r>
          </w:p>
        </w:tc>
      </w:tr>
      <w:tr w:rsidR="00F04095" w:rsidRPr="00180B19" w:rsidTr="001D2BAC">
        <w:tc>
          <w:tcPr>
            <w:tcW w:w="2788" w:type="dxa"/>
            <w:shd w:val="clear" w:color="auto" w:fill="auto"/>
          </w:tcPr>
          <w:p w:rsidR="00F04095" w:rsidRPr="000A42CB" w:rsidRDefault="00F04095" w:rsidP="002A673F">
            <w:pPr>
              <w:pStyle w:val="TableTextEntries"/>
            </w:pPr>
            <w:r w:rsidRPr="000A42CB">
              <w:t>The impact of Australia’s investment could be lessened through fragmentation</w:t>
            </w:r>
            <w:r w:rsidR="00BC3DEF" w:rsidRPr="000A42CB">
              <w:t>.</w:t>
            </w:r>
          </w:p>
        </w:tc>
        <w:tc>
          <w:tcPr>
            <w:tcW w:w="3090" w:type="dxa"/>
            <w:shd w:val="clear" w:color="auto" w:fill="auto"/>
          </w:tcPr>
          <w:p w:rsidR="00F04095" w:rsidRPr="000A42CB" w:rsidRDefault="000A42CB" w:rsidP="000A42CB">
            <w:pPr>
              <w:pStyle w:val="TableTextEntries"/>
            </w:pPr>
            <w:r w:rsidRPr="000A42CB">
              <w:t>All health programs (3DF, JIMNCH &amp; JUN MNCH &amp; HAARP) have been consolidated under 3MDG.</w:t>
            </w:r>
          </w:p>
        </w:tc>
        <w:tc>
          <w:tcPr>
            <w:tcW w:w="3070" w:type="dxa"/>
            <w:shd w:val="clear" w:color="auto" w:fill="auto"/>
          </w:tcPr>
          <w:p w:rsidR="00F04095" w:rsidRPr="000A42CB" w:rsidRDefault="000A42CB" w:rsidP="008E3F5B">
            <w:pPr>
              <w:pStyle w:val="TableTextEntries"/>
            </w:pPr>
            <w:r>
              <w:t>Reducing fragmentation</w:t>
            </w:r>
            <w:r w:rsidRPr="000A42CB">
              <w:t xml:space="preserve"> remains essential and will be considered as part of the </w:t>
            </w:r>
            <w:r w:rsidR="008E3F5B">
              <w:t xml:space="preserve">AIP </w:t>
            </w:r>
            <w:r w:rsidRPr="000A42CB">
              <w:t>process</w:t>
            </w:r>
            <w:r>
              <w:t>.</w:t>
            </w:r>
          </w:p>
        </w:tc>
      </w:tr>
      <w:tr w:rsidR="00F04095" w:rsidRPr="00180B19" w:rsidTr="001D2BAC">
        <w:tc>
          <w:tcPr>
            <w:tcW w:w="2788" w:type="dxa"/>
            <w:shd w:val="clear" w:color="auto" w:fill="auto"/>
          </w:tcPr>
          <w:p w:rsidR="00F04095" w:rsidRPr="00B43652" w:rsidRDefault="00F04095" w:rsidP="001144B2">
            <w:pPr>
              <w:pStyle w:val="TableTextEntries"/>
            </w:pPr>
            <w:r w:rsidRPr="00B43652">
              <w:lastRenderedPageBreak/>
              <w:t>The peace process presents both an opportunity and a risk</w:t>
            </w:r>
            <w:r w:rsidR="001144B2">
              <w:t>:</w:t>
            </w:r>
            <w:r w:rsidRPr="00B43652">
              <w:t xml:space="preserve"> </w:t>
            </w:r>
            <w:r w:rsidR="001144B2">
              <w:t>t</w:t>
            </w:r>
            <w:r w:rsidRPr="00B43652">
              <w:t>he resumption of violence if a nationwide ceasefire is not reached</w:t>
            </w:r>
            <w:r w:rsidR="0034587F">
              <w:t xml:space="preserve"> and potential for large-scale refugee returns</w:t>
            </w:r>
            <w:r w:rsidRPr="00B43652">
              <w:t>.</w:t>
            </w:r>
          </w:p>
        </w:tc>
        <w:tc>
          <w:tcPr>
            <w:tcW w:w="3090" w:type="dxa"/>
            <w:shd w:val="clear" w:color="auto" w:fill="auto"/>
          </w:tcPr>
          <w:p w:rsidR="00F04095" w:rsidRPr="00B43652" w:rsidRDefault="00B43652" w:rsidP="00B43652">
            <w:pPr>
              <w:pStyle w:val="TableTextEntries"/>
            </w:pPr>
            <w:r w:rsidRPr="00B43652">
              <w:t>Worked with partners who have long-standing relationships with ethnic armed groups, conflict-affected communities and/or government to build confidence and create incentives for stakeholders to remain engaged.</w:t>
            </w:r>
          </w:p>
        </w:tc>
        <w:tc>
          <w:tcPr>
            <w:tcW w:w="3070" w:type="dxa"/>
            <w:shd w:val="clear" w:color="auto" w:fill="auto"/>
          </w:tcPr>
          <w:p w:rsidR="00F04095" w:rsidRPr="00B43652" w:rsidRDefault="00B43652" w:rsidP="003D58C5">
            <w:pPr>
              <w:pStyle w:val="TableTextEntries"/>
            </w:pPr>
            <w:r w:rsidRPr="00B43652">
              <w:t>Australian support will continue to provide practical solutions to improve and sustain confidence in the peace process.</w:t>
            </w:r>
            <w:r w:rsidR="00A01926">
              <w:t xml:space="preserve"> Australia will strengthen monitoring of the peace context to inform risk management.</w:t>
            </w:r>
          </w:p>
        </w:tc>
      </w:tr>
      <w:tr w:rsidR="00285A2B" w:rsidRPr="00180B19" w:rsidTr="001D2BAC">
        <w:tc>
          <w:tcPr>
            <w:tcW w:w="2788" w:type="dxa"/>
            <w:shd w:val="clear" w:color="auto" w:fill="auto"/>
          </w:tcPr>
          <w:p w:rsidR="00285A2B" w:rsidRPr="00F04095" w:rsidRDefault="00285A2B" w:rsidP="00F04095">
            <w:pPr>
              <w:pStyle w:val="TableTextEntries"/>
            </w:pPr>
            <w:r w:rsidRPr="00F04095">
              <w:t>Decades of poverty and authoritarian rule have resulted in a disempowered public service and opaque government processes</w:t>
            </w:r>
          </w:p>
        </w:tc>
        <w:tc>
          <w:tcPr>
            <w:tcW w:w="3090" w:type="dxa"/>
            <w:shd w:val="clear" w:color="auto" w:fill="auto"/>
          </w:tcPr>
          <w:p w:rsidR="00285A2B" w:rsidRPr="00285A2B" w:rsidRDefault="00285A2B" w:rsidP="00285A2B">
            <w:pPr>
              <w:pStyle w:val="ListBullet"/>
              <w:numPr>
                <w:ilvl w:val="0"/>
                <w:numId w:val="0"/>
              </w:numPr>
              <w:tabs>
                <w:tab w:val="clear" w:pos="284"/>
              </w:tabs>
              <w:spacing w:after="80" w:line="240" w:lineRule="auto"/>
              <w:rPr>
                <w:iCs/>
                <w:sz w:val="17"/>
                <w:szCs w:val="17"/>
                <w:lang w:eastAsia="en-US"/>
              </w:rPr>
            </w:pPr>
            <w:r>
              <w:rPr>
                <w:iCs/>
                <w:sz w:val="17"/>
                <w:szCs w:val="17"/>
                <w:lang w:eastAsia="en-US"/>
              </w:rPr>
              <w:t xml:space="preserve">Australia has </w:t>
            </w:r>
            <w:r w:rsidRPr="00285A2B">
              <w:rPr>
                <w:iCs/>
                <w:sz w:val="17"/>
                <w:szCs w:val="17"/>
                <w:lang w:eastAsia="en-US"/>
              </w:rPr>
              <w:t>establish</w:t>
            </w:r>
            <w:r>
              <w:rPr>
                <w:iCs/>
                <w:sz w:val="17"/>
                <w:szCs w:val="17"/>
                <w:lang w:eastAsia="en-US"/>
              </w:rPr>
              <w:t>ed</w:t>
            </w:r>
            <w:r w:rsidRPr="00285A2B">
              <w:rPr>
                <w:iCs/>
                <w:sz w:val="17"/>
                <w:szCs w:val="17"/>
                <w:lang w:eastAsia="en-US"/>
              </w:rPr>
              <w:t xml:space="preserve"> a new public financial management reform program to build government capacity for efficient, accountable and responsive public service delivery</w:t>
            </w:r>
            <w:r>
              <w:rPr>
                <w:iCs/>
                <w:sz w:val="17"/>
                <w:szCs w:val="17"/>
                <w:lang w:eastAsia="en-US"/>
              </w:rPr>
              <w:t>.</w:t>
            </w:r>
          </w:p>
        </w:tc>
        <w:tc>
          <w:tcPr>
            <w:tcW w:w="3070" w:type="dxa"/>
            <w:shd w:val="clear" w:color="auto" w:fill="auto"/>
          </w:tcPr>
          <w:p w:rsidR="00285A2B" w:rsidRPr="004C4A3E" w:rsidRDefault="00285A2B" w:rsidP="004F773A">
            <w:pPr>
              <w:pStyle w:val="TableTextEntries"/>
            </w:pPr>
            <w:r>
              <w:t>Australia</w:t>
            </w:r>
            <w:r w:rsidR="004F773A">
              <w:t xml:space="preserve"> will continue to strengthen and explore options to build government capacity.</w:t>
            </w:r>
          </w:p>
        </w:tc>
      </w:tr>
    </w:tbl>
    <w:p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DF029D" w:rsidRDefault="00DF029D" w:rsidP="00A8367D">
      <w:pPr>
        <w:pStyle w:val="ListBullet"/>
        <w:ind w:left="284" w:hanging="284"/>
      </w:pPr>
      <w:r>
        <w:t xml:space="preserve">Complete education program design aligning to </w:t>
      </w:r>
      <w:r w:rsidR="008E3F5B">
        <w:t xml:space="preserve">Myanmar </w:t>
      </w:r>
      <w:r>
        <w:t>Government reform agenda</w:t>
      </w:r>
      <w:r w:rsidR="00B840FE">
        <w:t xml:space="preserve"> and Australia’s bilateral priorities</w:t>
      </w:r>
      <w:r>
        <w:t xml:space="preserve">. Extend program to meet identified national gaps in service delivery while promoting an inclusive national education system. </w:t>
      </w:r>
      <w:r w:rsidR="00B840FE">
        <w:t>This will consider the ongoing effectiveness of trust funds and other partners in responding to the rapidly changing education sector in Burma.</w:t>
      </w:r>
    </w:p>
    <w:p w:rsidR="00DF029D" w:rsidRDefault="00DF029D" w:rsidP="00A8367D">
      <w:pPr>
        <w:pStyle w:val="ListBullet"/>
        <w:ind w:left="284" w:hanging="284"/>
      </w:pPr>
      <w:r>
        <w:t>Ensure that Australia’s engagement</w:t>
      </w:r>
      <w:r w:rsidR="00A176D9">
        <w:t>s</w:t>
      </w:r>
      <w:r>
        <w:t xml:space="preserve"> in the health </w:t>
      </w:r>
      <w:r w:rsidR="00A176D9">
        <w:t xml:space="preserve">and livelihoods </w:t>
      </w:r>
      <w:r>
        <w:t>sector</w:t>
      </w:r>
      <w:r w:rsidR="00A176D9">
        <w:t>s</w:t>
      </w:r>
      <w:r>
        <w:t xml:space="preserve"> </w:t>
      </w:r>
      <w:r w:rsidR="00A176D9">
        <w:t>are</w:t>
      </w:r>
      <w:r>
        <w:t xml:space="preserve"> in line with the </w:t>
      </w:r>
      <w:r w:rsidR="00A176D9">
        <w:t xml:space="preserve">Myanmar </w:t>
      </w:r>
      <w:r>
        <w:t>Government</w:t>
      </w:r>
      <w:r w:rsidR="00A176D9">
        <w:t>’s</w:t>
      </w:r>
      <w:r>
        <w:t xml:space="preserve"> reform agenda and benefit Australia’s bilateral relationship.</w:t>
      </w:r>
    </w:p>
    <w:p w:rsidR="00DF029D" w:rsidRDefault="00DF029D" w:rsidP="00A8367D">
      <w:pPr>
        <w:pStyle w:val="ListBullet"/>
        <w:ind w:left="284" w:hanging="284"/>
      </w:pPr>
      <w:r>
        <w:t>Allocate further resources to mainstream gender into existing programming</w:t>
      </w:r>
      <w:r w:rsidR="00582F94">
        <w:t xml:space="preserve"> </w:t>
      </w:r>
      <w:r w:rsidR="00B5029A">
        <w:t xml:space="preserve">and </w:t>
      </w:r>
      <w:r w:rsidR="00582F94">
        <w:t>ensure program focal points are effectively skilled</w:t>
      </w:r>
      <w:r w:rsidR="00295EE6">
        <w:t xml:space="preserve">, </w:t>
      </w:r>
      <w:r w:rsidR="00B5029A">
        <w:t xml:space="preserve">undertake further gender analysis, update gender stocktake identifying actions to improve gender results, </w:t>
      </w:r>
      <w:r w:rsidR="00295EE6">
        <w:t xml:space="preserve">seek improved gender reporting </w:t>
      </w:r>
      <w:r w:rsidR="00B5029A">
        <w:t xml:space="preserve">and collection of sex-disaggregated data </w:t>
      </w:r>
      <w:r w:rsidR="00295EE6">
        <w:t>from partners and</w:t>
      </w:r>
      <w:r>
        <w:t xml:space="preserve"> </w:t>
      </w:r>
      <w:r w:rsidR="00295EE6">
        <w:t>prioritise gender equality in emerging economic diplomacy programs</w:t>
      </w:r>
      <w:r>
        <w:t>.</w:t>
      </w:r>
    </w:p>
    <w:p w:rsidR="00BD6296" w:rsidRDefault="00582F94" w:rsidP="00A8367D">
      <w:pPr>
        <w:pStyle w:val="ListBullet"/>
        <w:ind w:left="284" w:hanging="284"/>
      </w:pPr>
      <w:r>
        <w:t>Revise and finalise</w:t>
      </w:r>
      <w:r w:rsidR="00BD6296" w:rsidRPr="00FC6C31">
        <w:t xml:space="preserve"> governance strategy tak</w:t>
      </w:r>
      <w:r>
        <w:t>ing</w:t>
      </w:r>
      <w:r w:rsidR="00BD6296" w:rsidRPr="00FC6C31">
        <w:t xml:space="preserve"> a</w:t>
      </w:r>
      <w:r>
        <w:t xml:space="preserve">ccount of </w:t>
      </w:r>
      <w:r w:rsidR="00BD6296" w:rsidRPr="00FC6C31">
        <w:t xml:space="preserve">appropriateness and viability of reforms supported </w:t>
      </w:r>
      <w:r>
        <w:t xml:space="preserve">and </w:t>
      </w:r>
      <w:r w:rsidR="00BD6296" w:rsidRPr="00FC6C31">
        <w:t>align</w:t>
      </w:r>
      <w:r>
        <w:t>ment</w:t>
      </w:r>
      <w:r w:rsidR="00BD6296" w:rsidRPr="00FC6C31">
        <w:t xml:space="preserve"> </w:t>
      </w:r>
      <w:r>
        <w:t>with Australia’s new aid policy.</w:t>
      </w:r>
    </w:p>
    <w:p w:rsidR="00A52EC2" w:rsidRDefault="00582F94" w:rsidP="00A8367D">
      <w:pPr>
        <w:pStyle w:val="ListBullet"/>
        <w:ind w:left="284" w:hanging="284"/>
      </w:pPr>
      <w:r>
        <w:t>Monitor progress towards a Nationwide Ceasefire Agreement and look for ways to consolidate</w:t>
      </w:r>
      <w:r w:rsidR="00A52EC2" w:rsidRPr="00A52EC2">
        <w:t xml:space="preserve"> our support to the peace process </w:t>
      </w:r>
      <w:r w:rsidR="00D01259">
        <w:t>to</w:t>
      </w:r>
      <w:r w:rsidR="00A52EC2" w:rsidRPr="00A52EC2">
        <w:t xml:space="preserve"> limit fragmentation. Consideration will be given to closer alignment of Australian peacebuilding support with governance programs to rationalise management costs and reinforce complementary objectives.</w:t>
      </w:r>
    </w:p>
    <w:p w:rsidR="00582F94" w:rsidRDefault="0007327A" w:rsidP="00A8367D">
      <w:pPr>
        <w:pStyle w:val="ListBullet"/>
        <w:ind w:left="284" w:hanging="284"/>
      </w:pPr>
      <w:r>
        <w:t xml:space="preserve">Work with partners to ensure that programs take a conflict-sensitive approach to programs in </w:t>
      </w:r>
      <w:r w:rsidR="00582F94">
        <w:t>post-conflict areas and sites of communal violence.</w:t>
      </w:r>
    </w:p>
    <w:p w:rsidR="0007327A" w:rsidRPr="00284F20" w:rsidRDefault="0007327A" w:rsidP="00A8367D">
      <w:pPr>
        <w:pStyle w:val="ListBullet"/>
        <w:ind w:left="284" w:hanging="284"/>
      </w:pPr>
      <w:r>
        <w:t>Continue to improve the evidence base for programs, particularly in conflict-affected areas, by supporting targeted analytical work.</w:t>
      </w:r>
    </w:p>
    <w:p w:rsidR="003700E1" w:rsidRDefault="00D01259" w:rsidP="00A8367D">
      <w:pPr>
        <w:pStyle w:val="ListBullet"/>
        <w:ind w:left="284" w:hanging="284"/>
      </w:pPr>
      <w:r>
        <w:t xml:space="preserve">Seek opportunities to increase Australia’s </w:t>
      </w:r>
      <w:r w:rsidR="00FD744F">
        <w:t>contribution to economic growth in Burma</w:t>
      </w:r>
      <w:r w:rsidR="00FD744F" w:rsidDel="00FD744F">
        <w:t xml:space="preserve"> </w:t>
      </w:r>
      <w:r w:rsidR="00FD744F">
        <w:t xml:space="preserve">including </w:t>
      </w:r>
      <w:r>
        <w:t>through private/public partnerships.</w:t>
      </w:r>
    </w:p>
    <w:p w:rsidR="003D58C5" w:rsidRDefault="00FD744F" w:rsidP="00A8367D">
      <w:pPr>
        <w:pStyle w:val="ListBullet"/>
        <w:ind w:left="284" w:hanging="284"/>
      </w:pPr>
      <w:r>
        <w:t>Work with ACIAR to improve QAI ratings and establish the Multidisciplinary Research Program to Improve Food Security as Australia’s hallmark program of assistance to Burma’s agriculture sector.</w:t>
      </w:r>
    </w:p>
    <w:p w:rsidR="008E3F5B" w:rsidRDefault="003D58C5" w:rsidP="00A8367D">
      <w:pPr>
        <w:pStyle w:val="ListBullet"/>
        <w:ind w:left="284" w:hanging="284"/>
      </w:pPr>
      <w:r>
        <w:t>Rangoon Post will continue to constructively engage with the Myanmar Government to monitor and manage political risks.</w:t>
      </w:r>
    </w:p>
    <w:p w:rsidR="00A52EC2" w:rsidRPr="00A52EC2" w:rsidRDefault="00FD744F" w:rsidP="00A8367D">
      <w:pPr>
        <w:pStyle w:val="ListBullet"/>
        <w:ind w:left="284" w:hanging="284"/>
      </w:pPr>
      <w:r>
        <w:t>Develop an Aid Investment Plan articulat</w:t>
      </w:r>
      <w:r w:rsidR="008E3F5B">
        <w:t>ing</w:t>
      </w:r>
      <w:r>
        <w:t xml:space="preserve"> Australia’s forward aid priorities, objectives and benchmarks by 1 July 2015.</w:t>
      </w:r>
    </w:p>
    <w:p w:rsidR="00CA113C" w:rsidRPr="00A52EC2" w:rsidRDefault="00CA113C" w:rsidP="00A52EC2">
      <w:pPr>
        <w:pStyle w:val="ListBullet"/>
        <w:sectPr w:rsidR="00CA113C" w:rsidRPr="00A52EC2" w:rsidSect="0034587F">
          <w:headerReference w:type="default" r:id="rId17"/>
          <w:type w:val="continuous"/>
          <w:pgSz w:w="11907" w:h="16840" w:code="9"/>
          <w:pgMar w:top="1418" w:right="1701" w:bottom="1276" w:left="1701" w:header="850" w:footer="567" w:gutter="0"/>
          <w:pgNumType w:start="1"/>
          <w:cols w:space="720"/>
          <w:docGrid w:linePitch="326"/>
        </w:sectPr>
      </w:pPr>
    </w:p>
    <w:p w:rsidR="000D733F" w:rsidRPr="009E38C1" w:rsidRDefault="00CE2942" w:rsidP="000D733F">
      <w:pPr>
        <w:pStyle w:val="Heading2"/>
        <w:rPr>
          <w:sz w:val="28"/>
        </w:rPr>
      </w:pPr>
      <w:r>
        <w:rPr>
          <w:sz w:val="28"/>
        </w:rPr>
        <w:lastRenderedPageBreak/>
        <w:t xml:space="preserve">Annex A - </w:t>
      </w:r>
      <w:r w:rsidR="000D733F"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0D733F" w:rsidRPr="00180B19" w:rsidTr="00DF7A96">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DF7A96" w:rsidRDefault="00B51942" w:rsidP="000D733F">
            <w:pPr>
              <w:pStyle w:val="TableTextEntries"/>
              <w:rPr>
                <w:b/>
                <w:i/>
              </w:rPr>
            </w:pPr>
            <w:r w:rsidRPr="00DF7A96">
              <w:rPr>
                <w:b/>
                <w:i/>
              </w:rPr>
              <w:t>Strategy</w:t>
            </w:r>
          </w:p>
        </w:tc>
        <w:tc>
          <w:tcPr>
            <w:tcW w:w="964" w:type="dxa"/>
            <w:shd w:val="clear" w:color="auto" w:fill="auto"/>
          </w:tcPr>
          <w:p w:rsidR="000D733F" w:rsidRPr="00443639" w:rsidRDefault="000D733F" w:rsidP="000D733F">
            <w:pPr>
              <w:pStyle w:val="TableTextEntries"/>
              <w:jc w:val="center"/>
              <w:rPr>
                <w:color w:val="FFFFFF" w:themeColor="background1"/>
              </w:rPr>
            </w:pPr>
          </w:p>
        </w:tc>
        <w:tc>
          <w:tcPr>
            <w:tcW w:w="6896" w:type="dxa"/>
          </w:tcPr>
          <w:p w:rsidR="000D733F" w:rsidRPr="00DF7A96" w:rsidRDefault="000D733F" w:rsidP="000D733F">
            <w:pPr>
              <w:pStyle w:val="TableTextEntries"/>
            </w:pPr>
          </w:p>
        </w:tc>
      </w:tr>
      <w:tr w:rsidR="000D733F" w:rsidRPr="00180B19" w:rsidTr="00DF7A96">
        <w:trPr>
          <w:cnfStyle w:val="000000010000" w:firstRow="0" w:lastRow="0" w:firstColumn="0" w:lastColumn="0" w:oddVBand="0" w:evenVBand="0" w:oddHBand="0" w:evenHBand="1" w:firstRowFirstColumn="0" w:firstRowLastColumn="0" w:lastRowFirstColumn="0" w:lastRowLastColumn="0"/>
          <w:trHeight w:val="244"/>
        </w:trPr>
        <w:tc>
          <w:tcPr>
            <w:tcW w:w="6473" w:type="dxa"/>
          </w:tcPr>
          <w:p w:rsidR="000D733F" w:rsidRPr="00100AA2" w:rsidRDefault="00DF7A96" w:rsidP="000D733F">
            <w:pPr>
              <w:pStyle w:val="TableTextEntries"/>
            </w:pPr>
            <w:r w:rsidRPr="004E4976">
              <w:t xml:space="preserve">Convene the inaugural </w:t>
            </w:r>
            <w:r w:rsidRPr="0085525F">
              <w:t>Australia–</w:t>
            </w:r>
            <w:r>
              <w:t xml:space="preserve">Myanmar </w:t>
            </w:r>
            <w:r w:rsidRPr="0085525F">
              <w:t>High Level Consultations with the Ministry of National Planning and Economic Development in the second half of 2013.</w:t>
            </w:r>
          </w:p>
        </w:tc>
        <w:tc>
          <w:tcPr>
            <w:tcW w:w="964" w:type="dxa"/>
            <w:shd w:val="clear" w:color="auto" w:fill="9BBB59" w:themeFill="accent3"/>
          </w:tcPr>
          <w:p w:rsidR="000D733F" w:rsidRPr="00443639" w:rsidRDefault="000D733F" w:rsidP="000D733F">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0D733F" w:rsidRPr="00DF7A96" w:rsidRDefault="00A20FEB" w:rsidP="00A20FEB">
            <w:pPr>
              <w:pStyle w:val="TableTextEntries"/>
            </w:pPr>
            <w:r>
              <w:t xml:space="preserve">Inaugural </w:t>
            </w:r>
            <w:r w:rsidRPr="0085525F">
              <w:t>Australia–</w:t>
            </w:r>
            <w:r>
              <w:t xml:space="preserve">Myanmar </w:t>
            </w:r>
            <w:r w:rsidRPr="0085525F">
              <w:t xml:space="preserve">High Level Consultations </w:t>
            </w:r>
            <w:r>
              <w:t>on development cooperation were held in Nay Pyi Taw on 29 July 2013.</w:t>
            </w:r>
          </w:p>
        </w:tc>
      </w:tr>
      <w:tr w:rsidR="00DF7A96" w:rsidRPr="00180B19" w:rsidTr="00DF7A96">
        <w:trPr>
          <w:cnfStyle w:val="000000010000" w:firstRow="0" w:lastRow="0" w:firstColumn="0" w:lastColumn="0" w:oddVBand="0" w:evenVBand="0" w:oddHBand="0" w:evenHBand="1" w:firstRowFirstColumn="0" w:firstRowLastColumn="0" w:lastRowFirstColumn="0" w:lastRowLastColumn="0"/>
        </w:trPr>
        <w:tc>
          <w:tcPr>
            <w:tcW w:w="6473" w:type="dxa"/>
          </w:tcPr>
          <w:p w:rsidR="00DF7A96" w:rsidRPr="00100AA2" w:rsidRDefault="00071097" w:rsidP="00295EE6">
            <w:pPr>
              <w:pStyle w:val="TableTextEntries"/>
            </w:pPr>
            <w:r>
              <w:t>Commence development of a</w:t>
            </w:r>
            <w:r w:rsidR="00DF7A96" w:rsidRPr="0085525F">
              <w:t xml:space="preserve"> country situational analysis </w:t>
            </w:r>
            <w:r w:rsidR="00DF7A96">
              <w:t xml:space="preserve">in </w:t>
            </w:r>
            <w:r w:rsidR="00DF7A96" w:rsidRPr="0085525F">
              <w:t>late 2013</w:t>
            </w:r>
            <w:r w:rsidR="00295EE6">
              <w:t xml:space="preserve"> </w:t>
            </w:r>
            <w:r w:rsidR="00DF7A96" w:rsidRPr="0085525F">
              <w:t>to feed into a new country strategy that will underpin the program’s direction in 2015 and beyond.</w:t>
            </w:r>
          </w:p>
        </w:tc>
        <w:tc>
          <w:tcPr>
            <w:tcW w:w="964" w:type="dxa"/>
            <w:shd w:val="clear" w:color="auto" w:fill="F79646" w:themeFill="accent6"/>
          </w:tcPr>
          <w:p w:rsidR="00DF7A96" w:rsidRPr="00443639" w:rsidRDefault="00DF7A96" w:rsidP="00DF7A96">
            <w:pPr>
              <w:pStyle w:val="TableTextEntries"/>
              <w:jc w:val="center"/>
              <w:rPr>
                <w:color w:val="FFFFFF" w:themeColor="background1"/>
              </w:rPr>
            </w:pPr>
            <w:r>
              <w:rPr>
                <w:color w:val="FFFFFF" w:themeColor="background1"/>
              </w:rPr>
              <w:t>Partly achieved</w:t>
            </w:r>
          </w:p>
        </w:tc>
        <w:tc>
          <w:tcPr>
            <w:tcW w:w="6896" w:type="dxa"/>
          </w:tcPr>
          <w:p w:rsidR="00DF7A96" w:rsidRPr="00DF7A96" w:rsidRDefault="00295EE6" w:rsidP="00071097">
            <w:pPr>
              <w:pStyle w:val="TableTextEntries"/>
            </w:pPr>
            <w:r>
              <w:t xml:space="preserve">Burma’s </w:t>
            </w:r>
            <w:r w:rsidR="00DF7A96" w:rsidRPr="00DF7A96">
              <w:t>Aid Investment Plan</w:t>
            </w:r>
            <w:r>
              <w:t xml:space="preserve"> will be completed in the first quarter of 2015 and will be informed by </w:t>
            </w:r>
            <w:r w:rsidR="00071097">
              <w:t>analysis currently underway</w:t>
            </w:r>
            <w:r w:rsidR="00DF7A96" w:rsidRPr="00DF7A96">
              <w:t>.</w:t>
            </w:r>
          </w:p>
        </w:tc>
      </w:tr>
      <w:tr w:rsidR="00DF7A96" w:rsidRPr="00180B19" w:rsidTr="00E71C4F">
        <w:trPr>
          <w:cnfStyle w:val="000000010000" w:firstRow="0" w:lastRow="0" w:firstColumn="0" w:lastColumn="0" w:oddVBand="0" w:evenVBand="0" w:oddHBand="0" w:evenHBand="1" w:firstRowFirstColumn="0" w:firstRowLastColumn="0" w:lastRowFirstColumn="0" w:lastRowLastColumn="0"/>
          <w:trHeight w:val="244"/>
        </w:trPr>
        <w:tc>
          <w:tcPr>
            <w:tcW w:w="6473" w:type="dxa"/>
          </w:tcPr>
          <w:p w:rsidR="00DF7A96" w:rsidRPr="004E4976" w:rsidRDefault="00DF7A96" w:rsidP="00E71C4F">
            <w:pPr>
              <w:pStyle w:val="TableTextEntries"/>
            </w:pPr>
            <w:r w:rsidRPr="0085525F">
              <w:t>Develop and implement a performance assessment framework based on the current Aid Pro</w:t>
            </w:r>
            <w:r w:rsidRPr="00310261">
              <w:t>gram Strategy 2012–2014</w:t>
            </w:r>
            <w:r w:rsidRPr="004D0A10">
              <w:t>.</w:t>
            </w:r>
          </w:p>
        </w:tc>
        <w:tc>
          <w:tcPr>
            <w:tcW w:w="964" w:type="dxa"/>
            <w:shd w:val="clear" w:color="auto" w:fill="9BBB59" w:themeFill="accent3"/>
          </w:tcPr>
          <w:p w:rsidR="00DF7A96" w:rsidRDefault="00DF7A96" w:rsidP="00DF7A96">
            <w:pPr>
              <w:pStyle w:val="TableTextEntries"/>
              <w:jc w:val="center"/>
              <w:rPr>
                <w:color w:val="FFFFFF" w:themeColor="background1"/>
              </w:rPr>
            </w:pPr>
            <w:r>
              <w:rPr>
                <w:color w:val="FFFFFF" w:themeColor="background1"/>
              </w:rPr>
              <w:t>Achieved</w:t>
            </w:r>
          </w:p>
        </w:tc>
        <w:tc>
          <w:tcPr>
            <w:tcW w:w="6896" w:type="dxa"/>
            <w:shd w:val="clear" w:color="auto" w:fill="auto"/>
          </w:tcPr>
          <w:p w:rsidR="00DF7A96" w:rsidRPr="00DF7A96" w:rsidRDefault="00E71C4F" w:rsidP="00DF7A96">
            <w:pPr>
              <w:pStyle w:val="TableTextEntries"/>
            </w:pPr>
            <w:r>
              <w:t>Completed in February 2014. Refer to Program Quality and Management.</w:t>
            </w:r>
          </w:p>
        </w:tc>
      </w:tr>
      <w:tr w:rsidR="00DF7A96" w:rsidRPr="00180B19" w:rsidTr="003B243C">
        <w:trPr>
          <w:cnfStyle w:val="000000010000" w:firstRow="0" w:lastRow="0" w:firstColumn="0" w:lastColumn="0" w:oddVBand="0" w:evenVBand="0" w:oddHBand="0" w:evenHBand="1" w:firstRowFirstColumn="0" w:firstRowLastColumn="0" w:lastRowFirstColumn="0" w:lastRowLastColumn="0"/>
        </w:trPr>
        <w:tc>
          <w:tcPr>
            <w:tcW w:w="6473" w:type="dxa"/>
          </w:tcPr>
          <w:p w:rsidR="00DF7A96" w:rsidRPr="00DF7A96" w:rsidRDefault="00DF7A96" w:rsidP="000D733F">
            <w:pPr>
              <w:pStyle w:val="TableTextEntries"/>
              <w:rPr>
                <w:b/>
                <w:i/>
              </w:rPr>
            </w:pPr>
            <w:r w:rsidRPr="00DF7A96">
              <w:rPr>
                <w:b/>
                <w:i/>
              </w:rPr>
              <w:t>Program</w:t>
            </w:r>
          </w:p>
        </w:tc>
        <w:tc>
          <w:tcPr>
            <w:tcW w:w="964" w:type="dxa"/>
            <w:shd w:val="clear" w:color="auto" w:fill="auto"/>
          </w:tcPr>
          <w:p w:rsidR="00DF7A96" w:rsidRDefault="00DF7A96" w:rsidP="000D733F">
            <w:pPr>
              <w:pStyle w:val="TableTextEntries"/>
              <w:jc w:val="center"/>
              <w:rPr>
                <w:color w:val="FFFFFF" w:themeColor="background1"/>
              </w:rPr>
            </w:pPr>
          </w:p>
        </w:tc>
        <w:tc>
          <w:tcPr>
            <w:tcW w:w="6896" w:type="dxa"/>
            <w:shd w:val="clear" w:color="auto" w:fill="FFFFFF" w:themeFill="background1"/>
          </w:tcPr>
          <w:p w:rsidR="00DF7A96" w:rsidRPr="00DF7A96" w:rsidRDefault="00DF7A96" w:rsidP="000D733F">
            <w:pPr>
              <w:pStyle w:val="TableTextEntries"/>
            </w:pPr>
          </w:p>
        </w:tc>
      </w:tr>
      <w:tr w:rsidR="00DF7A96" w:rsidRPr="00180B19" w:rsidTr="00071097">
        <w:trPr>
          <w:cnfStyle w:val="000000010000" w:firstRow="0" w:lastRow="0" w:firstColumn="0" w:lastColumn="0" w:oddVBand="0" w:evenVBand="0" w:oddHBand="0" w:evenHBand="1" w:firstRowFirstColumn="0" w:firstRowLastColumn="0" w:lastRowFirstColumn="0" w:lastRowLastColumn="0"/>
        </w:trPr>
        <w:tc>
          <w:tcPr>
            <w:tcW w:w="6473" w:type="dxa"/>
          </w:tcPr>
          <w:p w:rsidR="00DF7A96" w:rsidRPr="00100AA2" w:rsidRDefault="00DF7A96" w:rsidP="00DF7A96">
            <w:pPr>
              <w:pStyle w:val="TableTextEntries"/>
            </w:pPr>
            <w:r w:rsidRPr="00411847">
              <w:t xml:space="preserve">Maintain our advocacy for responsible donor behaviour, leading by example on the application of the Nay Pyi Taw Accord and supporting the </w:t>
            </w:r>
            <w:r>
              <w:t>g</w:t>
            </w:r>
            <w:r w:rsidRPr="00411847">
              <w:t>overnment’s coordination capacity, while assuming a more manageable involvement in the daily mechanics.</w:t>
            </w:r>
          </w:p>
        </w:tc>
        <w:tc>
          <w:tcPr>
            <w:tcW w:w="964" w:type="dxa"/>
            <w:shd w:val="clear" w:color="auto" w:fill="9BBB59" w:themeFill="accent3"/>
          </w:tcPr>
          <w:p w:rsidR="00DF7A96" w:rsidRDefault="00DF7A96" w:rsidP="000D733F">
            <w:pPr>
              <w:pStyle w:val="TableTextEntries"/>
              <w:jc w:val="center"/>
              <w:rPr>
                <w:color w:val="FFFFFF" w:themeColor="background1"/>
              </w:rPr>
            </w:pPr>
            <w:r>
              <w:rPr>
                <w:color w:val="FFFFFF" w:themeColor="background1"/>
              </w:rPr>
              <w:t>Achieved</w:t>
            </w:r>
          </w:p>
        </w:tc>
        <w:tc>
          <w:tcPr>
            <w:tcW w:w="6896" w:type="dxa"/>
            <w:shd w:val="clear" w:color="auto" w:fill="auto"/>
          </w:tcPr>
          <w:p w:rsidR="00DF7A96" w:rsidRPr="00DF7A96" w:rsidRDefault="00060AD9" w:rsidP="00071097">
            <w:pPr>
              <w:pStyle w:val="TableTextEntries"/>
            </w:pPr>
            <w:r>
              <w:t>Austra</w:t>
            </w:r>
            <w:r w:rsidR="00071097">
              <w:t xml:space="preserve">lia continued to play a lead </w:t>
            </w:r>
            <w:r>
              <w:t>role in the education</w:t>
            </w:r>
            <w:r w:rsidR="00071097">
              <w:t xml:space="preserve"> </w:t>
            </w:r>
            <w:r>
              <w:t>sector, co-</w:t>
            </w:r>
            <w:r w:rsidR="00071097">
              <w:t>chairing the donor working group</w:t>
            </w:r>
            <w:r>
              <w:t xml:space="preserve"> and encouraging coordinated approaches with new donors including the World Bank.</w:t>
            </w:r>
            <w:r w:rsidR="00071097">
              <w:t xml:space="preserve"> Selection as 3MDG 2015 chair will provide the opportunity to promote good donor principles.</w:t>
            </w:r>
          </w:p>
        </w:tc>
      </w:tr>
      <w:tr w:rsidR="000F4207" w:rsidRPr="00180B19" w:rsidTr="009C159A">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DF7A96">
            <w:pPr>
              <w:pStyle w:val="TableTextEntries"/>
            </w:pPr>
            <w:r w:rsidRPr="004E4976">
              <w:t xml:space="preserve">Assess capacity to make a difference in key sectors and consider reducing involvement in those where our partners are </w:t>
            </w:r>
            <w:r>
              <w:t>able</w:t>
            </w:r>
            <w:r w:rsidRPr="004E4976">
              <w:t xml:space="preserve"> to represent </w:t>
            </w:r>
            <w:r>
              <w:t>our</w:t>
            </w:r>
            <w:r w:rsidRPr="004E4976">
              <w:t xml:space="preserve"> interests or new donors are emerging. </w:t>
            </w:r>
          </w:p>
        </w:tc>
        <w:tc>
          <w:tcPr>
            <w:tcW w:w="964" w:type="dxa"/>
            <w:shd w:val="clear" w:color="auto" w:fill="F79646" w:themeFill="accent6"/>
          </w:tcPr>
          <w:p w:rsidR="000F4207" w:rsidRDefault="000F4207" w:rsidP="000D733F">
            <w:pPr>
              <w:pStyle w:val="TableTextEntries"/>
              <w:jc w:val="center"/>
              <w:rPr>
                <w:color w:val="FFFFFF" w:themeColor="background1"/>
              </w:rPr>
            </w:pPr>
            <w:r>
              <w:rPr>
                <w:color w:val="FFFFFF" w:themeColor="background1"/>
              </w:rPr>
              <w:t>Partly achieved</w:t>
            </w:r>
          </w:p>
        </w:tc>
        <w:tc>
          <w:tcPr>
            <w:tcW w:w="6896" w:type="dxa"/>
            <w:shd w:val="clear" w:color="auto" w:fill="auto"/>
          </w:tcPr>
          <w:p w:rsidR="000F4207" w:rsidRPr="004C4A3E" w:rsidRDefault="000F4207" w:rsidP="009C159A">
            <w:pPr>
              <w:pStyle w:val="TableTextEntries"/>
            </w:pPr>
            <w:r>
              <w:t>Australia’s capacity to make a difference in key sectors and</w:t>
            </w:r>
            <w:r w:rsidR="009C159A">
              <w:t xml:space="preserve"> scope for a reduction of involvement will be considered as part of the</w:t>
            </w:r>
            <w:r>
              <w:t xml:space="preserve"> A</w:t>
            </w:r>
            <w:r w:rsidR="009C159A">
              <w:t>id I</w:t>
            </w:r>
            <w:r>
              <w:t>nvestment Plan process.</w:t>
            </w:r>
          </w:p>
        </w:tc>
      </w:tr>
      <w:tr w:rsidR="000F4207" w:rsidRPr="00180B19" w:rsidTr="00071097">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0D733F">
            <w:pPr>
              <w:pStyle w:val="TableTextEntries"/>
            </w:pPr>
            <w:r w:rsidRPr="00A408DC">
              <w:t>Consolidate existing inve</w:t>
            </w:r>
            <w:r>
              <w:t xml:space="preserve">stments in health and education, </w:t>
            </w:r>
            <w:r w:rsidRPr="00A408DC">
              <w:t>maintain ou</w:t>
            </w:r>
            <w:r>
              <w:t xml:space="preserve">r donor leadership in education and </w:t>
            </w:r>
            <w:r w:rsidRPr="0024098A">
              <w:t>improve gender integration and the quality of gender data</w:t>
            </w:r>
            <w:r>
              <w:t>.</w:t>
            </w:r>
          </w:p>
        </w:tc>
        <w:tc>
          <w:tcPr>
            <w:tcW w:w="964" w:type="dxa"/>
            <w:shd w:val="clear" w:color="auto" w:fill="F79646" w:themeFill="accent6"/>
          </w:tcPr>
          <w:p w:rsidR="000F4207" w:rsidRDefault="000F4207" w:rsidP="000D733F">
            <w:pPr>
              <w:pStyle w:val="TableTextEntries"/>
              <w:jc w:val="center"/>
              <w:rPr>
                <w:color w:val="FFFFFF" w:themeColor="background1"/>
              </w:rPr>
            </w:pPr>
            <w:r>
              <w:rPr>
                <w:color w:val="FFFFFF" w:themeColor="background1"/>
              </w:rPr>
              <w:t>Partly achieved</w:t>
            </w:r>
          </w:p>
        </w:tc>
        <w:tc>
          <w:tcPr>
            <w:tcW w:w="6896" w:type="dxa"/>
            <w:shd w:val="clear" w:color="auto" w:fill="auto"/>
          </w:tcPr>
          <w:p w:rsidR="000F4207" w:rsidRPr="00DF7A96" w:rsidRDefault="000F4207" w:rsidP="00071097">
            <w:pPr>
              <w:pStyle w:val="TableTextEntries"/>
            </w:pPr>
            <w:r>
              <w:t>Australia maintained strong leadership in education, working closely with the Myanmar Government to further reforms. Further work is needed to maintain leadership and influence through the provision of targeted and tailored technical assistance and advice. Australia has continued to consolidate health investments working through a multi-donor trust fund in partnership with the Myanmar Government. Gender integration and quality of gender data remains an issue.</w:t>
            </w:r>
          </w:p>
        </w:tc>
      </w:tr>
      <w:tr w:rsidR="000F4207" w:rsidRPr="00180B19" w:rsidTr="00284F20">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85602B">
            <w:pPr>
              <w:pStyle w:val="TableTextEntries"/>
            </w:pPr>
            <w:r w:rsidRPr="004E4976">
              <w:t xml:space="preserve">Manage the increasing risk of activity proliferation and program fragmentation and the potential this has to reduce aid effectiveness. </w:t>
            </w:r>
          </w:p>
        </w:tc>
        <w:tc>
          <w:tcPr>
            <w:tcW w:w="964" w:type="dxa"/>
            <w:shd w:val="clear" w:color="auto" w:fill="9BBB59" w:themeFill="accent3"/>
          </w:tcPr>
          <w:p w:rsidR="000F4207" w:rsidRDefault="000F4207" w:rsidP="0085602B">
            <w:pPr>
              <w:pStyle w:val="TableTextEntries"/>
              <w:jc w:val="center"/>
              <w:rPr>
                <w:color w:val="FFFFFF" w:themeColor="background1"/>
              </w:rPr>
            </w:pPr>
            <w:r>
              <w:rPr>
                <w:color w:val="FFFFFF" w:themeColor="background1"/>
              </w:rPr>
              <w:t>Achieved</w:t>
            </w:r>
          </w:p>
        </w:tc>
        <w:tc>
          <w:tcPr>
            <w:tcW w:w="6896" w:type="dxa"/>
            <w:shd w:val="clear" w:color="auto" w:fill="auto"/>
          </w:tcPr>
          <w:p w:rsidR="000F4207" w:rsidRPr="00DF7A96" w:rsidRDefault="000F4207" w:rsidP="00071097">
            <w:pPr>
              <w:pStyle w:val="TableTextEntries"/>
            </w:pPr>
            <w:r>
              <w:t>In June 2013 there were 63 activities and the program achieved a reduction to 51 activities by June 2014.</w:t>
            </w:r>
          </w:p>
        </w:tc>
      </w:tr>
      <w:tr w:rsidR="000F4207" w:rsidRPr="00180B19" w:rsidTr="00060AD9">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85602B">
            <w:pPr>
              <w:pStyle w:val="TableTextEntries"/>
            </w:pPr>
            <w:r w:rsidRPr="004E4976">
              <w:t>Complete the Governance Delivery Strategy and finalise the draft Education Engagement Strategy</w:t>
            </w:r>
            <w:r>
              <w:t>, which</w:t>
            </w:r>
            <w:r w:rsidRPr="004E4976">
              <w:t xml:space="preserve"> will lay the foundations for fut</w:t>
            </w:r>
            <w:r>
              <w:t>ure engagement in these sectors</w:t>
            </w:r>
            <w:r w:rsidRPr="004E4976">
              <w:t xml:space="preserve"> and </w:t>
            </w:r>
            <w:r>
              <w:t xml:space="preserve">help inform the next </w:t>
            </w:r>
            <w:r w:rsidRPr="004E4976">
              <w:t>country situational analysis.</w:t>
            </w:r>
          </w:p>
        </w:tc>
        <w:tc>
          <w:tcPr>
            <w:tcW w:w="964" w:type="dxa"/>
            <w:shd w:val="clear" w:color="auto" w:fill="F79646" w:themeFill="accent6"/>
          </w:tcPr>
          <w:p w:rsidR="000F4207" w:rsidRDefault="000F4207" w:rsidP="0085602B">
            <w:pPr>
              <w:pStyle w:val="TableTextEntries"/>
              <w:jc w:val="center"/>
              <w:rPr>
                <w:color w:val="FFFFFF" w:themeColor="background1"/>
              </w:rPr>
            </w:pPr>
            <w:r>
              <w:rPr>
                <w:color w:val="FFFFFF" w:themeColor="background1"/>
              </w:rPr>
              <w:t>Partly achieved</w:t>
            </w:r>
          </w:p>
        </w:tc>
        <w:tc>
          <w:tcPr>
            <w:tcW w:w="6896" w:type="dxa"/>
            <w:shd w:val="clear" w:color="auto" w:fill="auto"/>
          </w:tcPr>
          <w:p w:rsidR="000F4207" w:rsidRPr="00060AD9" w:rsidRDefault="000F4207" w:rsidP="00284F20">
            <w:pPr>
              <w:pStyle w:val="TableTextEntries"/>
            </w:pPr>
            <w:r w:rsidRPr="00060AD9">
              <w:t>DFAT’s Governance Delivery Strategy has been drafted and endorsed by senior management. As per 2013-14 management consequences, the strategy requires updating as a result of the new government policy position.  DFAT’s Education Strategy, as informed by a new integrated structure, is being developed in 201</w:t>
            </w:r>
            <w:r>
              <w:t>4</w:t>
            </w:r>
            <w:r w:rsidRPr="00060AD9">
              <w:t>-1</w:t>
            </w:r>
            <w:r>
              <w:t>5</w:t>
            </w:r>
            <w:r w:rsidRPr="00060AD9">
              <w:t xml:space="preserve"> to advise the Aid Investment Plan.</w:t>
            </w:r>
          </w:p>
        </w:tc>
      </w:tr>
      <w:tr w:rsidR="000F4207" w:rsidRPr="00180B19" w:rsidTr="003B243C">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285A2B">
            <w:pPr>
              <w:pStyle w:val="TableTextEntries"/>
            </w:pPr>
            <w:r w:rsidRPr="004E4976">
              <w:t>Sustain advocacy on key issues that impact on the peace process to complement service delivery programs and expand th</w:t>
            </w:r>
            <w:r>
              <w:t>e reach of existing investments</w:t>
            </w:r>
            <w:r w:rsidRPr="004E4976">
              <w:t>.</w:t>
            </w:r>
          </w:p>
        </w:tc>
        <w:tc>
          <w:tcPr>
            <w:tcW w:w="964" w:type="dxa"/>
            <w:shd w:val="clear" w:color="auto" w:fill="9BBB59" w:themeFill="accent3"/>
          </w:tcPr>
          <w:p w:rsidR="000F4207" w:rsidRDefault="000F4207" w:rsidP="0085602B">
            <w:pPr>
              <w:pStyle w:val="TableTextEntries"/>
              <w:jc w:val="center"/>
              <w:rPr>
                <w:color w:val="FFFFFF" w:themeColor="background1"/>
              </w:rPr>
            </w:pPr>
            <w:r>
              <w:rPr>
                <w:color w:val="FFFFFF" w:themeColor="background1"/>
              </w:rPr>
              <w:t>Achieved</w:t>
            </w:r>
          </w:p>
        </w:tc>
        <w:tc>
          <w:tcPr>
            <w:tcW w:w="6896" w:type="dxa"/>
            <w:shd w:val="clear" w:color="auto" w:fill="FFFFFF" w:themeFill="background1"/>
          </w:tcPr>
          <w:p w:rsidR="000F4207" w:rsidRPr="00DF7A96" w:rsidRDefault="000F4207" w:rsidP="0085602B">
            <w:pPr>
              <w:pStyle w:val="TableTextEntries"/>
            </w:pPr>
            <w:r>
              <w:t>Australia continued to advocate for conflict-sensitive approaches by programs expanding into conflict-affected areas</w:t>
            </w:r>
          </w:p>
        </w:tc>
      </w:tr>
      <w:tr w:rsidR="000F4207" w:rsidRPr="00180B19" w:rsidTr="003B243C">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DF7A96" w:rsidRDefault="000F4207" w:rsidP="0085602B">
            <w:pPr>
              <w:pStyle w:val="TableTextEntries"/>
              <w:rPr>
                <w:b/>
                <w:i/>
              </w:rPr>
            </w:pPr>
            <w:r w:rsidRPr="00DF7A96">
              <w:rPr>
                <w:b/>
                <w:i/>
              </w:rPr>
              <w:t>Management</w:t>
            </w:r>
          </w:p>
        </w:tc>
        <w:tc>
          <w:tcPr>
            <w:tcW w:w="964" w:type="dxa"/>
            <w:shd w:val="clear" w:color="auto" w:fill="auto"/>
          </w:tcPr>
          <w:p w:rsidR="000F4207" w:rsidRDefault="000F4207" w:rsidP="0085602B">
            <w:pPr>
              <w:pStyle w:val="TableTextEntries"/>
              <w:jc w:val="center"/>
              <w:rPr>
                <w:color w:val="FFFFFF" w:themeColor="background1"/>
              </w:rPr>
            </w:pPr>
          </w:p>
        </w:tc>
        <w:tc>
          <w:tcPr>
            <w:tcW w:w="6896" w:type="dxa"/>
            <w:shd w:val="clear" w:color="auto" w:fill="FFFFFF" w:themeFill="background1"/>
          </w:tcPr>
          <w:p w:rsidR="000F4207" w:rsidRPr="00DF7A96" w:rsidRDefault="000F4207" w:rsidP="0085602B">
            <w:pPr>
              <w:pStyle w:val="TableTextEntries"/>
            </w:pPr>
          </w:p>
        </w:tc>
      </w:tr>
      <w:tr w:rsidR="000F4207" w:rsidRPr="00180B19" w:rsidTr="00923A19">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85602B">
            <w:pPr>
              <w:pStyle w:val="TableTextEntries"/>
            </w:pPr>
            <w:r w:rsidRPr="004E4976">
              <w:t>Secure support from senior management to ensure an adequate allocation of resources to deliver the newly established governance program, and to minimise excessive fragmentation due to pressure from domestic and other interests.</w:t>
            </w:r>
          </w:p>
        </w:tc>
        <w:tc>
          <w:tcPr>
            <w:tcW w:w="964" w:type="dxa"/>
            <w:shd w:val="clear" w:color="auto" w:fill="F79646" w:themeFill="accent6"/>
          </w:tcPr>
          <w:p w:rsidR="000F4207" w:rsidRDefault="000F4207" w:rsidP="0085602B">
            <w:pPr>
              <w:pStyle w:val="TableTextEntries"/>
              <w:jc w:val="center"/>
              <w:rPr>
                <w:color w:val="FFFFFF" w:themeColor="background1"/>
              </w:rPr>
            </w:pPr>
            <w:r>
              <w:rPr>
                <w:color w:val="FFFFFF" w:themeColor="background1"/>
              </w:rPr>
              <w:t>Partly achieved</w:t>
            </w:r>
          </w:p>
        </w:tc>
        <w:tc>
          <w:tcPr>
            <w:tcW w:w="6896" w:type="dxa"/>
            <w:shd w:val="clear" w:color="auto" w:fill="FFFFFF" w:themeFill="background1"/>
          </w:tcPr>
          <w:p w:rsidR="000F4207" w:rsidRPr="00DF7A96" w:rsidRDefault="000F4207" w:rsidP="00923A19">
            <w:pPr>
              <w:pStyle w:val="TableTextEntries"/>
            </w:pPr>
            <w:r>
              <w:t xml:space="preserve">While additional resources were secured and excessive fragmentation was mitigated, the governance program remains under-resourced. </w:t>
            </w:r>
          </w:p>
        </w:tc>
      </w:tr>
      <w:tr w:rsidR="000F4207" w:rsidRPr="00180B19" w:rsidTr="00285A2B">
        <w:trPr>
          <w:cnfStyle w:val="000000010000" w:firstRow="0" w:lastRow="0" w:firstColumn="0" w:lastColumn="0" w:oddVBand="0" w:evenVBand="0" w:oddHBand="0" w:evenHBand="1" w:firstRowFirstColumn="0" w:firstRowLastColumn="0" w:lastRowFirstColumn="0" w:lastRowLastColumn="0"/>
        </w:trPr>
        <w:tc>
          <w:tcPr>
            <w:tcW w:w="6473" w:type="dxa"/>
          </w:tcPr>
          <w:p w:rsidR="000F4207" w:rsidRPr="00100AA2" w:rsidRDefault="000F4207" w:rsidP="00285A2B">
            <w:pPr>
              <w:pStyle w:val="TableTextEntries"/>
            </w:pPr>
            <w:r w:rsidRPr="004E4976">
              <w:t>Continue devolving program resources to reflect increasing responsibility</w:t>
            </w:r>
            <w:r>
              <w:t xml:space="preserve"> for program management at Post</w:t>
            </w:r>
            <w:r w:rsidRPr="004E4976">
              <w:t xml:space="preserve">. </w:t>
            </w:r>
          </w:p>
        </w:tc>
        <w:tc>
          <w:tcPr>
            <w:tcW w:w="964" w:type="dxa"/>
            <w:shd w:val="clear" w:color="auto" w:fill="F79646" w:themeFill="accent6"/>
          </w:tcPr>
          <w:p w:rsidR="000F4207" w:rsidRDefault="000F4207" w:rsidP="0085602B">
            <w:pPr>
              <w:pStyle w:val="TableTextEntries"/>
              <w:jc w:val="center"/>
              <w:rPr>
                <w:color w:val="FFFFFF" w:themeColor="background1"/>
              </w:rPr>
            </w:pPr>
            <w:r>
              <w:rPr>
                <w:color w:val="FFFFFF" w:themeColor="background1"/>
              </w:rPr>
              <w:t>Partly achieved</w:t>
            </w:r>
          </w:p>
        </w:tc>
        <w:tc>
          <w:tcPr>
            <w:tcW w:w="6896" w:type="dxa"/>
            <w:shd w:val="clear" w:color="auto" w:fill="auto"/>
          </w:tcPr>
          <w:p w:rsidR="000F4207" w:rsidRPr="00B30E77" w:rsidRDefault="000F4207" w:rsidP="00285A2B">
            <w:pPr>
              <w:pStyle w:val="TableTextEntries"/>
              <w:rPr>
                <w:color w:val="F79646" w:themeColor="accent6"/>
              </w:rPr>
            </w:pPr>
            <w:r w:rsidRPr="00285A2B">
              <w:t>While progress was made during the reporting period to continue the devolution process where relevant, this is no longer a priority following the integration of AusAID and DFAT.</w:t>
            </w:r>
          </w:p>
        </w:tc>
      </w:tr>
    </w:tbl>
    <w:p w:rsidR="000D733F" w:rsidRDefault="000D733F" w:rsidP="00285A2B">
      <w:pPr>
        <w:pStyle w:val="Note"/>
        <w:rPr>
          <w:sz w:val="21"/>
        </w:rPr>
      </w:pPr>
      <w:r w:rsidRPr="00FE4491">
        <w:t xml:space="preserve">Note: </w:t>
      </w:r>
      <w:r w:rsidRPr="0075352D">
        <w:rPr>
          <w:color w:val="72AF2F"/>
        </w:rPr>
        <w:sym w:font="Webdings" w:char="F067"/>
      </w:r>
      <w:r w:rsidRPr="00FE4491">
        <w:t> </w:t>
      </w:r>
      <w:r w:rsidRPr="00FE4491">
        <w:t xml:space="preserve"> </w:t>
      </w:r>
      <w:r w:rsidRPr="00EA3BAD">
        <w:t>Achieved.</w:t>
      </w:r>
      <w:r w:rsidR="00285A2B">
        <w:t xml:space="preserve"> </w:t>
      </w:r>
      <w:r w:rsidRPr="00706D30">
        <w:t>Sig</w:t>
      </w:r>
      <w:r w:rsidR="00285A2B">
        <w:t>nificant progress has been made</w:t>
      </w:r>
      <w:r>
        <w:t xml:space="preserve"> </w:t>
      </w:r>
      <w:r w:rsidRPr="00EA3BAD">
        <w:rPr>
          <w:color w:val="E36C0A"/>
        </w:rPr>
        <w:sym w:font="Webdings" w:char="F067"/>
      </w:r>
      <w:r w:rsidRPr="00EA3BAD">
        <w:t> </w:t>
      </w:r>
      <w:r w:rsidR="00285A2B">
        <w:t xml:space="preserve"> Partly achieved. </w:t>
      </w:r>
      <w:r>
        <w:t>Some pr</w:t>
      </w:r>
      <w:r w:rsidRPr="00EA3BAD">
        <w:t xml:space="preserve">ogress </w:t>
      </w:r>
      <w:r w:rsidR="00285A2B">
        <w:t>has been made</w:t>
      </w:r>
      <w:r>
        <w:t xml:space="preserve">, but the issue has not been resolved </w:t>
      </w: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r>
        <w:br w:type="page"/>
      </w:r>
    </w:p>
    <w:p w:rsidR="004568EC" w:rsidRDefault="004568EC" w:rsidP="004568EC">
      <w:pPr>
        <w:pStyle w:val="Heading2"/>
        <w:tabs>
          <w:tab w:val="left" w:pos="1560"/>
        </w:tabs>
        <w:rPr>
          <w:sz w:val="28"/>
        </w:rPr>
      </w:pPr>
      <w:r w:rsidRPr="009E38C1">
        <w:rPr>
          <w:sz w:val="28"/>
        </w:rPr>
        <w:lastRenderedPageBreak/>
        <w:t xml:space="preserve">Annex B </w:t>
      </w:r>
      <w:r w:rsidRPr="009E38C1">
        <w:rPr>
          <w:sz w:val="28"/>
        </w:rPr>
        <w:tab/>
        <w:t>Quality at Implementation ratings</w:t>
      </w:r>
    </w:p>
    <w:tbl>
      <w:tblPr>
        <w:tblStyle w:val="APPR"/>
        <w:tblW w:w="4606" w:type="pct"/>
        <w:tblBorders>
          <w:top w:val="single" w:sz="12" w:space="0" w:color="auto"/>
          <w:bottom w:val="single" w:sz="12" w:space="0" w:color="auto"/>
        </w:tblBorders>
        <w:tblLook w:val="0600" w:firstRow="0" w:lastRow="0" w:firstColumn="0" w:lastColumn="0" w:noHBand="1" w:noVBand="1"/>
      </w:tblPr>
      <w:tblGrid>
        <w:gridCol w:w="4106"/>
        <w:gridCol w:w="1841"/>
        <w:gridCol w:w="1133"/>
        <w:gridCol w:w="1037"/>
        <w:gridCol w:w="1038"/>
        <w:gridCol w:w="1038"/>
        <w:gridCol w:w="1038"/>
        <w:gridCol w:w="1038"/>
        <w:gridCol w:w="1038"/>
      </w:tblGrid>
      <w:tr w:rsidR="000619DB" w:rsidRPr="00180B19" w:rsidTr="004568EC">
        <w:trPr>
          <w:trHeight w:val="1373"/>
        </w:trPr>
        <w:tc>
          <w:tcPr>
            <w:tcW w:w="4064" w:type="dxa"/>
          </w:tcPr>
          <w:p w:rsidR="000619DB" w:rsidRPr="00FE4491" w:rsidRDefault="000619DB" w:rsidP="002A673F">
            <w:pPr>
              <w:pStyle w:val="TableTextColumnHeading"/>
            </w:pPr>
            <w:r w:rsidRPr="00FE4491">
              <w:rPr>
                <w:noProof/>
                <w:lang w:eastAsia="en-AU"/>
              </w:rPr>
              <w:drawing>
                <wp:anchor distT="0" distB="0" distL="114300" distR="114300" simplePos="0" relativeHeight="251667456" behindDoc="0" locked="0" layoutInCell="1" allowOverlap="1" wp14:anchorId="36EACCA8" wp14:editId="68BA178E">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1813" w:type="dxa"/>
            <w:textDirection w:val="btLr"/>
          </w:tcPr>
          <w:p w:rsidR="000619DB" w:rsidRPr="00FE4491" w:rsidRDefault="000619DB" w:rsidP="002A673F">
            <w:pPr>
              <w:pStyle w:val="TableTextColumnHeading"/>
            </w:pPr>
            <w:r w:rsidRPr="00FE4491">
              <w:t xml:space="preserve">Approved budget and </w:t>
            </w:r>
            <w:r w:rsidRPr="000619DB">
              <w:t>duration</w:t>
            </w:r>
          </w:p>
        </w:tc>
        <w:tc>
          <w:tcPr>
            <w:tcW w:w="1105" w:type="dxa"/>
            <w:textDirection w:val="btLr"/>
          </w:tcPr>
          <w:p w:rsidR="000619DB" w:rsidRPr="00FE4491" w:rsidRDefault="00E325BC" w:rsidP="002A673F">
            <w:pPr>
              <w:pStyle w:val="TableTextColumnHeading"/>
            </w:pPr>
            <w:r>
              <w:t>QA</w:t>
            </w:r>
            <w:r w:rsidRPr="00FE4491">
              <w:t>I</w:t>
            </w:r>
            <w:r w:rsidR="000619DB" w:rsidRPr="00FE4491">
              <w:t xml:space="preserve"> year</w:t>
            </w:r>
          </w:p>
        </w:tc>
        <w:tc>
          <w:tcPr>
            <w:tcW w:w="1009" w:type="dxa"/>
            <w:textDirection w:val="btLr"/>
          </w:tcPr>
          <w:p w:rsidR="000619DB" w:rsidRPr="00FE4491" w:rsidRDefault="000619DB" w:rsidP="002A673F">
            <w:pPr>
              <w:pStyle w:val="TableTextColumnHeading"/>
            </w:pPr>
            <w:r w:rsidRPr="00FE4491">
              <w:t>Relevance</w:t>
            </w:r>
          </w:p>
        </w:tc>
        <w:tc>
          <w:tcPr>
            <w:tcW w:w="1010" w:type="dxa"/>
            <w:textDirection w:val="btLr"/>
          </w:tcPr>
          <w:p w:rsidR="000619DB" w:rsidRPr="00FE4491" w:rsidRDefault="000619DB" w:rsidP="002A673F">
            <w:pPr>
              <w:pStyle w:val="TableTextColumnHeading"/>
            </w:pPr>
            <w:r w:rsidRPr="00FE4491">
              <w:t>Effectiveness</w:t>
            </w:r>
          </w:p>
        </w:tc>
        <w:tc>
          <w:tcPr>
            <w:tcW w:w="1010" w:type="dxa"/>
            <w:textDirection w:val="btLr"/>
          </w:tcPr>
          <w:p w:rsidR="000619DB" w:rsidRPr="00FE4491" w:rsidRDefault="000619DB" w:rsidP="002A673F">
            <w:pPr>
              <w:pStyle w:val="TableTextColumnHeading"/>
            </w:pPr>
            <w:r w:rsidRPr="00FE4491">
              <w:t>Efficiency</w:t>
            </w:r>
          </w:p>
        </w:tc>
        <w:tc>
          <w:tcPr>
            <w:tcW w:w="1010" w:type="dxa"/>
            <w:textDirection w:val="btLr"/>
          </w:tcPr>
          <w:p w:rsidR="000619DB" w:rsidRPr="00FE4491" w:rsidRDefault="000619DB" w:rsidP="002A673F">
            <w:pPr>
              <w:pStyle w:val="TableTextColumnHeading"/>
            </w:pPr>
            <w:r w:rsidRPr="00FE4491">
              <w:t>Monitoring and Evaluation</w:t>
            </w:r>
          </w:p>
        </w:tc>
        <w:tc>
          <w:tcPr>
            <w:tcW w:w="1010" w:type="dxa"/>
            <w:textDirection w:val="btLr"/>
          </w:tcPr>
          <w:p w:rsidR="000619DB" w:rsidRPr="00FE4491" w:rsidRDefault="000619DB" w:rsidP="002A673F">
            <w:pPr>
              <w:pStyle w:val="TableTextColumnHeading"/>
            </w:pPr>
            <w:r w:rsidRPr="00FE4491">
              <w:t>Sustainability</w:t>
            </w:r>
          </w:p>
        </w:tc>
        <w:tc>
          <w:tcPr>
            <w:tcW w:w="996" w:type="dxa"/>
            <w:textDirection w:val="btLr"/>
          </w:tcPr>
          <w:p w:rsidR="000619DB" w:rsidRPr="00FE4491" w:rsidRDefault="000619DB" w:rsidP="002A673F">
            <w:pPr>
              <w:pStyle w:val="TableTextColumnHeading"/>
            </w:pPr>
            <w:r w:rsidRPr="00FE4491">
              <w:t>Gender equality</w:t>
            </w:r>
          </w:p>
        </w:tc>
      </w:tr>
      <w:tr w:rsidR="004568EC" w:rsidRPr="00180B19" w:rsidTr="00803547">
        <w:tc>
          <w:tcPr>
            <w:tcW w:w="4064" w:type="dxa"/>
            <w:vMerge w:val="restart"/>
            <w:vAlign w:val="center"/>
          </w:tcPr>
          <w:p w:rsidR="004568EC" w:rsidRPr="00FE4491" w:rsidRDefault="004568EC" w:rsidP="00FB3001">
            <w:pPr>
              <w:pStyle w:val="TableTextEntries"/>
            </w:pPr>
            <w:r>
              <w:t>PFHAB</w:t>
            </w:r>
          </w:p>
        </w:tc>
        <w:tc>
          <w:tcPr>
            <w:tcW w:w="1813" w:type="dxa"/>
            <w:vMerge w:val="restart"/>
          </w:tcPr>
          <w:p w:rsidR="004568EC" w:rsidRDefault="004568EC" w:rsidP="002A673F">
            <w:pPr>
              <w:pStyle w:val="TableTextEntries"/>
            </w:pPr>
            <w:r>
              <w:t>$11,348,343.32</w:t>
            </w:r>
          </w:p>
          <w:p w:rsidR="004568EC" w:rsidRPr="00FE4491" w:rsidRDefault="004568EC" w:rsidP="002A673F">
            <w:pPr>
              <w:pStyle w:val="TableTextEntries"/>
            </w:pPr>
            <w:r>
              <w:t>4/2005-9/2014</w:t>
            </w:r>
          </w:p>
        </w:tc>
        <w:tc>
          <w:tcPr>
            <w:tcW w:w="1105" w:type="dxa"/>
          </w:tcPr>
          <w:p w:rsidR="004568EC" w:rsidRPr="004C4A3E" w:rsidRDefault="004568EC" w:rsidP="002A673F">
            <w:pPr>
              <w:pStyle w:val="TableTextEntries"/>
            </w:pPr>
            <w:r>
              <w:t>2013-14</w:t>
            </w:r>
          </w:p>
        </w:tc>
        <w:tc>
          <w:tcPr>
            <w:tcW w:w="6185" w:type="dxa"/>
            <w:gridSpan w:val="6"/>
            <w:shd w:val="clear" w:color="auto" w:fill="auto"/>
          </w:tcPr>
          <w:p w:rsidR="004568EC" w:rsidRPr="00FE4491" w:rsidRDefault="004568EC" w:rsidP="002A673F">
            <w:pPr>
              <w:pStyle w:val="TableTextEntries"/>
              <w:jc w:val="center"/>
            </w:pPr>
            <w:r>
              <w:t>Exempt</w:t>
            </w:r>
          </w:p>
        </w:tc>
      </w:tr>
      <w:tr w:rsidR="000619DB" w:rsidRPr="00180B19" w:rsidTr="00FB3001">
        <w:tc>
          <w:tcPr>
            <w:tcW w:w="4064" w:type="dxa"/>
            <w:vMerge/>
            <w:vAlign w:val="center"/>
          </w:tcPr>
          <w:p w:rsidR="000619DB" w:rsidRPr="00FE4491" w:rsidRDefault="000619DB" w:rsidP="00FB3001">
            <w:pPr>
              <w:pStyle w:val="TableTextEntries"/>
            </w:pPr>
          </w:p>
        </w:tc>
        <w:tc>
          <w:tcPr>
            <w:tcW w:w="1813" w:type="dxa"/>
            <w:vMerge/>
          </w:tcPr>
          <w:p w:rsidR="000619DB" w:rsidRPr="004C4A3E" w:rsidRDefault="000619DB" w:rsidP="002A673F">
            <w:pPr>
              <w:pStyle w:val="TableTextEntries"/>
            </w:pPr>
          </w:p>
        </w:tc>
        <w:tc>
          <w:tcPr>
            <w:tcW w:w="1105" w:type="dxa"/>
          </w:tcPr>
          <w:p w:rsidR="000619DB" w:rsidRPr="004C4A3E" w:rsidRDefault="004568EC" w:rsidP="002A673F">
            <w:pPr>
              <w:pStyle w:val="TableTextEntries"/>
            </w:pPr>
            <w:r>
              <w:t>2012-13</w:t>
            </w:r>
          </w:p>
        </w:tc>
        <w:tc>
          <w:tcPr>
            <w:tcW w:w="1009" w:type="dxa"/>
            <w:shd w:val="clear" w:color="auto" w:fill="FFFF00"/>
          </w:tcPr>
          <w:p w:rsidR="000619DB" w:rsidRPr="004C4A3E" w:rsidRDefault="004568EC" w:rsidP="004568EC">
            <w:pPr>
              <w:pStyle w:val="TableTextEntries"/>
              <w:jc w:val="center"/>
            </w:pPr>
            <w:r>
              <w:t>4</w:t>
            </w:r>
          </w:p>
        </w:tc>
        <w:tc>
          <w:tcPr>
            <w:tcW w:w="1010" w:type="dxa"/>
            <w:shd w:val="clear" w:color="auto" w:fill="9BBB59" w:themeFill="accent3"/>
          </w:tcPr>
          <w:p w:rsidR="000619DB" w:rsidRPr="004C4A3E" w:rsidRDefault="004568EC" w:rsidP="004568EC">
            <w:pPr>
              <w:pStyle w:val="TableTextEntries"/>
              <w:jc w:val="center"/>
            </w:pPr>
            <w:r>
              <w:t>5</w:t>
            </w:r>
          </w:p>
        </w:tc>
        <w:tc>
          <w:tcPr>
            <w:tcW w:w="1010" w:type="dxa"/>
            <w:shd w:val="clear" w:color="auto" w:fill="9BBB59" w:themeFill="accent3"/>
          </w:tcPr>
          <w:p w:rsidR="000619DB" w:rsidRPr="004C4A3E" w:rsidRDefault="004568EC" w:rsidP="004568EC">
            <w:pPr>
              <w:pStyle w:val="TableTextEntries"/>
              <w:jc w:val="center"/>
            </w:pPr>
            <w:r>
              <w:t>5</w:t>
            </w:r>
          </w:p>
        </w:tc>
        <w:tc>
          <w:tcPr>
            <w:tcW w:w="1010" w:type="dxa"/>
            <w:shd w:val="clear" w:color="auto" w:fill="FFFF00"/>
          </w:tcPr>
          <w:p w:rsidR="000619DB" w:rsidRPr="004C4A3E" w:rsidRDefault="004568EC" w:rsidP="004568EC">
            <w:pPr>
              <w:pStyle w:val="TableTextEntries"/>
              <w:jc w:val="center"/>
            </w:pPr>
            <w:r>
              <w:t>4</w:t>
            </w:r>
          </w:p>
        </w:tc>
        <w:tc>
          <w:tcPr>
            <w:tcW w:w="1010" w:type="dxa"/>
            <w:shd w:val="clear" w:color="auto" w:fill="F79646" w:themeFill="accent6"/>
          </w:tcPr>
          <w:p w:rsidR="000619DB" w:rsidRPr="004C4A3E" w:rsidRDefault="004568EC" w:rsidP="004568EC">
            <w:pPr>
              <w:pStyle w:val="TableTextEntries"/>
              <w:jc w:val="center"/>
            </w:pPr>
            <w:r>
              <w:t>3</w:t>
            </w:r>
          </w:p>
        </w:tc>
        <w:tc>
          <w:tcPr>
            <w:tcW w:w="996" w:type="dxa"/>
            <w:shd w:val="clear" w:color="auto" w:fill="9BBB59" w:themeFill="accent3"/>
          </w:tcPr>
          <w:p w:rsidR="000619DB" w:rsidRPr="004C4A3E" w:rsidRDefault="004568EC" w:rsidP="004568EC">
            <w:pPr>
              <w:pStyle w:val="TableTextEntries"/>
              <w:jc w:val="center"/>
            </w:pPr>
            <w:r>
              <w:t>5</w:t>
            </w:r>
          </w:p>
        </w:tc>
      </w:tr>
      <w:tr w:rsidR="000619DB" w:rsidRPr="00180B19" w:rsidTr="00FB3001">
        <w:tc>
          <w:tcPr>
            <w:tcW w:w="4064" w:type="dxa"/>
            <w:vMerge w:val="restart"/>
            <w:vAlign w:val="center"/>
          </w:tcPr>
          <w:p w:rsidR="000619DB" w:rsidRPr="00C03B72" w:rsidRDefault="000619DB" w:rsidP="00FB3001">
            <w:pPr>
              <w:pStyle w:val="TableTextEntries"/>
            </w:pPr>
            <w:r w:rsidRPr="00C03B72">
              <w:t>Livelihoods and Food Security Trust Fund</w:t>
            </w:r>
          </w:p>
        </w:tc>
        <w:tc>
          <w:tcPr>
            <w:tcW w:w="1813" w:type="dxa"/>
            <w:vMerge w:val="restart"/>
          </w:tcPr>
          <w:p w:rsidR="000619DB" w:rsidRDefault="000619DB" w:rsidP="000619DB">
            <w:pPr>
              <w:pStyle w:val="TableTextEntries"/>
            </w:pPr>
            <w:r w:rsidRPr="00C03B72">
              <w:t>$19,000,000</w:t>
            </w:r>
          </w:p>
          <w:p w:rsidR="000619DB" w:rsidRPr="004C4A3E" w:rsidRDefault="000619DB" w:rsidP="000619DB">
            <w:pPr>
              <w:pStyle w:val="TableTextEntries"/>
            </w:pPr>
            <w:r>
              <w:t>12/2009-6/2015</w:t>
            </w:r>
          </w:p>
        </w:tc>
        <w:tc>
          <w:tcPr>
            <w:tcW w:w="1105" w:type="dxa"/>
          </w:tcPr>
          <w:p w:rsidR="000619DB" w:rsidRPr="004C4A3E" w:rsidRDefault="004568EC" w:rsidP="002A673F">
            <w:pPr>
              <w:pStyle w:val="TableTextEntries"/>
            </w:pPr>
            <w:r>
              <w:t>2013-14</w:t>
            </w:r>
          </w:p>
        </w:tc>
        <w:tc>
          <w:tcPr>
            <w:tcW w:w="1009" w:type="dxa"/>
            <w:shd w:val="clear" w:color="auto" w:fill="9BBB59" w:themeFill="accent3"/>
          </w:tcPr>
          <w:p w:rsidR="000619DB" w:rsidRPr="00FE4491" w:rsidRDefault="000619DB" w:rsidP="002A673F">
            <w:pPr>
              <w:pStyle w:val="TableTextEntries"/>
              <w:jc w:val="center"/>
            </w:pPr>
            <w:r>
              <w:t>5</w:t>
            </w:r>
          </w:p>
        </w:tc>
        <w:tc>
          <w:tcPr>
            <w:tcW w:w="1010" w:type="dxa"/>
            <w:shd w:val="clear" w:color="auto" w:fill="9BBB59" w:themeFill="accent3"/>
          </w:tcPr>
          <w:p w:rsidR="000619DB" w:rsidRPr="00FE4491" w:rsidRDefault="000619DB" w:rsidP="002A673F">
            <w:pPr>
              <w:pStyle w:val="TableTextEntries"/>
              <w:jc w:val="center"/>
            </w:pPr>
            <w:r>
              <w:t>5</w:t>
            </w:r>
          </w:p>
        </w:tc>
        <w:tc>
          <w:tcPr>
            <w:tcW w:w="1010" w:type="dxa"/>
            <w:shd w:val="clear" w:color="auto" w:fill="9BBB59" w:themeFill="accent3"/>
          </w:tcPr>
          <w:p w:rsidR="000619DB" w:rsidRPr="00FE4491" w:rsidRDefault="000619DB" w:rsidP="002A673F">
            <w:pPr>
              <w:pStyle w:val="TableTextEntries"/>
              <w:jc w:val="center"/>
            </w:pPr>
            <w:r>
              <w:t>5</w:t>
            </w:r>
          </w:p>
        </w:tc>
        <w:tc>
          <w:tcPr>
            <w:tcW w:w="1010" w:type="dxa"/>
            <w:shd w:val="clear" w:color="auto" w:fill="FFFF00"/>
          </w:tcPr>
          <w:p w:rsidR="000619DB" w:rsidRPr="00FE4491" w:rsidRDefault="000619DB" w:rsidP="002A673F">
            <w:pPr>
              <w:pStyle w:val="TableTextEntries"/>
              <w:jc w:val="center"/>
            </w:pPr>
            <w:r>
              <w:t>4</w:t>
            </w:r>
          </w:p>
        </w:tc>
        <w:tc>
          <w:tcPr>
            <w:tcW w:w="1010" w:type="dxa"/>
            <w:shd w:val="clear" w:color="auto" w:fill="FFFF00"/>
          </w:tcPr>
          <w:p w:rsidR="000619DB" w:rsidRPr="00FE4491" w:rsidRDefault="000619DB" w:rsidP="002A673F">
            <w:pPr>
              <w:pStyle w:val="TableTextEntries"/>
              <w:jc w:val="center"/>
            </w:pPr>
            <w:r>
              <w:t>4</w:t>
            </w:r>
          </w:p>
        </w:tc>
        <w:tc>
          <w:tcPr>
            <w:tcW w:w="996" w:type="dxa"/>
            <w:shd w:val="clear" w:color="auto" w:fill="FFFF00"/>
          </w:tcPr>
          <w:p w:rsidR="000619DB" w:rsidRPr="00FE4491" w:rsidRDefault="000619DB" w:rsidP="002A673F">
            <w:pPr>
              <w:pStyle w:val="TableTextEntries"/>
              <w:jc w:val="center"/>
            </w:pPr>
            <w:r>
              <w:t>4</w:t>
            </w:r>
          </w:p>
        </w:tc>
      </w:tr>
      <w:tr w:rsidR="000619DB" w:rsidRPr="00180B19" w:rsidTr="00FB3001">
        <w:tc>
          <w:tcPr>
            <w:tcW w:w="4064" w:type="dxa"/>
            <w:vMerge/>
            <w:vAlign w:val="center"/>
          </w:tcPr>
          <w:p w:rsidR="000619DB" w:rsidRPr="00C03B72" w:rsidRDefault="000619DB" w:rsidP="00FB3001">
            <w:pPr>
              <w:pStyle w:val="TableTextEntries"/>
            </w:pPr>
          </w:p>
        </w:tc>
        <w:tc>
          <w:tcPr>
            <w:tcW w:w="1813" w:type="dxa"/>
            <w:vMerge/>
          </w:tcPr>
          <w:p w:rsidR="000619DB" w:rsidRPr="004C4A3E" w:rsidRDefault="000619DB" w:rsidP="002A673F">
            <w:pPr>
              <w:pStyle w:val="TableTextEntries"/>
            </w:pPr>
          </w:p>
        </w:tc>
        <w:tc>
          <w:tcPr>
            <w:tcW w:w="1105" w:type="dxa"/>
          </w:tcPr>
          <w:p w:rsidR="000619DB" w:rsidRPr="004C4A3E" w:rsidRDefault="004568EC" w:rsidP="002A673F">
            <w:pPr>
              <w:pStyle w:val="TableTextEntries"/>
            </w:pPr>
            <w:r>
              <w:t>2012-13</w:t>
            </w:r>
          </w:p>
        </w:tc>
        <w:tc>
          <w:tcPr>
            <w:tcW w:w="1009" w:type="dxa"/>
            <w:shd w:val="clear" w:color="auto" w:fill="9BBB59" w:themeFill="accent3"/>
          </w:tcPr>
          <w:p w:rsidR="000619DB" w:rsidRPr="004C4A3E" w:rsidRDefault="004568EC" w:rsidP="004568EC">
            <w:pPr>
              <w:pStyle w:val="TableTextEntries"/>
              <w:jc w:val="center"/>
            </w:pPr>
            <w:r>
              <w:t>5</w:t>
            </w:r>
          </w:p>
        </w:tc>
        <w:tc>
          <w:tcPr>
            <w:tcW w:w="1010" w:type="dxa"/>
            <w:shd w:val="clear" w:color="auto" w:fill="FFFF00"/>
          </w:tcPr>
          <w:p w:rsidR="000619DB" w:rsidRPr="004C4A3E" w:rsidRDefault="004568EC" w:rsidP="004568EC">
            <w:pPr>
              <w:pStyle w:val="TableTextEntries"/>
              <w:jc w:val="center"/>
            </w:pPr>
            <w:r>
              <w:t>4</w:t>
            </w:r>
          </w:p>
        </w:tc>
        <w:tc>
          <w:tcPr>
            <w:tcW w:w="1010" w:type="dxa"/>
            <w:shd w:val="clear" w:color="auto" w:fill="9BBB59" w:themeFill="accent3"/>
          </w:tcPr>
          <w:p w:rsidR="000619DB" w:rsidRPr="004C4A3E" w:rsidRDefault="004568EC" w:rsidP="004568EC">
            <w:pPr>
              <w:pStyle w:val="TableTextEntries"/>
              <w:jc w:val="center"/>
            </w:pPr>
            <w:r>
              <w:t>5</w:t>
            </w:r>
          </w:p>
        </w:tc>
        <w:tc>
          <w:tcPr>
            <w:tcW w:w="1010" w:type="dxa"/>
            <w:shd w:val="clear" w:color="auto" w:fill="9BBB59" w:themeFill="accent3"/>
          </w:tcPr>
          <w:p w:rsidR="000619DB" w:rsidRPr="004C4A3E" w:rsidRDefault="004568EC" w:rsidP="004568EC">
            <w:pPr>
              <w:pStyle w:val="TableTextEntries"/>
              <w:jc w:val="center"/>
            </w:pPr>
            <w:r>
              <w:t>5</w:t>
            </w:r>
          </w:p>
        </w:tc>
        <w:tc>
          <w:tcPr>
            <w:tcW w:w="1010" w:type="dxa"/>
            <w:shd w:val="clear" w:color="auto" w:fill="FFFF00"/>
          </w:tcPr>
          <w:p w:rsidR="000619DB" w:rsidRPr="004C4A3E" w:rsidRDefault="004568EC" w:rsidP="004568EC">
            <w:pPr>
              <w:pStyle w:val="TableTextEntries"/>
              <w:jc w:val="center"/>
            </w:pPr>
            <w:r>
              <w:t>4</w:t>
            </w:r>
          </w:p>
        </w:tc>
        <w:tc>
          <w:tcPr>
            <w:tcW w:w="996" w:type="dxa"/>
            <w:shd w:val="clear" w:color="auto" w:fill="F79646" w:themeFill="accent6"/>
          </w:tcPr>
          <w:p w:rsidR="000619DB" w:rsidRPr="004C4A3E" w:rsidRDefault="004568EC" w:rsidP="004568EC">
            <w:pPr>
              <w:pStyle w:val="TableTextEntries"/>
              <w:jc w:val="center"/>
            </w:pPr>
            <w:r>
              <w:t>3</w:t>
            </w:r>
          </w:p>
        </w:tc>
      </w:tr>
      <w:tr w:rsidR="000619DB" w:rsidRPr="00180B19" w:rsidTr="00FB3001">
        <w:tc>
          <w:tcPr>
            <w:tcW w:w="4064" w:type="dxa"/>
            <w:vMerge w:val="restart"/>
            <w:vAlign w:val="center"/>
          </w:tcPr>
          <w:p w:rsidR="000619DB" w:rsidRPr="00C03B72" w:rsidRDefault="000619DB" w:rsidP="00FB3001">
            <w:pPr>
              <w:pStyle w:val="TableTextEntries"/>
            </w:pPr>
            <w:r w:rsidRPr="001200F0">
              <w:t>ACIAR Multidisciplinary Research Program Burma</w:t>
            </w:r>
          </w:p>
        </w:tc>
        <w:tc>
          <w:tcPr>
            <w:tcW w:w="1813" w:type="dxa"/>
            <w:vMerge w:val="restart"/>
          </w:tcPr>
          <w:p w:rsidR="000619DB" w:rsidRDefault="000619DB" w:rsidP="002A673F">
            <w:pPr>
              <w:pStyle w:val="TableTextEntries"/>
            </w:pPr>
            <w:r w:rsidRPr="001200F0">
              <w:t>$12,000,000</w:t>
            </w:r>
          </w:p>
          <w:p w:rsidR="000619DB" w:rsidRPr="00C03B72" w:rsidRDefault="000619DB" w:rsidP="002A673F">
            <w:pPr>
              <w:pStyle w:val="TableTextEntries"/>
            </w:pPr>
            <w:r>
              <w:t>2/2011-6/2016</w:t>
            </w:r>
          </w:p>
        </w:tc>
        <w:tc>
          <w:tcPr>
            <w:tcW w:w="1105" w:type="dxa"/>
          </w:tcPr>
          <w:p w:rsidR="000619DB" w:rsidRPr="004C4A3E" w:rsidRDefault="004568EC" w:rsidP="002A673F">
            <w:pPr>
              <w:pStyle w:val="TableTextEntries"/>
            </w:pPr>
            <w:r>
              <w:t>2013-14</w:t>
            </w:r>
          </w:p>
        </w:tc>
        <w:tc>
          <w:tcPr>
            <w:tcW w:w="1009" w:type="dxa"/>
            <w:shd w:val="clear" w:color="auto" w:fill="FFFF00"/>
          </w:tcPr>
          <w:p w:rsidR="000619DB" w:rsidRDefault="000619DB" w:rsidP="004568EC">
            <w:pPr>
              <w:pStyle w:val="TableTextEntries"/>
              <w:jc w:val="center"/>
            </w:pPr>
            <w:r>
              <w:t>4</w:t>
            </w:r>
          </w:p>
        </w:tc>
        <w:tc>
          <w:tcPr>
            <w:tcW w:w="1010" w:type="dxa"/>
            <w:shd w:val="clear" w:color="auto" w:fill="FF0000"/>
          </w:tcPr>
          <w:p w:rsidR="000619DB" w:rsidRDefault="000619DB" w:rsidP="004568EC">
            <w:pPr>
              <w:pStyle w:val="TableTextEntries"/>
              <w:jc w:val="center"/>
            </w:pPr>
            <w:r>
              <w:t>2</w:t>
            </w:r>
          </w:p>
        </w:tc>
        <w:tc>
          <w:tcPr>
            <w:tcW w:w="1010" w:type="dxa"/>
            <w:shd w:val="clear" w:color="auto" w:fill="FF0000"/>
          </w:tcPr>
          <w:p w:rsidR="000619DB" w:rsidRDefault="000619DB" w:rsidP="004568EC">
            <w:pPr>
              <w:pStyle w:val="TableTextEntries"/>
              <w:jc w:val="center"/>
            </w:pPr>
            <w:r>
              <w:t>2</w:t>
            </w:r>
          </w:p>
        </w:tc>
        <w:tc>
          <w:tcPr>
            <w:tcW w:w="1010" w:type="dxa"/>
            <w:shd w:val="clear" w:color="auto" w:fill="F79646" w:themeFill="accent6"/>
          </w:tcPr>
          <w:p w:rsidR="000619DB" w:rsidRDefault="000619DB" w:rsidP="004568EC">
            <w:pPr>
              <w:pStyle w:val="TableTextEntries"/>
              <w:jc w:val="center"/>
            </w:pPr>
            <w:r>
              <w:t>3</w:t>
            </w:r>
          </w:p>
        </w:tc>
        <w:tc>
          <w:tcPr>
            <w:tcW w:w="1010" w:type="dxa"/>
            <w:shd w:val="clear" w:color="auto" w:fill="FFFF00"/>
          </w:tcPr>
          <w:p w:rsidR="000619DB" w:rsidRDefault="000619DB" w:rsidP="004568EC">
            <w:pPr>
              <w:pStyle w:val="TableTextEntries"/>
              <w:jc w:val="center"/>
            </w:pPr>
            <w:r>
              <w:t>4</w:t>
            </w:r>
          </w:p>
        </w:tc>
        <w:tc>
          <w:tcPr>
            <w:tcW w:w="996" w:type="dxa"/>
            <w:shd w:val="clear" w:color="auto" w:fill="FF0000"/>
          </w:tcPr>
          <w:p w:rsidR="000619DB" w:rsidRDefault="000619DB" w:rsidP="004568EC">
            <w:pPr>
              <w:pStyle w:val="TableTextEntries"/>
              <w:jc w:val="center"/>
            </w:pPr>
            <w:r>
              <w:t>2</w:t>
            </w:r>
          </w:p>
        </w:tc>
      </w:tr>
      <w:tr w:rsidR="000619DB" w:rsidRPr="00180B19" w:rsidTr="00FB3001">
        <w:tc>
          <w:tcPr>
            <w:tcW w:w="4064" w:type="dxa"/>
            <w:vMerge/>
            <w:vAlign w:val="center"/>
          </w:tcPr>
          <w:p w:rsidR="000619DB" w:rsidRPr="00C03B72" w:rsidRDefault="000619DB" w:rsidP="00FB3001">
            <w:pPr>
              <w:pStyle w:val="TableTextEntries"/>
            </w:pPr>
          </w:p>
        </w:tc>
        <w:tc>
          <w:tcPr>
            <w:tcW w:w="1813" w:type="dxa"/>
            <w:vMerge/>
          </w:tcPr>
          <w:p w:rsidR="000619DB" w:rsidRPr="004C4A3E" w:rsidRDefault="000619DB" w:rsidP="002A673F">
            <w:pPr>
              <w:pStyle w:val="TableTextEntries"/>
            </w:pPr>
          </w:p>
        </w:tc>
        <w:tc>
          <w:tcPr>
            <w:tcW w:w="1105" w:type="dxa"/>
          </w:tcPr>
          <w:p w:rsidR="000619DB" w:rsidRPr="004C4A3E" w:rsidRDefault="004568EC" w:rsidP="002A673F">
            <w:pPr>
              <w:pStyle w:val="TableTextEntries"/>
            </w:pPr>
            <w:r>
              <w:t>2012-13</w:t>
            </w:r>
          </w:p>
        </w:tc>
        <w:tc>
          <w:tcPr>
            <w:tcW w:w="1009" w:type="dxa"/>
            <w:shd w:val="clear" w:color="auto" w:fill="9BBB59" w:themeFill="accent3"/>
          </w:tcPr>
          <w:p w:rsidR="000619DB" w:rsidRPr="004C4A3E" w:rsidRDefault="004568EC" w:rsidP="004568EC">
            <w:pPr>
              <w:pStyle w:val="TableTextEntries"/>
              <w:jc w:val="center"/>
            </w:pPr>
            <w:r>
              <w:t>5</w:t>
            </w:r>
          </w:p>
        </w:tc>
        <w:tc>
          <w:tcPr>
            <w:tcW w:w="1010" w:type="dxa"/>
            <w:shd w:val="clear" w:color="auto" w:fill="FF0000"/>
          </w:tcPr>
          <w:p w:rsidR="000619DB" w:rsidRPr="004C4A3E" w:rsidRDefault="004568EC" w:rsidP="004568EC">
            <w:pPr>
              <w:pStyle w:val="TableTextEntries"/>
              <w:jc w:val="center"/>
            </w:pPr>
            <w:r>
              <w:t>2</w:t>
            </w:r>
          </w:p>
        </w:tc>
        <w:tc>
          <w:tcPr>
            <w:tcW w:w="1010" w:type="dxa"/>
            <w:shd w:val="clear" w:color="auto" w:fill="FF0000"/>
          </w:tcPr>
          <w:p w:rsidR="000619DB" w:rsidRPr="004C4A3E" w:rsidRDefault="004568EC" w:rsidP="004568EC">
            <w:pPr>
              <w:pStyle w:val="TableTextEntries"/>
              <w:jc w:val="center"/>
            </w:pPr>
            <w:r>
              <w:t>2</w:t>
            </w:r>
          </w:p>
        </w:tc>
        <w:tc>
          <w:tcPr>
            <w:tcW w:w="1010" w:type="dxa"/>
            <w:shd w:val="clear" w:color="auto" w:fill="FFFF00"/>
          </w:tcPr>
          <w:p w:rsidR="000619DB" w:rsidRPr="004C4A3E" w:rsidRDefault="004568EC" w:rsidP="004568EC">
            <w:pPr>
              <w:pStyle w:val="TableTextEntries"/>
              <w:jc w:val="center"/>
            </w:pPr>
            <w:r>
              <w:t>4</w:t>
            </w:r>
          </w:p>
        </w:tc>
        <w:tc>
          <w:tcPr>
            <w:tcW w:w="1010" w:type="dxa"/>
            <w:shd w:val="clear" w:color="auto" w:fill="FFFF00"/>
          </w:tcPr>
          <w:p w:rsidR="000619DB" w:rsidRPr="004C4A3E" w:rsidRDefault="004568EC" w:rsidP="004568EC">
            <w:pPr>
              <w:pStyle w:val="TableTextEntries"/>
              <w:jc w:val="center"/>
            </w:pPr>
            <w:r>
              <w:t>4</w:t>
            </w:r>
          </w:p>
        </w:tc>
        <w:tc>
          <w:tcPr>
            <w:tcW w:w="996" w:type="dxa"/>
            <w:shd w:val="clear" w:color="auto" w:fill="F79646" w:themeFill="accent6"/>
          </w:tcPr>
          <w:p w:rsidR="000619DB" w:rsidRPr="004C4A3E" w:rsidRDefault="004568EC" w:rsidP="004568EC">
            <w:pPr>
              <w:pStyle w:val="TableTextEntries"/>
              <w:jc w:val="center"/>
            </w:pPr>
            <w:r>
              <w:t>3</w:t>
            </w:r>
          </w:p>
        </w:tc>
      </w:tr>
      <w:tr w:rsidR="004568EC" w:rsidRPr="00180B19" w:rsidTr="00803547">
        <w:tc>
          <w:tcPr>
            <w:tcW w:w="4064" w:type="dxa"/>
            <w:vMerge w:val="restart"/>
            <w:vAlign w:val="center"/>
          </w:tcPr>
          <w:p w:rsidR="004568EC" w:rsidRPr="00C03B72" w:rsidRDefault="004568EC" w:rsidP="00FB3001">
            <w:pPr>
              <w:pStyle w:val="TableTextEntries"/>
            </w:pPr>
            <w:r w:rsidRPr="001200F0">
              <w:t>CARE SPARC</w:t>
            </w:r>
          </w:p>
        </w:tc>
        <w:tc>
          <w:tcPr>
            <w:tcW w:w="1813" w:type="dxa"/>
            <w:vMerge w:val="restart"/>
          </w:tcPr>
          <w:p w:rsidR="004568EC" w:rsidRDefault="004568EC" w:rsidP="000619DB">
            <w:pPr>
              <w:pStyle w:val="TableTextEntries"/>
            </w:pPr>
            <w:r w:rsidRPr="001200F0">
              <w:t>$7,728,649</w:t>
            </w:r>
          </w:p>
          <w:p w:rsidR="004568EC" w:rsidRPr="00C03B72" w:rsidRDefault="004568EC" w:rsidP="000619DB">
            <w:pPr>
              <w:pStyle w:val="TableTextEntries"/>
            </w:pPr>
            <w:r>
              <w:t>11/2010-2/2017</w:t>
            </w:r>
          </w:p>
        </w:tc>
        <w:tc>
          <w:tcPr>
            <w:tcW w:w="1105" w:type="dxa"/>
          </w:tcPr>
          <w:p w:rsidR="004568EC" w:rsidRPr="004C4A3E" w:rsidRDefault="004568EC" w:rsidP="002A673F">
            <w:pPr>
              <w:pStyle w:val="TableTextEntries"/>
            </w:pPr>
            <w:r>
              <w:t>2013-14</w:t>
            </w:r>
          </w:p>
        </w:tc>
        <w:tc>
          <w:tcPr>
            <w:tcW w:w="6185" w:type="dxa"/>
            <w:gridSpan w:val="6"/>
            <w:shd w:val="clear" w:color="auto" w:fill="auto"/>
          </w:tcPr>
          <w:p w:rsidR="004568EC" w:rsidRPr="004C4A3E" w:rsidRDefault="004568EC" w:rsidP="004568EC">
            <w:pPr>
              <w:pStyle w:val="TableTextEntries"/>
              <w:jc w:val="center"/>
            </w:pPr>
            <w:r>
              <w:t>Exempt</w:t>
            </w:r>
          </w:p>
        </w:tc>
      </w:tr>
      <w:tr w:rsidR="004568EC" w:rsidRPr="00180B19" w:rsidTr="00803547">
        <w:tc>
          <w:tcPr>
            <w:tcW w:w="4064" w:type="dxa"/>
            <w:vMerge/>
            <w:vAlign w:val="center"/>
          </w:tcPr>
          <w:p w:rsidR="004568EC" w:rsidRPr="00C03B72" w:rsidRDefault="004568EC" w:rsidP="00FB3001">
            <w:pPr>
              <w:pStyle w:val="TableTextEntries"/>
            </w:pPr>
          </w:p>
        </w:tc>
        <w:tc>
          <w:tcPr>
            <w:tcW w:w="1813" w:type="dxa"/>
            <w:vMerge/>
          </w:tcPr>
          <w:p w:rsidR="004568EC" w:rsidRPr="004C4A3E" w:rsidRDefault="004568EC" w:rsidP="002A673F">
            <w:pPr>
              <w:pStyle w:val="TableTextEntries"/>
            </w:pPr>
          </w:p>
        </w:tc>
        <w:tc>
          <w:tcPr>
            <w:tcW w:w="1105" w:type="dxa"/>
          </w:tcPr>
          <w:p w:rsidR="004568EC" w:rsidRPr="004C4A3E" w:rsidRDefault="004568EC" w:rsidP="002A673F">
            <w:pPr>
              <w:pStyle w:val="TableTextEntries"/>
            </w:pPr>
            <w:r>
              <w:t>2012-13</w:t>
            </w:r>
          </w:p>
        </w:tc>
        <w:tc>
          <w:tcPr>
            <w:tcW w:w="6185" w:type="dxa"/>
            <w:gridSpan w:val="6"/>
            <w:shd w:val="clear" w:color="auto" w:fill="auto"/>
          </w:tcPr>
          <w:p w:rsidR="004568EC" w:rsidRPr="004C4A3E" w:rsidRDefault="004568EC" w:rsidP="004568EC">
            <w:pPr>
              <w:pStyle w:val="TableTextEntries"/>
              <w:jc w:val="center"/>
            </w:pPr>
            <w:r>
              <w:t>Exempt</w:t>
            </w:r>
          </w:p>
        </w:tc>
      </w:tr>
      <w:tr w:rsidR="000619DB" w:rsidRPr="00180B19" w:rsidTr="00FB3001">
        <w:tc>
          <w:tcPr>
            <w:tcW w:w="4064" w:type="dxa"/>
            <w:vMerge w:val="restart"/>
            <w:vAlign w:val="center"/>
          </w:tcPr>
          <w:p w:rsidR="000619DB" w:rsidRPr="00C03B72" w:rsidRDefault="000619DB" w:rsidP="00FB3001">
            <w:pPr>
              <w:pStyle w:val="TableTextEntries"/>
            </w:pPr>
            <w:r w:rsidRPr="001200F0">
              <w:t>Joint UN Maternal Newborn &amp; Child Health Program</w:t>
            </w:r>
          </w:p>
        </w:tc>
        <w:tc>
          <w:tcPr>
            <w:tcW w:w="1813" w:type="dxa"/>
            <w:vMerge w:val="restart"/>
          </w:tcPr>
          <w:p w:rsidR="000619DB" w:rsidRDefault="000619DB" w:rsidP="000619DB">
            <w:pPr>
              <w:pStyle w:val="TableTextEntries"/>
            </w:pPr>
            <w:r w:rsidRPr="001200F0">
              <w:t>$5,000,000.00</w:t>
            </w:r>
          </w:p>
          <w:p w:rsidR="000619DB" w:rsidRPr="00C03B72" w:rsidRDefault="000619DB" w:rsidP="000619DB">
            <w:pPr>
              <w:pStyle w:val="TableTextEntries"/>
            </w:pPr>
            <w:r>
              <w:t>2/2012-10/2013</w:t>
            </w:r>
          </w:p>
        </w:tc>
        <w:tc>
          <w:tcPr>
            <w:tcW w:w="1105" w:type="dxa"/>
          </w:tcPr>
          <w:p w:rsidR="000619DB" w:rsidRPr="004C4A3E" w:rsidRDefault="004568EC" w:rsidP="002A673F">
            <w:pPr>
              <w:pStyle w:val="TableTextEntries"/>
            </w:pPr>
            <w:r>
              <w:t>2013-14</w:t>
            </w:r>
          </w:p>
        </w:tc>
        <w:tc>
          <w:tcPr>
            <w:tcW w:w="1009" w:type="dxa"/>
            <w:shd w:val="clear" w:color="auto" w:fill="9BBB59" w:themeFill="accent3"/>
          </w:tcPr>
          <w:p w:rsidR="000619DB" w:rsidRDefault="000619DB" w:rsidP="004568EC">
            <w:pPr>
              <w:pStyle w:val="TableTextEntries"/>
              <w:jc w:val="center"/>
            </w:pPr>
            <w:r>
              <w:t>5</w:t>
            </w:r>
          </w:p>
        </w:tc>
        <w:tc>
          <w:tcPr>
            <w:tcW w:w="1010" w:type="dxa"/>
            <w:shd w:val="clear" w:color="auto" w:fill="FFFF00"/>
          </w:tcPr>
          <w:p w:rsidR="000619DB" w:rsidRDefault="000619DB" w:rsidP="004568EC">
            <w:pPr>
              <w:pStyle w:val="TableTextEntries"/>
              <w:jc w:val="center"/>
            </w:pPr>
            <w:r>
              <w:t>4</w:t>
            </w:r>
          </w:p>
        </w:tc>
        <w:tc>
          <w:tcPr>
            <w:tcW w:w="1010" w:type="dxa"/>
            <w:shd w:val="clear" w:color="auto" w:fill="FFFF00"/>
          </w:tcPr>
          <w:p w:rsidR="000619DB" w:rsidRDefault="000619DB" w:rsidP="004568EC">
            <w:pPr>
              <w:pStyle w:val="TableTextEntries"/>
              <w:jc w:val="center"/>
            </w:pPr>
            <w:r>
              <w:t>4</w:t>
            </w:r>
          </w:p>
        </w:tc>
        <w:tc>
          <w:tcPr>
            <w:tcW w:w="1010" w:type="dxa"/>
            <w:shd w:val="clear" w:color="auto" w:fill="FFFF00"/>
          </w:tcPr>
          <w:p w:rsidR="000619DB" w:rsidRDefault="000619DB" w:rsidP="004568EC">
            <w:pPr>
              <w:pStyle w:val="TableTextEntries"/>
              <w:jc w:val="center"/>
            </w:pPr>
            <w:r>
              <w:t>4</w:t>
            </w:r>
          </w:p>
        </w:tc>
        <w:tc>
          <w:tcPr>
            <w:tcW w:w="1010" w:type="dxa"/>
            <w:shd w:val="clear" w:color="auto" w:fill="FFFF00"/>
          </w:tcPr>
          <w:p w:rsidR="000619DB" w:rsidRDefault="000619DB" w:rsidP="004568EC">
            <w:pPr>
              <w:pStyle w:val="TableTextEntries"/>
              <w:jc w:val="center"/>
            </w:pPr>
            <w:r>
              <w:t>4</w:t>
            </w:r>
          </w:p>
        </w:tc>
        <w:tc>
          <w:tcPr>
            <w:tcW w:w="996" w:type="dxa"/>
            <w:shd w:val="clear" w:color="auto" w:fill="FFFF00"/>
          </w:tcPr>
          <w:p w:rsidR="000619DB" w:rsidRDefault="000619DB" w:rsidP="004568EC">
            <w:pPr>
              <w:pStyle w:val="TableTextEntries"/>
              <w:jc w:val="center"/>
            </w:pPr>
            <w:r>
              <w:t>4</w:t>
            </w:r>
          </w:p>
        </w:tc>
      </w:tr>
      <w:tr w:rsidR="000619DB" w:rsidRPr="00180B19" w:rsidTr="00FB3001">
        <w:tc>
          <w:tcPr>
            <w:tcW w:w="4064" w:type="dxa"/>
            <w:vMerge/>
            <w:vAlign w:val="center"/>
          </w:tcPr>
          <w:p w:rsidR="000619DB" w:rsidRPr="00C03B72" w:rsidRDefault="000619DB" w:rsidP="00FB3001">
            <w:pPr>
              <w:pStyle w:val="TableTextEntries"/>
            </w:pPr>
          </w:p>
        </w:tc>
        <w:tc>
          <w:tcPr>
            <w:tcW w:w="1813" w:type="dxa"/>
            <w:vMerge/>
          </w:tcPr>
          <w:p w:rsidR="000619DB" w:rsidRPr="004C4A3E" w:rsidRDefault="000619DB" w:rsidP="002A673F">
            <w:pPr>
              <w:pStyle w:val="TableTextEntries"/>
            </w:pPr>
          </w:p>
        </w:tc>
        <w:tc>
          <w:tcPr>
            <w:tcW w:w="1105" w:type="dxa"/>
          </w:tcPr>
          <w:p w:rsidR="000619DB" w:rsidRPr="004C4A3E" w:rsidRDefault="004568EC" w:rsidP="002A673F">
            <w:pPr>
              <w:pStyle w:val="TableTextEntries"/>
            </w:pPr>
            <w:r>
              <w:t>2012-13</w:t>
            </w:r>
          </w:p>
        </w:tc>
        <w:tc>
          <w:tcPr>
            <w:tcW w:w="1009" w:type="dxa"/>
            <w:shd w:val="clear" w:color="auto" w:fill="9BBB59" w:themeFill="accent3"/>
          </w:tcPr>
          <w:p w:rsidR="000619DB" w:rsidRPr="004C4A3E" w:rsidRDefault="004568EC" w:rsidP="004568EC">
            <w:pPr>
              <w:pStyle w:val="TableTextEntries"/>
              <w:jc w:val="center"/>
            </w:pPr>
            <w:r>
              <w:t>5</w:t>
            </w:r>
          </w:p>
        </w:tc>
        <w:tc>
          <w:tcPr>
            <w:tcW w:w="1010" w:type="dxa"/>
            <w:shd w:val="clear" w:color="auto" w:fill="FFFF00"/>
          </w:tcPr>
          <w:p w:rsidR="000619DB" w:rsidRPr="004C4A3E" w:rsidRDefault="004568EC" w:rsidP="004568EC">
            <w:pPr>
              <w:pStyle w:val="TableTextEntries"/>
              <w:jc w:val="center"/>
            </w:pPr>
            <w:r>
              <w:t>4</w:t>
            </w:r>
          </w:p>
        </w:tc>
        <w:tc>
          <w:tcPr>
            <w:tcW w:w="1010" w:type="dxa"/>
            <w:shd w:val="clear" w:color="auto" w:fill="FFFF00"/>
          </w:tcPr>
          <w:p w:rsidR="000619DB" w:rsidRPr="004C4A3E" w:rsidRDefault="004568EC" w:rsidP="004568EC">
            <w:pPr>
              <w:pStyle w:val="TableTextEntries"/>
              <w:jc w:val="center"/>
            </w:pPr>
            <w:r>
              <w:t>4</w:t>
            </w:r>
          </w:p>
        </w:tc>
        <w:tc>
          <w:tcPr>
            <w:tcW w:w="1010" w:type="dxa"/>
            <w:shd w:val="clear" w:color="auto" w:fill="FFFF00"/>
          </w:tcPr>
          <w:p w:rsidR="000619DB" w:rsidRPr="004C4A3E" w:rsidRDefault="004568EC" w:rsidP="004568EC">
            <w:pPr>
              <w:pStyle w:val="TableTextEntries"/>
              <w:jc w:val="center"/>
            </w:pPr>
            <w:r>
              <w:t>4</w:t>
            </w:r>
          </w:p>
        </w:tc>
        <w:tc>
          <w:tcPr>
            <w:tcW w:w="1010" w:type="dxa"/>
            <w:shd w:val="clear" w:color="auto" w:fill="F79646" w:themeFill="accent6"/>
          </w:tcPr>
          <w:p w:rsidR="000619DB" w:rsidRPr="004C4A3E" w:rsidRDefault="004568EC" w:rsidP="004568EC">
            <w:pPr>
              <w:pStyle w:val="TableTextEntries"/>
              <w:jc w:val="center"/>
            </w:pPr>
            <w:r>
              <w:t>3</w:t>
            </w:r>
          </w:p>
        </w:tc>
        <w:tc>
          <w:tcPr>
            <w:tcW w:w="996" w:type="dxa"/>
            <w:shd w:val="clear" w:color="auto" w:fill="FFFF00"/>
          </w:tcPr>
          <w:p w:rsidR="000619DB" w:rsidRPr="004C4A3E" w:rsidRDefault="004568EC" w:rsidP="004568EC">
            <w:pPr>
              <w:pStyle w:val="TableTextEntries"/>
              <w:jc w:val="center"/>
            </w:pPr>
            <w:r>
              <w:t>4</w:t>
            </w:r>
          </w:p>
        </w:tc>
      </w:tr>
      <w:tr w:rsidR="004568EC" w:rsidRPr="00180B19" w:rsidTr="00FB3001">
        <w:tc>
          <w:tcPr>
            <w:tcW w:w="4064" w:type="dxa"/>
            <w:vMerge w:val="restart"/>
            <w:vAlign w:val="center"/>
          </w:tcPr>
          <w:p w:rsidR="004568EC" w:rsidRPr="00FE4491" w:rsidRDefault="004568EC" w:rsidP="00FB3001">
            <w:pPr>
              <w:pStyle w:val="TableTextEntries"/>
            </w:pPr>
            <w:r w:rsidRPr="001200F0">
              <w:t>Three Millennium Development Goals Fund</w:t>
            </w:r>
          </w:p>
        </w:tc>
        <w:tc>
          <w:tcPr>
            <w:tcW w:w="1813" w:type="dxa"/>
            <w:vMerge w:val="restart"/>
          </w:tcPr>
          <w:p w:rsidR="004568EC" w:rsidRDefault="004568EC" w:rsidP="000619DB">
            <w:pPr>
              <w:pStyle w:val="TableTextEntries"/>
            </w:pPr>
            <w:r w:rsidRPr="001200F0">
              <w:t>$100,600,000</w:t>
            </w:r>
          </w:p>
          <w:p w:rsidR="004568EC" w:rsidRPr="00C03B72" w:rsidRDefault="004568EC" w:rsidP="000619DB">
            <w:pPr>
              <w:pStyle w:val="TableTextEntries"/>
            </w:pPr>
            <w:r>
              <w:t>3/2012-5/2017</w:t>
            </w:r>
          </w:p>
        </w:tc>
        <w:tc>
          <w:tcPr>
            <w:tcW w:w="1105" w:type="dxa"/>
          </w:tcPr>
          <w:p w:rsidR="004568EC" w:rsidRPr="004C4A3E" w:rsidRDefault="004568EC" w:rsidP="002A673F">
            <w:pPr>
              <w:pStyle w:val="TableTextEntries"/>
            </w:pPr>
            <w:r>
              <w:t>2013-14</w:t>
            </w:r>
          </w:p>
        </w:tc>
        <w:tc>
          <w:tcPr>
            <w:tcW w:w="1009" w:type="dxa"/>
            <w:shd w:val="clear" w:color="auto" w:fill="9BBB59" w:themeFill="accent3"/>
          </w:tcPr>
          <w:p w:rsidR="004568EC" w:rsidRDefault="004568EC" w:rsidP="004568EC">
            <w:pPr>
              <w:pStyle w:val="TableTextEntries"/>
              <w:jc w:val="center"/>
            </w:pPr>
            <w:r>
              <w:t>6</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996" w:type="dxa"/>
            <w:shd w:val="clear" w:color="auto" w:fill="9BBB59" w:themeFill="accent3"/>
          </w:tcPr>
          <w:p w:rsidR="004568EC" w:rsidRDefault="004568EC" w:rsidP="004568EC">
            <w:pPr>
              <w:pStyle w:val="TableTextEntries"/>
              <w:jc w:val="center"/>
            </w:pPr>
            <w:r>
              <w:t>5</w:t>
            </w:r>
          </w:p>
        </w:tc>
      </w:tr>
      <w:tr w:rsidR="004568EC" w:rsidRPr="00180B19" w:rsidTr="00FB3001">
        <w:tc>
          <w:tcPr>
            <w:tcW w:w="4064" w:type="dxa"/>
            <w:vMerge/>
            <w:vAlign w:val="center"/>
          </w:tcPr>
          <w:p w:rsidR="004568EC" w:rsidRPr="00C03B72" w:rsidRDefault="004568EC" w:rsidP="00FB3001">
            <w:pPr>
              <w:pStyle w:val="TableTextEntries"/>
            </w:pPr>
          </w:p>
        </w:tc>
        <w:tc>
          <w:tcPr>
            <w:tcW w:w="1813" w:type="dxa"/>
            <w:vMerge/>
          </w:tcPr>
          <w:p w:rsidR="004568EC" w:rsidRPr="004C4A3E" w:rsidRDefault="004568EC" w:rsidP="002A673F">
            <w:pPr>
              <w:pStyle w:val="TableTextEntries"/>
            </w:pPr>
          </w:p>
        </w:tc>
        <w:tc>
          <w:tcPr>
            <w:tcW w:w="1105" w:type="dxa"/>
          </w:tcPr>
          <w:p w:rsidR="004568EC" w:rsidRPr="004C4A3E" w:rsidRDefault="004568EC" w:rsidP="002A673F">
            <w:pPr>
              <w:pStyle w:val="TableTextEntries"/>
            </w:pPr>
            <w:r>
              <w:t>2012-13</w:t>
            </w:r>
          </w:p>
        </w:tc>
        <w:tc>
          <w:tcPr>
            <w:tcW w:w="1009" w:type="dxa"/>
            <w:shd w:val="clear" w:color="auto" w:fill="9BBB59" w:themeFill="accent3"/>
          </w:tcPr>
          <w:p w:rsidR="004568EC" w:rsidRPr="004C4A3E" w:rsidRDefault="004568EC" w:rsidP="004568EC">
            <w:pPr>
              <w:pStyle w:val="TableTextEntries"/>
              <w:jc w:val="center"/>
            </w:pPr>
            <w:r>
              <w:t>6</w:t>
            </w:r>
          </w:p>
        </w:tc>
        <w:tc>
          <w:tcPr>
            <w:tcW w:w="1010" w:type="dxa"/>
            <w:shd w:val="clear" w:color="auto" w:fill="F79646" w:themeFill="accent6"/>
          </w:tcPr>
          <w:p w:rsidR="004568EC" w:rsidRPr="004C4A3E" w:rsidRDefault="004568EC" w:rsidP="004568EC">
            <w:pPr>
              <w:pStyle w:val="TableTextEntries"/>
              <w:jc w:val="center"/>
            </w:pPr>
            <w:r>
              <w:t>3</w:t>
            </w:r>
          </w:p>
        </w:tc>
        <w:tc>
          <w:tcPr>
            <w:tcW w:w="1010" w:type="dxa"/>
            <w:shd w:val="clear" w:color="auto" w:fill="FFFF00"/>
          </w:tcPr>
          <w:p w:rsidR="004568EC" w:rsidRPr="004C4A3E" w:rsidRDefault="004568EC" w:rsidP="004568EC">
            <w:pPr>
              <w:pStyle w:val="TableTextEntries"/>
              <w:jc w:val="center"/>
            </w:pPr>
            <w:r>
              <w:t>4</w:t>
            </w:r>
          </w:p>
        </w:tc>
        <w:tc>
          <w:tcPr>
            <w:tcW w:w="1010" w:type="dxa"/>
            <w:shd w:val="clear" w:color="auto" w:fill="FFFF00"/>
          </w:tcPr>
          <w:p w:rsidR="004568EC" w:rsidRPr="004C4A3E" w:rsidRDefault="004568EC" w:rsidP="004568EC">
            <w:pPr>
              <w:pStyle w:val="TableTextEntries"/>
              <w:jc w:val="center"/>
            </w:pPr>
            <w:r>
              <w:t>4</w:t>
            </w:r>
          </w:p>
        </w:tc>
        <w:tc>
          <w:tcPr>
            <w:tcW w:w="1010" w:type="dxa"/>
            <w:shd w:val="clear" w:color="auto" w:fill="FFFF00"/>
          </w:tcPr>
          <w:p w:rsidR="004568EC" w:rsidRPr="004C4A3E" w:rsidRDefault="004568EC" w:rsidP="004568EC">
            <w:pPr>
              <w:pStyle w:val="TableTextEntries"/>
              <w:jc w:val="center"/>
            </w:pPr>
            <w:r>
              <w:t>4</w:t>
            </w:r>
          </w:p>
        </w:tc>
        <w:tc>
          <w:tcPr>
            <w:tcW w:w="996" w:type="dxa"/>
            <w:shd w:val="clear" w:color="auto" w:fill="9BBB59" w:themeFill="accent3"/>
          </w:tcPr>
          <w:p w:rsidR="004568EC" w:rsidRPr="004C4A3E" w:rsidRDefault="004568EC" w:rsidP="004568EC">
            <w:pPr>
              <w:pStyle w:val="TableTextEntries"/>
              <w:jc w:val="center"/>
            </w:pPr>
            <w:r>
              <w:t>5</w:t>
            </w:r>
          </w:p>
        </w:tc>
      </w:tr>
      <w:tr w:rsidR="004568EC" w:rsidRPr="00180B19" w:rsidTr="00FB3001">
        <w:tc>
          <w:tcPr>
            <w:tcW w:w="4064" w:type="dxa"/>
            <w:vMerge w:val="restart"/>
            <w:vAlign w:val="center"/>
          </w:tcPr>
          <w:p w:rsidR="004568EC" w:rsidRPr="00C03B72" w:rsidRDefault="004568EC" w:rsidP="00FB3001">
            <w:pPr>
              <w:pStyle w:val="TableTextEntries"/>
            </w:pPr>
            <w:r w:rsidRPr="001200F0">
              <w:t>Burma Basic Education</w:t>
            </w:r>
          </w:p>
        </w:tc>
        <w:tc>
          <w:tcPr>
            <w:tcW w:w="1813" w:type="dxa"/>
            <w:vMerge w:val="restart"/>
          </w:tcPr>
          <w:p w:rsidR="004568EC" w:rsidRDefault="004568EC" w:rsidP="000619DB">
            <w:pPr>
              <w:pStyle w:val="TableTextEntries"/>
            </w:pPr>
            <w:r w:rsidRPr="001200F0">
              <w:t>$66,700,000</w:t>
            </w:r>
          </w:p>
          <w:p w:rsidR="004568EC" w:rsidRPr="004C4A3E" w:rsidRDefault="004568EC" w:rsidP="002A673F">
            <w:pPr>
              <w:pStyle w:val="TableTextEntries"/>
            </w:pPr>
            <w:r>
              <w:t>2/2012-6/2016</w:t>
            </w:r>
          </w:p>
        </w:tc>
        <w:tc>
          <w:tcPr>
            <w:tcW w:w="1105" w:type="dxa"/>
          </w:tcPr>
          <w:p w:rsidR="004568EC" w:rsidRPr="004C4A3E" w:rsidRDefault="004568EC" w:rsidP="002A673F">
            <w:pPr>
              <w:pStyle w:val="TableTextEntries"/>
            </w:pPr>
            <w:r>
              <w:t>2013-14</w:t>
            </w:r>
          </w:p>
        </w:tc>
        <w:tc>
          <w:tcPr>
            <w:tcW w:w="1009" w:type="dxa"/>
            <w:shd w:val="clear" w:color="auto" w:fill="9BBB59" w:themeFill="accent3"/>
          </w:tcPr>
          <w:p w:rsidR="004568EC" w:rsidRDefault="004568EC" w:rsidP="004568EC">
            <w:pPr>
              <w:pStyle w:val="TableTextEntries"/>
              <w:jc w:val="center"/>
            </w:pPr>
            <w:r>
              <w:t>5</w:t>
            </w:r>
          </w:p>
        </w:tc>
        <w:tc>
          <w:tcPr>
            <w:tcW w:w="1010" w:type="dxa"/>
            <w:shd w:val="clear" w:color="auto" w:fill="9BBB59" w:themeFill="accent3"/>
          </w:tcPr>
          <w:p w:rsidR="004568EC" w:rsidRDefault="004568EC" w:rsidP="004568EC">
            <w:pPr>
              <w:pStyle w:val="TableTextEntries"/>
              <w:jc w:val="center"/>
            </w:pPr>
            <w:r>
              <w:t>5</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996" w:type="dxa"/>
            <w:shd w:val="clear" w:color="auto" w:fill="F79646" w:themeFill="accent6"/>
          </w:tcPr>
          <w:p w:rsidR="004568EC" w:rsidRDefault="004568EC" w:rsidP="004568EC">
            <w:pPr>
              <w:pStyle w:val="TableTextEntries"/>
              <w:jc w:val="center"/>
            </w:pPr>
            <w:r>
              <w:t>3</w:t>
            </w:r>
          </w:p>
        </w:tc>
      </w:tr>
      <w:tr w:rsidR="004568EC" w:rsidRPr="00180B19" w:rsidTr="00FB3001">
        <w:tc>
          <w:tcPr>
            <w:tcW w:w="4064" w:type="dxa"/>
            <w:vMerge/>
            <w:vAlign w:val="center"/>
          </w:tcPr>
          <w:p w:rsidR="004568EC" w:rsidRPr="00C03B72" w:rsidRDefault="004568EC" w:rsidP="00FB3001">
            <w:pPr>
              <w:pStyle w:val="TableTextEntries"/>
            </w:pPr>
          </w:p>
        </w:tc>
        <w:tc>
          <w:tcPr>
            <w:tcW w:w="1813" w:type="dxa"/>
            <w:vMerge/>
          </w:tcPr>
          <w:p w:rsidR="004568EC" w:rsidRPr="004C4A3E" w:rsidRDefault="004568EC" w:rsidP="002A673F">
            <w:pPr>
              <w:pStyle w:val="TableTextEntries"/>
            </w:pPr>
          </w:p>
        </w:tc>
        <w:tc>
          <w:tcPr>
            <w:tcW w:w="1105" w:type="dxa"/>
          </w:tcPr>
          <w:p w:rsidR="004568EC" w:rsidRPr="004C4A3E" w:rsidRDefault="004568EC" w:rsidP="002A673F">
            <w:pPr>
              <w:pStyle w:val="TableTextEntries"/>
            </w:pPr>
            <w:r>
              <w:t>2012-13</w:t>
            </w:r>
          </w:p>
        </w:tc>
        <w:tc>
          <w:tcPr>
            <w:tcW w:w="1009" w:type="dxa"/>
            <w:shd w:val="clear" w:color="auto" w:fill="9BBB59" w:themeFill="accent3"/>
          </w:tcPr>
          <w:p w:rsidR="004568EC" w:rsidRPr="004C4A3E" w:rsidRDefault="004568EC" w:rsidP="004568EC">
            <w:pPr>
              <w:pStyle w:val="TableTextEntries"/>
              <w:jc w:val="center"/>
            </w:pPr>
            <w:r>
              <w:t>5</w:t>
            </w:r>
          </w:p>
        </w:tc>
        <w:tc>
          <w:tcPr>
            <w:tcW w:w="1010" w:type="dxa"/>
            <w:shd w:val="clear" w:color="auto" w:fill="FFFF00"/>
          </w:tcPr>
          <w:p w:rsidR="004568EC" w:rsidRPr="004C4A3E" w:rsidRDefault="004568EC" w:rsidP="004568EC">
            <w:pPr>
              <w:pStyle w:val="TableTextEntries"/>
              <w:jc w:val="center"/>
            </w:pPr>
            <w:r>
              <w:t>4</w:t>
            </w:r>
          </w:p>
        </w:tc>
        <w:tc>
          <w:tcPr>
            <w:tcW w:w="1010" w:type="dxa"/>
            <w:shd w:val="clear" w:color="auto" w:fill="FFFF00"/>
          </w:tcPr>
          <w:p w:rsidR="004568EC" w:rsidRPr="004C4A3E" w:rsidRDefault="004568EC" w:rsidP="004568EC">
            <w:pPr>
              <w:pStyle w:val="TableTextEntries"/>
              <w:jc w:val="center"/>
            </w:pPr>
            <w:r>
              <w:t>4</w:t>
            </w:r>
          </w:p>
        </w:tc>
        <w:tc>
          <w:tcPr>
            <w:tcW w:w="1010" w:type="dxa"/>
            <w:shd w:val="clear" w:color="auto" w:fill="FFFF00"/>
          </w:tcPr>
          <w:p w:rsidR="004568EC" w:rsidRPr="004C4A3E" w:rsidRDefault="004568EC" w:rsidP="004568EC">
            <w:pPr>
              <w:pStyle w:val="TableTextEntries"/>
              <w:jc w:val="center"/>
            </w:pPr>
            <w:r>
              <w:t>4</w:t>
            </w:r>
          </w:p>
        </w:tc>
        <w:tc>
          <w:tcPr>
            <w:tcW w:w="1010" w:type="dxa"/>
            <w:shd w:val="clear" w:color="auto" w:fill="FFFF00"/>
          </w:tcPr>
          <w:p w:rsidR="004568EC" w:rsidRPr="004C4A3E" w:rsidRDefault="004568EC" w:rsidP="004568EC">
            <w:pPr>
              <w:pStyle w:val="TableTextEntries"/>
              <w:jc w:val="center"/>
            </w:pPr>
            <w:r>
              <w:t>4</w:t>
            </w:r>
          </w:p>
        </w:tc>
        <w:tc>
          <w:tcPr>
            <w:tcW w:w="996" w:type="dxa"/>
            <w:shd w:val="clear" w:color="auto" w:fill="9BBB59" w:themeFill="accent3"/>
          </w:tcPr>
          <w:p w:rsidR="004568EC" w:rsidRPr="004C4A3E" w:rsidRDefault="004568EC" w:rsidP="004568EC">
            <w:pPr>
              <w:pStyle w:val="TableTextEntries"/>
              <w:jc w:val="center"/>
            </w:pPr>
            <w:r>
              <w:t>5</w:t>
            </w:r>
          </w:p>
        </w:tc>
      </w:tr>
      <w:tr w:rsidR="004568EC" w:rsidRPr="00180B19" w:rsidTr="00FB3001">
        <w:tc>
          <w:tcPr>
            <w:tcW w:w="4064" w:type="dxa"/>
            <w:vMerge w:val="restart"/>
            <w:vAlign w:val="center"/>
          </w:tcPr>
          <w:p w:rsidR="004568EC" w:rsidRPr="00C03B72" w:rsidRDefault="004568EC" w:rsidP="00FB3001">
            <w:pPr>
              <w:pStyle w:val="TableTextEntries"/>
            </w:pPr>
            <w:r w:rsidRPr="001200F0">
              <w:t>Humanitarian and Peace building Support in Myanmar</w:t>
            </w:r>
          </w:p>
        </w:tc>
        <w:tc>
          <w:tcPr>
            <w:tcW w:w="1813" w:type="dxa"/>
            <w:vMerge w:val="restart"/>
          </w:tcPr>
          <w:p w:rsidR="004568EC" w:rsidRDefault="004568EC" w:rsidP="000619DB">
            <w:pPr>
              <w:pStyle w:val="TableTextEntries"/>
            </w:pPr>
            <w:r w:rsidRPr="001200F0">
              <w:t>$21,300,000</w:t>
            </w:r>
          </w:p>
          <w:p w:rsidR="004568EC" w:rsidRPr="004C4A3E" w:rsidRDefault="004568EC" w:rsidP="000619DB">
            <w:pPr>
              <w:pStyle w:val="TableTextEntries"/>
            </w:pPr>
            <w:r>
              <w:t>10/12-6/2015</w:t>
            </w:r>
          </w:p>
        </w:tc>
        <w:tc>
          <w:tcPr>
            <w:tcW w:w="1105" w:type="dxa"/>
          </w:tcPr>
          <w:p w:rsidR="004568EC" w:rsidRPr="004C4A3E" w:rsidRDefault="004568EC" w:rsidP="002A673F">
            <w:pPr>
              <w:pStyle w:val="TableTextEntries"/>
            </w:pPr>
            <w:r>
              <w:t>2013-14</w:t>
            </w:r>
          </w:p>
        </w:tc>
        <w:tc>
          <w:tcPr>
            <w:tcW w:w="1009" w:type="dxa"/>
            <w:shd w:val="clear" w:color="auto" w:fill="9BBB59" w:themeFill="accent3"/>
          </w:tcPr>
          <w:p w:rsidR="004568EC" w:rsidRDefault="004568EC" w:rsidP="004568EC">
            <w:pPr>
              <w:pStyle w:val="TableTextEntries"/>
              <w:jc w:val="center"/>
            </w:pPr>
            <w:r>
              <w:t>5</w:t>
            </w:r>
          </w:p>
        </w:tc>
        <w:tc>
          <w:tcPr>
            <w:tcW w:w="1010" w:type="dxa"/>
            <w:shd w:val="clear" w:color="auto" w:fill="9BBB59" w:themeFill="accent3"/>
          </w:tcPr>
          <w:p w:rsidR="004568EC" w:rsidRDefault="004568EC" w:rsidP="004568EC">
            <w:pPr>
              <w:pStyle w:val="TableTextEntries"/>
              <w:jc w:val="center"/>
            </w:pPr>
            <w:r>
              <w:t>5</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996" w:type="dxa"/>
            <w:shd w:val="clear" w:color="auto" w:fill="F79646" w:themeFill="accent6"/>
          </w:tcPr>
          <w:p w:rsidR="004568EC" w:rsidRDefault="004568EC" w:rsidP="004568EC">
            <w:pPr>
              <w:pStyle w:val="TableTextEntries"/>
              <w:jc w:val="center"/>
            </w:pPr>
            <w:r>
              <w:t>3</w:t>
            </w:r>
          </w:p>
        </w:tc>
      </w:tr>
      <w:tr w:rsidR="004568EC" w:rsidRPr="00180B19" w:rsidTr="00803547">
        <w:tc>
          <w:tcPr>
            <w:tcW w:w="4064" w:type="dxa"/>
            <w:vMerge/>
            <w:vAlign w:val="center"/>
          </w:tcPr>
          <w:p w:rsidR="004568EC" w:rsidRPr="00C03B72" w:rsidRDefault="004568EC" w:rsidP="00FB3001">
            <w:pPr>
              <w:pStyle w:val="TableTextEntries"/>
            </w:pPr>
          </w:p>
        </w:tc>
        <w:tc>
          <w:tcPr>
            <w:tcW w:w="1813" w:type="dxa"/>
            <w:vMerge/>
          </w:tcPr>
          <w:p w:rsidR="004568EC" w:rsidRPr="004C4A3E" w:rsidRDefault="004568EC" w:rsidP="002A673F">
            <w:pPr>
              <w:pStyle w:val="TableTextEntries"/>
            </w:pPr>
          </w:p>
        </w:tc>
        <w:tc>
          <w:tcPr>
            <w:tcW w:w="1105" w:type="dxa"/>
          </w:tcPr>
          <w:p w:rsidR="004568EC" w:rsidRPr="004C4A3E" w:rsidRDefault="004568EC" w:rsidP="002A673F">
            <w:pPr>
              <w:pStyle w:val="TableTextEntries"/>
            </w:pPr>
            <w:r>
              <w:t>2012-13</w:t>
            </w:r>
          </w:p>
        </w:tc>
        <w:tc>
          <w:tcPr>
            <w:tcW w:w="6185" w:type="dxa"/>
            <w:gridSpan w:val="6"/>
            <w:shd w:val="clear" w:color="auto" w:fill="auto"/>
          </w:tcPr>
          <w:p w:rsidR="004568EC" w:rsidRPr="004C4A3E" w:rsidRDefault="004568EC" w:rsidP="004568EC">
            <w:pPr>
              <w:pStyle w:val="TableTextEntries"/>
              <w:jc w:val="center"/>
            </w:pPr>
            <w:r>
              <w:t>Exempt</w:t>
            </w:r>
          </w:p>
        </w:tc>
      </w:tr>
      <w:tr w:rsidR="004568EC" w:rsidRPr="00180B19" w:rsidTr="00FB3001">
        <w:tc>
          <w:tcPr>
            <w:tcW w:w="4064" w:type="dxa"/>
            <w:vMerge w:val="restart"/>
            <w:vAlign w:val="center"/>
          </w:tcPr>
          <w:p w:rsidR="004568EC" w:rsidRPr="00C03B72" w:rsidRDefault="004568EC" w:rsidP="00FB3001">
            <w:pPr>
              <w:pStyle w:val="TableTextEntries"/>
            </w:pPr>
            <w:r w:rsidRPr="001200F0">
              <w:t>Assisting Myanmar's Conflict-Affected &amp; Displaced</w:t>
            </w:r>
          </w:p>
        </w:tc>
        <w:tc>
          <w:tcPr>
            <w:tcW w:w="1813" w:type="dxa"/>
            <w:vMerge w:val="restart"/>
          </w:tcPr>
          <w:p w:rsidR="004568EC" w:rsidRDefault="004568EC" w:rsidP="000619DB">
            <w:pPr>
              <w:pStyle w:val="TableTextEntries"/>
            </w:pPr>
            <w:r w:rsidRPr="001200F0">
              <w:t>$28,000,000</w:t>
            </w:r>
          </w:p>
          <w:p w:rsidR="004568EC" w:rsidRPr="004C4A3E" w:rsidRDefault="004568EC" w:rsidP="002A673F">
            <w:pPr>
              <w:pStyle w:val="TableTextEntries"/>
            </w:pPr>
            <w:r>
              <w:t>4/2013-6/2016</w:t>
            </w:r>
          </w:p>
        </w:tc>
        <w:tc>
          <w:tcPr>
            <w:tcW w:w="1105" w:type="dxa"/>
          </w:tcPr>
          <w:p w:rsidR="004568EC" w:rsidRPr="004C4A3E" w:rsidRDefault="004568EC" w:rsidP="002A673F">
            <w:pPr>
              <w:pStyle w:val="TableTextEntries"/>
            </w:pPr>
            <w:r>
              <w:t>2013-14</w:t>
            </w:r>
          </w:p>
        </w:tc>
        <w:tc>
          <w:tcPr>
            <w:tcW w:w="1009" w:type="dxa"/>
            <w:shd w:val="clear" w:color="auto" w:fill="9BBB59" w:themeFill="accent3"/>
          </w:tcPr>
          <w:p w:rsidR="004568EC" w:rsidRDefault="004568EC" w:rsidP="004568EC">
            <w:pPr>
              <w:pStyle w:val="TableTextEntries"/>
              <w:jc w:val="center"/>
            </w:pPr>
            <w:r>
              <w:t>6</w:t>
            </w:r>
          </w:p>
        </w:tc>
        <w:tc>
          <w:tcPr>
            <w:tcW w:w="1010" w:type="dxa"/>
            <w:shd w:val="clear" w:color="auto" w:fill="9BBB59" w:themeFill="accent3"/>
          </w:tcPr>
          <w:p w:rsidR="004568EC" w:rsidRDefault="004568EC" w:rsidP="004568EC">
            <w:pPr>
              <w:pStyle w:val="TableTextEntries"/>
              <w:jc w:val="center"/>
            </w:pPr>
            <w:r>
              <w:t>5</w:t>
            </w:r>
          </w:p>
        </w:tc>
        <w:tc>
          <w:tcPr>
            <w:tcW w:w="1010" w:type="dxa"/>
            <w:shd w:val="clear" w:color="auto" w:fill="9BBB59" w:themeFill="accent3"/>
          </w:tcPr>
          <w:p w:rsidR="004568EC" w:rsidRDefault="004568EC" w:rsidP="004568EC">
            <w:pPr>
              <w:pStyle w:val="TableTextEntries"/>
              <w:jc w:val="center"/>
            </w:pPr>
            <w:r>
              <w:t>5</w:t>
            </w:r>
          </w:p>
        </w:tc>
        <w:tc>
          <w:tcPr>
            <w:tcW w:w="1010" w:type="dxa"/>
            <w:shd w:val="clear" w:color="auto" w:fill="9BBB59" w:themeFill="accent3"/>
          </w:tcPr>
          <w:p w:rsidR="004568EC" w:rsidRDefault="004568EC" w:rsidP="004568EC">
            <w:pPr>
              <w:pStyle w:val="TableTextEntries"/>
              <w:jc w:val="center"/>
            </w:pPr>
            <w:r>
              <w:t>5</w:t>
            </w:r>
          </w:p>
        </w:tc>
        <w:tc>
          <w:tcPr>
            <w:tcW w:w="1010" w:type="dxa"/>
            <w:shd w:val="clear" w:color="auto" w:fill="FFFF00"/>
          </w:tcPr>
          <w:p w:rsidR="004568EC" w:rsidRDefault="004568EC" w:rsidP="004568EC">
            <w:pPr>
              <w:pStyle w:val="TableTextEntries"/>
              <w:jc w:val="center"/>
            </w:pPr>
            <w:r>
              <w:t>4</w:t>
            </w:r>
          </w:p>
        </w:tc>
        <w:tc>
          <w:tcPr>
            <w:tcW w:w="996" w:type="dxa"/>
            <w:shd w:val="clear" w:color="auto" w:fill="FFFF00"/>
          </w:tcPr>
          <w:p w:rsidR="004568EC" w:rsidRDefault="004568EC" w:rsidP="004568EC">
            <w:pPr>
              <w:pStyle w:val="TableTextEntries"/>
              <w:jc w:val="center"/>
            </w:pPr>
            <w:r>
              <w:t>4</w:t>
            </w:r>
          </w:p>
        </w:tc>
      </w:tr>
      <w:tr w:rsidR="004568EC" w:rsidRPr="00180B19" w:rsidTr="00803547">
        <w:tc>
          <w:tcPr>
            <w:tcW w:w="4064" w:type="dxa"/>
            <w:vMerge/>
            <w:vAlign w:val="center"/>
          </w:tcPr>
          <w:p w:rsidR="004568EC" w:rsidRPr="00C03B72" w:rsidRDefault="004568EC" w:rsidP="00FB3001">
            <w:pPr>
              <w:pStyle w:val="TableTextEntries"/>
            </w:pPr>
          </w:p>
        </w:tc>
        <w:tc>
          <w:tcPr>
            <w:tcW w:w="1813" w:type="dxa"/>
            <w:vMerge/>
          </w:tcPr>
          <w:p w:rsidR="004568EC" w:rsidRPr="004C4A3E" w:rsidRDefault="004568EC" w:rsidP="002A673F">
            <w:pPr>
              <w:pStyle w:val="TableTextEntries"/>
            </w:pPr>
          </w:p>
        </w:tc>
        <w:tc>
          <w:tcPr>
            <w:tcW w:w="1105" w:type="dxa"/>
          </w:tcPr>
          <w:p w:rsidR="004568EC" w:rsidRPr="004C4A3E" w:rsidRDefault="004568EC" w:rsidP="002A673F">
            <w:pPr>
              <w:pStyle w:val="TableTextEntries"/>
            </w:pPr>
            <w:r>
              <w:t>2012-13</w:t>
            </w:r>
          </w:p>
        </w:tc>
        <w:tc>
          <w:tcPr>
            <w:tcW w:w="6185" w:type="dxa"/>
            <w:gridSpan w:val="6"/>
            <w:shd w:val="clear" w:color="auto" w:fill="auto"/>
          </w:tcPr>
          <w:p w:rsidR="004568EC" w:rsidRPr="004C4A3E" w:rsidRDefault="004568EC" w:rsidP="004568EC">
            <w:pPr>
              <w:pStyle w:val="TableTextEntries"/>
              <w:jc w:val="center"/>
            </w:pPr>
            <w:r>
              <w:t>Exempt</w:t>
            </w:r>
          </w:p>
        </w:tc>
      </w:tr>
      <w:tr w:rsidR="004568EC" w:rsidRPr="00180B19" w:rsidTr="00FB3001">
        <w:tc>
          <w:tcPr>
            <w:tcW w:w="4064" w:type="dxa"/>
            <w:vMerge w:val="restart"/>
            <w:vAlign w:val="center"/>
          </w:tcPr>
          <w:p w:rsidR="004568EC" w:rsidRPr="00531AD4" w:rsidRDefault="004568EC" w:rsidP="00FB3001">
            <w:pPr>
              <w:pStyle w:val="TableTextEntries"/>
            </w:pPr>
            <w:r w:rsidRPr="001200F0">
              <w:t>Myanmar-Australia Partnership for Reform</w:t>
            </w:r>
          </w:p>
        </w:tc>
        <w:tc>
          <w:tcPr>
            <w:tcW w:w="1813" w:type="dxa"/>
            <w:vMerge w:val="restart"/>
          </w:tcPr>
          <w:p w:rsidR="004568EC" w:rsidRDefault="004568EC" w:rsidP="000619DB">
            <w:pPr>
              <w:pStyle w:val="TableTextEntries"/>
            </w:pPr>
            <w:r w:rsidRPr="001200F0">
              <w:t>$20,000,000</w:t>
            </w:r>
          </w:p>
          <w:p w:rsidR="004568EC" w:rsidRPr="004C4A3E" w:rsidRDefault="004568EC" w:rsidP="000619DB">
            <w:pPr>
              <w:pStyle w:val="TableTextEntries"/>
            </w:pPr>
            <w:r>
              <w:t>6/2013-6/2015</w:t>
            </w:r>
          </w:p>
        </w:tc>
        <w:tc>
          <w:tcPr>
            <w:tcW w:w="1105" w:type="dxa"/>
          </w:tcPr>
          <w:p w:rsidR="004568EC" w:rsidRPr="004C4A3E" w:rsidRDefault="004568EC" w:rsidP="002A673F">
            <w:pPr>
              <w:pStyle w:val="TableTextEntries"/>
            </w:pPr>
            <w:r>
              <w:t>2013-14</w:t>
            </w:r>
          </w:p>
        </w:tc>
        <w:tc>
          <w:tcPr>
            <w:tcW w:w="1009" w:type="dxa"/>
            <w:shd w:val="clear" w:color="auto" w:fill="9BBB59" w:themeFill="accent3"/>
          </w:tcPr>
          <w:p w:rsidR="004568EC" w:rsidRDefault="004568EC" w:rsidP="004568EC">
            <w:pPr>
              <w:pStyle w:val="TableTextEntries"/>
              <w:jc w:val="center"/>
            </w:pPr>
            <w:r>
              <w:t>5</w:t>
            </w:r>
          </w:p>
        </w:tc>
        <w:tc>
          <w:tcPr>
            <w:tcW w:w="1010" w:type="dxa"/>
            <w:shd w:val="clear" w:color="auto" w:fill="FFFF00"/>
          </w:tcPr>
          <w:p w:rsidR="004568EC" w:rsidRDefault="004568EC" w:rsidP="004568EC">
            <w:pPr>
              <w:pStyle w:val="TableTextEntries"/>
              <w:jc w:val="center"/>
            </w:pPr>
            <w:r>
              <w:t>4</w:t>
            </w:r>
          </w:p>
        </w:tc>
        <w:tc>
          <w:tcPr>
            <w:tcW w:w="1010" w:type="dxa"/>
            <w:shd w:val="clear" w:color="auto" w:fill="FFFF00"/>
          </w:tcPr>
          <w:p w:rsidR="004568EC" w:rsidRDefault="004568EC" w:rsidP="004568EC">
            <w:pPr>
              <w:pStyle w:val="TableTextEntries"/>
              <w:jc w:val="center"/>
            </w:pPr>
            <w:r>
              <w:t>4</w:t>
            </w:r>
          </w:p>
        </w:tc>
        <w:tc>
          <w:tcPr>
            <w:tcW w:w="1010" w:type="dxa"/>
            <w:shd w:val="clear" w:color="auto" w:fill="9BBB59" w:themeFill="accent3"/>
          </w:tcPr>
          <w:p w:rsidR="004568EC" w:rsidRDefault="004568EC" w:rsidP="004568EC">
            <w:pPr>
              <w:pStyle w:val="TableTextEntries"/>
              <w:jc w:val="center"/>
            </w:pPr>
            <w:r>
              <w:t>5</w:t>
            </w:r>
          </w:p>
        </w:tc>
        <w:tc>
          <w:tcPr>
            <w:tcW w:w="1010" w:type="dxa"/>
            <w:shd w:val="clear" w:color="auto" w:fill="9BBB59" w:themeFill="accent3"/>
          </w:tcPr>
          <w:p w:rsidR="004568EC" w:rsidRDefault="004568EC" w:rsidP="004568EC">
            <w:pPr>
              <w:pStyle w:val="TableTextEntries"/>
              <w:jc w:val="center"/>
            </w:pPr>
            <w:r>
              <w:t>5</w:t>
            </w:r>
          </w:p>
        </w:tc>
        <w:tc>
          <w:tcPr>
            <w:tcW w:w="996" w:type="dxa"/>
            <w:shd w:val="clear" w:color="auto" w:fill="FFFF00"/>
          </w:tcPr>
          <w:p w:rsidR="004568EC" w:rsidRDefault="004568EC" w:rsidP="004568EC">
            <w:pPr>
              <w:pStyle w:val="TableTextEntries"/>
              <w:jc w:val="center"/>
            </w:pPr>
            <w:r>
              <w:t>4</w:t>
            </w:r>
          </w:p>
        </w:tc>
      </w:tr>
      <w:tr w:rsidR="004568EC" w:rsidRPr="00180B19" w:rsidTr="00803547">
        <w:tc>
          <w:tcPr>
            <w:tcW w:w="4064" w:type="dxa"/>
            <w:vMerge/>
          </w:tcPr>
          <w:p w:rsidR="004568EC" w:rsidRPr="00531AD4" w:rsidRDefault="004568EC" w:rsidP="002A673F">
            <w:pPr>
              <w:pStyle w:val="TableTextEntries"/>
            </w:pPr>
          </w:p>
        </w:tc>
        <w:tc>
          <w:tcPr>
            <w:tcW w:w="1813" w:type="dxa"/>
            <w:vMerge/>
          </w:tcPr>
          <w:p w:rsidR="004568EC" w:rsidRPr="004C4A3E" w:rsidRDefault="004568EC" w:rsidP="002A673F">
            <w:pPr>
              <w:pStyle w:val="TableTextEntries"/>
            </w:pPr>
          </w:p>
        </w:tc>
        <w:tc>
          <w:tcPr>
            <w:tcW w:w="1105" w:type="dxa"/>
          </w:tcPr>
          <w:p w:rsidR="004568EC" w:rsidRPr="004C4A3E" w:rsidRDefault="004568EC" w:rsidP="002A673F">
            <w:pPr>
              <w:pStyle w:val="TableTextEntries"/>
            </w:pPr>
            <w:r>
              <w:t>2012-13</w:t>
            </w:r>
          </w:p>
        </w:tc>
        <w:tc>
          <w:tcPr>
            <w:tcW w:w="6185" w:type="dxa"/>
            <w:gridSpan w:val="6"/>
            <w:shd w:val="clear" w:color="auto" w:fill="auto"/>
          </w:tcPr>
          <w:p w:rsidR="004568EC" w:rsidRPr="004C4A3E" w:rsidRDefault="004568EC" w:rsidP="004568EC">
            <w:pPr>
              <w:pStyle w:val="TableTextEntries"/>
              <w:jc w:val="center"/>
            </w:pPr>
            <w:r>
              <w:t>N/A</w:t>
            </w:r>
          </w:p>
        </w:tc>
      </w:tr>
    </w:tbl>
    <w:p w:rsidR="004568EC" w:rsidRDefault="004568EC" w:rsidP="004568EC">
      <w:pPr>
        <w:pStyle w:val="Note"/>
      </w:pPr>
      <w:r>
        <w:lastRenderedPageBreak/>
        <w:t>Definitions of rating scale:</w:t>
      </w:r>
      <w:r>
        <w:tab/>
      </w:r>
    </w:p>
    <w:p w:rsidR="004568EC" w:rsidRDefault="004568EC" w:rsidP="004568EC">
      <w:pPr>
        <w:pStyle w:val="Note"/>
      </w:pPr>
      <w:r>
        <w:t>Satisfactory (4, 5 and 6)</w:t>
      </w:r>
    </w:p>
    <w:p w:rsidR="004568EC" w:rsidRDefault="004568EC" w:rsidP="004568EC">
      <w:pPr>
        <w:pStyle w:val="Note"/>
      </w:pPr>
      <w:r w:rsidRPr="00593946">
        <w:rPr>
          <w:color w:val="72AF2F"/>
        </w:rPr>
        <w:sym w:font="Webdings" w:char="F067"/>
      </w:r>
      <w:r>
        <w:t xml:space="preserve"> = 6 = Very high quality</w:t>
      </w:r>
    </w:p>
    <w:p w:rsidR="004568EC" w:rsidRDefault="004568EC" w:rsidP="004568EC">
      <w:pPr>
        <w:pStyle w:val="Note"/>
      </w:pPr>
      <w:r w:rsidRPr="00593946">
        <w:rPr>
          <w:color w:val="72AF2F"/>
        </w:rPr>
        <w:sym w:font="Webdings" w:char="F067"/>
      </w:r>
      <w:r>
        <w:t xml:space="preserve"> = 5 = Good quality</w:t>
      </w:r>
    </w:p>
    <w:p w:rsidR="004568EC" w:rsidRDefault="004568EC" w:rsidP="004568EC">
      <w:pPr>
        <w:pStyle w:val="Note"/>
      </w:pPr>
      <w:r w:rsidRPr="000774FD">
        <w:rPr>
          <w:color w:val="FFFF00"/>
        </w:rPr>
        <w:sym w:font="Webdings" w:char="F067"/>
      </w:r>
      <w:r>
        <w:t xml:space="preserve"> = 4 = Adequate quality, needs some work</w:t>
      </w:r>
    </w:p>
    <w:p w:rsidR="004568EC" w:rsidRDefault="004568EC" w:rsidP="004568EC">
      <w:pPr>
        <w:pStyle w:val="Note"/>
      </w:pPr>
      <w:r>
        <w:t>Less than satisfactory (1, 2 and 3)</w:t>
      </w:r>
    </w:p>
    <w:p w:rsidR="004568EC" w:rsidRDefault="004568EC" w:rsidP="004568EC">
      <w:pPr>
        <w:pStyle w:val="Note"/>
      </w:pPr>
      <w:r w:rsidRPr="00593946">
        <w:rPr>
          <w:color w:val="E36C0A"/>
        </w:rPr>
        <w:sym w:font="Webdings" w:char="F067"/>
      </w:r>
      <w:r w:rsidRPr="00593946">
        <w:rPr>
          <w:color w:val="E36C0A"/>
        </w:rPr>
        <w:t xml:space="preserve"> </w:t>
      </w:r>
      <w:r>
        <w:t>= 3 = Less than adequate quality; needs significant work</w:t>
      </w:r>
    </w:p>
    <w:p w:rsidR="004568EC" w:rsidRDefault="004568EC" w:rsidP="004568EC">
      <w:pPr>
        <w:pStyle w:val="Note"/>
      </w:pPr>
      <w:r w:rsidRPr="000774FD">
        <w:rPr>
          <w:color w:val="FF0000"/>
        </w:rPr>
        <w:sym w:font="Webdings" w:char="F067"/>
      </w:r>
      <w:r>
        <w:t xml:space="preserve"> = 2 = Poor quality; needs major work to improve</w:t>
      </w:r>
    </w:p>
    <w:p w:rsidR="004568EC" w:rsidRDefault="004568EC" w:rsidP="004568EC">
      <w:pPr>
        <w:pStyle w:val="Note"/>
      </w:pPr>
      <w:r w:rsidRPr="000774FD">
        <w:rPr>
          <w:color w:val="FF0000"/>
        </w:rPr>
        <w:sym w:font="Webdings" w:char="F067"/>
      </w:r>
      <w:r>
        <w:t xml:space="preserve"> = 1 = Very poor quality; needs major overhaul</w:t>
      </w:r>
    </w:p>
    <w:p w:rsidR="004568EC" w:rsidRDefault="004568EC" w:rsidP="004568EC">
      <w:pPr>
        <w:pStyle w:val="Note"/>
      </w:pPr>
    </w:p>
    <w:p w:rsidR="000619DB" w:rsidRDefault="000619DB">
      <w:pPr>
        <w:spacing w:after="200" w:line="276" w:lineRule="auto"/>
      </w:pPr>
      <w:r>
        <w:br w:type="page"/>
      </w:r>
    </w:p>
    <w:p w:rsidR="000D733F" w:rsidRPr="009E38C1" w:rsidRDefault="000D733F" w:rsidP="000D733F">
      <w:pPr>
        <w:pStyle w:val="Heading2"/>
        <w:rPr>
          <w:sz w:val="28"/>
        </w:rPr>
      </w:pPr>
      <w:r w:rsidRPr="009E38C1">
        <w:rPr>
          <w:sz w:val="28"/>
        </w:rPr>
        <w:lastRenderedPageBreak/>
        <w:t>Annex C</w:t>
      </w:r>
      <w:r w:rsidR="00CE2942">
        <w:rPr>
          <w:sz w:val="28"/>
        </w:rPr>
        <w:t xml:space="preserve"> - </w:t>
      </w:r>
      <w:r w:rsidRPr="009E38C1">
        <w:rPr>
          <w:sz w:val="28"/>
        </w:rPr>
        <w:t>Evaluation and Review Pipeline Planning</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E325BC" w:rsidP="000D733F">
            <w:pPr>
              <w:pStyle w:val="TableTextColumnHeading"/>
              <w:rPr>
                <w:b/>
              </w:rPr>
            </w:pPr>
            <w:r>
              <w:t>AidW</w:t>
            </w:r>
            <w:r w:rsidRPr="00071B95">
              <w:rPr>
                <w:b/>
              </w:rPr>
              <w:t>orks</w:t>
            </w:r>
            <w:r w:rsidR="000D733F" w:rsidRPr="00071B95">
              <w:rPr>
                <w:b/>
              </w:rPr>
              <w:t xml:space="preserve">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0D733F" w:rsidP="000D733F">
            <w:pPr>
              <w:pStyle w:val="TableTextColumnHeading"/>
              <w:rPr>
                <w:b/>
              </w:rPr>
            </w:pPr>
            <w:r w:rsidRPr="00071B95">
              <w:rPr>
                <w:b/>
              </w:rPr>
              <w:t xml:space="preserve">Date Evaluation report Uploaded into </w:t>
            </w:r>
            <w:r w:rsidR="00E325BC">
              <w:t>AidW</w:t>
            </w:r>
            <w:r w:rsidR="00E325BC" w:rsidRPr="00071B95">
              <w:rPr>
                <w:b/>
              </w:rPr>
              <w:t>orks</w:t>
            </w:r>
          </w:p>
        </w:tc>
        <w:tc>
          <w:tcPr>
            <w:tcW w:w="1743" w:type="dxa"/>
          </w:tcPr>
          <w:p w:rsidR="000D733F" w:rsidRPr="00071B95" w:rsidRDefault="000D733F" w:rsidP="000D733F">
            <w:pPr>
              <w:pStyle w:val="TableTextColumnHeading"/>
              <w:rPr>
                <w:b/>
              </w:rPr>
            </w:pPr>
            <w:r w:rsidRPr="00071B95">
              <w:rPr>
                <w:b/>
              </w:rPr>
              <w:t xml:space="preserve">Date Management response uploaded into </w:t>
            </w:r>
            <w:r w:rsidR="00E325BC" w:rsidRPr="00071B95">
              <w:rPr>
                <w:b/>
              </w:rPr>
              <w:t>AidWorks</w:t>
            </w:r>
          </w:p>
        </w:tc>
        <w:tc>
          <w:tcPr>
            <w:tcW w:w="1503" w:type="dxa"/>
          </w:tcPr>
          <w:p w:rsidR="000D733F" w:rsidRPr="00071B95" w:rsidRDefault="000D733F" w:rsidP="000D733F">
            <w:pPr>
              <w:pStyle w:val="TableTextColumnHeading"/>
              <w:rPr>
                <w:b/>
              </w:rPr>
            </w:pPr>
            <w:r w:rsidRPr="00071B95">
              <w:rPr>
                <w:b/>
              </w:rPr>
              <w:t>Published on website</w:t>
            </w:r>
          </w:p>
        </w:tc>
      </w:tr>
      <w:tr w:rsidR="003B243C" w:rsidTr="00923A19">
        <w:trPr>
          <w:cnfStyle w:val="100000000000" w:firstRow="1" w:lastRow="0" w:firstColumn="0" w:lastColumn="0" w:oddVBand="0" w:evenVBand="0" w:oddHBand="0" w:evenHBand="0" w:firstRowFirstColumn="0" w:firstRowLastColumn="0" w:lastRowFirstColumn="0" w:lastRowLastColumn="0"/>
        </w:trPr>
        <w:tc>
          <w:tcPr>
            <w:tcW w:w="1902" w:type="dxa"/>
            <w:hideMark/>
          </w:tcPr>
          <w:p w:rsidR="003B243C" w:rsidRPr="00923A19" w:rsidRDefault="003B243C">
            <w:pPr>
              <w:pStyle w:val="TableTextEntries"/>
              <w:rPr>
                <w:b w:val="0"/>
              </w:rPr>
            </w:pPr>
            <w:r w:rsidRPr="00923A19">
              <w:rPr>
                <w:b w:val="0"/>
              </w:rPr>
              <w:t>Improving Access to Maternal and Child Health Care</w:t>
            </w:r>
          </w:p>
        </w:tc>
        <w:tc>
          <w:tcPr>
            <w:tcW w:w="1933" w:type="dxa"/>
            <w:hideMark/>
          </w:tcPr>
          <w:p w:rsidR="003B243C" w:rsidRPr="00923A19" w:rsidRDefault="003B243C">
            <w:pPr>
              <w:pStyle w:val="TableTextEntries"/>
              <w:rPr>
                <w:b w:val="0"/>
              </w:rPr>
            </w:pPr>
            <w:r w:rsidRPr="00923A19">
              <w:rPr>
                <w:b w:val="0"/>
              </w:rPr>
              <w:t>INJ170</w:t>
            </w:r>
          </w:p>
        </w:tc>
        <w:tc>
          <w:tcPr>
            <w:tcW w:w="2031" w:type="dxa"/>
            <w:hideMark/>
          </w:tcPr>
          <w:p w:rsidR="003B243C" w:rsidRPr="00923A19" w:rsidRDefault="003B243C">
            <w:pPr>
              <w:pStyle w:val="TableTextEntries"/>
              <w:rPr>
                <w:b w:val="0"/>
              </w:rPr>
            </w:pPr>
            <w:r w:rsidRPr="00923A19">
              <w:rPr>
                <w:b w:val="0"/>
              </w:rPr>
              <w:t>Joint Lesson Learning</w:t>
            </w:r>
          </w:p>
        </w:tc>
        <w:tc>
          <w:tcPr>
            <w:tcW w:w="1939" w:type="dxa"/>
            <w:shd w:val="clear" w:color="auto" w:fill="auto"/>
          </w:tcPr>
          <w:p w:rsidR="003B243C" w:rsidRPr="00923A19" w:rsidRDefault="00923A19">
            <w:pPr>
              <w:pStyle w:val="TableTextEntries"/>
              <w:rPr>
                <w:b w:val="0"/>
              </w:rPr>
            </w:pPr>
            <w:r w:rsidRPr="00923A19">
              <w:rPr>
                <w:b w:val="0"/>
              </w:rPr>
              <w:t>March 2013</w:t>
            </w:r>
          </w:p>
        </w:tc>
        <w:tc>
          <w:tcPr>
            <w:tcW w:w="1921" w:type="dxa"/>
            <w:shd w:val="clear" w:color="auto" w:fill="auto"/>
          </w:tcPr>
          <w:p w:rsidR="003B243C" w:rsidRPr="00923A19" w:rsidRDefault="00923A19">
            <w:pPr>
              <w:pStyle w:val="TableTextEntries"/>
              <w:rPr>
                <w:b w:val="0"/>
              </w:rPr>
            </w:pPr>
            <w:r w:rsidRPr="00923A19">
              <w:rPr>
                <w:b w:val="0"/>
              </w:rPr>
              <w:t>19 July 2013</w:t>
            </w:r>
          </w:p>
        </w:tc>
        <w:tc>
          <w:tcPr>
            <w:tcW w:w="1743" w:type="dxa"/>
            <w:shd w:val="clear" w:color="auto" w:fill="auto"/>
          </w:tcPr>
          <w:p w:rsidR="003B243C" w:rsidRPr="00923A19" w:rsidRDefault="00923A19">
            <w:pPr>
              <w:pStyle w:val="TableTextEntries"/>
              <w:rPr>
                <w:b w:val="0"/>
              </w:rPr>
            </w:pPr>
            <w:r>
              <w:rPr>
                <w:b w:val="0"/>
              </w:rPr>
              <w:t>N/A</w:t>
            </w:r>
          </w:p>
        </w:tc>
        <w:tc>
          <w:tcPr>
            <w:tcW w:w="1503" w:type="dxa"/>
            <w:shd w:val="clear" w:color="auto" w:fill="auto"/>
            <w:hideMark/>
          </w:tcPr>
          <w:p w:rsidR="003B243C" w:rsidRDefault="00923A19">
            <w:pPr>
              <w:pStyle w:val="TableTextEntries"/>
            </w:pPr>
            <w:r>
              <w:rPr>
                <w:b w:val="0"/>
              </w:rPr>
              <w:t>March 2013</w:t>
            </w:r>
            <w:r w:rsidR="003B243C">
              <w:rPr>
                <w:b w:val="0"/>
              </w:rPr>
              <w:t xml:space="preserve"> </w:t>
            </w:r>
          </w:p>
        </w:tc>
      </w:tr>
      <w:tr w:rsidR="003B243C" w:rsidTr="00923A19">
        <w:trPr>
          <w:cnfStyle w:val="100000000000" w:firstRow="1" w:lastRow="0" w:firstColumn="0" w:lastColumn="0" w:oddVBand="0" w:evenVBand="0" w:oddHBand="0" w:evenHBand="0" w:firstRowFirstColumn="0" w:firstRowLastColumn="0" w:lastRowFirstColumn="0" w:lastRowLastColumn="0"/>
        </w:trPr>
        <w:tc>
          <w:tcPr>
            <w:tcW w:w="1902" w:type="dxa"/>
            <w:hideMark/>
          </w:tcPr>
          <w:p w:rsidR="003B243C" w:rsidRPr="00923A19" w:rsidRDefault="003B243C">
            <w:pPr>
              <w:pStyle w:val="TableTextEntries"/>
              <w:rPr>
                <w:b w:val="0"/>
              </w:rPr>
            </w:pPr>
            <w:r w:rsidRPr="00923A19">
              <w:rPr>
                <w:b w:val="0"/>
              </w:rPr>
              <w:t>Joint UN Maternal Newborn and Child Health Programme</w:t>
            </w:r>
          </w:p>
        </w:tc>
        <w:tc>
          <w:tcPr>
            <w:tcW w:w="1933" w:type="dxa"/>
            <w:hideMark/>
          </w:tcPr>
          <w:p w:rsidR="003B243C" w:rsidRPr="00923A19" w:rsidRDefault="003B243C">
            <w:pPr>
              <w:pStyle w:val="TableTextEntries"/>
              <w:rPr>
                <w:b w:val="0"/>
              </w:rPr>
            </w:pPr>
            <w:r w:rsidRPr="00923A19">
              <w:rPr>
                <w:b w:val="0"/>
              </w:rPr>
              <w:t>INK437</w:t>
            </w:r>
          </w:p>
        </w:tc>
        <w:tc>
          <w:tcPr>
            <w:tcW w:w="2031" w:type="dxa"/>
            <w:hideMark/>
          </w:tcPr>
          <w:p w:rsidR="003B243C" w:rsidRPr="00923A19" w:rsidRDefault="003B243C">
            <w:pPr>
              <w:pStyle w:val="TableTextEntries"/>
              <w:rPr>
                <w:b w:val="0"/>
              </w:rPr>
            </w:pPr>
            <w:r w:rsidRPr="00923A19">
              <w:rPr>
                <w:b w:val="0"/>
              </w:rPr>
              <w:t>Independent Joint Review</w:t>
            </w:r>
          </w:p>
        </w:tc>
        <w:tc>
          <w:tcPr>
            <w:tcW w:w="1939" w:type="dxa"/>
            <w:shd w:val="clear" w:color="auto" w:fill="auto"/>
          </w:tcPr>
          <w:p w:rsidR="003B243C" w:rsidRPr="00923A19" w:rsidRDefault="00923A19">
            <w:pPr>
              <w:pStyle w:val="TableTextEntries"/>
              <w:rPr>
                <w:b w:val="0"/>
              </w:rPr>
            </w:pPr>
            <w:r w:rsidRPr="00923A19">
              <w:rPr>
                <w:b w:val="0"/>
              </w:rPr>
              <w:t>January 2014</w:t>
            </w:r>
          </w:p>
        </w:tc>
        <w:tc>
          <w:tcPr>
            <w:tcW w:w="1921" w:type="dxa"/>
            <w:shd w:val="clear" w:color="auto" w:fill="auto"/>
          </w:tcPr>
          <w:p w:rsidR="003B243C" w:rsidRPr="00923A19" w:rsidRDefault="00923A19">
            <w:pPr>
              <w:pStyle w:val="TableTextEntries"/>
              <w:rPr>
                <w:b w:val="0"/>
              </w:rPr>
            </w:pPr>
            <w:r w:rsidRPr="00923A19">
              <w:rPr>
                <w:b w:val="0"/>
              </w:rPr>
              <w:t>1 August 2014</w:t>
            </w:r>
          </w:p>
        </w:tc>
        <w:tc>
          <w:tcPr>
            <w:tcW w:w="1743" w:type="dxa"/>
            <w:shd w:val="clear" w:color="auto" w:fill="auto"/>
          </w:tcPr>
          <w:p w:rsidR="003B243C" w:rsidRPr="00923A19" w:rsidRDefault="00923A19">
            <w:pPr>
              <w:pStyle w:val="TableTextEntries"/>
              <w:rPr>
                <w:b w:val="0"/>
              </w:rPr>
            </w:pPr>
            <w:r w:rsidRPr="00923A19">
              <w:rPr>
                <w:b w:val="0"/>
              </w:rPr>
              <w:t>N/A</w:t>
            </w:r>
          </w:p>
        </w:tc>
        <w:tc>
          <w:tcPr>
            <w:tcW w:w="1503" w:type="dxa"/>
            <w:shd w:val="clear" w:color="auto" w:fill="auto"/>
          </w:tcPr>
          <w:p w:rsidR="003B243C" w:rsidRPr="00923A19" w:rsidRDefault="00923A19">
            <w:pPr>
              <w:pStyle w:val="TableTextEntries"/>
              <w:rPr>
                <w:b w:val="0"/>
              </w:rPr>
            </w:pPr>
            <w:r w:rsidRPr="00923A19">
              <w:rPr>
                <w:b w:val="0"/>
              </w:rPr>
              <w:t>N/A</w:t>
            </w:r>
          </w:p>
        </w:tc>
      </w:tr>
      <w:tr w:rsidR="003B243C" w:rsidTr="003B243C">
        <w:trPr>
          <w:cnfStyle w:val="100000000000" w:firstRow="1" w:lastRow="0" w:firstColumn="0" w:lastColumn="0" w:oddVBand="0" w:evenVBand="0" w:oddHBand="0" w:evenHBand="0" w:firstRowFirstColumn="0" w:firstRowLastColumn="0" w:lastRowFirstColumn="0" w:lastRowLastColumn="0"/>
        </w:trPr>
        <w:tc>
          <w:tcPr>
            <w:tcW w:w="1902" w:type="dxa"/>
          </w:tcPr>
          <w:p w:rsidR="003B243C" w:rsidRPr="003B243C" w:rsidRDefault="003B243C">
            <w:pPr>
              <w:pStyle w:val="TableTextEntries"/>
              <w:rPr>
                <w:rFonts w:eastAsiaTheme="minorHAnsi" w:cstheme="minorBidi"/>
              </w:rPr>
            </w:pPr>
            <w:r>
              <w:rPr>
                <w:b w:val="0"/>
              </w:rPr>
              <w:t>UNICEF Child Protection Program</w:t>
            </w:r>
          </w:p>
        </w:tc>
        <w:tc>
          <w:tcPr>
            <w:tcW w:w="1933" w:type="dxa"/>
          </w:tcPr>
          <w:p w:rsidR="003B243C" w:rsidRDefault="003B243C">
            <w:pPr>
              <w:pStyle w:val="TableTextEntries"/>
            </w:pPr>
            <w:r>
              <w:rPr>
                <w:b w:val="0"/>
              </w:rPr>
              <w:t>INK588</w:t>
            </w:r>
          </w:p>
        </w:tc>
        <w:tc>
          <w:tcPr>
            <w:tcW w:w="2031" w:type="dxa"/>
          </w:tcPr>
          <w:p w:rsidR="003B243C" w:rsidRDefault="003B243C">
            <w:pPr>
              <w:pStyle w:val="TableTextEntries"/>
            </w:pPr>
            <w:r>
              <w:rPr>
                <w:b w:val="0"/>
              </w:rPr>
              <w:t>Mid-term review (UNICEF Internal)</w:t>
            </w:r>
          </w:p>
        </w:tc>
        <w:tc>
          <w:tcPr>
            <w:tcW w:w="1939" w:type="dxa"/>
          </w:tcPr>
          <w:p w:rsidR="003B243C" w:rsidRDefault="003B243C">
            <w:pPr>
              <w:pStyle w:val="TableTextEntries"/>
            </w:pPr>
            <w:r>
              <w:rPr>
                <w:b w:val="0"/>
              </w:rPr>
              <w:t>November 2014</w:t>
            </w:r>
          </w:p>
        </w:tc>
        <w:tc>
          <w:tcPr>
            <w:tcW w:w="1921" w:type="dxa"/>
          </w:tcPr>
          <w:p w:rsidR="003B243C" w:rsidRDefault="003B243C">
            <w:pPr>
              <w:pStyle w:val="TableTextEntries"/>
            </w:pPr>
            <w:r>
              <w:rPr>
                <w:b w:val="0"/>
              </w:rPr>
              <w:t>30 July 2014</w:t>
            </w:r>
          </w:p>
        </w:tc>
        <w:tc>
          <w:tcPr>
            <w:tcW w:w="1743" w:type="dxa"/>
          </w:tcPr>
          <w:p w:rsidR="003B243C" w:rsidRDefault="003B243C">
            <w:pPr>
              <w:pStyle w:val="TableTextEntries"/>
            </w:pPr>
            <w:r>
              <w:rPr>
                <w:b w:val="0"/>
              </w:rPr>
              <w:t>N/A</w:t>
            </w:r>
          </w:p>
        </w:tc>
        <w:tc>
          <w:tcPr>
            <w:tcW w:w="1503" w:type="dxa"/>
          </w:tcPr>
          <w:p w:rsidR="003B243C" w:rsidRDefault="003B243C">
            <w:pPr>
              <w:pStyle w:val="TableTextEntries"/>
            </w:pPr>
            <w:r>
              <w:rPr>
                <w:b w:val="0"/>
              </w:rPr>
              <w:t>N/A</w:t>
            </w:r>
          </w:p>
        </w:tc>
      </w:tr>
    </w:tbl>
    <w:p w:rsidR="000D733F" w:rsidRPr="00071B95" w:rsidRDefault="000D733F" w:rsidP="000D733F">
      <w:pPr>
        <w:rPr>
          <w:b/>
        </w:rPr>
      </w:pPr>
    </w:p>
    <w:p w:rsidR="000D733F" w:rsidRPr="00071B95" w:rsidRDefault="000D733F" w:rsidP="000D733F">
      <w:pPr>
        <w:pStyle w:val="Caption"/>
      </w:pPr>
      <w:r w:rsidRPr="00071B95">
        <w:t xml:space="preserve">List of evaluations planned in the next 12 months </w:t>
      </w:r>
    </w:p>
    <w:p w:rsidR="000D733F" w:rsidRDefault="000D733F" w:rsidP="000D733F">
      <w:pPr>
        <w:pStyle w:val="TableTextColumnHeading"/>
        <w:sectPr w:rsidR="000D733F" w:rsidSect="00724F90">
          <w:headerReference w:type="even" r:id="rId18"/>
          <w:footerReference w:type="first" r:id="rId19"/>
          <w:pgSz w:w="16838" w:h="11906" w:orient="landscape" w:code="9"/>
          <w:pgMar w:top="1134" w:right="1814" w:bottom="568"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0D733F">
            <w:pPr>
              <w:pStyle w:val="TableTextColumnHeading"/>
            </w:pPr>
            <w:r w:rsidRPr="00071B95">
              <w:lastRenderedPageBreak/>
              <w:t xml:space="preserve">Name of </w:t>
            </w:r>
            <w:r w:rsidR="00501CD2">
              <w:t>Investment</w:t>
            </w:r>
          </w:p>
        </w:tc>
        <w:tc>
          <w:tcPr>
            <w:tcW w:w="2530" w:type="dxa"/>
          </w:tcPr>
          <w:p w:rsidR="000D733F" w:rsidRPr="00071B95" w:rsidRDefault="00E325BC" w:rsidP="000D733F">
            <w:pPr>
              <w:pStyle w:val="TableTextColumnHeading"/>
            </w:pPr>
            <w:r w:rsidRPr="00071B95">
              <w:t>AidWorks</w:t>
            </w:r>
            <w:r w:rsidR="000D733F" w:rsidRPr="00071B95">
              <w:t xml:space="preserve"> number</w:t>
            </w:r>
          </w:p>
        </w:tc>
        <w:tc>
          <w:tcPr>
            <w:tcW w:w="2612" w:type="dxa"/>
          </w:tcPr>
          <w:p w:rsidR="000D733F" w:rsidRPr="00071B95" w:rsidRDefault="000D733F" w:rsidP="000D733F">
            <w:pPr>
              <w:pStyle w:val="TableTextColumnHeading"/>
            </w:pPr>
            <w:r w:rsidRPr="00071B95">
              <w:t>Type of evaluation</w:t>
            </w:r>
          </w:p>
        </w:tc>
        <w:tc>
          <w:tcPr>
            <w:tcW w:w="2612" w:type="dxa"/>
          </w:tcPr>
          <w:p w:rsidR="000D733F" w:rsidRPr="00071B95" w:rsidRDefault="000D733F" w:rsidP="000D733F">
            <w:pPr>
              <w:pStyle w:val="TableTextColumnHeading"/>
            </w:pPr>
            <w:r w:rsidRPr="00071B95">
              <w:t>Purpose of evaluation</w:t>
            </w:r>
          </w:p>
        </w:tc>
        <w:tc>
          <w:tcPr>
            <w:tcW w:w="2617" w:type="dxa"/>
          </w:tcPr>
          <w:p w:rsidR="000D733F" w:rsidRPr="00071B95" w:rsidRDefault="000D733F" w:rsidP="000D733F">
            <w:pPr>
              <w:pStyle w:val="TableTextColumnHeading"/>
            </w:pPr>
            <w:r w:rsidRPr="00071B95">
              <w:t>Expected completion date</w:t>
            </w:r>
          </w:p>
        </w:tc>
      </w:tr>
      <w:tr w:rsidR="003B243C" w:rsidTr="003B243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712"/>
        </w:trPr>
        <w:tc>
          <w:tcPr>
            <w:tcW w:w="2601" w:type="dxa"/>
          </w:tcPr>
          <w:p w:rsidR="003B243C" w:rsidRPr="003B243C" w:rsidRDefault="003B243C">
            <w:pPr>
              <w:pStyle w:val="TableTextEntries"/>
              <w:rPr>
                <w:rFonts w:eastAsiaTheme="minorHAnsi" w:cstheme="minorBidi"/>
                <w:b w:val="0"/>
              </w:rPr>
            </w:pPr>
            <w:r w:rsidRPr="003B243C">
              <w:rPr>
                <w:b w:val="0"/>
              </w:rPr>
              <w:t>Burma Basic Education</w:t>
            </w:r>
          </w:p>
        </w:tc>
        <w:tc>
          <w:tcPr>
            <w:tcW w:w="2530" w:type="dxa"/>
          </w:tcPr>
          <w:p w:rsidR="003B243C" w:rsidRPr="003B243C" w:rsidRDefault="003B243C">
            <w:pPr>
              <w:pStyle w:val="TableTextEntries"/>
              <w:rPr>
                <w:rFonts w:eastAsiaTheme="minorHAnsi" w:cstheme="minorBidi"/>
                <w:b w:val="0"/>
              </w:rPr>
            </w:pPr>
            <w:r w:rsidRPr="003B243C">
              <w:rPr>
                <w:b w:val="0"/>
              </w:rPr>
              <w:t>INK545</w:t>
            </w:r>
          </w:p>
        </w:tc>
        <w:tc>
          <w:tcPr>
            <w:tcW w:w="2612" w:type="dxa"/>
          </w:tcPr>
          <w:p w:rsidR="003B243C" w:rsidRPr="003B243C" w:rsidRDefault="003B243C">
            <w:pPr>
              <w:pStyle w:val="TableTextEntries"/>
              <w:rPr>
                <w:rFonts w:eastAsiaTheme="minorHAnsi" w:cstheme="minorBidi"/>
                <w:b w:val="0"/>
              </w:rPr>
            </w:pPr>
            <w:r w:rsidRPr="003B243C">
              <w:rPr>
                <w:b w:val="0"/>
              </w:rPr>
              <w:t>Mid-Term Review – Myanmar Education Consortium</w:t>
            </w:r>
          </w:p>
        </w:tc>
        <w:tc>
          <w:tcPr>
            <w:tcW w:w="2612" w:type="dxa"/>
          </w:tcPr>
          <w:p w:rsidR="003B243C" w:rsidRPr="003B243C" w:rsidRDefault="003B243C">
            <w:pPr>
              <w:pStyle w:val="TableTextEntries"/>
              <w:rPr>
                <w:rFonts w:eastAsiaTheme="minorHAnsi" w:cstheme="minorBidi"/>
                <w:b w:val="0"/>
              </w:rPr>
            </w:pPr>
            <w:r w:rsidRPr="003B243C">
              <w:rPr>
                <w:b w:val="0"/>
              </w:rPr>
              <w:t>To improve existing program and inform future phase of program</w:t>
            </w:r>
          </w:p>
        </w:tc>
        <w:tc>
          <w:tcPr>
            <w:tcW w:w="2617" w:type="dxa"/>
          </w:tcPr>
          <w:p w:rsidR="003B243C" w:rsidRPr="003B243C" w:rsidRDefault="003B243C">
            <w:pPr>
              <w:pStyle w:val="TableTextEntries"/>
              <w:rPr>
                <w:rFonts w:eastAsiaTheme="minorHAnsi" w:cstheme="minorBidi"/>
                <w:b w:val="0"/>
              </w:rPr>
            </w:pPr>
            <w:r w:rsidRPr="003B243C">
              <w:rPr>
                <w:b w:val="0"/>
              </w:rPr>
              <w:t>31 January 2015</w:t>
            </w:r>
          </w:p>
        </w:tc>
      </w:tr>
      <w:tr w:rsidR="009F5593" w:rsidRPr="00071B95" w:rsidTr="000D733F">
        <w:tc>
          <w:tcPr>
            <w:tcW w:w="2601" w:type="dxa"/>
          </w:tcPr>
          <w:p w:rsidR="009F5593" w:rsidRPr="009F5593" w:rsidRDefault="009F5593" w:rsidP="009F5593">
            <w:pPr>
              <w:pStyle w:val="TableTextEntries"/>
              <w:tabs>
                <w:tab w:val="right" w:pos="2385"/>
              </w:tabs>
              <w:rPr>
                <w:rFonts w:eastAsiaTheme="minorHAnsi" w:cstheme="minorBidi"/>
              </w:rPr>
            </w:pPr>
            <w:r w:rsidRPr="009F5593">
              <w:t>Burma Basic Education</w:t>
            </w:r>
          </w:p>
        </w:tc>
        <w:tc>
          <w:tcPr>
            <w:tcW w:w="2530" w:type="dxa"/>
          </w:tcPr>
          <w:p w:rsidR="009F5593" w:rsidRPr="009F5593" w:rsidRDefault="009F5593" w:rsidP="00B328CA">
            <w:pPr>
              <w:pStyle w:val="TableTextEntries"/>
              <w:rPr>
                <w:rFonts w:eastAsiaTheme="minorHAnsi" w:cstheme="minorBidi"/>
              </w:rPr>
            </w:pPr>
            <w:r w:rsidRPr="009F5593">
              <w:t>INK545</w:t>
            </w:r>
          </w:p>
        </w:tc>
        <w:tc>
          <w:tcPr>
            <w:tcW w:w="2612" w:type="dxa"/>
          </w:tcPr>
          <w:p w:rsidR="009F5593" w:rsidRPr="009F5593" w:rsidRDefault="009F5593" w:rsidP="009F5593">
            <w:pPr>
              <w:pStyle w:val="TableTextEntries"/>
              <w:rPr>
                <w:rFonts w:eastAsiaTheme="minorHAnsi" w:cstheme="minorBidi"/>
              </w:rPr>
            </w:pPr>
            <w:r w:rsidRPr="009F5593">
              <w:t xml:space="preserve">Mid-Term Review – </w:t>
            </w:r>
            <w:r>
              <w:t>Quality Basic Education Program</w:t>
            </w:r>
          </w:p>
        </w:tc>
        <w:tc>
          <w:tcPr>
            <w:tcW w:w="2612" w:type="dxa"/>
          </w:tcPr>
          <w:p w:rsidR="009F5593" w:rsidRPr="009F5593" w:rsidRDefault="009F5593" w:rsidP="00B328CA">
            <w:pPr>
              <w:pStyle w:val="TableTextEntries"/>
              <w:rPr>
                <w:rFonts w:eastAsiaTheme="minorHAnsi" w:cstheme="minorBidi"/>
              </w:rPr>
            </w:pPr>
            <w:r w:rsidRPr="009F5593">
              <w:t>To improve existing program and inform future phase of program</w:t>
            </w:r>
          </w:p>
        </w:tc>
        <w:tc>
          <w:tcPr>
            <w:tcW w:w="2617" w:type="dxa"/>
          </w:tcPr>
          <w:p w:rsidR="009F5593" w:rsidRPr="009F5593" w:rsidRDefault="009F5593" w:rsidP="009F5593">
            <w:pPr>
              <w:pStyle w:val="TableTextEntries"/>
              <w:rPr>
                <w:rFonts w:eastAsiaTheme="minorHAnsi" w:cstheme="minorBidi"/>
              </w:rPr>
            </w:pPr>
            <w:r>
              <w:t>30</w:t>
            </w:r>
            <w:r w:rsidRPr="009F5593">
              <w:t xml:space="preserve"> </w:t>
            </w:r>
            <w:r>
              <w:t>November</w:t>
            </w:r>
            <w:r w:rsidRPr="009F5593">
              <w:t xml:space="preserve"> 201</w:t>
            </w:r>
            <w:r>
              <w:t>4</w:t>
            </w:r>
          </w:p>
        </w:tc>
      </w:tr>
      <w:tr w:rsidR="009F5593" w:rsidRPr="00071B95" w:rsidTr="000D733F">
        <w:tc>
          <w:tcPr>
            <w:tcW w:w="2601" w:type="dxa"/>
          </w:tcPr>
          <w:p w:rsidR="009F5593" w:rsidRPr="00071B95" w:rsidRDefault="009F5593" w:rsidP="000D733F">
            <w:pPr>
              <w:pStyle w:val="TableTextEntries"/>
            </w:pPr>
            <w:r>
              <w:t>Support to Democratic Governance in Myanmar</w:t>
            </w:r>
          </w:p>
        </w:tc>
        <w:tc>
          <w:tcPr>
            <w:tcW w:w="2530" w:type="dxa"/>
          </w:tcPr>
          <w:p w:rsidR="009F5593" w:rsidRPr="00071B95" w:rsidRDefault="009F5593" w:rsidP="000D733F">
            <w:pPr>
              <w:pStyle w:val="TableTextEntries"/>
            </w:pPr>
            <w:r>
              <w:t>67364</w:t>
            </w:r>
          </w:p>
        </w:tc>
        <w:tc>
          <w:tcPr>
            <w:tcW w:w="2612" w:type="dxa"/>
          </w:tcPr>
          <w:p w:rsidR="009F5593" w:rsidRPr="00071B95" w:rsidRDefault="009F5593" w:rsidP="000D733F">
            <w:pPr>
              <w:pStyle w:val="TableTextEntries"/>
            </w:pPr>
            <w:r>
              <w:t>Mid-Term Evaluation</w:t>
            </w:r>
          </w:p>
        </w:tc>
        <w:tc>
          <w:tcPr>
            <w:tcW w:w="2612" w:type="dxa"/>
          </w:tcPr>
          <w:p w:rsidR="009F5593" w:rsidRPr="00071B95" w:rsidRDefault="009F5593" w:rsidP="000D733F">
            <w:pPr>
              <w:pStyle w:val="TableTextEntries"/>
            </w:pPr>
            <w:r>
              <w:t>To improve existing program</w:t>
            </w:r>
          </w:p>
        </w:tc>
        <w:tc>
          <w:tcPr>
            <w:tcW w:w="2617" w:type="dxa"/>
          </w:tcPr>
          <w:p w:rsidR="009F5593" w:rsidRPr="00071B95" w:rsidRDefault="009F5593" w:rsidP="000D733F">
            <w:pPr>
              <w:pStyle w:val="TableTextEntries"/>
            </w:pPr>
            <w:r>
              <w:t>31 August 2015</w:t>
            </w:r>
          </w:p>
        </w:tc>
      </w:tr>
      <w:tr w:rsidR="000A6DF7" w:rsidRPr="00071B95" w:rsidTr="000D733F">
        <w:tc>
          <w:tcPr>
            <w:tcW w:w="2601" w:type="dxa"/>
          </w:tcPr>
          <w:p w:rsidR="000A6DF7" w:rsidRDefault="000A6DF7" w:rsidP="000D733F">
            <w:pPr>
              <w:pStyle w:val="TableTextEntries"/>
            </w:pPr>
            <w:r>
              <w:t>Myanmar-Australia Partnership for Reform</w:t>
            </w:r>
          </w:p>
        </w:tc>
        <w:tc>
          <w:tcPr>
            <w:tcW w:w="2530" w:type="dxa"/>
          </w:tcPr>
          <w:p w:rsidR="000A6DF7" w:rsidRDefault="000A6DF7" w:rsidP="000D733F">
            <w:pPr>
              <w:pStyle w:val="TableTextEntries"/>
            </w:pPr>
            <w:r>
              <w:t>INL035</w:t>
            </w:r>
          </w:p>
        </w:tc>
        <w:tc>
          <w:tcPr>
            <w:tcW w:w="2612" w:type="dxa"/>
          </w:tcPr>
          <w:p w:rsidR="000A6DF7" w:rsidRDefault="00245BB0" w:rsidP="000D733F">
            <w:pPr>
              <w:pStyle w:val="TableTextEntries"/>
            </w:pPr>
            <w:r>
              <w:t>Program Review</w:t>
            </w:r>
          </w:p>
        </w:tc>
        <w:tc>
          <w:tcPr>
            <w:tcW w:w="2612" w:type="dxa"/>
          </w:tcPr>
          <w:p w:rsidR="000A6DF7" w:rsidRDefault="00245BB0" w:rsidP="000D733F">
            <w:pPr>
              <w:pStyle w:val="TableTextEntries"/>
            </w:pPr>
            <w:r>
              <w:t>To inform future phase of program</w:t>
            </w:r>
          </w:p>
        </w:tc>
        <w:tc>
          <w:tcPr>
            <w:tcW w:w="2617" w:type="dxa"/>
          </w:tcPr>
          <w:p w:rsidR="000A6DF7" w:rsidRDefault="00245BB0" w:rsidP="000D733F">
            <w:pPr>
              <w:pStyle w:val="TableTextEntries"/>
            </w:pPr>
            <w:r>
              <w:t>December 2014</w:t>
            </w:r>
          </w:p>
        </w:tc>
      </w:tr>
    </w:tbl>
    <w:p w:rsidR="000D733F" w:rsidRDefault="000D733F" w:rsidP="000D733F">
      <w:pPr>
        <w:rPr>
          <w:b/>
        </w:rPr>
        <w:sectPr w:rsidR="000D733F"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Default="000D733F" w:rsidP="003B17E8">
      <w:pPr>
        <w:pStyle w:val="Heading2"/>
        <w:spacing w:before="0"/>
        <w:rPr>
          <w:sz w:val="28"/>
        </w:rPr>
      </w:pPr>
      <w:r w:rsidRPr="009E38C1">
        <w:rPr>
          <w:sz w:val="28"/>
        </w:rPr>
        <w:lastRenderedPageBreak/>
        <w:t>Annex D</w:t>
      </w:r>
      <w:r w:rsidR="00CE2942">
        <w:rPr>
          <w:sz w:val="28"/>
        </w:rPr>
        <w:t xml:space="preserve"> - </w:t>
      </w:r>
      <w:r w:rsidRPr="009E38C1">
        <w:rPr>
          <w:sz w:val="28"/>
        </w:rPr>
        <w:t>Performance Benchmarks 2014-15</w:t>
      </w:r>
    </w:p>
    <w:tbl>
      <w:tblPr>
        <w:tblStyle w:val="DFATTable"/>
        <w:tblW w:w="4838" w:type="pct"/>
        <w:tblLook w:val="04A0" w:firstRow="1" w:lastRow="0" w:firstColumn="1" w:lastColumn="0" w:noHBand="0" w:noVBand="1"/>
      </w:tblPr>
      <w:tblGrid>
        <w:gridCol w:w="520"/>
        <w:gridCol w:w="3334"/>
        <w:gridCol w:w="3608"/>
        <w:gridCol w:w="5969"/>
      </w:tblGrid>
      <w:tr w:rsidR="009E2A18" w:rsidTr="004573F3">
        <w:trPr>
          <w:trHeight w:val="453"/>
          <w:tblHeader/>
        </w:trPr>
        <w:tc>
          <w:tcPr>
            <w:tcW w:w="1435" w:type="pct"/>
            <w:gridSpan w:val="2"/>
            <w:tcBorders>
              <w:top w:val="single" w:sz="12" w:space="0" w:color="auto"/>
              <w:left w:val="nil"/>
              <w:bottom w:val="nil"/>
              <w:right w:val="nil"/>
            </w:tcBorders>
            <w:hideMark/>
          </w:tcPr>
          <w:p w:rsidR="009E2A18" w:rsidRDefault="009E2A18" w:rsidP="004573F3">
            <w:pPr>
              <w:pStyle w:val="TableHeading1"/>
              <w:rPr>
                <w:lang w:eastAsia="en-AU"/>
              </w:rPr>
            </w:pPr>
            <w:r>
              <w:rPr>
                <w:lang w:eastAsia="en-AU"/>
              </w:rPr>
              <w:t>Aid objective</w:t>
            </w:r>
          </w:p>
        </w:tc>
        <w:tc>
          <w:tcPr>
            <w:tcW w:w="1343" w:type="pct"/>
            <w:tcBorders>
              <w:top w:val="single" w:sz="12" w:space="0" w:color="auto"/>
              <w:left w:val="nil"/>
              <w:bottom w:val="nil"/>
              <w:right w:val="nil"/>
            </w:tcBorders>
            <w:hideMark/>
          </w:tcPr>
          <w:p w:rsidR="009E2A18" w:rsidRDefault="009E2A18" w:rsidP="004573F3">
            <w:pPr>
              <w:pStyle w:val="TableHeading1"/>
              <w:rPr>
                <w:lang w:eastAsia="en-AU"/>
              </w:rPr>
            </w:pPr>
            <w:r>
              <w:rPr>
                <w:lang w:eastAsia="en-AU"/>
              </w:rPr>
              <w:t xml:space="preserve">2014-15 benchmark </w:t>
            </w:r>
          </w:p>
        </w:tc>
        <w:tc>
          <w:tcPr>
            <w:tcW w:w="2222" w:type="pct"/>
            <w:tcBorders>
              <w:top w:val="single" w:sz="12" w:space="0" w:color="auto"/>
              <w:left w:val="nil"/>
              <w:bottom w:val="nil"/>
              <w:right w:val="nil"/>
            </w:tcBorders>
            <w:hideMark/>
          </w:tcPr>
          <w:p w:rsidR="009E2A18" w:rsidRDefault="009E2A18" w:rsidP="004573F3">
            <w:pPr>
              <w:pStyle w:val="TableHeading1"/>
              <w:rPr>
                <w:lang w:eastAsia="en-AU"/>
              </w:rPr>
            </w:pPr>
            <w:r>
              <w:rPr>
                <w:lang w:eastAsia="en-AU"/>
              </w:rPr>
              <w:t>Rationale for selecting this performance benchmark</w:t>
            </w:r>
          </w:p>
        </w:tc>
      </w:tr>
      <w:tr w:rsidR="009E2A18" w:rsidTr="004573F3">
        <w:tc>
          <w:tcPr>
            <w:tcW w:w="2778" w:type="pct"/>
            <w:gridSpan w:val="3"/>
            <w:tcBorders>
              <w:top w:val="nil"/>
              <w:left w:val="nil"/>
              <w:bottom w:val="nil"/>
              <w:right w:val="nil"/>
            </w:tcBorders>
            <w:hideMark/>
          </w:tcPr>
          <w:p w:rsidR="009E2A18" w:rsidRDefault="00485E69" w:rsidP="004573F3">
            <w:pPr>
              <w:pStyle w:val="TableTextEntries"/>
              <w:rPr>
                <w:lang w:eastAsia="en-AU"/>
              </w:rPr>
            </w:pPr>
            <w:r>
              <w:rPr>
                <w:b/>
                <w:lang w:eastAsia="en-AU"/>
              </w:rPr>
              <w:t>Objective 1</w:t>
            </w:r>
            <w:r w:rsidR="009E2A18">
              <w:rPr>
                <w:b/>
                <w:lang w:eastAsia="en-AU"/>
              </w:rPr>
              <w:t xml:space="preserve"> Performance Benchmarks: Improving Basic Services</w:t>
            </w:r>
          </w:p>
        </w:tc>
        <w:tc>
          <w:tcPr>
            <w:tcW w:w="2222" w:type="pct"/>
            <w:tcBorders>
              <w:top w:val="nil"/>
              <w:left w:val="nil"/>
              <w:bottom w:val="nil"/>
              <w:right w:val="nil"/>
            </w:tcBorders>
          </w:tcPr>
          <w:p w:rsidR="009E2A18" w:rsidRDefault="009E2A18" w:rsidP="004573F3">
            <w:pPr>
              <w:pStyle w:val="TableTextEntries"/>
              <w:rPr>
                <w:lang w:eastAsia="en-AU"/>
              </w:rPr>
            </w:pPr>
          </w:p>
        </w:tc>
      </w:tr>
      <w:tr w:rsidR="009E2A18" w:rsidRPr="001941C4" w:rsidTr="004573F3">
        <w:trPr>
          <w:trHeight w:val="365"/>
        </w:trPr>
        <w:tc>
          <w:tcPr>
            <w:tcW w:w="194" w:type="pct"/>
            <w:tcBorders>
              <w:top w:val="nil"/>
              <w:left w:val="nil"/>
              <w:bottom w:val="nil"/>
              <w:right w:val="nil"/>
            </w:tcBorders>
            <w:hideMark/>
          </w:tcPr>
          <w:p w:rsidR="009E2A18" w:rsidRPr="005D72A8" w:rsidRDefault="00485E69" w:rsidP="004573F3">
            <w:pPr>
              <w:pStyle w:val="TableTextEntries"/>
              <w:rPr>
                <w:lang w:eastAsia="en-AU"/>
              </w:rPr>
            </w:pPr>
            <w:r w:rsidRPr="005D72A8">
              <w:rPr>
                <w:lang w:eastAsia="en-AU"/>
              </w:rPr>
              <w:t>1</w:t>
            </w:r>
            <w:r w:rsidR="009E2A18" w:rsidRPr="005D72A8">
              <w:rPr>
                <w:lang w:eastAsia="en-AU"/>
              </w:rPr>
              <w:t>.1</w:t>
            </w:r>
          </w:p>
        </w:tc>
        <w:tc>
          <w:tcPr>
            <w:tcW w:w="1241" w:type="pct"/>
            <w:tcBorders>
              <w:top w:val="nil"/>
              <w:left w:val="nil"/>
              <w:bottom w:val="nil"/>
              <w:right w:val="nil"/>
            </w:tcBorders>
            <w:tcMar>
              <w:top w:w="57" w:type="dxa"/>
              <w:left w:w="108" w:type="dxa"/>
              <w:bottom w:w="57" w:type="dxa"/>
              <w:right w:w="108" w:type="dxa"/>
            </w:tcMar>
            <w:hideMark/>
          </w:tcPr>
          <w:p w:rsidR="009E2A18" w:rsidRPr="005D72A8" w:rsidRDefault="009E2A18" w:rsidP="004573F3">
            <w:pPr>
              <w:pStyle w:val="TableTextEntries"/>
              <w:rPr>
                <w:lang w:eastAsia="en-AU"/>
              </w:rPr>
            </w:pPr>
            <w:r w:rsidRPr="005D72A8">
              <w:rPr>
                <w:lang w:eastAsia="en-AU"/>
              </w:rPr>
              <w:t>Improve quality of teaching and learning practices</w:t>
            </w:r>
          </w:p>
        </w:tc>
        <w:tc>
          <w:tcPr>
            <w:tcW w:w="1343" w:type="pct"/>
            <w:tcBorders>
              <w:top w:val="nil"/>
              <w:left w:val="nil"/>
              <w:bottom w:val="nil"/>
              <w:right w:val="nil"/>
            </w:tcBorders>
            <w:hideMark/>
          </w:tcPr>
          <w:p w:rsidR="009E2A18" w:rsidRPr="005D72A8" w:rsidRDefault="005D72A8" w:rsidP="00F65ECC">
            <w:pPr>
              <w:pStyle w:val="TableTextEntries"/>
              <w:rPr>
                <w:lang w:eastAsia="en-AU"/>
              </w:rPr>
            </w:pPr>
            <w:r w:rsidRPr="005D72A8">
              <w:rPr>
                <w:lang w:eastAsia="en-AU"/>
              </w:rPr>
              <w:t>Sustained gains in primary enrolment and completion</w:t>
            </w:r>
            <w:r w:rsidR="00F65ECC">
              <w:rPr>
                <w:lang w:eastAsia="en-AU"/>
              </w:rPr>
              <w:t xml:space="preserve"> and </w:t>
            </w:r>
            <w:r w:rsidRPr="005D72A8">
              <w:rPr>
                <w:lang w:eastAsia="en-AU"/>
              </w:rPr>
              <w:t>transition rates to middle school</w:t>
            </w:r>
            <w:r w:rsidR="00F65ECC">
              <w:rPr>
                <w:lang w:eastAsia="en-AU"/>
              </w:rPr>
              <w:t xml:space="preserve"> (as defined in the Burma Education Strategy)</w:t>
            </w:r>
            <w:r w:rsidRPr="005D72A8">
              <w:rPr>
                <w:lang w:eastAsia="en-AU"/>
              </w:rPr>
              <w:t xml:space="preserve">. </w:t>
            </w:r>
          </w:p>
        </w:tc>
        <w:tc>
          <w:tcPr>
            <w:tcW w:w="2222" w:type="pct"/>
            <w:tcBorders>
              <w:top w:val="nil"/>
              <w:left w:val="nil"/>
              <w:bottom w:val="nil"/>
              <w:right w:val="nil"/>
            </w:tcBorders>
          </w:tcPr>
          <w:p w:rsidR="009E2A18" w:rsidRPr="005D72A8" w:rsidRDefault="009E2A18" w:rsidP="004573F3">
            <w:pPr>
              <w:pStyle w:val="TableTextEntries"/>
              <w:rPr>
                <w:lang w:eastAsia="en-AU"/>
              </w:rPr>
            </w:pPr>
            <w:r w:rsidRPr="005D72A8">
              <w:rPr>
                <w:lang w:eastAsia="en-AU"/>
              </w:rPr>
              <w:t>Australia’s support to the education sector in 2013-14 accounted for over 30 percent of Australia’s ODA to Burma, most of which targeted basic education. The Myanmar Government has identified education as a key area for reform.</w:t>
            </w:r>
          </w:p>
        </w:tc>
      </w:tr>
      <w:tr w:rsidR="009E2A18" w:rsidTr="004573F3">
        <w:trPr>
          <w:trHeight w:val="433"/>
        </w:trPr>
        <w:tc>
          <w:tcPr>
            <w:tcW w:w="194" w:type="pct"/>
            <w:tcBorders>
              <w:top w:val="nil"/>
              <w:left w:val="nil"/>
              <w:bottom w:val="nil"/>
              <w:right w:val="nil"/>
            </w:tcBorders>
            <w:hideMark/>
          </w:tcPr>
          <w:p w:rsidR="009E2A18" w:rsidRPr="00072ECC" w:rsidRDefault="00485E69" w:rsidP="004573F3">
            <w:pPr>
              <w:pStyle w:val="TableTextEntries"/>
              <w:rPr>
                <w:lang w:eastAsia="en-AU"/>
              </w:rPr>
            </w:pPr>
            <w:r w:rsidRPr="00072ECC">
              <w:rPr>
                <w:lang w:eastAsia="en-AU"/>
              </w:rPr>
              <w:t>1</w:t>
            </w:r>
            <w:r w:rsidR="009E2A18" w:rsidRPr="00072ECC">
              <w:rPr>
                <w:lang w:eastAsia="en-AU"/>
              </w:rPr>
              <w:t>.2</w:t>
            </w:r>
          </w:p>
        </w:tc>
        <w:tc>
          <w:tcPr>
            <w:tcW w:w="1241" w:type="pct"/>
            <w:tcBorders>
              <w:top w:val="nil"/>
              <w:left w:val="nil"/>
              <w:bottom w:val="nil"/>
              <w:right w:val="nil"/>
            </w:tcBorders>
            <w:tcMar>
              <w:top w:w="57" w:type="dxa"/>
              <w:left w:w="108" w:type="dxa"/>
              <w:bottom w:w="57" w:type="dxa"/>
              <w:right w:w="108" w:type="dxa"/>
            </w:tcMar>
            <w:hideMark/>
          </w:tcPr>
          <w:p w:rsidR="009E2A18" w:rsidRPr="00072ECC" w:rsidRDefault="009E2A18" w:rsidP="004573F3">
            <w:pPr>
              <w:pStyle w:val="TableTextEntries"/>
              <w:rPr>
                <w:lang w:eastAsia="en-AU"/>
              </w:rPr>
            </w:pPr>
            <w:r w:rsidRPr="00072ECC">
              <w:rPr>
                <w:lang w:eastAsia="en-AU"/>
              </w:rPr>
              <w:t>Improve child and maternal health outcomes</w:t>
            </w:r>
          </w:p>
        </w:tc>
        <w:tc>
          <w:tcPr>
            <w:tcW w:w="1343" w:type="pct"/>
            <w:tcBorders>
              <w:top w:val="nil"/>
              <w:left w:val="nil"/>
              <w:bottom w:val="nil"/>
              <w:right w:val="nil"/>
            </w:tcBorders>
            <w:hideMark/>
          </w:tcPr>
          <w:p w:rsidR="009E2A18" w:rsidRPr="00A176D9" w:rsidRDefault="003D729E" w:rsidP="001D2BAC">
            <w:r w:rsidRPr="001D2BAC">
              <w:rPr>
                <w:rFonts w:ascii="Franklin Gothic Book" w:eastAsia="Times New Roman" w:hAnsi="Franklin Gothic Book"/>
                <w:iCs/>
                <w:sz w:val="17"/>
                <w:szCs w:val="17"/>
              </w:rPr>
              <w:t>25,000 children under one year old immunised and 2,500 life-saving referrals for pregnant women who need emergency obstetric care</w:t>
            </w:r>
            <w:r w:rsidR="00087ABB">
              <w:rPr>
                <w:rFonts w:ascii="Franklin Gothic Book" w:eastAsia="Times New Roman" w:hAnsi="Franklin Gothic Book"/>
                <w:iCs/>
                <w:sz w:val="17"/>
                <w:szCs w:val="17"/>
              </w:rPr>
              <w:t>.</w:t>
            </w:r>
          </w:p>
        </w:tc>
        <w:tc>
          <w:tcPr>
            <w:tcW w:w="2222" w:type="pct"/>
            <w:tcBorders>
              <w:top w:val="nil"/>
              <w:left w:val="nil"/>
              <w:bottom w:val="nil"/>
              <w:right w:val="nil"/>
            </w:tcBorders>
          </w:tcPr>
          <w:p w:rsidR="009E2A18" w:rsidRPr="00072ECC" w:rsidRDefault="009E2A18" w:rsidP="004573F3">
            <w:pPr>
              <w:pStyle w:val="TableTextEntries"/>
              <w:rPr>
                <w:lang w:eastAsia="en-AU"/>
              </w:rPr>
            </w:pPr>
            <w:r w:rsidRPr="00072ECC">
              <w:rPr>
                <w:lang w:eastAsia="en-AU"/>
              </w:rPr>
              <w:t>Australia’s support to the health sector in 2013-14 accounted for 14 percent of Australia’s ODA to Burma, predominantly focussing on maternal and child health.</w:t>
            </w:r>
          </w:p>
        </w:tc>
      </w:tr>
      <w:tr w:rsidR="00485E69" w:rsidTr="004313B8">
        <w:tc>
          <w:tcPr>
            <w:tcW w:w="2778" w:type="pct"/>
            <w:gridSpan w:val="3"/>
            <w:tcBorders>
              <w:top w:val="nil"/>
              <w:left w:val="nil"/>
              <w:bottom w:val="nil"/>
              <w:right w:val="nil"/>
            </w:tcBorders>
            <w:hideMark/>
          </w:tcPr>
          <w:p w:rsidR="00485E69" w:rsidRDefault="00485E69" w:rsidP="004313B8">
            <w:pPr>
              <w:pStyle w:val="TableTextEntries"/>
              <w:rPr>
                <w:lang w:eastAsia="en-AU"/>
              </w:rPr>
            </w:pPr>
            <w:r>
              <w:rPr>
                <w:b/>
                <w:lang w:eastAsia="en-AU"/>
              </w:rPr>
              <w:t>Objective 2 Performance Benchmarks: Supporting People &amp; Promoting Prosperity</w:t>
            </w:r>
          </w:p>
        </w:tc>
        <w:tc>
          <w:tcPr>
            <w:tcW w:w="2222" w:type="pct"/>
            <w:tcBorders>
              <w:top w:val="nil"/>
              <w:left w:val="nil"/>
              <w:bottom w:val="nil"/>
              <w:right w:val="nil"/>
            </w:tcBorders>
            <w:shd w:val="clear" w:color="auto" w:fill="auto"/>
          </w:tcPr>
          <w:p w:rsidR="00485E69" w:rsidRDefault="00485E69" w:rsidP="004313B8">
            <w:pPr>
              <w:pStyle w:val="TableTextEntries"/>
              <w:rPr>
                <w:lang w:eastAsia="en-AU"/>
              </w:rPr>
            </w:pPr>
          </w:p>
        </w:tc>
      </w:tr>
      <w:tr w:rsidR="00485E69" w:rsidTr="004313B8">
        <w:trPr>
          <w:trHeight w:val="703"/>
        </w:trPr>
        <w:tc>
          <w:tcPr>
            <w:tcW w:w="194" w:type="pct"/>
            <w:tcBorders>
              <w:top w:val="nil"/>
              <w:left w:val="nil"/>
              <w:right w:val="nil"/>
            </w:tcBorders>
            <w:hideMark/>
          </w:tcPr>
          <w:p w:rsidR="00485E69" w:rsidRDefault="00485E69" w:rsidP="004313B8">
            <w:pPr>
              <w:pStyle w:val="TableTextEntries"/>
              <w:rPr>
                <w:lang w:eastAsia="en-AU"/>
              </w:rPr>
            </w:pPr>
            <w:r>
              <w:rPr>
                <w:lang w:eastAsia="en-AU"/>
              </w:rPr>
              <w:t>2.1</w:t>
            </w:r>
          </w:p>
        </w:tc>
        <w:tc>
          <w:tcPr>
            <w:tcW w:w="1241" w:type="pct"/>
            <w:tcBorders>
              <w:top w:val="nil"/>
              <w:left w:val="nil"/>
              <w:right w:val="nil"/>
            </w:tcBorders>
            <w:tcMar>
              <w:top w:w="57" w:type="dxa"/>
              <w:left w:w="108" w:type="dxa"/>
              <w:bottom w:w="57" w:type="dxa"/>
              <w:right w:w="108" w:type="dxa"/>
            </w:tcMar>
          </w:tcPr>
          <w:p w:rsidR="00485E69" w:rsidRDefault="00485E69" w:rsidP="004313B8">
            <w:pPr>
              <w:pStyle w:val="TableTextEntries"/>
              <w:rPr>
                <w:lang w:eastAsia="en-AU"/>
              </w:rPr>
            </w:pPr>
            <w:r>
              <w:rPr>
                <w:lang w:eastAsia="en-AU"/>
              </w:rPr>
              <w:t>Increase access to markets, financial inclusion and opportunities for private sector development</w:t>
            </w:r>
          </w:p>
        </w:tc>
        <w:tc>
          <w:tcPr>
            <w:tcW w:w="1343" w:type="pct"/>
            <w:tcBorders>
              <w:top w:val="nil"/>
              <w:left w:val="nil"/>
              <w:right w:val="nil"/>
            </w:tcBorders>
          </w:tcPr>
          <w:p w:rsidR="00485E69" w:rsidRPr="005A0A61" w:rsidRDefault="00485E69" w:rsidP="004313B8">
            <w:pPr>
              <w:pStyle w:val="TableTextEntries"/>
              <w:rPr>
                <w:lang w:eastAsia="en-AU"/>
              </w:rPr>
            </w:pPr>
            <w:r>
              <w:rPr>
                <w:lang w:eastAsia="en-AU"/>
              </w:rPr>
              <w:t>6,300</w:t>
            </w:r>
            <w:r w:rsidRPr="005A0A61">
              <w:rPr>
                <w:lang w:eastAsia="en-AU"/>
              </w:rPr>
              <w:t xml:space="preserve"> </w:t>
            </w:r>
            <w:r>
              <w:rPr>
                <w:lang w:eastAsia="en-AU"/>
              </w:rPr>
              <w:t xml:space="preserve">households </w:t>
            </w:r>
            <w:r w:rsidRPr="005A0A61">
              <w:rPr>
                <w:lang w:eastAsia="en-AU"/>
              </w:rPr>
              <w:t>with increased access to financial services, and markets</w:t>
            </w:r>
            <w:r w:rsidR="001144B2">
              <w:rPr>
                <w:lang w:eastAsia="en-AU"/>
              </w:rPr>
              <w:t>.</w:t>
            </w:r>
          </w:p>
        </w:tc>
        <w:tc>
          <w:tcPr>
            <w:tcW w:w="2222" w:type="pct"/>
            <w:tcBorders>
              <w:top w:val="nil"/>
              <w:left w:val="nil"/>
              <w:right w:val="nil"/>
            </w:tcBorders>
            <w:shd w:val="clear" w:color="auto" w:fill="auto"/>
            <w:hideMark/>
          </w:tcPr>
          <w:p w:rsidR="00485E69" w:rsidRDefault="00485E69" w:rsidP="004313B8">
            <w:pPr>
              <w:pStyle w:val="TableTextEntries"/>
              <w:rPr>
                <w:iCs w:val="0"/>
              </w:rPr>
            </w:pPr>
            <w:r w:rsidRPr="006D673A">
              <w:t>Support for improved agricultural practices and increased access to finance in rural areas is important to increasing economic opportunities for poor people in Burma, where the agriculture sector accounts for about 36% of GDP and around 70% of employment in the country.</w:t>
            </w:r>
          </w:p>
        </w:tc>
      </w:tr>
      <w:tr w:rsidR="009E2A18" w:rsidTr="004573F3">
        <w:tc>
          <w:tcPr>
            <w:tcW w:w="2778" w:type="pct"/>
            <w:gridSpan w:val="3"/>
            <w:tcBorders>
              <w:top w:val="nil"/>
              <w:left w:val="nil"/>
              <w:bottom w:val="nil"/>
              <w:right w:val="nil"/>
            </w:tcBorders>
            <w:hideMark/>
          </w:tcPr>
          <w:p w:rsidR="009E2A18" w:rsidRDefault="009E2A18" w:rsidP="006D673A">
            <w:pPr>
              <w:pStyle w:val="TableTextEntries"/>
              <w:rPr>
                <w:lang w:eastAsia="en-AU"/>
              </w:rPr>
            </w:pPr>
            <w:r>
              <w:rPr>
                <w:b/>
                <w:lang w:eastAsia="en-AU"/>
              </w:rPr>
              <w:t xml:space="preserve">Objective 3 Performance Benchmarks: Promoting Stability and </w:t>
            </w:r>
            <w:r w:rsidR="006D673A">
              <w:rPr>
                <w:b/>
                <w:lang w:eastAsia="en-AU"/>
              </w:rPr>
              <w:t>Improved Governance</w:t>
            </w:r>
          </w:p>
        </w:tc>
        <w:tc>
          <w:tcPr>
            <w:tcW w:w="2222" w:type="pct"/>
            <w:tcBorders>
              <w:top w:val="nil"/>
              <w:left w:val="nil"/>
              <w:bottom w:val="nil"/>
              <w:right w:val="nil"/>
            </w:tcBorders>
          </w:tcPr>
          <w:p w:rsidR="009E2A18" w:rsidRDefault="009E2A18" w:rsidP="004573F3">
            <w:pPr>
              <w:pStyle w:val="TableTextEntries"/>
              <w:rPr>
                <w:lang w:eastAsia="en-AU"/>
              </w:rPr>
            </w:pPr>
          </w:p>
        </w:tc>
      </w:tr>
      <w:tr w:rsidR="009E2A18" w:rsidTr="004573F3">
        <w:trPr>
          <w:trHeight w:val="666"/>
        </w:trPr>
        <w:tc>
          <w:tcPr>
            <w:tcW w:w="194" w:type="pct"/>
            <w:tcBorders>
              <w:top w:val="nil"/>
              <w:left w:val="nil"/>
              <w:bottom w:val="nil"/>
              <w:right w:val="nil"/>
            </w:tcBorders>
            <w:hideMark/>
          </w:tcPr>
          <w:p w:rsidR="009E2A18" w:rsidRDefault="009E2A18" w:rsidP="004573F3">
            <w:pPr>
              <w:pStyle w:val="TableTextEntries"/>
              <w:rPr>
                <w:lang w:eastAsia="en-AU"/>
              </w:rPr>
            </w:pPr>
            <w:r>
              <w:rPr>
                <w:lang w:eastAsia="en-AU"/>
              </w:rPr>
              <w:t>3.1</w:t>
            </w:r>
          </w:p>
        </w:tc>
        <w:tc>
          <w:tcPr>
            <w:tcW w:w="1241" w:type="pct"/>
            <w:tcBorders>
              <w:top w:val="nil"/>
              <w:left w:val="nil"/>
              <w:bottom w:val="nil"/>
              <w:right w:val="nil"/>
            </w:tcBorders>
            <w:tcMar>
              <w:top w:w="57" w:type="dxa"/>
              <w:left w:w="108" w:type="dxa"/>
              <w:bottom w:w="57" w:type="dxa"/>
              <w:right w:w="108" w:type="dxa"/>
            </w:tcMar>
            <w:hideMark/>
          </w:tcPr>
          <w:p w:rsidR="009E2A18" w:rsidRDefault="009E2A18" w:rsidP="004573F3">
            <w:pPr>
              <w:pStyle w:val="TableTextEntries"/>
              <w:rPr>
                <w:lang w:eastAsia="en-AU"/>
              </w:rPr>
            </w:pPr>
            <w:r>
              <w:rPr>
                <w:lang w:eastAsia="en-AU"/>
              </w:rPr>
              <w:t>Improve confidence in the peace process</w:t>
            </w:r>
          </w:p>
        </w:tc>
        <w:tc>
          <w:tcPr>
            <w:tcW w:w="1343" w:type="pct"/>
            <w:tcBorders>
              <w:top w:val="nil"/>
              <w:left w:val="nil"/>
              <w:bottom w:val="nil"/>
              <w:right w:val="nil"/>
            </w:tcBorders>
            <w:hideMark/>
          </w:tcPr>
          <w:p w:rsidR="009E2A18" w:rsidRDefault="006D673A" w:rsidP="006D673A">
            <w:pPr>
              <w:pStyle w:val="TableTextEntries"/>
              <w:rPr>
                <w:lang w:eastAsia="en-AU"/>
              </w:rPr>
            </w:pPr>
            <w:r w:rsidRPr="006D673A">
              <w:rPr>
                <w:lang w:eastAsia="en-AU"/>
              </w:rPr>
              <w:t>7,000</w:t>
            </w:r>
            <w:r w:rsidR="009E2A18">
              <w:rPr>
                <w:lang w:eastAsia="en-AU"/>
              </w:rPr>
              <w:t xml:space="preserve"> of people in ethnic minority populations in former conflict affected areas with citizen scrutiny cards</w:t>
            </w:r>
            <w:r w:rsidR="001144B2">
              <w:rPr>
                <w:lang w:eastAsia="en-AU"/>
              </w:rPr>
              <w:t>.</w:t>
            </w:r>
          </w:p>
        </w:tc>
        <w:tc>
          <w:tcPr>
            <w:tcW w:w="2222" w:type="pct"/>
            <w:tcBorders>
              <w:top w:val="nil"/>
              <w:left w:val="nil"/>
              <w:bottom w:val="nil"/>
              <w:right w:val="nil"/>
            </w:tcBorders>
          </w:tcPr>
          <w:p w:rsidR="009E2A18" w:rsidRDefault="009E2A18" w:rsidP="00485E69">
            <w:pPr>
              <w:pStyle w:val="TableTextEntries"/>
              <w:rPr>
                <w:lang w:eastAsia="en-AU"/>
              </w:rPr>
            </w:pPr>
            <w:r>
              <w:rPr>
                <w:lang w:eastAsia="en-AU"/>
              </w:rPr>
              <w:t>Australia is helping to build confidence in the peace process and form an environment conducive to successful peace negotiations a</w:t>
            </w:r>
            <w:r w:rsidR="00485E69">
              <w:rPr>
                <w:lang w:eastAsia="en-AU"/>
              </w:rPr>
              <w:t>nd</w:t>
            </w:r>
            <w:r>
              <w:rPr>
                <w:lang w:eastAsia="en-AU"/>
              </w:rPr>
              <w:t xml:space="preserve"> </w:t>
            </w:r>
            <w:r w:rsidR="00485E69">
              <w:rPr>
                <w:lang w:eastAsia="en-AU"/>
              </w:rPr>
              <w:t xml:space="preserve">a </w:t>
            </w:r>
            <w:r>
              <w:rPr>
                <w:lang w:eastAsia="en-AU"/>
              </w:rPr>
              <w:t>sustained nationwide ceasefire.</w:t>
            </w:r>
          </w:p>
        </w:tc>
      </w:tr>
      <w:tr w:rsidR="009E2A18" w:rsidTr="004573F3">
        <w:trPr>
          <w:trHeight w:val="608"/>
        </w:trPr>
        <w:tc>
          <w:tcPr>
            <w:tcW w:w="194" w:type="pct"/>
            <w:tcBorders>
              <w:top w:val="nil"/>
              <w:left w:val="nil"/>
              <w:bottom w:val="nil"/>
              <w:right w:val="nil"/>
            </w:tcBorders>
            <w:hideMark/>
          </w:tcPr>
          <w:p w:rsidR="009E2A18" w:rsidRDefault="009E2A18" w:rsidP="004573F3">
            <w:pPr>
              <w:pStyle w:val="TableTextEntries"/>
              <w:rPr>
                <w:lang w:eastAsia="en-AU"/>
              </w:rPr>
            </w:pPr>
            <w:r>
              <w:rPr>
                <w:lang w:eastAsia="en-AU"/>
              </w:rPr>
              <w:t>3.2</w:t>
            </w:r>
          </w:p>
        </w:tc>
        <w:tc>
          <w:tcPr>
            <w:tcW w:w="1241" w:type="pct"/>
            <w:tcBorders>
              <w:top w:val="nil"/>
              <w:left w:val="nil"/>
              <w:bottom w:val="nil"/>
              <w:right w:val="nil"/>
            </w:tcBorders>
            <w:tcMar>
              <w:top w:w="57" w:type="dxa"/>
              <w:left w:w="108" w:type="dxa"/>
              <w:bottom w:w="57" w:type="dxa"/>
              <w:right w:w="108" w:type="dxa"/>
            </w:tcMar>
            <w:hideMark/>
          </w:tcPr>
          <w:p w:rsidR="009E2A18" w:rsidRDefault="009E2A18" w:rsidP="006D673A">
            <w:pPr>
              <w:pStyle w:val="TableTextEntries"/>
              <w:rPr>
                <w:lang w:eastAsia="en-AU"/>
              </w:rPr>
            </w:pPr>
            <w:r>
              <w:rPr>
                <w:lang w:eastAsia="en-AU"/>
              </w:rPr>
              <w:t>Address humanitarian needs</w:t>
            </w:r>
            <w:r w:rsidR="006D673A">
              <w:rPr>
                <w:lang w:eastAsia="en-AU"/>
              </w:rPr>
              <w:t xml:space="preserve"> of people affected by conflict and natural disasters</w:t>
            </w:r>
          </w:p>
        </w:tc>
        <w:tc>
          <w:tcPr>
            <w:tcW w:w="1343" w:type="pct"/>
            <w:tcBorders>
              <w:top w:val="nil"/>
              <w:left w:val="nil"/>
              <w:bottom w:val="nil"/>
              <w:right w:val="nil"/>
            </w:tcBorders>
            <w:hideMark/>
          </w:tcPr>
          <w:p w:rsidR="009E2A18" w:rsidRDefault="006D673A" w:rsidP="004573F3">
            <w:pPr>
              <w:pStyle w:val="TableTextEntries"/>
              <w:rPr>
                <w:lang w:eastAsia="en-AU"/>
              </w:rPr>
            </w:pPr>
            <w:r>
              <w:rPr>
                <w:lang w:eastAsia="en-AU"/>
              </w:rPr>
              <w:t>Australian humanitarian assistance is effective and appropriate (as defined in Australia’s Humanitarian Action Policy</w:t>
            </w:r>
            <w:r w:rsidR="0050191C">
              <w:rPr>
                <w:lang w:eastAsia="en-AU"/>
              </w:rPr>
              <w:t xml:space="preserve"> and Protection in Humanitarian Action Framework</w:t>
            </w:r>
            <w:r>
              <w:rPr>
                <w:lang w:eastAsia="en-AU"/>
              </w:rPr>
              <w:t>)</w:t>
            </w:r>
            <w:r w:rsidR="001144B2">
              <w:rPr>
                <w:lang w:eastAsia="en-AU"/>
              </w:rPr>
              <w:t>.</w:t>
            </w:r>
          </w:p>
        </w:tc>
        <w:tc>
          <w:tcPr>
            <w:tcW w:w="2222" w:type="pct"/>
            <w:tcBorders>
              <w:top w:val="nil"/>
              <w:left w:val="nil"/>
              <w:bottom w:val="nil"/>
              <w:right w:val="nil"/>
            </w:tcBorders>
          </w:tcPr>
          <w:p w:rsidR="009E2A18" w:rsidRDefault="009E2A18" w:rsidP="0050191C">
            <w:pPr>
              <w:pStyle w:val="TableTextEntries"/>
              <w:rPr>
                <w:lang w:eastAsia="en-AU"/>
              </w:rPr>
            </w:pPr>
            <w:r>
              <w:rPr>
                <w:lang w:eastAsia="en-AU"/>
              </w:rPr>
              <w:t>Responding to the humanitarian needs of people in disaster or conflict-affected areas will remain a key element of Australia’s aid and foreign policy engagement.</w:t>
            </w:r>
            <w:r w:rsidR="006D673A">
              <w:rPr>
                <w:lang w:eastAsia="en-AU"/>
              </w:rPr>
              <w:t xml:space="preserve"> The Humanitarian Action Policy</w:t>
            </w:r>
            <w:r w:rsidR="0050191C">
              <w:rPr>
                <w:lang w:eastAsia="en-AU"/>
              </w:rPr>
              <w:t xml:space="preserve"> and Protection in Humanitarian Action Framework</w:t>
            </w:r>
            <w:r w:rsidR="006D673A">
              <w:rPr>
                <w:lang w:eastAsia="en-AU"/>
              </w:rPr>
              <w:t xml:space="preserve"> commit Australia to delivering effective and appropriate humanitarian assistance.</w:t>
            </w:r>
          </w:p>
        </w:tc>
      </w:tr>
      <w:tr w:rsidR="009E2A18" w:rsidTr="00485E69">
        <w:tc>
          <w:tcPr>
            <w:tcW w:w="194" w:type="pct"/>
            <w:tcBorders>
              <w:top w:val="nil"/>
              <w:left w:val="nil"/>
              <w:bottom w:val="nil"/>
              <w:right w:val="nil"/>
            </w:tcBorders>
          </w:tcPr>
          <w:p w:rsidR="009E2A18" w:rsidRDefault="00485E69" w:rsidP="004573F3">
            <w:pPr>
              <w:pStyle w:val="TableTextEntries"/>
              <w:rPr>
                <w:lang w:eastAsia="en-AU"/>
              </w:rPr>
            </w:pPr>
            <w:r>
              <w:rPr>
                <w:lang w:eastAsia="en-AU"/>
              </w:rPr>
              <w:t>3.3</w:t>
            </w:r>
          </w:p>
        </w:tc>
        <w:tc>
          <w:tcPr>
            <w:tcW w:w="1241" w:type="pct"/>
            <w:tcBorders>
              <w:top w:val="nil"/>
              <w:left w:val="nil"/>
              <w:bottom w:val="nil"/>
              <w:right w:val="nil"/>
            </w:tcBorders>
            <w:tcMar>
              <w:top w:w="57" w:type="dxa"/>
              <w:left w:w="108" w:type="dxa"/>
              <w:bottom w:w="57" w:type="dxa"/>
              <w:right w:w="108" w:type="dxa"/>
            </w:tcMar>
          </w:tcPr>
          <w:p w:rsidR="009E2A18" w:rsidRDefault="00485E69" w:rsidP="006D673A">
            <w:pPr>
              <w:pStyle w:val="TableTextEntries"/>
              <w:rPr>
                <w:lang w:eastAsia="en-AU"/>
              </w:rPr>
            </w:pPr>
            <w:r>
              <w:t>Strengthen institutions and support reforms which promote sustainable economic growth, democratisation and government accountability</w:t>
            </w:r>
          </w:p>
        </w:tc>
        <w:tc>
          <w:tcPr>
            <w:tcW w:w="1343" w:type="pct"/>
            <w:tcBorders>
              <w:top w:val="nil"/>
              <w:left w:val="nil"/>
              <w:bottom w:val="nil"/>
              <w:right w:val="nil"/>
            </w:tcBorders>
          </w:tcPr>
          <w:p w:rsidR="009E2A18" w:rsidRDefault="00485E69" w:rsidP="006D673A">
            <w:pPr>
              <w:pStyle w:val="TableTextEntries"/>
              <w:rPr>
                <w:lang w:eastAsia="en-AU"/>
              </w:rPr>
            </w:pPr>
            <w:r w:rsidRPr="00485E69">
              <w:t>Provisional and main census data and preliminary report disseminated; new voter registration system piloted; Burma’s government starts to base budget allocations on policy, outputs and outcomes; medium-term fiscal framework started</w:t>
            </w:r>
            <w:r w:rsidR="001144B2">
              <w:t>.</w:t>
            </w:r>
          </w:p>
        </w:tc>
        <w:tc>
          <w:tcPr>
            <w:tcW w:w="2222" w:type="pct"/>
            <w:tcBorders>
              <w:top w:val="nil"/>
              <w:left w:val="nil"/>
              <w:bottom w:val="nil"/>
              <w:right w:val="nil"/>
            </w:tcBorders>
          </w:tcPr>
          <w:p w:rsidR="009E2A18" w:rsidRDefault="00485E69" w:rsidP="004573F3">
            <w:pPr>
              <w:pStyle w:val="TableTextEntries"/>
              <w:rPr>
                <w:lang w:eastAsia="en-AU"/>
              </w:rPr>
            </w:pPr>
            <w:r>
              <w:t>Decades of military rule and isolation have left Burma without</w:t>
            </w:r>
            <w:r w:rsidR="00F24048">
              <w:t xml:space="preserve"> strong</w:t>
            </w:r>
            <w:r>
              <w:t xml:space="preserve"> institutions, processes, rules and capacity to create an environment for </w:t>
            </w:r>
            <w:r w:rsidR="00F24048">
              <w:t xml:space="preserve">sustained, equitable </w:t>
            </w:r>
            <w:r>
              <w:t>growth and development. Key challenges include lack of basic data, outdated laws and regulations, new parliament, and weak institutional capacity.</w:t>
            </w:r>
          </w:p>
        </w:tc>
      </w:tr>
      <w:tr w:rsidR="009E2A18" w:rsidTr="004573F3">
        <w:tc>
          <w:tcPr>
            <w:tcW w:w="2778" w:type="pct"/>
            <w:gridSpan w:val="3"/>
            <w:tcBorders>
              <w:top w:val="nil"/>
              <w:left w:val="nil"/>
              <w:bottom w:val="nil"/>
              <w:right w:val="nil"/>
            </w:tcBorders>
            <w:hideMark/>
          </w:tcPr>
          <w:p w:rsidR="009E2A18" w:rsidRDefault="009E2A18" w:rsidP="004573F3">
            <w:pPr>
              <w:pStyle w:val="TableTextEntries"/>
              <w:rPr>
                <w:lang w:eastAsia="en-AU"/>
              </w:rPr>
            </w:pPr>
            <w:r>
              <w:rPr>
                <w:b/>
                <w:lang w:eastAsia="en-AU"/>
              </w:rPr>
              <w:t>Objective 4 Performance Benchmarks: Improving Operations</w:t>
            </w:r>
          </w:p>
        </w:tc>
        <w:tc>
          <w:tcPr>
            <w:tcW w:w="2222" w:type="pct"/>
            <w:tcBorders>
              <w:top w:val="nil"/>
              <w:left w:val="nil"/>
              <w:bottom w:val="nil"/>
              <w:right w:val="nil"/>
            </w:tcBorders>
          </w:tcPr>
          <w:p w:rsidR="009E2A18" w:rsidRDefault="009E2A18" w:rsidP="004573F3">
            <w:pPr>
              <w:pStyle w:val="TableTextEntries"/>
              <w:rPr>
                <w:lang w:eastAsia="en-AU"/>
              </w:rPr>
            </w:pPr>
          </w:p>
        </w:tc>
      </w:tr>
      <w:tr w:rsidR="009E2A18" w:rsidRPr="001941C4" w:rsidTr="004573F3">
        <w:tc>
          <w:tcPr>
            <w:tcW w:w="194" w:type="pct"/>
            <w:tcBorders>
              <w:top w:val="nil"/>
              <w:left w:val="nil"/>
              <w:bottom w:val="nil"/>
              <w:right w:val="nil"/>
            </w:tcBorders>
            <w:hideMark/>
          </w:tcPr>
          <w:p w:rsidR="009E2A18" w:rsidRPr="00C82B3C" w:rsidRDefault="009E2A18" w:rsidP="004573F3">
            <w:pPr>
              <w:pStyle w:val="TableTextEntries"/>
              <w:rPr>
                <w:lang w:eastAsia="en-AU"/>
              </w:rPr>
            </w:pPr>
            <w:r w:rsidRPr="00C82B3C">
              <w:rPr>
                <w:lang w:eastAsia="en-AU"/>
              </w:rPr>
              <w:t>4.1</w:t>
            </w:r>
          </w:p>
        </w:tc>
        <w:tc>
          <w:tcPr>
            <w:tcW w:w="1241" w:type="pct"/>
            <w:tcBorders>
              <w:top w:val="nil"/>
              <w:left w:val="nil"/>
              <w:bottom w:val="nil"/>
              <w:right w:val="nil"/>
            </w:tcBorders>
            <w:tcMar>
              <w:top w:w="57" w:type="dxa"/>
              <w:left w:w="108" w:type="dxa"/>
              <w:bottom w:w="57" w:type="dxa"/>
              <w:right w:w="108" w:type="dxa"/>
            </w:tcMar>
            <w:hideMark/>
          </w:tcPr>
          <w:p w:rsidR="009E2A18" w:rsidRPr="00C82B3C" w:rsidRDefault="009E2A18" w:rsidP="004573F3">
            <w:pPr>
              <w:pStyle w:val="TableTextEntries"/>
              <w:rPr>
                <w:lang w:eastAsia="en-AU"/>
              </w:rPr>
            </w:pPr>
            <w:r w:rsidRPr="00C82B3C">
              <w:rPr>
                <w:lang w:eastAsia="en-AU"/>
              </w:rPr>
              <w:t>Improved management efficiency through consolidation of investments.</w:t>
            </w:r>
          </w:p>
        </w:tc>
        <w:tc>
          <w:tcPr>
            <w:tcW w:w="1343" w:type="pct"/>
            <w:tcBorders>
              <w:top w:val="nil"/>
              <w:left w:val="nil"/>
              <w:bottom w:val="nil"/>
              <w:right w:val="nil"/>
            </w:tcBorders>
            <w:hideMark/>
          </w:tcPr>
          <w:p w:rsidR="009E2A18" w:rsidRPr="00C82B3C" w:rsidRDefault="005D72A8" w:rsidP="003B17E8">
            <w:pPr>
              <w:pStyle w:val="TableTextEntries"/>
              <w:spacing w:before="0"/>
              <w:rPr>
                <w:color w:val="000000" w:themeColor="text1" w:themeShade="BF"/>
                <w:lang w:eastAsia="en-AU"/>
              </w:rPr>
            </w:pPr>
            <w:r w:rsidRPr="00C82B3C">
              <w:t>Less than one third of program investments are low value (under $3 million)</w:t>
            </w:r>
            <w:r w:rsidR="003B17E8">
              <w:t>*</w:t>
            </w:r>
            <w:r w:rsidRPr="00C82B3C">
              <w:t xml:space="preserve"> and more than 90% of programmed funds </w:t>
            </w:r>
            <w:r w:rsidR="003B17E8">
              <w:t>will be maintained</w:t>
            </w:r>
            <w:r w:rsidRPr="00C82B3C">
              <w:t xml:space="preserve"> in investments greater than $10 million</w:t>
            </w:r>
            <w:r w:rsidR="00C84BE5">
              <w:t>.</w:t>
            </w:r>
            <w:r w:rsidR="003B17E8">
              <w:t>**</w:t>
            </w:r>
          </w:p>
        </w:tc>
        <w:tc>
          <w:tcPr>
            <w:tcW w:w="2222" w:type="pct"/>
            <w:tcBorders>
              <w:top w:val="nil"/>
              <w:left w:val="nil"/>
              <w:bottom w:val="nil"/>
              <w:right w:val="nil"/>
            </w:tcBorders>
          </w:tcPr>
          <w:p w:rsidR="003B17E8" w:rsidRDefault="009E2A18" w:rsidP="003B17E8">
            <w:pPr>
              <w:pStyle w:val="TableTextEntries"/>
            </w:pPr>
            <w:r w:rsidRPr="00C82B3C">
              <w:t xml:space="preserve">The Australian aid program to Burma needs to consolidate and focus investments in order to </w:t>
            </w:r>
            <w:r w:rsidR="005A0A61" w:rsidRPr="00C82B3C">
              <w:t>avoid dilution of impact and profile.</w:t>
            </w:r>
            <w:r w:rsidR="003B17E8">
              <w:t xml:space="preserve"> </w:t>
            </w:r>
          </w:p>
          <w:p w:rsidR="009E2A18" w:rsidRPr="00C82B3C" w:rsidRDefault="003B17E8" w:rsidP="00BC3AC8">
            <w:pPr>
              <w:pStyle w:val="TableTextEntries"/>
              <w:rPr>
                <w:lang w:eastAsia="en-AU"/>
              </w:rPr>
            </w:pPr>
            <w:r>
              <w:t xml:space="preserve">*Baseline at September 2014: 38% or 8 of 21 active </w:t>
            </w:r>
            <w:r w:rsidR="00BC3AC8">
              <w:t xml:space="preserve">initiatives </w:t>
            </w:r>
            <w:r>
              <w:t xml:space="preserve">are low value (under $3 million). **Baseline at September 2014: 91% of programmed funds are in high-value </w:t>
            </w:r>
            <w:r w:rsidR="00BC3AC8">
              <w:t xml:space="preserve">initiatives </w:t>
            </w:r>
            <w:r>
              <w:t>(over $10 million).</w:t>
            </w:r>
          </w:p>
        </w:tc>
      </w:tr>
      <w:tr w:rsidR="00FD744F" w:rsidRPr="001941C4" w:rsidTr="00FD744F">
        <w:tc>
          <w:tcPr>
            <w:tcW w:w="5000" w:type="pct"/>
            <w:gridSpan w:val="4"/>
            <w:tcBorders>
              <w:top w:val="nil"/>
              <w:left w:val="nil"/>
              <w:bottom w:val="nil"/>
              <w:right w:val="nil"/>
            </w:tcBorders>
          </w:tcPr>
          <w:p w:rsidR="00FD744F" w:rsidRPr="00C82B3C" w:rsidRDefault="00FD744F" w:rsidP="00BC3AC8">
            <w:pPr>
              <w:pStyle w:val="TableTextEntries"/>
            </w:pPr>
            <w:r>
              <w:t xml:space="preserve">Note: All </w:t>
            </w:r>
            <w:r w:rsidR="00BC3AC8">
              <w:t xml:space="preserve">quantitative </w:t>
            </w:r>
            <w:r>
              <w:t>benchmark</w:t>
            </w:r>
            <w:r w:rsidR="00BC3AC8">
              <w:t>s</w:t>
            </w:r>
            <w:r>
              <w:t xml:space="preserve"> </w:t>
            </w:r>
            <w:r w:rsidR="00BC3AC8">
              <w:t>(1.2, 2.1 and 3.1)</w:t>
            </w:r>
            <w:r>
              <w:t xml:space="preserve"> are </w:t>
            </w:r>
            <w:r w:rsidRPr="00011BE5">
              <w:t>pro rata</w:t>
            </w:r>
            <w:r w:rsidR="00BC3AC8">
              <w:t xml:space="preserve"> targets</w:t>
            </w:r>
            <w:r w:rsidRPr="00011BE5">
              <w:t>, commensurate with Australia’s financial contribution</w:t>
            </w:r>
          </w:p>
        </w:tc>
      </w:tr>
      <w:bookmarkEnd w:id="2"/>
    </w:tbl>
    <w:p w:rsidR="00E71C4F" w:rsidRDefault="00E71C4F" w:rsidP="009E2A18">
      <w:pPr>
        <w:pStyle w:val="BodyText"/>
        <w:sectPr w:rsidR="00E71C4F" w:rsidSect="003B17E8">
          <w:pgSz w:w="16840" w:h="11907" w:orient="landscape" w:code="9"/>
          <w:pgMar w:top="567" w:right="2268" w:bottom="709" w:left="907" w:header="851" w:footer="454" w:gutter="0"/>
          <w:cols w:space="720"/>
          <w:docGrid w:linePitch="272"/>
        </w:sectPr>
      </w:pPr>
    </w:p>
    <w:p w:rsidR="00E71C4F" w:rsidRDefault="00E71C4F" w:rsidP="00E71C4F">
      <w:pPr>
        <w:pStyle w:val="Heading2"/>
        <w:rPr>
          <w:sz w:val="28"/>
        </w:rPr>
      </w:pPr>
      <w:r w:rsidRPr="009E38C1">
        <w:rPr>
          <w:sz w:val="28"/>
        </w:rPr>
        <w:lastRenderedPageBreak/>
        <w:t xml:space="preserve">Annex </w:t>
      </w:r>
      <w:r w:rsidR="001144B2">
        <w:rPr>
          <w:sz w:val="28"/>
        </w:rPr>
        <w:t>E</w:t>
      </w:r>
      <w:r>
        <w:rPr>
          <w:sz w:val="28"/>
        </w:rPr>
        <w:t xml:space="preserve"> - Endnotes</w:t>
      </w:r>
    </w:p>
    <w:sectPr w:rsidR="00E71C4F" w:rsidSect="00E71C4F">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E7" w:rsidRDefault="00CE1EE7" w:rsidP="0050529F">
      <w:r>
        <w:separator/>
      </w:r>
    </w:p>
    <w:p w:rsidR="00CE1EE7" w:rsidRDefault="00CE1EE7"/>
    <w:p w:rsidR="00CE1EE7" w:rsidRDefault="00CE1EE7"/>
    <w:p w:rsidR="00CE1EE7" w:rsidRDefault="00CE1EE7"/>
    <w:p w:rsidR="00CE1EE7" w:rsidRDefault="00CE1EE7"/>
    <w:p w:rsidR="00CE1EE7" w:rsidRDefault="00CE1EE7"/>
    <w:p w:rsidR="00CE1EE7" w:rsidRDefault="00CE1EE7"/>
  </w:endnote>
  <w:endnote w:type="continuationSeparator" w:id="0">
    <w:p w:rsidR="00CE1EE7" w:rsidRDefault="00CE1EE7" w:rsidP="0050529F">
      <w:r>
        <w:continuationSeparator/>
      </w:r>
    </w:p>
    <w:p w:rsidR="00CE1EE7" w:rsidRDefault="00CE1EE7"/>
    <w:p w:rsidR="00CE1EE7" w:rsidRDefault="00CE1EE7"/>
    <w:p w:rsidR="00CE1EE7" w:rsidRDefault="00CE1EE7"/>
    <w:p w:rsidR="00CE1EE7" w:rsidRDefault="00CE1EE7"/>
    <w:p w:rsidR="00CE1EE7" w:rsidRDefault="00CE1EE7"/>
    <w:p w:rsidR="00CE1EE7" w:rsidRDefault="00CE1EE7"/>
  </w:endnote>
  <w:endnote w:id="1">
    <w:p w:rsidR="00CE1EE7" w:rsidRPr="00E71C4F" w:rsidRDefault="00CE1EE7" w:rsidP="00D47795">
      <w:pPr>
        <w:pStyle w:val="EndnoteText"/>
        <w:rPr>
          <w:szCs w:val="21"/>
        </w:rPr>
      </w:pPr>
      <w:r w:rsidRPr="00E71C4F">
        <w:rPr>
          <w:rStyle w:val="EndnoteReference"/>
          <w:szCs w:val="21"/>
        </w:rPr>
        <w:endnoteRef/>
      </w:r>
      <w:r w:rsidRPr="00E71C4F">
        <w:rPr>
          <w:szCs w:val="21"/>
        </w:rPr>
        <w:t xml:space="preserve"> The Economic and Social Commission for Asia and the Pacific, Asian Development Bank and UNDP, </w:t>
      </w:r>
      <w:r w:rsidRPr="00E71C4F">
        <w:rPr>
          <w:i/>
          <w:szCs w:val="21"/>
        </w:rPr>
        <w:t>Asia-Pacific Aspirations: Perspectives for a Post-2015 Development Agenda, &lt;</w:t>
      </w:r>
      <w:r w:rsidRPr="00E71C4F">
        <w:rPr>
          <w:szCs w:val="21"/>
        </w:rPr>
        <w:t xml:space="preserve"> </w:t>
      </w:r>
      <w:hyperlink r:id="rId1" w:history="1">
        <w:r w:rsidRPr="00E71C4F">
          <w:rPr>
            <w:rStyle w:val="Hyperlink"/>
            <w:i/>
            <w:sz w:val="21"/>
            <w:szCs w:val="21"/>
          </w:rPr>
          <w:t>http://www.unescap.org/resources/asia-pacific-regional-mdg-report-201213-asia-pacific-aspirations-perspectives-post-2015</w:t>
        </w:r>
      </w:hyperlink>
      <w:r w:rsidRPr="00E71C4F">
        <w:rPr>
          <w:i/>
          <w:szCs w:val="21"/>
        </w:rPr>
        <w:t>&gt;</w:t>
      </w:r>
    </w:p>
  </w:endnote>
  <w:endnote w:id="2">
    <w:p w:rsidR="00CE1EE7" w:rsidRPr="00E71C4F" w:rsidRDefault="00CE1EE7" w:rsidP="006958BA">
      <w:pPr>
        <w:pStyle w:val="EndnoteText"/>
        <w:rPr>
          <w:szCs w:val="21"/>
        </w:rPr>
      </w:pPr>
      <w:r w:rsidRPr="00E71C4F">
        <w:rPr>
          <w:rStyle w:val="EndnoteReference"/>
          <w:szCs w:val="21"/>
        </w:rPr>
        <w:endnoteRef/>
      </w:r>
      <w:r w:rsidRPr="00E71C4F">
        <w:rPr>
          <w:szCs w:val="21"/>
        </w:rPr>
        <w:t xml:space="preserve"> </w:t>
      </w:r>
      <w:hyperlink r:id="rId2" w:history="1">
        <w:r w:rsidRPr="00E71C4F">
          <w:rPr>
            <w:rStyle w:val="Hyperlink"/>
            <w:sz w:val="21"/>
            <w:szCs w:val="21"/>
          </w:rPr>
          <w:t>http://www.adb.org/countries/myanmar/main</w:t>
        </w:r>
      </w:hyperlink>
    </w:p>
  </w:endnote>
  <w:endnote w:id="3">
    <w:p w:rsidR="00CE1EE7" w:rsidRPr="00E71C4F" w:rsidRDefault="00CE1EE7" w:rsidP="006958BA">
      <w:pPr>
        <w:pStyle w:val="EndnoteText"/>
        <w:rPr>
          <w:szCs w:val="21"/>
        </w:rPr>
      </w:pPr>
      <w:r w:rsidRPr="00E71C4F">
        <w:rPr>
          <w:rStyle w:val="EndnoteReference"/>
          <w:szCs w:val="21"/>
        </w:rPr>
        <w:endnoteRef/>
      </w:r>
      <w:r w:rsidRPr="00E71C4F">
        <w:rPr>
          <w:rFonts w:cs="Arial"/>
          <w:color w:val="000000"/>
          <w:szCs w:val="21"/>
        </w:rPr>
        <w:t xml:space="preserve">Ministry of National Planning and Economic Development and Ministry of Health, </w:t>
      </w:r>
      <w:r w:rsidRPr="00E71C4F">
        <w:rPr>
          <w:rFonts w:cs="Arial"/>
          <w:i/>
          <w:color w:val="000000"/>
          <w:szCs w:val="21"/>
        </w:rPr>
        <w:t>Myanmar Multiple Indicator Cluster Survey 2009-2010 Final Report</w:t>
      </w:r>
      <w:r w:rsidRPr="00E71C4F">
        <w:rPr>
          <w:rFonts w:cs="Arial"/>
          <w:color w:val="000000"/>
          <w:szCs w:val="21"/>
        </w:rPr>
        <w:t>, Nay Pyi Taw, Myanmar, 2011</w:t>
      </w:r>
      <w:r>
        <w:rPr>
          <w:rFonts w:cs="Arial"/>
          <w:color w:val="000000"/>
          <w:szCs w:val="21"/>
        </w:rPr>
        <w:t xml:space="preserve"> and </w:t>
      </w:r>
      <w:hyperlink r:id="rId3" w:history="1">
        <w:r w:rsidRPr="00996573">
          <w:rPr>
            <w:rStyle w:val="Hyperlink"/>
            <w:sz w:val="21"/>
          </w:rPr>
          <w:t>http://scalingupnutrition.org/sun-countries/myanmar</w:t>
        </w:r>
      </w:hyperlink>
    </w:p>
  </w:endnote>
  <w:endnote w:id="4">
    <w:p w:rsidR="00CE1EE7" w:rsidRPr="00E71C4F" w:rsidRDefault="00CE1EE7" w:rsidP="00EB0541">
      <w:pPr>
        <w:pStyle w:val="EndnoteText"/>
        <w:rPr>
          <w:szCs w:val="21"/>
        </w:rPr>
      </w:pPr>
      <w:r w:rsidRPr="00E71C4F">
        <w:rPr>
          <w:rStyle w:val="EndnoteReference"/>
          <w:szCs w:val="21"/>
        </w:rPr>
        <w:endnoteRef/>
      </w:r>
      <w:r w:rsidRPr="00E71C4F">
        <w:rPr>
          <w:rFonts w:cs="Arial"/>
          <w:color w:val="000000"/>
          <w:szCs w:val="21"/>
        </w:rPr>
        <w:t xml:space="preserve">Ministry of National Planning and Economic Development and Ministry of Health, </w:t>
      </w:r>
      <w:r w:rsidRPr="00E71C4F">
        <w:rPr>
          <w:rFonts w:cs="Arial"/>
          <w:i/>
          <w:color w:val="000000"/>
          <w:szCs w:val="21"/>
        </w:rPr>
        <w:t>Myanmar Multiple Indicator Cluster Survey 2009-2010 Final Report</w:t>
      </w:r>
      <w:r w:rsidRPr="00E71C4F">
        <w:rPr>
          <w:rFonts w:cs="Arial"/>
          <w:color w:val="000000"/>
          <w:szCs w:val="21"/>
        </w:rPr>
        <w:t>, Nay Pyi Taw, Myanmar, 2011.</w:t>
      </w:r>
    </w:p>
  </w:endnote>
  <w:endnote w:id="5">
    <w:p w:rsidR="00CE1EE7" w:rsidRDefault="00CE1EE7">
      <w:pPr>
        <w:pStyle w:val="EndnoteText"/>
      </w:pPr>
      <w:r>
        <w:rPr>
          <w:rStyle w:val="EndnoteReference"/>
        </w:rPr>
        <w:endnoteRef/>
      </w:r>
      <w:r>
        <w:t xml:space="preserve"> </w:t>
      </w:r>
      <w:hyperlink r:id="rId4" w:history="1">
        <w:r w:rsidRPr="009C384F">
          <w:rPr>
            <w:rStyle w:val="Hyperlink"/>
            <w:sz w:val="21"/>
          </w:rPr>
          <w:t>http://www.imf.org/external/np/speeches/2013/120713.htm</w:t>
        </w:r>
      </w:hyperlink>
    </w:p>
  </w:endnote>
  <w:endnote w:id="6">
    <w:p w:rsidR="00CE1EE7" w:rsidRDefault="00CE1EE7">
      <w:pPr>
        <w:pStyle w:val="EndnoteText"/>
      </w:pPr>
      <w:r>
        <w:rPr>
          <w:rStyle w:val="EndnoteReference"/>
        </w:rPr>
        <w:endnoteRef/>
      </w:r>
      <w:r>
        <w:t xml:space="preserve"> C</w:t>
      </w:r>
      <w:r w:rsidRPr="00043742">
        <w:t>ompared to 18 per cent in Cambodia, and 25 per cent in Laos</w:t>
      </w:r>
      <w:r>
        <w:t>.</w:t>
      </w:r>
    </w:p>
  </w:endnote>
  <w:endnote w:id="7">
    <w:p w:rsidR="00CE1EE7" w:rsidRPr="00E71C4F" w:rsidRDefault="00CE1EE7" w:rsidP="006958BA">
      <w:pPr>
        <w:pStyle w:val="EndnoteText"/>
        <w:rPr>
          <w:szCs w:val="21"/>
        </w:rPr>
      </w:pPr>
      <w:r w:rsidRPr="00E71C4F">
        <w:rPr>
          <w:rStyle w:val="EndnoteReference"/>
          <w:szCs w:val="21"/>
        </w:rPr>
        <w:endnoteRef/>
      </w:r>
      <w:hyperlink r:id="rId5" w:history="1">
        <w:r w:rsidRPr="00E71C4F">
          <w:rPr>
            <w:rStyle w:val="Hyperlink"/>
            <w:sz w:val="21"/>
            <w:szCs w:val="21"/>
          </w:rPr>
          <w:t>http://reliefweb.int/report/myanmar/2014-strategic-response-plan-myanmar-december-2013</w:t>
        </w:r>
      </w:hyperlink>
    </w:p>
  </w:endnote>
  <w:endnote w:id="8">
    <w:p w:rsidR="00CE1EE7" w:rsidRPr="00E71C4F" w:rsidRDefault="00CE1EE7" w:rsidP="006958BA">
      <w:pPr>
        <w:pStyle w:val="EndnoteText"/>
        <w:rPr>
          <w:szCs w:val="21"/>
        </w:rPr>
      </w:pPr>
      <w:r w:rsidRPr="00E71C4F">
        <w:rPr>
          <w:rStyle w:val="EndnoteReference"/>
          <w:szCs w:val="21"/>
        </w:rPr>
        <w:endnoteRef/>
      </w:r>
      <w:r w:rsidRPr="00E71C4F">
        <w:rPr>
          <w:rFonts w:cs="Arial"/>
          <w:szCs w:val="21"/>
        </w:rPr>
        <w:t xml:space="preserve">UN Office for the Coordination of Humanitarian Affairs, </w:t>
      </w:r>
      <w:r w:rsidRPr="00E71C4F">
        <w:rPr>
          <w:rFonts w:cs="Arial"/>
          <w:i/>
          <w:szCs w:val="21"/>
        </w:rPr>
        <w:t>Myanmar: Countrywide Displacement Snapshot (November 2013)</w:t>
      </w:r>
      <w:r w:rsidRPr="00E71C4F">
        <w:rPr>
          <w:rFonts w:cs="Arial"/>
          <w:szCs w:val="21"/>
        </w:rPr>
        <w:t>, &lt;</w:t>
      </w:r>
      <w:hyperlink r:id="rId6" w:history="1">
        <w:r w:rsidRPr="00E71C4F">
          <w:rPr>
            <w:rStyle w:val="Hyperlink"/>
            <w:rFonts w:cs="Arial"/>
            <w:sz w:val="21"/>
            <w:szCs w:val="21"/>
          </w:rPr>
          <w:t>http://reliefweb.int/report/myanmar/myanmar-countrywide-displacement-snapshot-november-2013</w:t>
        </w:r>
      </w:hyperlink>
      <w:r w:rsidRPr="00E71C4F">
        <w:rPr>
          <w:rStyle w:val="Hyperlink"/>
          <w:rFonts w:cs="Arial"/>
          <w:sz w:val="21"/>
          <w:szCs w:val="21"/>
        </w:rPr>
        <w:t>&gt;</w:t>
      </w:r>
    </w:p>
  </w:endnote>
  <w:endnote w:id="9">
    <w:p w:rsidR="00CE1EE7" w:rsidRPr="00E71C4F" w:rsidRDefault="00CE1EE7" w:rsidP="006958BA">
      <w:pPr>
        <w:pStyle w:val="EndnoteText"/>
        <w:rPr>
          <w:szCs w:val="21"/>
        </w:rPr>
      </w:pPr>
      <w:r w:rsidRPr="00E71C4F">
        <w:rPr>
          <w:rStyle w:val="EndnoteReference"/>
          <w:szCs w:val="21"/>
        </w:rPr>
        <w:endnoteRef/>
      </w:r>
      <w:hyperlink r:id="rId7" w:history="1">
        <w:r w:rsidRPr="00E71C4F">
          <w:rPr>
            <w:rStyle w:val="Hyperlink"/>
            <w:sz w:val="21"/>
            <w:szCs w:val="21"/>
          </w:rPr>
          <w:t>http://data.worldbank.org/indicator/IC.BUS.EASE.XQ?order=wbapi_data_value_2013+wbapi_data_value+wbapi_data_value-last&amp;sort=asc</w:t>
        </w:r>
      </w:hyperlink>
    </w:p>
  </w:endnote>
  <w:endnote w:id="10">
    <w:p w:rsidR="00CE1EE7" w:rsidRPr="00E71C4F" w:rsidRDefault="00CE1EE7" w:rsidP="005A56EE">
      <w:pPr>
        <w:pStyle w:val="EndnoteText"/>
        <w:rPr>
          <w:szCs w:val="21"/>
        </w:rPr>
      </w:pPr>
      <w:r w:rsidRPr="00E71C4F">
        <w:rPr>
          <w:rStyle w:val="EndnoteReference"/>
          <w:szCs w:val="21"/>
        </w:rPr>
        <w:endnoteRef/>
      </w:r>
      <w:r w:rsidRPr="00E71C4F">
        <w:rPr>
          <w:szCs w:val="21"/>
        </w:rPr>
        <w:t xml:space="preserve"> Although this is still a very small portion of the total national budget</w:t>
      </w:r>
      <w:r>
        <w:rPr>
          <w:szCs w:val="21"/>
        </w:rPr>
        <w:t xml:space="preserve"> </w:t>
      </w:r>
      <w:r w:rsidRPr="00BE3869">
        <w:rPr>
          <w:szCs w:val="21"/>
        </w:rPr>
        <w:t xml:space="preserve">the education budget – allotted 5.43 percent </w:t>
      </w:r>
      <w:r>
        <w:rPr>
          <w:szCs w:val="21"/>
        </w:rPr>
        <w:t>in 2013-14</w:t>
      </w:r>
      <w:r w:rsidRPr="00BE3869">
        <w:rPr>
          <w:szCs w:val="21"/>
        </w:rPr>
        <w:t xml:space="preserve"> – will be increased to 5.92 percent</w:t>
      </w:r>
      <w:r>
        <w:rPr>
          <w:szCs w:val="21"/>
        </w:rPr>
        <w:t xml:space="preserve"> in 2014-15</w:t>
      </w:r>
      <w:r w:rsidRPr="00BE3869">
        <w:rPr>
          <w:szCs w:val="21"/>
        </w:rPr>
        <w:t>, while the health budget will increase from 3.15 to 3.38 percent</w:t>
      </w:r>
      <w:r>
        <w:rPr>
          <w:szCs w:val="21"/>
        </w:rPr>
        <w:t xml:space="preserve"> according to the website of the Office of the President &lt;</w:t>
      </w:r>
      <w:r w:rsidRPr="00BE3869">
        <w:t xml:space="preserve"> </w:t>
      </w:r>
      <w:hyperlink r:id="rId8" w:history="1">
        <w:r w:rsidRPr="008F3083">
          <w:rPr>
            <w:rStyle w:val="Hyperlink"/>
            <w:sz w:val="21"/>
            <w:szCs w:val="21"/>
          </w:rPr>
          <w:t>http://www.dvb.no/news/health-education-spending-to-increase-in-2014-burma-myanmar/35887</w:t>
        </w:r>
      </w:hyperlink>
      <w:r>
        <w:rPr>
          <w:szCs w:val="21"/>
        </w:rPr>
        <w:t>&gt;</w:t>
      </w:r>
    </w:p>
  </w:endnote>
  <w:endnote w:id="11">
    <w:p w:rsidR="00CE1EE7" w:rsidRPr="00E71C4F" w:rsidRDefault="00CE1EE7" w:rsidP="008C3DBF">
      <w:pPr>
        <w:pStyle w:val="EndnoteText"/>
        <w:rPr>
          <w:rFonts w:cs="Arial"/>
          <w:color w:val="000000"/>
          <w:szCs w:val="21"/>
        </w:rPr>
      </w:pPr>
      <w:r w:rsidRPr="00E71C4F">
        <w:rPr>
          <w:rStyle w:val="EndnoteReference"/>
          <w:szCs w:val="21"/>
        </w:rPr>
        <w:endnoteRef/>
      </w:r>
      <w:r w:rsidRPr="00E71C4F">
        <w:rPr>
          <w:szCs w:val="21"/>
        </w:rPr>
        <w:t xml:space="preserve"> </w:t>
      </w:r>
      <w:r w:rsidRPr="00E71C4F">
        <w:rPr>
          <w:rFonts w:cs="Arial"/>
          <w:color w:val="000000"/>
          <w:szCs w:val="21"/>
        </w:rPr>
        <w:t>A number of steps have been taken to open up democratic debate and engagement in the country – including a new Association Law (drafted in close consultation with civil society), increased government engagement with civil society (including to seek candidacy under the Extractive Industries Transparency Initiative) and the establishment of regular dialogue between civil society, political parties and government on electoral reform.</w:t>
      </w:r>
    </w:p>
  </w:endnote>
  <w:endnote w:id="12">
    <w:p w:rsidR="00CE1EE7" w:rsidRPr="00E71C4F" w:rsidRDefault="00CE1EE7">
      <w:pPr>
        <w:pStyle w:val="EndnoteText"/>
        <w:rPr>
          <w:szCs w:val="21"/>
        </w:rPr>
      </w:pPr>
      <w:r w:rsidRPr="00E71C4F">
        <w:rPr>
          <w:rStyle w:val="EndnoteReference"/>
          <w:szCs w:val="21"/>
        </w:rPr>
        <w:endnoteRef/>
      </w:r>
      <w:r w:rsidRPr="00E71C4F">
        <w:rPr>
          <w:szCs w:val="21"/>
        </w:rPr>
        <w:t xml:space="preserve"> IMF - </w:t>
      </w:r>
      <w:hyperlink r:id="rId9" w:history="1">
        <w:r w:rsidRPr="00E71C4F">
          <w:rPr>
            <w:rStyle w:val="Hyperlink"/>
            <w:sz w:val="21"/>
            <w:szCs w:val="21"/>
          </w:rPr>
          <w:t>http://www.imf.org/external/np/sec/pr/2014/pr14284.htm</w:t>
        </w:r>
      </w:hyperlink>
    </w:p>
  </w:endnote>
  <w:endnote w:id="13">
    <w:p w:rsidR="00CE1EE7" w:rsidRPr="00E71C4F" w:rsidRDefault="00CE1EE7" w:rsidP="005A56EE">
      <w:pPr>
        <w:pStyle w:val="EndnoteText"/>
        <w:rPr>
          <w:szCs w:val="21"/>
        </w:rPr>
      </w:pPr>
      <w:r w:rsidRPr="00E71C4F">
        <w:rPr>
          <w:rStyle w:val="EndnoteReference"/>
          <w:szCs w:val="21"/>
        </w:rPr>
        <w:endnoteRef/>
      </w:r>
      <w:r w:rsidRPr="00E71C4F">
        <w:rPr>
          <w:szCs w:val="21"/>
        </w:rPr>
        <w:t xml:space="preserve"> </w:t>
      </w:r>
      <w:r w:rsidR="00E325BC">
        <w:rPr>
          <w:rFonts w:cs="Arial"/>
          <w:szCs w:val="21"/>
        </w:rPr>
        <w:t>ADB,</w:t>
      </w:r>
      <w:r w:rsidR="00E325BC" w:rsidRPr="00E71C4F">
        <w:rPr>
          <w:rFonts w:cs="Arial"/>
          <w:szCs w:val="21"/>
        </w:rPr>
        <w:t xml:space="preserve"> </w:t>
      </w:r>
      <w:r w:rsidRPr="00E71C4F">
        <w:rPr>
          <w:rFonts w:cs="Arial"/>
          <w:szCs w:val="21"/>
        </w:rPr>
        <w:t>2014. Asian Development Outlook 2014. Manila. &lt;</w:t>
      </w:r>
      <w:hyperlink r:id="rId10" w:history="1">
        <w:r w:rsidRPr="00E71C4F">
          <w:rPr>
            <w:rStyle w:val="Hyperlink"/>
            <w:rFonts w:cs="Arial"/>
            <w:sz w:val="21"/>
            <w:szCs w:val="21"/>
          </w:rPr>
          <w:t>http://www.adb.org/countries/myanmar/economy</w:t>
        </w:r>
      </w:hyperlink>
      <w:r w:rsidRPr="00E71C4F">
        <w:rPr>
          <w:rFonts w:cs="Arial"/>
          <w:szCs w:val="21"/>
        </w:rPr>
        <w:t>&gt;</w:t>
      </w:r>
    </w:p>
  </w:endnote>
  <w:endnote w:id="14">
    <w:p w:rsidR="00CE1EE7" w:rsidRPr="00E71C4F" w:rsidRDefault="00CE1EE7" w:rsidP="00787171">
      <w:pPr>
        <w:pStyle w:val="EndnoteText"/>
        <w:rPr>
          <w:szCs w:val="21"/>
        </w:rPr>
      </w:pPr>
      <w:r w:rsidRPr="00E71C4F">
        <w:rPr>
          <w:rStyle w:val="EndnoteReference"/>
          <w:szCs w:val="21"/>
        </w:rPr>
        <w:endnoteRef/>
      </w:r>
      <w:r w:rsidRPr="00E71C4F">
        <w:rPr>
          <w:szCs w:val="21"/>
        </w:rPr>
        <w:t xml:space="preserve"> Preliminary outcome, subject to change. Provided by External Budget Branch, DFAT.</w:t>
      </w:r>
    </w:p>
  </w:endnote>
  <w:endnote w:id="15">
    <w:p w:rsidR="00CE1EE7" w:rsidRDefault="00CE1EE7">
      <w:pPr>
        <w:pStyle w:val="EndnoteText"/>
      </w:pPr>
      <w:r>
        <w:rPr>
          <w:rStyle w:val="EndnoteReference"/>
        </w:rPr>
        <w:endnoteRef/>
      </w:r>
      <w:r>
        <w:t xml:space="preserve"> </w:t>
      </w:r>
      <w:hyperlink r:id="rId11" w:history="1">
        <w:r w:rsidRPr="009C384F">
          <w:rPr>
            <w:rStyle w:val="Hyperlink"/>
            <w:sz w:val="21"/>
          </w:rPr>
          <w:t>http://www.dvb.no/news/eu-pledges-burma-up-to-e90-million-a-year-in-development-assistance-myanmar/34426</w:t>
        </w:r>
      </w:hyperlink>
    </w:p>
  </w:endnote>
  <w:endnote w:id="16">
    <w:p w:rsidR="00CE1EE7" w:rsidRPr="00E71C4F" w:rsidRDefault="00CE1EE7" w:rsidP="00787171">
      <w:pPr>
        <w:pStyle w:val="EndnoteText"/>
        <w:rPr>
          <w:szCs w:val="21"/>
        </w:rPr>
      </w:pPr>
      <w:r w:rsidRPr="00E71C4F">
        <w:rPr>
          <w:rStyle w:val="EndnoteReference"/>
          <w:szCs w:val="21"/>
        </w:rPr>
        <w:endnoteRef/>
      </w:r>
      <w:hyperlink r:id="rId12" w:history="1">
        <w:r w:rsidRPr="00E71C4F">
          <w:rPr>
            <w:rStyle w:val="Hyperlink"/>
            <w:sz w:val="21"/>
            <w:szCs w:val="21"/>
          </w:rPr>
          <w:t>http://www.irrawaddy.org/interview/uk-official-talks-development-aid-military-ties-burma.html</w:t>
        </w:r>
      </w:hyperlink>
    </w:p>
  </w:endnote>
  <w:endnote w:id="17">
    <w:p w:rsidR="00CE1EE7" w:rsidRPr="00E71C4F" w:rsidRDefault="00CE1EE7" w:rsidP="00787171">
      <w:pPr>
        <w:pStyle w:val="EndnoteText"/>
        <w:rPr>
          <w:szCs w:val="21"/>
        </w:rPr>
      </w:pPr>
      <w:r w:rsidRPr="00E71C4F">
        <w:rPr>
          <w:rStyle w:val="EndnoteReference"/>
          <w:szCs w:val="21"/>
        </w:rPr>
        <w:endnoteRef/>
      </w:r>
      <w:r w:rsidRPr="00E71C4F">
        <w:rPr>
          <w:szCs w:val="21"/>
        </w:rPr>
        <w:t xml:space="preserve"> The CIA World Factbook &lt;</w:t>
      </w:r>
      <w:hyperlink r:id="rId13" w:history="1">
        <w:r w:rsidRPr="00E71C4F">
          <w:rPr>
            <w:rStyle w:val="Hyperlink"/>
            <w:sz w:val="21"/>
            <w:szCs w:val="21"/>
          </w:rPr>
          <w:t>https://www.cia.gov/library/publications/the-world-factbook/geos/bm.html</w:t>
        </w:r>
      </w:hyperlink>
      <w:r w:rsidRPr="00E71C4F">
        <w:rPr>
          <w:szCs w:val="21"/>
        </w:rPr>
        <w:t>&gt; estimates Burma’s 2013 GDP (PPP) at US$111.1 billion. The ratio of Australia’s ODA to Burma’s GDP is based on Australia’s USD80.5 million contribution in 2013-14.</w:t>
      </w:r>
    </w:p>
  </w:endnote>
  <w:endnote w:id="18">
    <w:p w:rsidR="00CE1EE7" w:rsidRPr="00E71C4F" w:rsidRDefault="00CE1EE7" w:rsidP="003360FA">
      <w:pPr>
        <w:pStyle w:val="EndnoteText"/>
        <w:rPr>
          <w:szCs w:val="21"/>
        </w:rPr>
      </w:pPr>
      <w:r w:rsidRPr="00E71C4F">
        <w:rPr>
          <w:rStyle w:val="EndnoteReference"/>
          <w:szCs w:val="21"/>
        </w:rPr>
        <w:endnoteRef/>
      </w:r>
      <w:r w:rsidRPr="00E71C4F">
        <w:rPr>
          <w:szCs w:val="21"/>
        </w:rPr>
        <w:t xml:space="preserve"> Total expenditure on education in 2013-14 was $31.381 million which includes $3.104 million from DFAT Global and Regional Flows.</w:t>
      </w:r>
    </w:p>
  </w:endnote>
  <w:endnote w:id="19">
    <w:p w:rsidR="00CE1EE7" w:rsidRPr="003D4E8B" w:rsidRDefault="00CE1EE7" w:rsidP="00A47E8D">
      <w:pPr>
        <w:pStyle w:val="EndnoteText"/>
      </w:pPr>
      <w:r>
        <w:rPr>
          <w:rStyle w:val="EndnoteReference"/>
        </w:rPr>
        <w:endnoteRef/>
      </w:r>
      <w:r>
        <w:t xml:space="preserve"> UN Stats, </w:t>
      </w:r>
      <w:r>
        <w:rPr>
          <w:i/>
        </w:rPr>
        <w:t>Millennium Development Goal Indicators</w:t>
      </w:r>
      <w:r>
        <w:t xml:space="preserve">, (2010), </w:t>
      </w:r>
      <w:r w:rsidRPr="003D4E8B">
        <w:t>http://mdgs.un.org/unsd/mdg/Data.aspx</w:t>
      </w:r>
    </w:p>
  </w:endnote>
  <w:endnote w:id="20">
    <w:p w:rsidR="00CE1EE7" w:rsidRPr="00760E0F" w:rsidRDefault="00CE1EE7" w:rsidP="00760E0F">
      <w:pPr>
        <w:pStyle w:val="EndnoteText"/>
      </w:pPr>
      <w:r w:rsidRPr="00760E0F">
        <w:rPr>
          <w:rStyle w:val="EndnoteReference"/>
        </w:rPr>
        <w:endnoteRef/>
      </w:r>
      <w:r w:rsidRPr="00760E0F">
        <w:t xml:space="preserve"> QBEP program target of 22,000 </w:t>
      </w:r>
      <w:r w:rsidRPr="00760E0F">
        <w:rPr>
          <w:szCs w:val="21"/>
        </w:rPr>
        <w:t>children accessing ECD</w:t>
      </w:r>
      <w:r w:rsidRPr="00760E0F">
        <w:t xml:space="preserve"> with DFAT’s </w:t>
      </w:r>
      <w:r w:rsidRPr="00760E0F">
        <w:rPr>
          <w:szCs w:val="21"/>
        </w:rPr>
        <w:t>36.14</w:t>
      </w:r>
      <w:r w:rsidRPr="00760E0F">
        <w:t>% contribution to QBEP funding representing a DFAT target of 7,951. T</w:t>
      </w:r>
      <w:r w:rsidRPr="00760E0F">
        <w:rPr>
          <w:szCs w:val="21"/>
        </w:rPr>
        <w:t>otal QBEP result 28,813.</w:t>
      </w:r>
      <w:r w:rsidRPr="003F3D7D">
        <w:rPr>
          <w:i/>
          <w:szCs w:val="21"/>
        </w:rPr>
        <w:t xml:space="preserve"> QBEP 2013 Annual Report p11-12. </w:t>
      </w:r>
      <w:r w:rsidRPr="00A91306">
        <w:t xml:space="preserve">MEC program target of 17,100 </w:t>
      </w:r>
      <w:r w:rsidRPr="00760E0F">
        <w:rPr>
          <w:szCs w:val="21"/>
        </w:rPr>
        <w:t>children accessing ECD</w:t>
      </w:r>
      <w:r w:rsidRPr="00760E0F">
        <w:t xml:space="preserve"> with DFAT’s </w:t>
      </w:r>
      <w:r w:rsidRPr="00760E0F">
        <w:rPr>
          <w:szCs w:val="21"/>
        </w:rPr>
        <w:t>75</w:t>
      </w:r>
      <w:r w:rsidRPr="00760E0F">
        <w:t>% contribution to MEC funding representing a DFAT target of 12,825. T</w:t>
      </w:r>
      <w:r w:rsidRPr="00760E0F">
        <w:rPr>
          <w:szCs w:val="21"/>
        </w:rPr>
        <w:t>otal MEC result 4,914.</w:t>
      </w:r>
      <w:r w:rsidRPr="00760E0F">
        <w:rPr>
          <w:i/>
          <w:szCs w:val="21"/>
        </w:rPr>
        <w:t xml:space="preserve"> MEC 2013 Annual Report Annex 5.</w:t>
      </w:r>
    </w:p>
  </w:endnote>
  <w:endnote w:id="21">
    <w:p w:rsidR="00CE1EE7" w:rsidRPr="008A1996" w:rsidRDefault="00CE1EE7" w:rsidP="00760E0F">
      <w:pPr>
        <w:pStyle w:val="EndnoteText"/>
        <w:rPr>
          <w:highlight w:val="yellow"/>
        </w:rPr>
      </w:pPr>
      <w:r w:rsidRPr="00760E0F">
        <w:rPr>
          <w:rStyle w:val="EndnoteReference"/>
        </w:rPr>
        <w:endnoteRef/>
      </w:r>
      <w:r w:rsidRPr="00760E0F">
        <w:t xml:space="preserve"> Education</w:t>
      </w:r>
      <w:r w:rsidRPr="008646AD">
        <w:t xml:space="preserve"> for Food program target of 37,500 children received nutritional support with DFAT’s 100% contribution to World Food Program funding representing a DFAT target of 37,500. Total result has been extrapolated from provisional figures provided by WFP for total number of people reached (79 million people). It has been determined that Australia's $1,926,782 funding to the Education for Food program constituted 2.03% of all WFP funding in Burma (USD$95,117,699), and consequently reached 34,726 people. Figures have been provided by WFP, taken from the contributions page of the WFP website, and harvested from Resourcing Proposals provided by WFP throughout 2013</w:t>
      </w:r>
      <w:r>
        <w:t>.</w:t>
      </w:r>
    </w:p>
  </w:endnote>
  <w:endnote w:id="22">
    <w:p w:rsidR="00CE1EE7" w:rsidRPr="00DE1D58" w:rsidRDefault="00CE1EE7">
      <w:pPr>
        <w:pStyle w:val="EndnoteText"/>
      </w:pPr>
      <w:r w:rsidRPr="00DE1D58">
        <w:rPr>
          <w:rStyle w:val="EndnoteReference"/>
        </w:rPr>
        <w:endnoteRef/>
      </w:r>
      <w:r w:rsidRPr="00DE1D58">
        <w:t xml:space="preserve"> QBEP program target of </w:t>
      </w:r>
      <w:r>
        <w:t>24,000</w:t>
      </w:r>
      <w:r w:rsidRPr="00DE1D58">
        <w:t xml:space="preserve"> additional school enrolments with DFAT’s </w:t>
      </w:r>
      <w:r w:rsidRPr="00DE1D58">
        <w:rPr>
          <w:szCs w:val="21"/>
        </w:rPr>
        <w:t>36.14</w:t>
      </w:r>
      <w:r w:rsidRPr="00DE1D58">
        <w:t xml:space="preserve">% contribution to QBEP funding representing a DFAT target of </w:t>
      </w:r>
      <w:r>
        <w:t>8</w:t>
      </w:r>
      <w:r w:rsidRPr="00DE1D58">
        <w:t>,</w:t>
      </w:r>
      <w:r>
        <w:t>674</w:t>
      </w:r>
      <w:r w:rsidRPr="00DE1D58">
        <w:t xml:space="preserve">. </w:t>
      </w:r>
      <w:r w:rsidRPr="00DE1D58">
        <w:rPr>
          <w:i/>
          <w:szCs w:val="21"/>
        </w:rPr>
        <w:t>QBEP 2013 Annual Report p11-12.</w:t>
      </w:r>
      <w:r>
        <w:rPr>
          <w:i/>
          <w:szCs w:val="21"/>
        </w:rPr>
        <w:t xml:space="preserve"> </w:t>
      </w:r>
      <w:r w:rsidRPr="00914389">
        <w:t xml:space="preserve">MEC program target of 5,250 additional </w:t>
      </w:r>
      <w:r w:rsidRPr="00FB6BF0">
        <w:t xml:space="preserve">school enrolments </w:t>
      </w:r>
      <w:r w:rsidRPr="00914389">
        <w:t xml:space="preserve">with DFAT’s </w:t>
      </w:r>
      <w:r w:rsidRPr="00914389">
        <w:rPr>
          <w:szCs w:val="21"/>
        </w:rPr>
        <w:t>75</w:t>
      </w:r>
      <w:r w:rsidRPr="00914389">
        <w:t xml:space="preserve">% contribution to QBEP funding representing a DFAT target of 3,938. MEC result of 3,248. </w:t>
      </w:r>
      <w:r w:rsidRPr="00914389">
        <w:rPr>
          <w:i/>
          <w:szCs w:val="21"/>
        </w:rPr>
        <w:t>MEC 2013 Annual Report Annex 5</w:t>
      </w:r>
      <w:r>
        <w:rPr>
          <w:i/>
          <w:szCs w:val="21"/>
        </w:rPr>
        <w:t>.</w:t>
      </w:r>
    </w:p>
  </w:endnote>
  <w:endnote w:id="23">
    <w:p w:rsidR="00CE1EE7" w:rsidRDefault="00CE1EE7" w:rsidP="00760E0F">
      <w:pPr>
        <w:pStyle w:val="EndnoteText"/>
      </w:pPr>
      <w:r w:rsidRPr="00803547">
        <w:rPr>
          <w:rStyle w:val="EndnoteReference"/>
        </w:rPr>
        <w:endnoteRef/>
      </w:r>
      <w:r w:rsidRPr="00803547">
        <w:t xml:space="preserve"> </w:t>
      </w:r>
      <w:r w:rsidRPr="00CE1EE7">
        <w:t>QBEP</w:t>
      </w:r>
      <w:r w:rsidRPr="00FB6BF0">
        <w:t xml:space="preserve"> program target of 830,000 children </w:t>
      </w:r>
      <w:r w:rsidRPr="00FB6BF0">
        <w:rPr>
          <w:szCs w:val="21"/>
        </w:rPr>
        <w:t>receiving school supplies</w:t>
      </w:r>
      <w:r w:rsidRPr="00FB6BF0">
        <w:t xml:space="preserve"> with DFAT’s </w:t>
      </w:r>
      <w:r w:rsidRPr="00FB6BF0">
        <w:rPr>
          <w:szCs w:val="21"/>
        </w:rPr>
        <w:t>36.14</w:t>
      </w:r>
      <w:r w:rsidRPr="00FB6BF0">
        <w:t>% contribution to QBEP funding representing a DFAT target of 299,962. T</w:t>
      </w:r>
      <w:r w:rsidRPr="00FB6BF0">
        <w:rPr>
          <w:szCs w:val="21"/>
        </w:rPr>
        <w:t xml:space="preserve">otal QBEP result 758,054. </w:t>
      </w:r>
      <w:r w:rsidRPr="00FB6BF0">
        <w:rPr>
          <w:i/>
          <w:szCs w:val="21"/>
        </w:rPr>
        <w:t>QBEP 2013 Annual Report p11-12.</w:t>
      </w:r>
    </w:p>
  </w:endnote>
  <w:endnote w:id="24">
    <w:p w:rsidR="00CE1EE7" w:rsidRPr="00E71C4F" w:rsidRDefault="00CE1EE7" w:rsidP="00760E0F">
      <w:pPr>
        <w:pStyle w:val="EndnoteText"/>
        <w:rPr>
          <w:szCs w:val="21"/>
        </w:rPr>
      </w:pPr>
      <w:r w:rsidRPr="00E71C4F">
        <w:rPr>
          <w:rStyle w:val="EndnoteReference"/>
          <w:szCs w:val="21"/>
        </w:rPr>
        <w:endnoteRef/>
      </w:r>
      <w:r w:rsidRPr="00E71C4F">
        <w:rPr>
          <w:szCs w:val="21"/>
        </w:rPr>
        <w:t xml:space="preserve"> </w:t>
      </w:r>
      <w:r w:rsidRPr="00A27531">
        <w:t xml:space="preserve">QBEP program target of </w:t>
      </w:r>
      <w:r>
        <w:t>24,000</w:t>
      </w:r>
      <w:r w:rsidRPr="00A27531">
        <w:t xml:space="preserve"> </w:t>
      </w:r>
      <w:r>
        <w:t>out of school children enrolled in non-formal education</w:t>
      </w:r>
      <w:r w:rsidRPr="00A27531">
        <w:t xml:space="preserve"> with DFAT’s </w:t>
      </w:r>
      <w:r w:rsidRPr="00A27531">
        <w:rPr>
          <w:szCs w:val="21"/>
        </w:rPr>
        <w:t>36.14</w:t>
      </w:r>
      <w:r w:rsidRPr="00A27531">
        <w:t xml:space="preserve">% contribution to QBEP funding representing a DFAT target of </w:t>
      </w:r>
      <w:r>
        <w:t>8,674</w:t>
      </w:r>
      <w:r w:rsidRPr="00A27531">
        <w:t>. T</w:t>
      </w:r>
      <w:r w:rsidRPr="00A27531">
        <w:rPr>
          <w:szCs w:val="21"/>
        </w:rPr>
        <w:t xml:space="preserve">otal QBEP result </w:t>
      </w:r>
      <w:r>
        <w:rPr>
          <w:szCs w:val="21"/>
        </w:rPr>
        <w:t>20,000</w:t>
      </w:r>
      <w:r w:rsidRPr="00A27531">
        <w:rPr>
          <w:szCs w:val="21"/>
        </w:rPr>
        <w:t xml:space="preserve">. </w:t>
      </w:r>
      <w:r w:rsidRPr="00A27531">
        <w:rPr>
          <w:i/>
          <w:szCs w:val="21"/>
        </w:rPr>
        <w:t>QBEP 2013 Annual Report p11-12.</w:t>
      </w:r>
      <w:r>
        <w:rPr>
          <w:i/>
          <w:szCs w:val="21"/>
        </w:rPr>
        <w:t xml:space="preserve"> </w:t>
      </w:r>
      <w:r>
        <w:t>MEC</w:t>
      </w:r>
      <w:r w:rsidRPr="00A27531">
        <w:t xml:space="preserve"> program target of </w:t>
      </w:r>
      <w:r>
        <w:t>5,250</w:t>
      </w:r>
      <w:r w:rsidRPr="00A27531">
        <w:t xml:space="preserve"> </w:t>
      </w:r>
      <w:r>
        <w:t>out of school children enrolled in non-formal education</w:t>
      </w:r>
      <w:r w:rsidRPr="00A27531">
        <w:t xml:space="preserve"> with DFAT’s </w:t>
      </w:r>
      <w:r>
        <w:rPr>
          <w:szCs w:val="21"/>
        </w:rPr>
        <w:t>75</w:t>
      </w:r>
      <w:r w:rsidRPr="00A27531">
        <w:t xml:space="preserve">% contribution to </w:t>
      </w:r>
      <w:r>
        <w:t>MEC</w:t>
      </w:r>
      <w:r w:rsidRPr="00A27531">
        <w:t xml:space="preserve"> funding representing a DFAT target of </w:t>
      </w:r>
      <w:r>
        <w:t>3,938</w:t>
      </w:r>
      <w:r w:rsidRPr="00A27531">
        <w:t>. T</w:t>
      </w:r>
      <w:r w:rsidRPr="00A27531">
        <w:rPr>
          <w:szCs w:val="21"/>
        </w:rPr>
        <w:t xml:space="preserve">otal </w:t>
      </w:r>
      <w:r>
        <w:rPr>
          <w:szCs w:val="21"/>
        </w:rPr>
        <w:t>MEC</w:t>
      </w:r>
      <w:r w:rsidRPr="00A27531">
        <w:rPr>
          <w:szCs w:val="21"/>
        </w:rPr>
        <w:t xml:space="preserve"> result </w:t>
      </w:r>
      <w:r>
        <w:rPr>
          <w:szCs w:val="21"/>
        </w:rPr>
        <w:t>4,330</w:t>
      </w:r>
      <w:r w:rsidRPr="00A27531">
        <w:rPr>
          <w:szCs w:val="21"/>
        </w:rPr>
        <w:t xml:space="preserve">. </w:t>
      </w:r>
      <w:r w:rsidRPr="00D31DAF">
        <w:rPr>
          <w:i/>
          <w:szCs w:val="21"/>
        </w:rPr>
        <w:t>MEC 2013 Annual Report Annex 5</w:t>
      </w:r>
      <w:r w:rsidRPr="00A27531">
        <w:rPr>
          <w:i/>
          <w:szCs w:val="21"/>
        </w:rPr>
        <w:t>.</w:t>
      </w:r>
    </w:p>
  </w:endnote>
  <w:endnote w:id="25">
    <w:p w:rsidR="00CE1EE7" w:rsidRPr="00DE1D58" w:rsidRDefault="00CE1EE7">
      <w:pPr>
        <w:pStyle w:val="EndnoteText"/>
      </w:pPr>
      <w:r w:rsidRPr="00DE1D58">
        <w:rPr>
          <w:rStyle w:val="EndnoteReference"/>
        </w:rPr>
        <w:endnoteRef/>
      </w:r>
      <w:r w:rsidRPr="00DE1D58">
        <w:t xml:space="preserve"> A key milestone in the Performance Assessment Framework with a 2013/14 milestone of 5,000.</w:t>
      </w:r>
    </w:p>
  </w:endnote>
  <w:endnote w:id="26">
    <w:p w:rsidR="00CE1EE7" w:rsidRDefault="00CE1EE7">
      <w:pPr>
        <w:pStyle w:val="EndnoteText"/>
      </w:pPr>
      <w:r>
        <w:rPr>
          <w:rStyle w:val="EndnoteReference"/>
        </w:rPr>
        <w:endnoteRef/>
      </w:r>
      <w:r>
        <w:t xml:space="preserve"> A key milestone in the Performance Assessment Framework.</w:t>
      </w:r>
    </w:p>
  </w:endnote>
  <w:endnote w:id="27">
    <w:p w:rsidR="00CE1EE7" w:rsidRDefault="00CE1EE7">
      <w:pPr>
        <w:pStyle w:val="EndnoteText"/>
      </w:pPr>
      <w:r>
        <w:rPr>
          <w:rStyle w:val="EndnoteReference"/>
        </w:rPr>
        <w:endnoteRef/>
      </w:r>
      <w:r>
        <w:t xml:space="preserve"> A key milestone in the Performance Assessment Framework.</w:t>
      </w:r>
    </w:p>
  </w:endnote>
  <w:endnote w:id="28">
    <w:p w:rsidR="00CE1EE7" w:rsidRDefault="00CE1EE7">
      <w:pPr>
        <w:pStyle w:val="EndnoteText"/>
      </w:pPr>
      <w:r>
        <w:rPr>
          <w:rStyle w:val="EndnoteReference"/>
        </w:rPr>
        <w:endnoteRef/>
      </w:r>
      <w:r>
        <w:t xml:space="preserve"> The early grade reading assessment is a literacy and numeracy test in grades 1 and 5 undertaken every 2 years to determine if improvements are being achieved.</w:t>
      </w:r>
    </w:p>
  </w:endnote>
  <w:endnote w:id="29">
    <w:p w:rsidR="00CE1EE7" w:rsidRDefault="00CE1EE7">
      <w:pPr>
        <w:pStyle w:val="EndnoteText"/>
      </w:pPr>
      <w:r>
        <w:rPr>
          <w:rStyle w:val="EndnoteReference"/>
        </w:rPr>
        <w:endnoteRef/>
      </w:r>
      <w:r>
        <w:t xml:space="preserve"> Reporting of Australia’s results in the health sector is reliant on the national health management information system and is therefore unable to disaggregate results by sex.</w:t>
      </w:r>
    </w:p>
  </w:endnote>
  <w:endnote w:id="30">
    <w:p w:rsidR="00CE1EE7" w:rsidRPr="00AB1DC0" w:rsidRDefault="00CE1EE7" w:rsidP="00AB1DC0">
      <w:pPr>
        <w:rPr>
          <w:rFonts w:ascii="Calibri" w:hAnsi="Calibri" w:cs="Calibri"/>
          <w:color w:val="1F497D"/>
          <w:sz w:val="22"/>
          <w:szCs w:val="22"/>
        </w:rPr>
      </w:pPr>
      <w:r>
        <w:rPr>
          <w:rStyle w:val="EndnoteReference"/>
        </w:rPr>
        <w:endnoteRef/>
      </w:r>
      <w:r>
        <w:t xml:space="preserve"> </w:t>
      </w:r>
      <w:r w:rsidRPr="00AB1DC0">
        <w:rPr>
          <w:rFonts w:ascii="Franklin Gothic Book" w:eastAsia="Times New Roman" w:hAnsi="Franklin Gothic Book"/>
          <w:sz w:val="21"/>
          <w:szCs w:val="20"/>
        </w:rPr>
        <w:t>Previous health programs focused on the three diseases (3DF), maternal and child health (JIMNCH and Joint UN MNCH) and harm reduction services (HAARP) have been transitioned into the 3MDG reducing fragmentation in our health investments.</w:t>
      </w:r>
    </w:p>
  </w:endnote>
  <w:endnote w:id="31">
    <w:p w:rsidR="00CE1EE7" w:rsidRDefault="00CE1EE7">
      <w:pPr>
        <w:pStyle w:val="EndnoteText"/>
      </w:pPr>
      <w:r>
        <w:rPr>
          <w:rStyle w:val="EndnoteReference"/>
        </w:rPr>
        <w:endnoteRef/>
      </w:r>
      <w:r>
        <w:t xml:space="preserve"> After the United Kingdom</w:t>
      </w:r>
    </w:p>
  </w:endnote>
  <w:endnote w:id="32">
    <w:p w:rsidR="00CE1EE7" w:rsidRDefault="00CE1EE7">
      <w:pPr>
        <w:pStyle w:val="EndnoteText"/>
      </w:pPr>
      <w:r>
        <w:rPr>
          <w:rStyle w:val="EndnoteReference"/>
        </w:rPr>
        <w:endnoteRef/>
      </w:r>
      <w:r>
        <w:t xml:space="preserve"> </w:t>
      </w:r>
      <w:r w:rsidRPr="00A23BCC">
        <w:t xml:space="preserve">Plans include working with </w:t>
      </w:r>
      <w:r>
        <w:t xml:space="preserve">the </w:t>
      </w:r>
      <w:r w:rsidRPr="00A23BCC">
        <w:t xml:space="preserve">government on policy (e.g. National Strategic Plan on Advancement of Women – under Ministry of Social Welfare) and Humanitarian Partnership for Accountability </w:t>
      </w:r>
      <w:r>
        <w:t>plans to</w:t>
      </w:r>
      <w:r w:rsidRPr="00A23BCC">
        <w:t xml:space="preserve"> </w:t>
      </w:r>
      <w:r>
        <w:t xml:space="preserve">undertake </w:t>
      </w:r>
      <w:r w:rsidRPr="00A23BCC">
        <w:t>capac</w:t>
      </w:r>
      <w:r>
        <w:t>ity building and practices of implementing partners</w:t>
      </w:r>
      <w:r w:rsidRPr="00A23BCC">
        <w:t xml:space="preserve"> on inclusivity and gender.</w:t>
      </w:r>
    </w:p>
  </w:endnote>
  <w:endnote w:id="33">
    <w:p w:rsidR="00CE1EE7" w:rsidRDefault="00CE1EE7">
      <w:pPr>
        <w:pStyle w:val="EndnoteText"/>
      </w:pPr>
      <w:r>
        <w:rPr>
          <w:rStyle w:val="EndnoteReference"/>
        </w:rPr>
        <w:endnoteRef/>
      </w:r>
      <w:r>
        <w:t xml:space="preserve"> 4. Reduce Child mortality and 5. Improve maternal health. </w:t>
      </w:r>
    </w:p>
  </w:endnote>
  <w:endnote w:id="34">
    <w:p w:rsidR="00CE1EE7" w:rsidRPr="00E71C4F" w:rsidRDefault="00CE1EE7" w:rsidP="0068479D">
      <w:pPr>
        <w:pStyle w:val="EndnoteText"/>
        <w:rPr>
          <w:szCs w:val="21"/>
        </w:rPr>
      </w:pPr>
      <w:r w:rsidRPr="00E71C4F">
        <w:rPr>
          <w:rStyle w:val="EndnoteReference"/>
          <w:szCs w:val="21"/>
        </w:rPr>
        <w:endnoteRef/>
      </w:r>
      <w:r w:rsidRPr="00E71C4F">
        <w:rPr>
          <w:szCs w:val="21"/>
        </w:rPr>
        <w:t xml:space="preserve"> </w:t>
      </w:r>
      <w:r>
        <w:t>A key milestone in the Performance Assessment Framework. PAF target of 22,933 with DFAT’s 30% funding contribution to 3MDG representing a DFAT target of 7644.</w:t>
      </w:r>
    </w:p>
  </w:endnote>
  <w:endnote w:id="35">
    <w:p w:rsidR="00CE1EE7" w:rsidRPr="00222B39" w:rsidRDefault="00CE1EE7">
      <w:pPr>
        <w:pStyle w:val="EndnoteText"/>
        <w:rPr>
          <w:szCs w:val="21"/>
        </w:rPr>
      </w:pPr>
      <w:r>
        <w:rPr>
          <w:rStyle w:val="EndnoteReference"/>
        </w:rPr>
        <w:endnoteRef/>
      </w:r>
      <w:r>
        <w:t xml:space="preserve"> 3MDG program target of 3,400 with DFAT’s 30% funding contribution to 3MDG representing a DFAT target of 1133.</w:t>
      </w:r>
    </w:p>
  </w:endnote>
  <w:endnote w:id="36">
    <w:p w:rsidR="00CE1EE7" w:rsidRPr="000719C9" w:rsidRDefault="00CE1EE7" w:rsidP="0068479D">
      <w:pPr>
        <w:pStyle w:val="EndnoteText"/>
        <w:rPr>
          <w:szCs w:val="21"/>
        </w:rPr>
      </w:pPr>
      <w:r w:rsidRPr="00E71C4F">
        <w:rPr>
          <w:rStyle w:val="EndnoteReference"/>
          <w:szCs w:val="21"/>
        </w:rPr>
        <w:endnoteRef/>
      </w:r>
      <w:r w:rsidRPr="00E71C4F">
        <w:rPr>
          <w:szCs w:val="21"/>
        </w:rPr>
        <w:t xml:space="preserve"> </w:t>
      </w:r>
      <w:r>
        <w:t xml:space="preserve">A key milestone in the Performance Assessment Framework. PAF target of 29,512 with </w:t>
      </w:r>
      <w:r w:rsidRPr="000719C9">
        <w:t>DFAT’s 30% funding contribution to 3MDG representing a DFAT target of 9837.</w:t>
      </w:r>
    </w:p>
  </w:endnote>
  <w:endnote w:id="37">
    <w:p w:rsidR="00CE1EE7" w:rsidRPr="000719C9" w:rsidRDefault="00CE1EE7">
      <w:pPr>
        <w:pStyle w:val="EndnoteText"/>
      </w:pPr>
      <w:r w:rsidRPr="000719C9">
        <w:rPr>
          <w:rStyle w:val="EndnoteReference"/>
        </w:rPr>
        <w:endnoteRef/>
      </w:r>
      <w:r w:rsidRPr="000719C9">
        <w:t xml:space="preserve"> A key milestone in the Performance Assessment Framework. PAF target of 28,539 with DFAT’s 30% funding contribution to 3MDG representing a DFAT target of 9513.</w:t>
      </w:r>
    </w:p>
  </w:endnote>
  <w:endnote w:id="38">
    <w:p w:rsidR="00CE1EE7" w:rsidRPr="000719C9" w:rsidRDefault="00CE1EE7">
      <w:pPr>
        <w:pStyle w:val="EndnoteText"/>
      </w:pPr>
      <w:r w:rsidRPr="000719C9">
        <w:rPr>
          <w:rStyle w:val="EndnoteReference"/>
        </w:rPr>
        <w:endnoteRef/>
      </w:r>
      <w:r w:rsidRPr="000719C9">
        <w:t xml:space="preserve"> 3MDG program target of 23,000 with DFAT’s 30% contribution to 3MDG funding representing a DFAT target of 7666.</w:t>
      </w:r>
    </w:p>
  </w:endnote>
  <w:endnote w:id="39">
    <w:p w:rsidR="00CE1EE7" w:rsidRPr="000719C9" w:rsidRDefault="00CE1EE7">
      <w:pPr>
        <w:pStyle w:val="EndnoteText"/>
      </w:pPr>
      <w:r w:rsidRPr="000719C9">
        <w:rPr>
          <w:rStyle w:val="EndnoteReference"/>
        </w:rPr>
        <w:endnoteRef/>
      </w:r>
      <w:r w:rsidRPr="000719C9">
        <w:t xml:space="preserve"> Meeting the Performance Assessment Framework milestone.</w:t>
      </w:r>
    </w:p>
  </w:endnote>
  <w:endnote w:id="40">
    <w:p w:rsidR="00CE1EE7" w:rsidRPr="000719C9" w:rsidRDefault="00CE1EE7" w:rsidP="00107634">
      <w:pPr>
        <w:pStyle w:val="EndnoteText"/>
        <w:rPr>
          <w:szCs w:val="21"/>
        </w:rPr>
      </w:pPr>
      <w:r w:rsidRPr="000719C9">
        <w:rPr>
          <w:rStyle w:val="EndnoteReference"/>
          <w:szCs w:val="21"/>
        </w:rPr>
        <w:endnoteRef/>
      </w:r>
      <w:r w:rsidRPr="000719C9">
        <w:rPr>
          <w:szCs w:val="21"/>
        </w:rPr>
        <w:t xml:space="preserve"> Asian Development Bank, Myanmar: Agriculture, Natural Resources, and Environment Initial Sector Assessment, Strategy, and Road Map (April 2014), page 4.</w:t>
      </w:r>
    </w:p>
  </w:endnote>
  <w:endnote w:id="41">
    <w:p w:rsidR="00CE1EE7" w:rsidRDefault="00CE1EE7" w:rsidP="00107634">
      <w:pPr>
        <w:pStyle w:val="EndnoteText"/>
      </w:pPr>
      <w:r>
        <w:rPr>
          <w:rStyle w:val="EndnoteReference"/>
        </w:rPr>
        <w:endnoteRef/>
      </w:r>
      <w:r>
        <w:t xml:space="preserve"> LIFT</w:t>
      </w:r>
      <w:r w:rsidRPr="00DE1D58">
        <w:t xml:space="preserve"> program target of </w:t>
      </w:r>
      <w:r>
        <w:t>80,000 households with increased incomes</w:t>
      </w:r>
      <w:r w:rsidRPr="00DE1D58">
        <w:t xml:space="preserve"> with DFAT’s </w:t>
      </w:r>
      <w:r>
        <w:t>10</w:t>
      </w:r>
      <w:r w:rsidRPr="00DE1D58">
        <w:rPr>
          <w:szCs w:val="21"/>
        </w:rPr>
        <w:t>.</w:t>
      </w:r>
      <w:r>
        <w:rPr>
          <w:szCs w:val="21"/>
        </w:rPr>
        <w:t>3</w:t>
      </w:r>
      <w:r w:rsidRPr="00DE1D58">
        <w:t xml:space="preserve">% contribution to </w:t>
      </w:r>
      <w:r>
        <w:t>LIFT</w:t>
      </w:r>
      <w:r w:rsidRPr="00DE1D58">
        <w:t xml:space="preserve"> funding representing a DFAT target of </w:t>
      </w:r>
      <w:r>
        <w:t>8,240</w:t>
      </w:r>
      <w:r w:rsidRPr="00DE1D58">
        <w:t>. T</w:t>
      </w:r>
      <w:r w:rsidRPr="00DE1D58">
        <w:rPr>
          <w:szCs w:val="21"/>
        </w:rPr>
        <w:t xml:space="preserve">otal </w:t>
      </w:r>
      <w:r>
        <w:rPr>
          <w:szCs w:val="21"/>
        </w:rPr>
        <w:t>LIFT</w:t>
      </w:r>
      <w:r w:rsidRPr="00DE1D58">
        <w:rPr>
          <w:szCs w:val="21"/>
        </w:rPr>
        <w:t xml:space="preserve"> result </w:t>
      </w:r>
      <w:r>
        <w:rPr>
          <w:szCs w:val="21"/>
        </w:rPr>
        <w:t xml:space="preserve">74,164. </w:t>
      </w:r>
      <w:r w:rsidRPr="00260083">
        <w:t>Draft LIFT 2013 Annual Report</w:t>
      </w:r>
      <w:r>
        <w:t>.</w:t>
      </w:r>
    </w:p>
  </w:endnote>
  <w:endnote w:id="42">
    <w:p w:rsidR="00CE1EE7" w:rsidRDefault="00CE1EE7" w:rsidP="00107634">
      <w:pPr>
        <w:pStyle w:val="EndnoteText"/>
      </w:pPr>
      <w:r>
        <w:rPr>
          <w:rStyle w:val="EndnoteReference"/>
        </w:rPr>
        <w:endnoteRef/>
      </w:r>
      <w:r>
        <w:t xml:space="preserve"> LIFT</w:t>
      </w:r>
      <w:r w:rsidRPr="00DE1D58">
        <w:t xml:space="preserve"> program target of </w:t>
      </w:r>
      <w:r>
        <w:t>120,000 beneficiaries with increased food security</w:t>
      </w:r>
      <w:r w:rsidRPr="00DE1D58">
        <w:t xml:space="preserve"> with DFAT’s </w:t>
      </w:r>
      <w:r>
        <w:t>10</w:t>
      </w:r>
      <w:r w:rsidRPr="00DE1D58">
        <w:rPr>
          <w:szCs w:val="21"/>
        </w:rPr>
        <w:t>.</w:t>
      </w:r>
      <w:r>
        <w:rPr>
          <w:szCs w:val="21"/>
        </w:rPr>
        <w:t>3</w:t>
      </w:r>
      <w:r w:rsidRPr="00DE1D58">
        <w:t xml:space="preserve">% contribution to </w:t>
      </w:r>
      <w:r>
        <w:t>LIFT</w:t>
      </w:r>
      <w:r w:rsidRPr="00DE1D58">
        <w:t xml:space="preserve"> funding representing a DFAT target of</w:t>
      </w:r>
      <w:r>
        <w:t xml:space="preserve"> 12,360</w:t>
      </w:r>
      <w:r w:rsidRPr="00DE1D58">
        <w:t>. T</w:t>
      </w:r>
      <w:r w:rsidRPr="00DE1D58">
        <w:rPr>
          <w:szCs w:val="21"/>
        </w:rPr>
        <w:t xml:space="preserve">otal </w:t>
      </w:r>
      <w:r>
        <w:rPr>
          <w:szCs w:val="21"/>
        </w:rPr>
        <w:t>LIFT</w:t>
      </w:r>
      <w:r w:rsidRPr="00DE1D58">
        <w:rPr>
          <w:szCs w:val="21"/>
        </w:rPr>
        <w:t xml:space="preserve"> result </w:t>
      </w:r>
      <w:r>
        <w:rPr>
          <w:szCs w:val="21"/>
        </w:rPr>
        <w:t xml:space="preserve">250,000. </w:t>
      </w:r>
      <w:r w:rsidRPr="00260083">
        <w:t>Draft LIFT 2013 Annual Report</w:t>
      </w:r>
      <w:r>
        <w:t>.</w:t>
      </w:r>
    </w:p>
  </w:endnote>
  <w:endnote w:id="43">
    <w:p w:rsidR="00CE1EE7" w:rsidRDefault="00CE1EE7" w:rsidP="00107634">
      <w:pPr>
        <w:pStyle w:val="EndnoteText"/>
      </w:pPr>
      <w:r>
        <w:rPr>
          <w:rStyle w:val="EndnoteReference"/>
        </w:rPr>
        <w:endnoteRef/>
      </w:r>
      <w:r>
        <w:t xml:space="preserve"> LIFT</w:t>
      </w:r>
      <w:r w:rsidRPr="00DE1D58">
        <w:t xml:space="preserve"> program target of </w:t>
      </w:r>
      <w:r>
        <w:t>100,000 households with increased access to financial services</w:t>
      </w:r>
      <w:r w:rsidRPr="00DE1D58">
        <w:t xml:space="preserve"> with DFAT’s </w:t>
      </w:r>
      <w:r>
        <w:t>10</w:t>
      </w:r>
      <w:r w:rsidRPr="00DE1D58">
        <w:rPr>
          <w:szCs w:val="21"/>
        </w:rPr>
        <w:t>.</w:t>
      </w:r>
      <w:r>
        <w:rPr>
          <w:szCs w:val="21"/>
        </w:rPr>
        <w:t>3</w:t>
      </w:r>
      <w:r w:rsidRPr="00DE1D58">
        <w:t xml:space="preserve">% contribution to </w:t>
      </w:r>
      <w:r>
        <w:t>LIFT</w:t>
      </w:r>
      <w:r w:rsidRPr="00DE1D58">
        <w:t xml:space="preserve"> funding representing a DFAT target of</w:t>
      </w:r>
      <w:r>
        <w:t xml:space="preserve"> 10,300</w:t>
      </w:r>
      <w:r w:rsidRPr="00DE1D58">
        <w:t>. T</w:t>
      </w:r>
      <w:r w:rsidRPr="00DE1D58">
        <w:rPr>
          <w:szCs w:val="21"/>
        </w:rPr>
        <w:t xml:space="preserve">otal </w:t>
      </w:r>
      <w:r>
        <w:rPr>
          <w:szCs w:val="21"/>
        </w:rPr>
        <w:t>LIFT</w:t>
      </w:r>
      <w:r w:rsidRPr="00DE1D58">
        <w:rPr>
          <w:szCs w:val="21"/>
        </w:rPr>
        <w:t xml:space="preserve"> result </w:t>
      </w:r>
      <w:r>
        <w:rPr>
          <w:szCs w:val="21"/>
        </w:rPr>
        <w:t>151</w:t>
      </w:r>
      <w:r w:rsidRPr="00260083">
        <w:t>,212. Draft LIFT 2013 Annual Report</w:t>
      </w:r>
      <w:r>
        <w:t>.</w:t>
      </w:r>
    </w:p>
  </w:endnote>
  <w:endnote w:id="44">
    <w:p w:rsidR="00CE1EE7" w:rsidRDefault="00CE1EE7" w:rsidP="00107634">
      <w:pPr>
        <w:pStyle w:val="EndnoteText"/>
      </w:pPr>
      <w:r>
        <w:rPr>
          <w:rStyle w:val="EndnoteReference"/>
        </w:rPr>
        <w:endnoteRef/>
      </w:r>
      <w:r>
        <w:t xml:space="preserve"> Draft LIFT 2013 Annual Report, pp 10, 12.</w:t>
      </w:r>
    </w:p>
  </w:endnote>
  <w:endnote w:id="45">
    <w:p w:rsidR="00CE1EE7" w:rsidRDefault="00CE1EE7" w:rsidP="00107634">
      <w:pPr>
        <w:pStyle w:val="EndnoteText"/>
      </w:pPr>
      <w:r>
        <w:rPr>
          <w:rStyle w:val="EndnoteReference"/>
        </w:rPr>
        <w:endnoteRef/>
      </w:r>
      <w:r>
        <w:t xml:space="preserve"> Draft LIFT 2013 Annual Report, p 52.</w:t>
      </w:r>
    </w:p>
  </w:endnote>
  <w:endnote w:id="46">
    <w:p w:rsidR="00CE1EE7" w:rsidRDefault="00CE1EE7" w:rsidP="00052D34">
      <w:pPr>
        <w:pStyle w:val="BodyText"/>
        <w:spacing w:after="0" w:line="240" w:lineRule="auto"/>
      </w:pPr>
      <w:r>
        <w:rPr>
          <w:rStyle w:val="EndnoteReference"/>
        </w:rPr>
        <w:endnoteRef/>
      </w:r>
      <w:r>
        <w:t xml:space="preserve"> Only one PAF milestone was not achieved under the </w:t>
      </w:r>
      <w:r w:rsidRPr="003657F1">
        <w:t>Addressing the needs of conflict and disaster-affected people</w:t>
      </w:r>
      <w:r>
        <w:t xml:space="preserve"> objective: “</w:t>
      </w:r>
      <w:r w:rsidRPr="003657F1">
        <w:t>As a result of our advocacy</w:t>
      </w:r>
      <w:r>
        <w:t xml:space="preserve"> the </w:t>
      </w:r>
      <w:r w:rsidRPr="003657F1">
        <w:rPr>
          <w:szCs w:val="21"/>
        </w:rPr>
        <w:t>Joint Peace Needs Assessment</w:t>
      </w:r>
      <w:r>
        <w:rPr>
          <w:szCs w:val="21"/>
        </w:rPr>
        <w:t xml:space="preserve"> (JPNA)</w:t>
      </w:r>
      <w:r w:rsidRPr="003657F1">
        <w:rPr>
          <w:szCs w:val="21"/>
        </w:rPr>
        <w:t xml:space="preserve"> underway and considered credible by Government, donors and ethnic groups</w:t>
      </w:r>
      <w:r>
        <w:rPr>
          <w:szCs w:val="21"/>
        </w:rPr>
        <w:t xml:space="preserve">”. </w:t>
      </w:r>
      <w:r w:rsidRPr="003657F1">
        <w:rPr>
          <w:szCs w:val="21"/>
        </w:rPr>
        <w:t>The</w:t>
      </w:r>
      <w:r>
        <w:rPr>
          <w:szCs w:val="21"/>
        </w:rPr>
        <w:t xml:space="preserve"> proposed </w:t>
      </w:r>
      <w:r w:rsidRPr="003657F1">
        <w:rPr>
          <w:szCs w:val="21"/>
        </w:rPr>
        <w:t xml:space="preserve">JPNA </w:t>
      </w:r>
      <w:r>
        <w:rPr>
          <w:szCs w:val="21"/>
        </w:rPr>
        <w:t>was to be a World Bank-led needs assessment of conflict areas, but it stalled</w:t>
      </w:r>
      <w:r w:rsidRPr="003657F1">
        <w:rPr>
          <w:szCs w:val="21"/>
        </w:rPr>
        <w:t xml:space="preserve"> to allow the Myanmar Government and ethnic groups to focus on the Nationwide Ceasefire Agreement</w:t>
      </w:r>
      <w:r w:rsidRPr="00AC60AA">
        <w:t xml:space="preserve"> negotiations.</w:t>
      </w:r>
    </w:p>
  </w:endnote>
  <w:endnote w:id="47">
    <w:p w:rsidR="00CE1EE7" w:rsidRPr="00E71C4F" w:rsidRDefault="00CE1EE7" w:rsidP="00222D03">
      <w:pPr>
        <w:pStyle w:val="EndnoteText"/>
        <w:rPr>
          <w:szCs w:val="21"/>
        </w:rPr>
      </w:pPr>
      <w:r w:rsidRPr="000719C9">
        <w:rPr>
          <w:rStyle w:val="EndnoteReference"/>
          <w:szCs w:val="21"/>
        </w:rPr>
        <w:endnoteRef/>
      </w:r>
      <w:r w:rsidRPr="000719C9">
        <w:rPr>
          <w:szCs w:val="21"/>
        </w:rPr>
        <w:t xml:space="preserve"> OCHA, Humanitarian Bulletin 5, 1-31 May 2014</w:t>
      </w:r>
    </w:p>
  </w:endnote>
  <w:endnote w:id="48">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United Nation, refugees and the Thai and Myanmar Governments.</w:t>
      </w:r>
    </w:p>
  </w:endnote>
  <w:endnote w:id="49">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Norwegian Refugee Council Progress Report June 2013 to Jan 2014</w:t>
      </w:r>
    </w:p>
  </w:endnote>
  <w:endnote w:id="50">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w:t>
      </w:r>
      <w:r w:rsidRPr="00DE1D58">
        <w:rPr>
          <w:szCs w:val="21"/>
        </w:rPr>
        <w:t>Devolved humanitarian and Mandated Flexibility</w:t>
      </w:r>
    </w:p>
  </w:endnote>
  <w:endnote w:id="51">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World Food Programme Progress Report January 2013 – July 2014</w:t>
      </w:r>
    </w:p>
  </w:endnote>
  <w:endnote w:id="52">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Save the Children Proposal 2014-15 </w:t>
      </w:r>
    </w:p>
  </w:endnote>
  <w:endnote w:id="53">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Oxfam Proposal 2014-15</w:t>
      </w:r>
    </w:p>
  </w:endnote>
  <w:endnote w:id="54">
    <w:p w:rsidR="00CE1EE7" w:rsidRDefault="00CE1EE7">
      <w:pPr>
        <w:pStyle w:val="EndnoteText"/>
      </w:pPr>
      <w:r>
        <w:rPr>
          <w:rStyle w:val="EndnoteReference"/>
        </w:rPr>
        <w:endnoteRef/>
      </w:r>
      <w:r>
        <w:t xml:space="preserve"> 30 years</w:t>
      </w:r>
    </w:p>
  </w:endnote>
  <w:endnote w:id="55">
    <w:p w:rsidR="00CE1EE7" w:rsidRPr="00E71C4F" w:rsidRDefault="00CE1EE7" w:rsidP="0014270C">
      <w:pPr>
        <w:pStyle w:val="CommentText"/>
        <w:spacing w:after="0" w:line="240" w:lineRule="auto"/>
        <w:rPr>
          <w:sz w:val="21"/>
          <w:szCs w:val="21"/>
        </w:rPr>
      </w:pPr>
      <w:r w:rsidRPr="00E71C4F">
        <w:rPr>
          <w:rStyle w:val="EndnoteReference"/>
          <w:szCs w:val="21"/>
        </w:rPr>
        <w:endnoteRef/>
      </w:r>
      <w:r w:rsidRPr="00E71C4F">
        <w:rPr>
          <w:sz w:val="21"/>
          <w:szCs w:val="21"/>
        </w:rPr>
        <w:t xml:space="preserve"> Pro rata calculation based on DFAT funds accounting for approximately 7% of delivery partner’s (The Border Consortium) annual funding in 2013 for the approximately 120,000 refugees</w:t>
      </w:r>
    </w:p>
  </w:endnote>
  <w:endnote w:id="56">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The Border Consortium Programme Report January – June 2014</w:t>
      </w:r>
    </w:p>
  </w:endnote>
  <w:endnote w:id="57">
    <w:p w:rsidR="00CE1EE7" w:rsidRPr="00E71C4F" w:rsidRDefault="00CE1EE7" w:rsidP="0014270C">
      <w:pPr>
        <w:pStyle w:val="CommentText"/>
        <w:spacing w:after="0" w:line="240" w:lineRule="auto"/>
        <w:rPr>
          <w:sz w:val="21"/>
          <w:szCs w:val="21"/>
        </w:rPr>
      </w:pPr>
      <w:r w:rsidRPr="00E71C4F">
        <w:rPr>
          <w:rStyle w:val="EndnoteReference"/>
          <w:szCs w:val="21"/>
        </w:rPr>
        <w:endnoteRef/>
      </w:r>
      <w:r w:rsidRPr="00E71C4F">
        <w:rPr>
          <w:sz w:val="21"/>
          <w:szCs w:val="21"/>
        </w:rPr>
        <w:t xml:space="preserve"> Pro rata calculation: 8,610 persons based on DFAT funding 41% of total funds for delivery partner’s (IRC) health activities in three camps with the approximate population of 21,000, and 4,830 persons based on DFAT funding 7% of delivery partner’s (PU-AMI) health activities in three camps with the approximate population of 69,000.</w:t>
      </w:r>
    </w:p>
  </w:endnote>
  <w:endnote w:id="58">
    <w:p w:rsidR="00CE1EE7" w:rsidRPr="00E71C4F" w:rsidRDefault="00CE1EE7" w:rsidP="0014270C">
      <w:pPr>
        <w:pStyle w:val="EndnoteText"/>
        <w:rPr>
          <w:szCs w:val="21"/>
        </w:rPr>
      </w:pPr>
      <w:r w:rsidRPr="00E71C4F">
        <w:rPr>
          <w:rStyle w:val="EndnoteReference"/>
          <w:szCs w:val="21"/>
        </w:rPr>
        <w:endnoteRef/>
      </w:r>
      <w:r w:rsidRPr="00E71C4F">
        <w:rPr>
          <w:szCs w:val="21"/>
        </w:rPr>
        <w:t xml:space="preserve"> Houston, L and Rharuen, P. Promoting the Health and Well-being of Displaced Persons in Thailand, August 2013.</w:t>
      </w:r>
    </w:p>
  </w:endnote>
  <w:endnote w:id="59">
    <w:p w:rsidR="00CE1EE7" w:rsidRPr="00E71C4F" w:rsidRDefault="00CE1EE7" w:rsidP="0014270C">
      <w:pPr>
        <w:pStyle w:val="CommentText"/>
        <w:spacing w:after="0" w:line="240" w:lineRule="auto"/>
        <w:rPr>
          <w:sz w:val="21"/>
          <w:szCs w:val="21"/>
        </w:rPr>
      </w:pPr>
      <w:r w:rsidRPr="00E71C4F">
        <w:rPr>
          <w:rStyle w:val="EndnoteReference"/>
          <w:szCs w:val="21"/>
        </w:rPr>
        <w:endnoteRef/>
      </w:r>
      <w:r w:rsidRPr="00E71C4F">
        <w:rPr>
          <w:sz w:val="21"/>
          <w:szCs w:val="21"/>
        </w:rPr>
        <w:t xml:space="preserve"> Pro rata calculation based on DFAT funds accounting for approximately 27% of delivery partner’s (Save the Children) funding focussing on the provision of basic education to a target of 30,000 children.</w:t>
      </w:r>
    </w:p>
  </w:endnote>
  <w:endnote w:id="60">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Save the Children Proposal 2013-2015</w:t>
      </w:r>
    </w:p>
  </w:endnote>
  <w:endnote w:id="61">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Adventist Development and Relief Agency Final Report March 2014</w:t>
      </w:r>
    </w:p>
  </w:endnote>
  <w:endnote w:id="62">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The Border Consortium Programme Report January – June 2013</w:t>
      </w:r>
    </w:p>
  </w:endnote>
  <w:endnote w:id="63">
    <w:p w:rsidR="00CE1EE7" w:rsidRDefault="00CE1EE7" w:rsidP="00A01926">
      <w:pPr>
        <w:pStyle w:val="EndnoteText"/>
      </w:pPr>
      <w:r>
        <w:rPr>
          <w:rStyle w:val="EndnoteReference"/>
        </w:rPr>
        <w:endnoteRef/>
      </w:r>
      <w:r>
        <w:t xml:space="preserve"> The 2014-15 governance milestone, “shared priorities established by human rights institutions and the Australian aid program”, is not reported against because the activity it relates to was not funded by Australia due to sufficient funding from other donors.</w:t>
      </w:r>
    </w:p>
  </w:endnote>
  <w:endnote w:id="64">
    <w:p w:rsidR="00CE1EE7" w:rsidRDefault="00CE1EE7" w:rsidP="00A01926">
      <w:pPr>
        <w:pStyle w:val="EndnoteText"/>
      </w:pPr>
      <w:r>
        <w:rPr>
          <w:rStyle w:val="EndnoteReference"/>
        </w:rPr>
        <w:endnoteRef/>
      </w:r>
      <w:r>
        <w:t xml:space="preserve"> The Governance program oversees 13 activities, implemented by 12 different partners.</w:t>
      </w:r>
    </w:p>
  </w:endnote>
  <w:endnote w:id="65">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PAF Indicator 1 is ‘changes to the evidence base about the democratic aspirations and development needs of the people of Burma is available to the Government of Burma to inform policy development’. </w:t>
      </w:r>
    </w:p>
  </w:endnote>
  <w:endnote w:id="66">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Total donor contributions in support of the census were $US48.7 million and Burma’s government contribution was $US15 million.</w:t>
      </w:r>
    </w:p>
  </w:endnote>
  <w:endnote w:id="67">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Overall international observers considered the data collection a success with the exception of the areas inhabited by Rohingya in Rakhine State. Some observers, with a sound census background, said they had never witnessed such a good data collection exercise. Source:</w:t>
      </w:r>
      <w:r w:rsidRPr="00E71C4F">
        <w:rPr>
          <w:i/>
          <w:szCs w:val="21"/>
        </w:rPr>
        <w:t xml:space="preserve"> The Republic of the Union of Myanmar 2014 Census Observation Mission Final Report, </w:t>
      </w:r>
      <w:r w:rsidRPr="00E71C4F">
        <w:rPr>
          <w:szCs w:val="21"/>
        </w:rPr>
        <w:t xml:space="preserve">by Prof. Nancy Stiegler, May 2014.  </w:t>
      </w:r>
    </w:p>
  </w:endnote>
  <w:endnote w:id="68">
    <w:p w:rsidR="00CE1EE7" w:rsidRPr="00E71C4F" w:rsidRDefault="00CE1EE7" w:rsidP="00222D03">
      <w:pPr>
        <w:autoSpaceDE w:val="0"/>
        <w:autoSpaceDN w:val="0"/>
        <w:adjustRightInd w:val="0"/>
        <w:rPr>
          <w:rStyle w:val="EndnoteReference"/>
          <w:rFonts w:eastAsia="Times New Roman"/>
          <w:szCs w:val="21"/>
        </w:rPr>
      </w:pPr>
      <w:r w:rsidRPr="00E71C4F">
        <w:rPr>
          <w:rStyle w:val="EndnoteReference"/>
          <w:szCs w:val="21"/>
        </w:rPr>
        <w:endnoteRef/>
      </w:r>
      <w:r w:rsidRPr="00E71C4F">
        <w:rPr>
          <w:rFonts w:ascii="Franklin Gothic Book" w:hAnsi="Franklin Gothic Book"/>
          <w:sz w:val="21"/>
          <w:szCs w:val="21"/>
        </w:rPr>
        <w:t xml:space="preserve"> </w:t>
      </w:r>
      <w:r w:rsidR="00E325BC">
        <w:rPr>
          <w:rFonts w:ascii="Franklin Gothic Book" w:eastAsia="Times New Roman" w:hAnsi="Franklin Gothic Book"/>
          <w:sz w:val="21"/>
          <w:szCs w:val="21"/>
        </w:rPr>
        <w:t>The UNFPA undertook a</w:t>
      </w:r>
      <w:r w:rsidR="00E325BC" w:rsidRPr="00E71C4F">
        <w:rPr>
          <w:rFonts w:ascii="Franklin Gothic Book" w:eastAsia="Times New Roman" w:hAnsi="Franklin Gothic Book"/>
          <w:sz w:val="21"/>
          <w:szCs w:val="21"/>
        </w:rPr>
        <w:t xml:space="preserve"> Review of Conflict Sensitivity Analysis and Strategy Options in the Context of Data Processing, Analysis, Release and Dissemination of the 2014 Myanmar Housing and Population Census, by R. Fernandez Castilla, Sarah Clarke, Eh Mwee and L Seng Kham in June 2014</w:t>
      </w:r>
    </w:p>
  </w:endnote>
  <w:endnote w:id="69">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The Australian-funded PER and the UK-funded Public Expenditure and Financial Accountability Review</w:t>
      </w:r>
    </w:p>
  </w:endnote>
  <w:endnote w:id="70">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w:t>
      </w:r>
      <w:r w:rsidRPr="00E71C4F">
        <w:rPr>
          <w:i/>
          <w:szCs w:val="21"/>
        </w:rPr>
        <w:t>The Myanmar Modernization of Public Finance Management Project</w:t>
      </w:r>
      <w:r w:rsidRPr="00E71C4F">
        <w:rPr>
          <w:szCs w:val="21"/>
        </w:rPr>
        <w:t xml:space="preserve"> (US$55 million) aims to support efficient, accountable and responsive delivery of public services by modernising Burma’s PFM systems and strengthening institutional capacity. The World Bank will implement the Project, which will be funded through a World Bank IDA loan to the Government of Myanmar (US$30 million), a United Kingdom grant (around $16.5 million) and Australian DFAT grant of up to $5 million to 30 June 2015, with a possible further investment of AU$5 million in 2015/16 and 2016/17.</w:t>
      </w:r>
    </w:p>
  </w:endnote>
  <w:endnote w:id="71">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PFM reform steering and technical committees have been established and a broad consensus on the importance of improving PFM systems has been agreed between key stakeholders, including Ministry of Finance and Revenue, Ministry of Planning and Economic Development, the President’s Office, Legislative Assembly, Office of the Auditor General and four sector ministers.</w:t>
      </w:r>
    </w:p>
  </w:endnote>
  <w:endnote w:id="72">
    <w:p w:rsidR="00CE1EE7" w:rsidRPr="00E71C4F" w:rsidRDefault="00CE1EE7" w:rsidP="00222D03">
      <w:pPr>
        <w:pStyle w:val="EndnoteText"/>
        <w:rPr>
          <w:szCs w:val="21"/>
        </w:rPr>
      </w:pPr>
      <w:r w:rsidRPr="00E71C4F">
        <w:rPr>
          <w:rStyle w:val="EndnoteReference"/>
          <w:szCs w:val="21"/>
        </w:rPr>
        <w:endnoteRef/>
      </w:r>
      <w:r w:rsidRPr="00E71C4F">
        <w:rPr>
          <w:szCs w:val="21"/>
        </w:rPr>
        <w:t xml:space="preserve"> </w:t>
      </w:r>
      <w:r>
        <w:rPr>
          <w:szCs w:val="21"/>
        </w:rPr>
        <w:t>Such as the Myanmar PFM Working Group c</w:t>
      </w:r>
      <w:r w:rsidRPr="00E71C4F">
        <w:rPr>
          <w:szCs w:val="21"/>
        </w:rPr>
        <w:t>omprising key development partners and government officials in the sector</w:t>
      </w:r>
    </w:p>
  </w:endnote>
  <w:endnote w:id="73">
    <w:p w:rsidR="00CE1EE7" w:rsidRPr="00E71C4F" w:rsidRDefault="00CE1EE7" w:rsidP="00696286">
      <w:pPr>
        <w:pStyle w:val="EndnoteText"/>
        <w:rPr>
          <w:szCs w:val="21"/>
        </w:rPr>
      </w:pPr>
      <w:r w:rsidRPr="00E71C4F">
        <w:rPr>
          <w:rStyle w:val="EndnoteReference"/>
          <w:szCs w:val="21"/>
        </w:rPr>
        <w:endnoteRef/>
      </w:r>
      <w:r w:rsidRPr="00E71C4F">
        <w:rPr>
          <w:szCs w:val="21"/>
        </w:rPr>
        <w:t xml:space="preserve"> Total UNDP and donor contributions are almost $US 16 million. As of 2014, Finland is now the largest bilateral donor ($2 m), followed by DFAT ($1.93 m), Denmark ($1.05 m) and Japan ($1.03 m).</w:t>
      </w:r>
    </w:p>
  </w:endnote>
  <w:endnote w:id="74">
    <w:p w:rsidR="00CE1EE7" w:rsidRPr="00E71C4F" w:rsidRDefault="00CE1EE7" w:rsidP="00FA05F2">
      <w:pPr>
        <w:pStyle w:val="EndnoteText"/>
        <w:rPr>
          <w:rStyle w:val="EndnoteReference"/>
          <w:szCs w:val="21"/>
        </w:rPr>
      </w:pPr>
      <w:r w:rsidRPr="00E71C4F">
        <w:rPr>
          <w:rStyle w:val="EndnoteReference"/>
          <w:szCs w:val="21"/>
        </w:rPr>
        <w:endnoteRef/>
      </w:r>
      <w:r w:rsidRPr="00E71C4F">
        <w:rPr>
          <w:rStyle w:val="EndnoteReference"/>
          <w:szCs w:val="21"/>
        </w:rPr>
        <w:t xml:space="preserve"> </w:t>
      </w:r>
      <w:r>
        <w:t>For example,</w:t>
      </w:r>
      <w:r w:rsidRPr="00E71C4F">
        <w:t xml:space="preserve"> </w:t>
      </w:r>
      <w:r>
        <w:t>i</w:t>
      </w:r>
      <w:r w:rsidRPr="00E71C4F">
        <w:t>n the case of objective 4 the PAF included several 2013-14 milestones that were beyond the control of Australian aid as well as one indicator that proved extremely difficult to calculate (% of conflict-affected households that received assistance).</w:t>
      </w:r>
    </w:p>
  </w:endnote>
  <w:endnote w:id="75">
    <w:p w:rsidR="00CE1EE7" w:rsidRPr="00E71C4F" w:rsidRDefault="00CE1EE7" w:rsidP="00450AE0">
      <w:pPr>
        <w:pStyle w:val="EndnoteText"/>
        <w:rPr>
          <w:szCs w:val="21"/>
        </w:rPr>
      </w:pPr>
      <w:r w:rsidRPr="00E71C4F">
        <w:rPr>
          <w:rStyle w:val="EndnoteReference"/>
          <w:szCs w:val="21"/>
        </w:rPr>
        <w:endnoteRef/>
      </w:r>
      <w:r w:rsidRPr="00E71C4F">
        <w:rPr>
          <w:szCs w:val="21"/>
        </w:rPr>
        <w:t xml:space="preserve"> Key 2013-14 milestones in the Performance Assessment Framework</w:t>
      </w:r>
    </w:p>
  </w:endnote>
  <w:endnote w:id="76">
    <w:p w:rsidR="00CE1EE7" w:rsidRPr="009527C9" w:rsidRDefault="00CE1EE7" w:rsidP="001C750C">
      <w:pPr>
        <w:pStyle w:val="EndnoteText"/>
      </w:pPr>
      <w:r w:rsidRPr="00E71C4F">
        <w:rPr>
          <w:rStyle w:val="EndnoteReference"/>
          <w:szCs w:val="21"/>
        </w:rPr>
        <w:endnoteRef/>
      </w:r>
      <w:r w:rsidRPr="00E71C4F">
        <w:rPr>
          <w:szCs w:val="21"/>
        </w:rPr>
        <w:t xml:space="preserve"> In January 2014 the World Bank announced a $200 million commitment to help the Myanmar Government accelerate progress toward universal health coverage.</w:t>
      </w:r>
    </w:p>
  </w:endnote>
  <w:endnote w:id="77">
    <w:p w:rsidR="00CE1EE7" w:rsidRDefault="00CE1EE7">
      <w:pPr>
        <w:pStyle w:val="EndnoteText"/>
      </w:pPr>
      <w:r>
        <w:rPr>
          <w:rStyle w:val="EndnoteReference"/>
        </w:rPr>
        <w:endnoteRef/>
      </w:r>
      <w:r>
        <w:t xml:space="preserve"> </w:t>
      </w:r>
      <w:r w:rsidRPr="003C6A70">
        <w:t xml:space="preserve">Australia funded UNHCR ($1 million 2013-14) for protection activities to prevent violence against women and girls in internally displaced persons camps in Rakhine State. Australia funds three specialist deployments </w:t>
      </w:r>
      <w:r w:rsidRPr="00E71C4F">
        <w:rPr>
          <w:szCs w:val="21"/>
        </w:rPr>
        <w:t>through the Australian Civilian Corps (ACC) and Red R Australia</w:t>
      </w:r>
      <w:r w:rsidRPr="003C6A70">
        <w:t xml:space="preserve"> to work on issues including child protection (with UNICEF in Kachin), protection and gender-based violence (with UNHCR in Rakhine) and women, peace and security issues, including implementation of UNSC Resolution 1325 (with UNFPA nationally).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E7" w:rsidRPr="0091071F" w:rsidRDefault="00CE1EE7" w:rsidP="000D733F">
    <w:pPr>
      <w:pStyle w:val="Footer"/>
    </w:pPr>
    <w:r w:rsidRPr="0091071F">
      <w:fldChar w:fldCharType="begin"/>
    </w:r>
    <w:r w:rsidRPr="0091071F">
      <w:instrText xml:space="preserve"> PAGE </w:instrText>
    </w:r>
    <w:r w:rsidRPr="0091071F">
      <w:fldChar w:fldCharType="separate"/>
    </w:r>
    <w:r>
      <w:rPr>
        <w:noProof/>
      </w:rPr>
      <w:t>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E7" w:rsidRPr="0091071F" w:rsidRDefault="00CE1EE7" w:rsidP="000D733F">
    <w:pPr>
      <w:pStyle w:val="Footer"/>
    </w:pPr>
    <w:r>
      <w:tab/>
    </w:r>
    <w:r w:rsidR="001144B2">
      <w:fldChar w:fldCharType="begin"/>
    </w:r>
    <w:r w:rsidR="001144B2">
      <w:instrText xml:space="preserve"> STYLEREF Title \* MERGEFORMAT </w:instrText>
    </w:r>
    <w:r w:rsidR="001144B2">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115ED6">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6" w:rsidRDefault="00115E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E7" w:rsidRPr="004C4A3E" w:rsidRDefault="00CE1EE7"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7CE527C6" wp14:editId="7E33C55F">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23</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2327C3AD" wp14:editId="478A888F">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28A59F15" wp14:editId="74D4A6E4">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E7" w:rsidRDefault="00CE1EE7" w:rsidP="0050529F">
      <w:r>
        <w:separator/>
      </w:r>
    </w:p>
    <w:p w:rsidR="00CE1EE7" w:rsidRDefault="00CE1EE7"/>
    <w:p w:rsidR="00CE1EE7" w:rsidRDefault="00CE1EE7"/>
    <w:p w:rsidR="00CE1EE7" w:rsidRDefault="00CE1EE7"/>
    <w:p w:rsidR="00CE1EE7" w:rsidRDefault="00CE1EE7"/>
    <w:p w:rsidR="00CE1EE7" w:rsidRDefault="00CE1EE7"/>
    <w:p w:rsidR="00CE1EE7" w:rsidRDefault="00CE1EE7"/>
  </w:footnote>
  <w:footnote w:type="continuationSeparator" w:id="0">
    <w:p w:rsidR="00CE1EE7" w:rsidRDefault="00CE1EE7" w:rsidP="0050529F">
      <w:r>
        <w:continuationSeparator/>
      </w:r>
    </w:p>
    <w:p w:rsidR="00CE1EE7" w:rsidRDefault="00CE1EE7"/>
    <w:p w:rsidR="00CE1EE7" w:rsidRDefault="00CE1EE7"/>
    <w:p w:rsidR="00CE1EE7" w:rsidRDefault="00CE1EE7"/>
    <w:p w:rsidR="00CE1EE7" w:rsidRDefault="00CE1EE7"/>
    <w:p w:rsidR="00CE1EE7" w:rsidRDefault="00CE1EE7"/>
    <w:p w:rsidR="00CE1EE7" w:rsidRDefault="00CE1E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6" w:rsidRDefault="00115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6" w:rsidRDefault="00115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D6" w:rsidRDefault="00115E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E7" w:rsidRDefault="00CE1EE7"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E7" w:rsidRDefault="00CE1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4"/>
  </w:num>
  <w:num w:numId="4">
    <w:abstractNumId w:val="12"/>
  </w:num>
  <w:num w:numId="5">
    <w:abstractNumId w:val="11"/>
  </w:num>
  <w:num w:numId="6">
    <w:abstractNumId w:val="10"/>
  </w:num>
  <w:num w:numId="7">
    <w:abstractNumId w:val="16"/>
  </w:num>
  <w:num w:numId="8">
    <w:abstractNumId w:val="3"/>
  </w:num>
  <w:num w:numId="9">
    <w:abstractNumId w:val="6"/>
  </w:num>
  <w:num w:numId="10">
    <w:abstractNumId w:val="17"/>
  </w:num>
  <w:num w:numId="11">
    <w:abstractNumId w:val="18"/>
  </w:num>
  <w:num w:numId="12">
    <w:abstractNumId w:val="0"/>
  </w:num>
  <w:num w:numId="13">
    <w:abstractNumId w:val="2"/>
  </w:num>
  <w:num w:numId="14">
    <w:abstractNumId w:val="15"/>
  </w:num>
  <w:num w:numId="15">
    <w:abstractNumId w:val="1"/>
  </w:num>
  <w:num w:numId="16">
    <w:abstractNumId w:val="9"/>
  </w:num>
  <w:num w:numId="17">
    <w:abstractNumId w:val="7"/>
  </w:num>
  <w:num w:numId="18">
    <w:abstractNumId w:val="5"/>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4EFD"/>
    <w:rsid w:val="000074A5"/>
    <w:rsid w:val="00007E94"/>
    <w:rsid w:val="000118D9"/>
    <w:rsid w:val="00013D06"/>
    <w:rsid w:val="000142A2"/>
    <w:rsid w:val="000143D9"/>
    <w:rsid w:val="00015E4F"/>
    <w:rsid w:val="00020121"/>
    <w:rsid w:val="00021A9E"/>
    <w:rsid w:val="00027629"/>
    <w:rsid w:val="00030111"/>
    <w:rsid w:val="00031100"/>
    <w:rsid w:val="00031B60"/>
    <w:rsid w:val="00031EB5"/>
    <w:rsid w:val="0003231A"/>
    <w:rsid w:val="00036EA3"/>
    <w:rsid w:val="000373F4"/>
    <w:rsid w:val="00040AF6"/>
    <w:rsid w:val="000426DF"/>
    <w:rsid w:val="00043742"/>
    <w:rsid w:val="000529AD"/>
    <w:rsid w:val="00052D34"/>
    <w:rsid w:val="00053496"/>
    <w:rsid w:val="0005506B"/>
    <w:rsid w:val="000550B0"/>
    <w:rsid w:val="00055E78"/>
    <w:rsid w:val="00057589"/>
    <w:rsid w:val="00057D09"/>
    <w:rsid w:val="00060AD9"/>
    <w:rsid w:val="000619DB"/>
    <w:rsid w:val="00071097"/>
    <w:rsid w:val="000719C9"/>
    <w:rsid w:val="00071B95"/>
    <w:rsid w:val="00072ECC"/>
    <w:rsid w:val="0007327A"/>
    <w:rsid w:val="0007395B"/>
    <w:rsid w:val="000745E2"/>
    <w:rsid w:val="00074B50"/>
    <w:rsid w:val="0007703B"/>
    <w:rsid w:val="000774FD"/>
    <w:rsid w:val="00081767"/>
    <w:rsid w:val="000818C0"/>
    <w:rsid w:val="00081F4E"/>
    <w:rsid w:val="00084AB4"/>
    <w:rsid w:val="00085C0C"/>
    <w:rsid w:val="00087ABB"/>
    <w:rsid w:val="000905A8"/>
    <w:rsid w:val="00091878"/>
    <w:rsid w:val="000957FC"/>
    <w:rsid w:val="00095CF5"/>
    <w:rsid w:val="000979A0"/>
    <w:rsid w:val="00097B02"/>
    <w:rsid w:val="000A1618"/>
    <w:rsid w:val="000A4247"/>
    <w:rsid w:val="000A42CB"/>
    <w:rsid w:val="000A52C1"/>
    <w:rsid w:val="000A6DF7"/>
    <w:rsid w:val="000B0260"/>
    <w:rsid w:val="000B04D9"/>
    <w:rsid w:val="000B0CA6"/>
    <w:rsid w:val="000B18FA"/>
    <w:rsid w:val="000B3121"/>
    <w:rsid w:val="000B42A9"/>
    <w:rsid w:val="000B68F6"/>
    <w:rsid w:val="000B6BE5"/>
    <w:rsid w:val="000B6FEA"/>
    <w:rsid w:val="000B75E8"/>
    <w:rsid w:val="000C1D66"/>
    <w:rsid w:val="000C258A"/>
    <w:rsid w:val="000C29BF"/>
    <w:rsid w:val="000C4A7A"/>
    <w:rsid w:val="000C6063"/>
    <w:rsid w:val="000C6080"/>
    <w:rsid w:val="000C60A8"/>
    <w:rsid w:val="000C7C4D"/>
    <w:rsid w:val="000D151B"/>
    <w:rsid w:val="000D1993"/>
    <w:rsid w:val="000D32BB"/>
    <w:rsid w:val="000D733F"/>
    <w:rsid w:val="000D7952"/>
    <w:rsid w:val="000E2B3F"/>
    <w:rsid w:val="000E3B25"/>
    <w:rsid w:val="000E4573"/>
    <w:rsid w:val="000E59BC"/>
    <w:rsid w:val="000E7297"/>
    <w:rsid w:val="000E7A8D"/>
    <w:rsid w:val="000F1A4F"/>
    <w:rsid w:val="000F2D94"/>
    <w:rsid w:val="000F4207"/>
    <w:rsid w:val="00100485"/>
    <w:rsid w:val="00100AA2"/>
    <w:rsid w:val="001056D7"/>
    <w:rsid w:val="00106185"/>
    <w:rsid w:val="00106BDC"/>
    <w:rsid w:val="0010729C"/>
    <w:rsid w:val="00107634"/>
    <w:rsid w:val="00112E97"/>
    <w:rsid w:val="001139DE"/>
    <w:rsid w:val="001144B2"/>
    <w:rsid w:val="00114751"/>
    <w:rsid w:val="001154CA"/>
    <w:rsid w:val="00115ED6"/>
    <w:rsid w:val="001171DE"/>
    <w:rsid w:val="00117AB1"/>
    <w:rsid w:val="001200F0"/>
    <w:rsid w:val="00120FC7"/>
    <w:rsid w:val="00122038"/>
    <w:rsid w:val="001227C3"/>
    <w:rsid w:val="0012429A"/>
    <w:rsid w:val="001258C6"/>
    <w:rsid w:val="00125E4B"/>
    <w:rsid w:val="001261A6"/>
    <w:rsid w:val="001271CC"/>
    <w:rsid w:val="00127702"/>
    <w:rsid w:val="0012793C"/>
    <w:rsid w:val="00131FF0"/>
    <w:rsid w:val="00132003"/>
    <w:rsid w:val="00133AAD"/>
    <w:rsid w:val="00135806"/>
    <w:rsid w:val="001366B4"/>
    <w:rsid w:val="001375E3"/>
    <w:rsid w:val="00141A30"/>
    <w:rsid w:val="0014270C"/>
    <w:rsid w:val="00143053"/>
    <w:rsid w:val="0014368E"/>
    <w:rsid w:val="00143CD7"/>
    <w:rsid w:val="00143D23"/>
    <w:rsid w:val="0014411B"/>
    <w:rsid w:val="001448E7"/>
    <w:rsid w:val="0014516C"/>
    <w:rsid w:val="00147846"/>
    <w:rsid w:val="001502AC"/>
    <w:rsid w:val="0015043E"/>
    <w:rsid w:val="001521DD"/>
    <w:rsid w:val="00152923"/>
    <w:rsid w:val="00152DFD"/>
    <w:rsid w:val="00154EF9"/>
    <w:rsid w:val="00155B4A"/>
    <w:rsid w:val="00157858"/>
    <w:rsid w:val="001612CE"/>
    <w:rsid w:val="001624FB"/>
    <w:rsid w:val="00164BE0"/>
    <w:rsid w:val="0016544D"/>
    <w:rsid w:val="001657F1"/>
    <w:rsid w:val="00167331"/>
    <w:rsid w:val="0016740F"/>
    <w:rsid w:val="00171BB2"/>
    <w:rsid w:val="00171CB2"/>
    <w:rsid w:val="00173C6E"/>
    <w:rsid w:val="00174CB3"/>
    <w:rsid w:val="00175E4C"/>
    <w:rsid w:val="00180B19"/>
    <w:rsid w:val="00180B3A"/>
    <w:rsid w:val="0018196F"/>
    <w:rsid w:val="001829BB"/>
    <w:rsid w:val="0018305E"/>
    <w:rsid w:val="0018353A"/>
    <w:rsid w:val="00192498"/>
    <w:rsid w:val="001941C4"/>
    <w:rsid w:val="001943B6"/>
    <w:rsid w:val="00194806"/>
    <w:rsid w:val="00195680"/>
    <w:rsid w:val="00196352"/>
    <w:rsid w:val="001A374B"/>
    <w:rsid w:val="001B1A0C"/>
    <w:rsid w:val="001B2948"/>
    <w:rsid w:val="001B41CD"/>
    <w:rsid w:val="001B6B05"/>
    <w:rsid w:val="001B714C"/>
    <w:rsid w:val="001C1EA0"/>
    <w:rsid w:val="001C31B9"/>
    <w:rsid w:val="001C507E"/>
    <w:rsid w:val="001C572A"/>
    <w:rsid w:val="001C700E"/>
    <w:rsid w:val="001C7117"/>
    <w:rsid w:val="001C745A"/>
    <w:rsid w:val="001C750C"/>
    <w:rsid w:val="001C7DDD"/>
    <w:rsid w:val="001D1086"/>
    <w:rsid w:val="001D20FC"/>
    <w:rsid w:val="001D210A"/>
    <w:rsid w:val="001D2BAC"/>
    <w:rsid w:val="001D542F"/>
    <w:rsid w:val="001D6059"/>
    <w:rsid w:val="001D7E98"/>
    <w:rsid w:val="001E1DBF"/>
    <w:rsid w:val="001E4BDE"/>
    <w:rsid w:val="001E6635"/>
    <w:rsid w:val="001F12A2"/>
    <w:rsid w:val="001F3060"/>
    <w:rsid w:val="001F448A"/>
    <w:rsid w:val="001F5CB1"/>
    <w:rsid w:val="001F61A8"/>
    <w:rsid w:val="001F7480"/>
    <w:rsid w:val="00201174"/>
    <w:rsid w:val="00202880"/>
    <w:rsid w:val="00202E4E"/>
    <w:rsid w:val="00203BCC"/>
    <w:rsid w:val="002043F8"/>
    <w:rsid w:val="002047D5"/>
    <w:rsid w:val="00205E0B"/>
    <w:rsid w:val="00205F2B"/>
    <w:rsid w:val="00206009"/>
    <w:rsid w:val="002102D0"/>
    <w:rsid w:val="002115BD"/>
    <w:rsid w:val="002126BA"/>
    <w:rsid w:val="00212B27"/>
    <w:rsid w:val="0021515C"/>
    <w:rsid w:val="002227A9"/>
    <w:rsid w:val="00222B39"/>
    <w:rsid w:val="00222D03"/>
    <w:rsid w:val="00222F2A"/>
    <w:rsid w:val="00225C82"/>
    <w:rsid w:val="00226DEE"/>
    <w:rsid w:val="00227A7B"/>
    <w:rsid w:val="00231D45"/>
    <w:rsid w:val="002335A9"/>
    <w:rsid w:val="002343CF"/>
    <w:rsid w:val="00235D29"/>
    <w:rsid w:val="002363D9"/>
    <w:rsid w:val="00236B8C"/>
    <w:rsid w:val="00237C4B"/>
    <w:rsid w:val="0024098A"/>
    <w:rsid w:val="00240D59"/>
    <w:rsid w:val="002410A1"/>
    <w:rsid w:val="00242063"/>
    <w:rsid w:val="00242396"/>
    <w:rsid w:val="002441D5"/>
    <w:rsid w:val="00245BB0"/>
    <w:rsid w:val="00246E5F"/>
    <w:rsid w:val="00251E46"/>
    <w:rsid w:val="00255304"/>
    <w:rsid w:val="002559E7"/>
    <w:rsid w:val="00255AA5"/>
    <w:rsid w:val="00260083"/>
    <w:rsid w:val="00261E78"/>
    <w:rsid w:val="00263F5F"/>
    <w:rsid w:val="00270898"/>
    <w:rsid w:val="00272A65"/>
    <w:rsid w:val="00272AF0"/>
    <w:rsid w:val="00273C6F"/>
    <w:rsid w:val="0027589B"/>
    <w:rsid w:val="00275C42"/>
    <w:rsid w:val="002848EF"/>
    <w:rsid w:val="002849B4"/>
    <w:rsid w:val="00284F20"/>
    <w:rsid w:val="00285A2B"/>
    <w:rsid w:val="00290A94"/>
    <w:rsid w:val="002911A4"/>
    <w:rsid w:val="00291F1C"/>
    <w:rsid w:val="00295EE6"/>
    <w:rsid w:val="00295F90"/>
    <w:rsid w:val="00296121"/>
    <w:rsid w:val="00296479"/>
    <w:rsid w:val="00297FA7"/>
    <w:rsid w:val="002A0228"/>
    <w:rsid w:val="002A15F4"/>
    <w:rsid w:val="002A1935"/>
    <w:rsid w:val="002A1A79"/>
    <w:rsid w:val="002A21D1"/>
    <w:rsid w:val="002A22F7"/>
    <w:rsid w:val="002A4D70"/>
    <w:rsid w:val="002A673F"/>
    <w:rsid w:val="002B1CB1"/>
    <w:rsid w:val="002B1F66"/>
    <w:rsid w:val="002B31B3"/>
    <w:rsid w:val="002B3926"/>
    <w:rsid w:val="002B433A"/>
    <w:rsid w:val="002B61A8"/>
    <w:rsid w:val="002B6EBE"/>
    <w:rsid w:val="002B79D4"/>
    <w:rsid w:val="002C0DE4"/>
    <w:rsid w:val="002C1E00"/>
    <w:rsid w:val="002C639B"/>
    <w:rsid w:val="002D0046"/>
    <w:rsid w:val="002D1328"/>
    <w:rsid w:val="002D30E6"/>
    <w:rsid w:val="002D406B"/>
    <w:rsid w:val="002D4FAD"/>
    <w:rsid w:val="002D5D7B"/>
    <w:rsid w:val="002D6486"/>
    <w:rsid w:val="002D6914"/>
    <w:rsid w:val="002D6DF0"/>
    <w:rsid w:val="002D7FFA"/>
    <w:rsid w:val="002E3C29"/>
    <w:rsid w:val="002E55EA"/>
    <w:rsid w:val="002E5604"/>
    <w:rsid w:val="002F4116"/>
    <w:rsid w:val="002F479A"/>
    <w:rsid w:val="002F4EB8"/>
    <w:rsid w:val="002F54F3"/>
    <w:rsid w:val="002F5A14"/>
    <w:rsid w:val="0030123B"/>
    <w:rsid w:val="00301B10"/>
    <w:rsid w:val="00303038"/>
    <w:rsid w:val="0030318A"/>
    <w:rsid w:val="0030346C"/>
    <w:rsid w:val="00305445"/>
    <w:rsid w:val="00306734"/>
    <w:rsid w:val="00310426"/>
    <w:rsid w:val="00310974"/>
    <w:rsid w:val="00310A36"/>
    <w:rsid w:val="00310FD4"/>
    <w:rsid w:val="00315135"/>
    <w:rsid w:val="003152F7"/>
    <w:rsid w:val="00315D13"/>
    <w:rsid w:val="003167E5"/>
    <w:rsid w:val="00320FCE"/>
    <w:rsid w:val="003223F8"/>
    <w:rsid w:val="00322461"/>
    <w:rsid w:val="0032292A"/>
    <w:rsid w:val="00322D92"/>
    <w:rsid w:val="0032486D"/>
    <w:rsid w:val="00324DAA"/>
    <w:rsid w:val="003260C0"/>
    <w:rsid w:val="003266E1"/>
    <w:rsid w:val="00326B5A"/>
    <w:rsid w:val="003275D0"/>
    <w:rsid w:val="003279FD"/>
    <w:rsid w:val="003305E3"/>
    <w:rsid w:val="003326BE"/>
    <w:rsid w:val="003327F8"/>
    <w:rsid w:val="003356C1"/>
    <w:rsid w:val="00335F19"/>
    <w:rsid w:val="003360FA"/>
    <w:rsid w:val="003363C7"/>
    <w:rsid w:val="00341177"/>
    <w:rsid w:val="00341311"/>
    <w:rsid w:val="00342BF7"/>
    <w:rsid w:val="00343B25"/>
    <w:rsid w:val="0034587F"/>
    <w:rsid w:val="00345B8E"/>
    <w:rsid w:val="00351ACA"/>
    <w:rsid w:val="00352AE5"/>
    <w:rsid w:val="00354652"/>
    <w:rsid w:val="00357648"/>
    <w:rsid w:val="003579D0"/>
    <w:rsid w:val="00357AF7"/>
    <w:rsid w:val="00360662"/>
    <w:rsid w:val="00362C87"/>
    <w:rsid w:val="003657F1"/>
    <w:rsid w:val="003700E1"/>
    <w:rsid w:val="00371F53"/>
    <w:rsid w:val="00372E1B"/>
    <w:rsid w:val="003743C8"/>
    <w:rsid w:val="003745D5"/>
    <w:rsid w:val="00382D85"/>
    <w:rsid w:val="00383294"/>
    <w:rsid w:val="00383F3F"/>
    <w:rsid w:val="00384342"/>
    <w:rsid w:val="003849ED"/>
    <w:rsid w:val="00385A4C"/>
    <w:rsid w:val="00387BF4"/>
    <w:rsid w:val="00390768"/>
    <w:rsid w:val="00392981"/>
    <w:rsid w:val="00393336"/>
    <w:rsid w:val="00395CFA"/>
    <w:rsid w:val="003A27D2"/>
    <w:rsid w:val="003A2D7B"/>
    <w:rsid w:val="003A344F"/>
    <w:rsid w:val="003A3F2B"/>
    <w:rsid w:val="003A7336"/>
    <w:rsid w:val="003A74BF"/>
    <w:rsid w:val="003B122C"/>
    <w:rsid w:val="003B17E8"/>
    <w:rsid w:val="003B243C"/>
    <w:rsid w:val="003B2756"/>
    <w:rsid w:val="003B5036"/>
    <w:rsid w:val="003B5F7E"/>
    <w:rsid w:val="003C268B"/>
    <w:rsid w:val="003C288C"/>
    <w:rsid w:val="003C31EE"/>
    <w:rsid w:val="003C6A70"/>
    <w:rsid w:val="003C7721"/>
    <w:rsid w:val="003D081D"/>
    <w:rsid w:val="003D1C52"/>
    <w:rsid w:val="003D2A84"/>
    <w:rsid w:val="003D2E2F"/>
    <w:rsid w:val="003D44F4"/>
    <w:rsid w:val="003D58C5"/>
    <w:rsid w:val="003D729E"/>
    <w:rsid w:val="003E0E66"/>
    <w:rsid w:val="003E1B5E"/>
    <w:rsid w:val="003E4449"/>
    <w:rsid w:val="003E4982"/>
    <w:rsid w:val="003E63B3"/>
    <w:rsid w:val="003E7AA9"/>
    <w:rsid w:val="003F0CF6"/>
    <w:rsid w:val="003F1A98"/>
    <w:rsid w:val="003F23E9"/>
    <w:rsid w:val="003F3D7D"/>
    <w:rsid w:val="003F5C07"/>
    <w:rsid w:val="003F5EAD"/>
    <w:rsid w:val="003F6F71"/>
    <w:rsid w:val="00403152"/>
    <w:rsid w:val="00403AAA"/>
    <w:rsid w:val="004057E0"/>
    <w:rsid w:val="00406000"/>
    <w:rsid w:val="00410356"/>
    <w:rsid w:val="00412707"/>
    <w:rsid w:val="00412B1E"/>
    <w:rsid w:val="00413539"/>
    <w:rsid w:val="0041396D"/>
    <w:rsid w:val="00414FCC"/>
    <w:rsid w:val="00415A92"/>
    <w:rsid w:val="00415F90"/>
    <w:rsid w:val="0041730D"/>
    <w:rsid w:val="00420E02"/>
    <w:rsid w:val="004212F6"/>
    <w:rsid w:val="004228CD"/>
    <w:rsid w:val="00422F10"/>
    <w:rsid w:val="0042527A"/>
    <w:rsid w:val="00426354"/>
    <w:rsid w:val="004309E9"/>
    <w:rsid w:val="00430FD2"/>
    <w:rsid w:val="004313B8"/>
    <w:rsid w:val="00431899"/>
    <w:rsid w:val="00432C48"/>
    <w:rsid w:val="00434285"/>
    <w:rsid w:val="00437C95"/>
    <w:rsid w:val="00441E77"/>
    <w:rsid w:val="00441F4D"/>
    <w:rsid w:val="00443639"/>
    <w:rsid w:val="004450BD"/>
    <w:rsid w:val="004453CE"/>
    <w:rsid w:val="00445A3B"/>
    <w:rsid w:val="00445C4E"/>
    <w:rsid w:val="00446742"/>
    <w:rsid w:val="004475F0"/>
    <w:rsid w:val="00450AE0"/>
    <w:rsid w:val="00450E62"/>
    <w:rsid w:val="00452A74"/>
    <w:rsid w:val="0045475F"/>
    <w:rsid w:val="00455236"/>
    <w:rsid w:val="004568EC"/>
    <w:rsid w:val="00456DFF"/>
    <w:rsid w:val="004573F3"/>
    <w:rsid w:val="00462000"/>
    <w:rsid w:val="0046313C"/>
    <w:rsid w:val="00463C13"/>
    <w:rsid w:val="0046637D"/>
    <w:rsid w:val="00466C98"/>
    <w:rsid w:val="00467C3F"/>
    <w:rsid w:val="00467CE4"/>
    <w:rsid w:val="00467F7A"/>
    <w:rsid w:val="0047710F"/>
    <w:rsid w:val="00481362"/>
    <w:rsid w:val="00481777"/>
    <w:rsid w:val="00485E69"/>
    <w:rsid w:val="004870A4"/>
    <w:rsid w:val="00490BDE"/>
    <w:rsid w:val="00491A00"/>
    <w:rsid w:val="00492C01"/>
    <w:rsid w:val="00494504"/>
    <w:rsid w:val="004957EC"/>
    <w:rsid w:val="00496F8D"/>
    <w:rsid w:val="004A2EC3"/>
    <w:rsid w:val="004A47B5"/>
    <w:rsid w:val="004A568F"/>
    <w:rsid w:val="004A7400"/>
    <w:rsid w:val="004A741E"/>
    <w:rsid w:val="004B10E9"/>
    <w:rsid w:val="004B201A"/>
    <w:rsid w:val="004B41B9"/>
    <w:rsid w:val="004B45DC"/>
    <w:rsid w:val="004B4A44"/>
    <w:rsid w:val="004B64F3"/>
    <w:rsid w:val="004C0AB7"/>
    <w:rsid w:val="004C33EA"/>
    <w:rsid w:val="004C36CF"/>
    <w:rsid w:val="004C4A3E"/>
    <w:rsid w:val="004C59EA"/>
    <w:rsid w:val="004C65C6"/>
    <w:rsid w:val="004C660D"/>
    <w:rsid w:val="004C6B65"/>
    <w:rsid w:val="004C7E92"/>
    <w:rsid w:val="004D0699"/>
    <w:rsid w:val="004D1529"/>
    <w:rsid w:val="004D19CE"/>
    <w:rsid w:val="004D23F6"/>
    <w:rsid w:val="004D2C58"/>
    <w:rsid w:val="004D2ED0"/>
    <w:rsid w:val="004D4522"/>
    <w:rsid w:val="004D58C4"/>
    <w:rsid w:val="004E01E9"/>
    <w:rsid w:val="004E1646"/>
    <w:rsid w:val="004E3E40"/>
    <w:rsid w:val="004E4794"/>
    <w:rsid w:val="004E570D"/>
    <w:rsid w:val="004E6400"/>
    <w:rsid w:val="004E642E"/>
    <w:rsid w:val="004E6924"/>
    <w:rsid w:val="004E6A61"/>
    <w:rsid w:val="004E6E33"/>
    <w:rsid w:val="004E702A"/>
    <w:rsid w:val="004E7F41"/>
    <w:rsid w:val="004F0C2D"/>
    <w:rsid w:val="004F3A14"/>
    <w:rsid w:val="004F3D7E"/>
    <w:rsid w:val="004F4630"/>
    <w:rsid w:val="004F521E"/>
    <w:rsid w:val="004F62F1"/>
    <w:rsid w:val="004F6FEE"/>
    <w:rsid w:val="004F773A"/>
    <w:rsid w:val="00500EB4"/>
    <w:rsid w:val="0050191C"/>
    <w:rsid w:val="00501CD2"/>
    <w:rsid w:val="00501FB1"/>
    <w:rsid w:val="00503974"/>
    <w:rsid w:val="00503D74"/>
    <w:rsid w:val="0050439B"/>
    <w:rsid w:val="0050529F"/>
    <w:rsid w:val="00506A51"/>
    <w:rsid w:val="005110C3"/>
    <w:rsid w:val="00512881"/>
    <w:rsid w:val="00514B5E"/>
    <w:rsid w:val="005157C1"/>
    <w:rsid w:val="00515954"/>
    <w:rsid w:val="00515E3D"/>
    <w:rsid w:val="005208AC"/>
    <w:rsid w:val="0052286C"/>
    <w:rsid w:val="00522AB9"/>
    <w:rsid w:val="005265B9"/>
    <w:rsid w:val="005307E8"/>
    <w:rsid w:val="0053081D"/>
    <w:rsid w:val="0053175E"/>
    <w:rsid w:val="00533533"/>
    <w:rsid w:val="00534CCB"/>
    <w:rsid w:val="005357D6"/>
    <w:rsid w:val="0053591D"/>
    <w:rsid w:val="00535C99"/>
    <w:rsid w:val="00535E24"/>
    <w:rsid w:val="00537E02"/>
    <w:rsid w:val="00540A66"/>
    <w:rsid w:val="00542718"/>
    <w:rsid w:val="00543224"/>
    <w:rsid w:val="005440F6"/>
    <w:rsid w:val="00544CCD"/>
    <w:rsid w:val="0054557A"/>
    <w:rsid w:val="00546DD6"/>
    <w:rsid w:val="005471D4"/>
    <w:rsid w:val="00550B4A"/>
    <w:rsid w:val="0055172C"/>
    <w:rsid w:val="00551E52"/>
    <w:rsid w:val="00556339"/>
    <w:rsid w:val="0055771D"/>
    <w:rsid w:val="00565055"/>
    <w:rsid w:val="00565269"/>
    <w:rsid w:val="00565635"/>
    <w:rsid w:val="00567FCF"/>
    <w:rsid w:val="00570765"/>
    <w:rsid w:val="00571521"/>
    <w:rsid w:val="005732BD"/>
    <w:rsid w:val="005733F9"/>
    <w:rsid w:val="00573E59"/>
    <w:rsid w:val="00575295"/>
    <w:rsid w:val="00575874"/>
    <w:rsid w:val="005776A2"/>
    <w:rsid w:val="005801FC"/>
    <w:rsid w:val="00581C01"/>
    <w:rsid w:val="0058242D"/>
    <w:rsid w:val="00582F94"/>
    <w:rsid w:val="00583F49"/>
    <w:rsid w:val="005845CB"/>
    <w:rsid w:val="0058498A"/>
    <w:rsid w:val="00586350"/>
    <w:rsid w:val="00591EC5"/>
    <w:rsid w:val="00592245"/>
    <w:rsid w:val="00593FAC"/>
    <w:rsid w:val="0059461A"/>
    <w:rsid w:val="00596784"/>
    <w:rsid w:val="00597520"/>
    <w:rsid w:val="005A01F6"/>
    <w:rsid w:val="005A04CD"/>
    <w:rsid w:val="005A0A61"/>
    <w:rsid w:val="005A18C5"/>
    <w:rsid w:val="005A37E5"/>
    <w:rsid w:val="005A3ED5"/>
    <w:rsid w:val="005A511C"/>
    <w:rsid w:val="005A5467"/>
    <w:rsid w:val="005A56EE"/>
    <w:rsid w:val="005A7CF6"/>
    <w:rsid w:val="005B42EE"/>
    <w:rsid w:val="005B4F7A"/>
    <w:rsid w:val="005B537E"/>
    <w:rsid w:val="005B53CB"/>
    <w:rsid w:val="005B6BC6"/>
    <w:rsid w:val="005B7245"/>
    <w:rsid w:val="005B7C71"/>
    <w:rsid w:val="005C3C40"/>
    <w:rsid w:val="005C4A6B"/>
    <w:rsid w:val="005C661F"/>
    <w:rsid w:val="005D2A59"/>
    <w:rsid w:val="005D72A8"/>
    <w:rsid w:val="005D7579"/>
    <w:rsid w:val="005E0800"/>
    <w:rsid w:val="005F0C00"/>
    <w:rsid w:val="005F15ED"/>
    <w:rsid w:val="005F1781"/>
    <w:rsid w:val="005F1CB3"/>
    <w:rsid w:val="005F246E"/>
    <w:rsid w:val="005F33F2"/>
    <w:rsid w:val="005F460C"/>
    <w:rsid w:val="005F4FA7"/>
    <w:rsid w:val="005F51F6"/>
    <w:rsid w:val="005F6515"/>
    <w:rsid w:val="005F74D0"/>
    <w:rsid w:val="00600404"/>
    <w:rsid w:val="0060117A"/>
    <w:rsid w:val="0060352F"/>
    <w:rsid w:val="006059DE"/>
    <w:rsid w:val="00605B64"/>
    <w:rsid w:val="00606707"/>
    <w:rsid w:val="00612E14"/>
    <w:rsid w:val="00613594"/>
    <w:rsid w:val="00617F30"/>
    <w:rsid w:val="00620937"/>
    <w:rsid w:val="00620B6E"/>
    <w:rsid w:val="006219F5"/>
    <w:rsid w:val="0062316B"/>
    <w:rsid w:val="006231CF"/>
    <w:rsid w:val="0062598A"/>
    <w:rsid w:val="00625A52"/>
    <w:rsid w:val="0062686B"/>
    <w:rsid w:val="00626893"/>
    <w:rsid w:val="00626D36"/>
    <w:rsid w:val="00626F64"/>
    <w:rsid w:val="00633A74"/>
    <w:rsid w:val="00637549"/>
    <w:rsid w:val="00642A6F"/>
    <w:rsid w:val="00642E50"/>
    <w:rsid w:val="00646049"/>
    <w:rsid w:val="00647FBA"/>
    <w:rsid w:val="006524FE"/>
    <w:rsid w:val="0065268F"/>
    <w:rsid w:val="0065391A"/>
    <w:rsid w:val="0065679C"/>
    <w:rsid w:val="00657108"/>
    <w:rsid w:val="00663306"/>
    <w:rsid w:val="00663909"/>
    <w:rsid w:val="00663E95"/>
    <w:rsid w:val="006659FF"/>
    <w:rsid w:val="006671BC"/>
    <w:rsid w:val="0067299B"/>
    <w:rsid w:val="00673287"/>
    <w:rsid w:val="00675522"/>
    <w:rsid w:val="00680679"/>
    <w:rsid w:val="0068146D"/>
    <w:rsid w:val="00682DB1"/>
    <w:rsid w:val="00683FFB"/>
    <w:rsid w:val="0068479D"/>
    <w:rsid w:val="006849DE"/>
    <w:rsid w:val="00686BE4"/>
    <w:rsid w:val="0068768A"/>
    <w:rsid w:val="00690BEA"/>
    <w:rsid w:val="00695279"/>
    <w:rsid w:val="006958BA"/>
    <w:rsid w:val="00696286"/>
    <w:rsid w:val="00697C69"/>
    <w:rsid w:val="006A187F"/>
    <w:rsid w:val="006A2EA3"/>
    <w:rsid w:val="006A7608"/>
    <w:rsid w:val="006B00AE"/>
    <w:rsid w:val="006B0F12"/>
    <w:rsid w:val="006B31CD"/>
    <w:rsid w:val="006B33A7"/>
    <w:rsid w:val="006B51FA"/>
    <w:rsid w:val="006B7B30"/>
    <w:rsid w:val="006C1260"/>
    <w:rsid w:val="006C2232"/>
    <w:rsid w:val="006C6800"/>
    <w:rsid w:val="006C7FCF"/>
    <w:rsid w:val="006D0BC5"/>
    <w:rsid w:val="006D2CF2"/>
    <w:rsid w:val="006D2E37"/>
    <w:rsid w:val="006D34C3"/>
    <w:rsid w:val="006D673A"/>
    <w:rsid w:val="006E22C3"/>
    <w:rsid w:val="006E327C"/>
    <w:rsid w:val="006E7795"/>
    <w:rsid w:val="006E7E9F"/>
    <w:rsid w:val="006E7FA8"/>
    <w:rsid w:val="006F00DB"/>
    <w:rsid w:val="006F4623"/>
    <w:rsid w:val="006F4B40"/>
    <w:rsid w:val="006F5059"/>
    <w:rsid w:val="00701FEA"/>
    <w:rsid w:val="007040D1"/>
    <w:rsid w:val="00704C4D"/>
    <w:rsid w:val="00705A00"/>
    <w:rsid w:val="0070682B"/>
    <w:rsid w:val="007069F7"/>
    <w:rsid w:val="00706DE1"/>
    <w:rsid w:val="00710059"/>
    <w:rsid w:val="00710337"/>
    <w:rsid w:val="007110C9"/>
    <w:rsid w:val="00712349"/>
    <w:rsid w:val="00712FCE"/>
    <w:rsid w:val="007131CA"/>
    <w:rsid w:val="00713439"/>
    <w:rsid w:val="00713571"/>
    <w:rsid w:val="00714BA3"/>
    <w:rsid w:val="00715180"/>
    <w:rsid w:val="0071537B"/>
    <w:rsid w:val="007167AE"/>
    <w:rsid w:val="00720832"/>
    <w:rsid w:val="00721098"/>
    <w:rsid w:val="0072495B"/>
    <w:rsid w:val="00724F90"/>
    <w:rsid w:val="007311E0"/>
    <w:rsid w:val="00734EBB"/>
    <w:rsid w:val="00735D52"/>
    <w:rsid w:val="007360D3"/>
    <w:rsid w:val="0073644C"/>
    <w:rsid w:val="00736D2D"/>
    <w:rsid w:val="00737641"/>
    <w:rsid w:val="00737C72"/>
    <w:rsid w:val="00740C24"/>
    <w:rsid w:val="00740DB7"/>
    <w:rsid w:val="007452F9"/>
    <w:rsid w:val="0074660C"/>
    <w:rsid w:val="00747B69"/>
    <w:rsid w:val="00750E77"/>
    <w:rsid w:val="00751449"/>
    <w:rsid w:val="0075155B"/>
    <w:rsid w:val="0075565B"/>
    <w:rsid w:val="00755D95"/>
    <w:rsid w:val="00756B0E"/>
    <w:rsid w:val="0075782F"/>
    <w:rsid w:val="00757BAA"/>
    <w:rsid w:val="00760E0F"/>
    <w:rsid w:val="00762B9C"/>
    <w:rsid w:val="00762C56"/>
    <w:rsid w:val="00762EBA"/>
    <w:rsid w:val="00766491"/>
    <w:rsid w:val="00766BCF"/>
    <w:rsid w:val="00767F39"/>
    <w:rsid w:val="007704E4"/>
    <w:rsid w:val="007705BC"/>
    <w:rsid w:val="00772606"/>
    <w:rsid w:val="007726E1"/>
    <w:rsid w:val="00774F4B"/>
    <w:rsid w:val="00784858"/>
    <w:rsid w:val="007868AF"/>
    <w:rsid w:val="00787171"/>
    <w:rsid w:val="00787A68"/>
    <w:rsid w:val="0079256F"/>
    <w:rsid w:val="0079307B"/>
    <w:rsid w:val="007941CF"/>
    <w:rsid w:val="00794DE2"/>
    <w:rsid w:val="00796F48"/>
    <w:rsid w:val="007A2A5E"/>
    <w:rsid w:val="007A34F5"/>
    <w:rsid w:val="007A3C6A"/>
    <w:rsid w:val="007A5821"/>
    <w:rsid w:val="007A650E"/>
    <w:rsid w:val="007A6B87"/>
    <w:rsid w:val="007B0EBF"/>
    <w:rsid w:val="007B12EF"/>
    <w:rsid w:val="007B51E2"/>
    <w:rsid w:val="007B5BC6"/>
    <w:rsid w:val="007B66D3"/>
    <w:rsid w:val="007B6F81"/>
    <w:rsid w:val="007C0136"/>
    <w:rsid w:val="007C08B4"/>
    <w:rsid w:val="007D0394"/>
    <w:rsid w:val="007D0A64"/>
    <w:rsid w:val="007D16E9"/>
    <w:rsid w:val="007D1E48"/>
    <w:rsid w:val="007D22E6"/>
    <w:rsid w:val="007D234F"/>
    <w:rsid w:val="007D2E29"/>
    <w:rsid w:val="007D5D8D"/>
    <w:rsid w:val="007D608D"/>
    <w:rsid w:val="007E0206"/>
    <w:rsid w:val="007E10A5"/>
    <w:rsid w:val="007E1620"/>
    <w:rsid w:val="007E2A95"/>
    <w:rsid w:val="007E3D71"/>
    <w:rsid w:val="007F0036"/>
    <w:rsid w:val="007F2841"/>
    <w:rsid w:val="007F3E30"/>
    <w:rsid w:val="007F3E38"/>
    <w:rsid w:val="007F4D03"/>
    <w:rsid w:val="007F7D42"/>
    <w:rsid w:val="0080096B"/>
    <w:rsid w:val="00800B90"/>
    <w:rsid w:val="00802A66"/>
    <w:rsid w:val="00803547"/>
    <w:rsid w:val="00804F48"/>
    <w:rsid w:val="00805ADD"/>
    <w:rsid w:val="00806E51"/>
    <w:rsid w:val="008103A0"/>
    <w:rsid w:val="00810853"/>
    <w:rsid w:val="00810DE3"/>
    <w:rsid w:val="00813068"/>
    <w:rsid w:val="00816F0B"/>
    <w:rsid w:val="00821541"/>
    <w:rsid w:val="00821A06"/>
    <w:rsid w:val="00821FDE"/>
    <w:rsid w:val="008220F3"/>
    <w:rsid w:val="00822273"/>
    <w:rsid w:val="00822900"/>
    <w:rsid w:val="008235DB"/>
    <w:rsid w:val="00826FE4"/>
    <w:rsid w:val="00830647"/>
    <w:rsid w:val="00830E80"/>
    <w:rsid w:val="00832911"/>
    <w:rsid w:val="00833071"/>
    <w:rsid w:val="00833EB7"/>
    <w:rsid w:val="0084092F"/>
    <w:rsid w:val="00842483"/>
    <w:rsid w:val="00842E59"/>
    <w:rsid w:val="00843905"/>
    <w:rsid w:val="00844C87"/>
    <w:rsid w:val="008506CD"/>
    <w:rsid w:val="00850A87"/>
    <w:rsid w:val="008532FB"/>
    <w:rsid w:val="008540F0"/>
    <w:rsid w:val="00855AA8"/>
    <w:rsid w:val="0085602B"/>
    <w:rsid w:val="008568C0"/>
    <w:rsid w:val="00857614"/>
    <w:rsid w:val="00857FF3"/>
    <w:rsid w:val="0086126D"/>
    <w:rsid w:val="00861E92"/>
    <w:rsid w:val="00863A14"/>
    <w:rsid w:val="00864874"/>
    <w:rsid w:val="00864914"/>
    <w:rsid w:val="008679C4"/>
    <w:rsid w:val="00870960"/>
    <w:rsid w:val="00871CA1"/>
    <w:rsid w:val="00874F47"/>
    <w:rsid w:val="00874FDB"/>
    <w:rsid w:val="00876F0F"/>
    <w:rsid w:val="00877D87"/>
    <w:rsid w:val="00880255"/>
    <w:rsid w:val="008810FA"/>
    <w:rsid w:val="00884878"/>
    <w:rsid w:val="00885B9C"/>
    <w:rsid w:val="00886D18"/>
    <w:rsid w:val="00887775"/>
    <w:rsid w:val="00892303"/>
    <w:rsid w:val="00896927"/>
    <w:rsid w:val="00896B00"/>
    <w:rsid w:val="00897C9C"/>
    <w:rsid w:val="00897E16"/>
    <w:rsid w:val="008A144E"/>
    <w:rsid w:val="008A1996"/>
    <w:rsid w:val="008A310A"/>
    <w:rsid w:val="008A48C8"/>
    <w:rsid w:val="008A6603"/>
    <w:rsid w:val="008B35DD"/>
    <w:rsid w:val="008B5F65"/>
    <w:rsid w:val="008C0EE2"/>
    <w:rsid w:val="008C0FBD"/>
    <w:rsid w:val="008C3DBF"/>
    <w:rsid w:val="008C4903"/>
    <w:rsid w:val="008C5617"/>
    <w:rsid w:val="008C6687"/>
    <w:rsid w:val="008C70BD"/>
    <w:rsid w:val="008C79C7"/>
    <w:rsid w:val="008C7AC8"/>
    <w:rsid w:val="008D0242"/>
    <w:rsid w:val="008D26D2"/>
    <w:rsid w:val="008D27EF"/>
    <w:rsid w:val="008D28DF"/>
    <w:rsid w:val="008D2DC8"/>
    <w:rsid w:val="008D34F9"/>
    <w:rsid w:val="008D3D46"/>
    <w:rsid w:val="008D418D"/>
    <w:rsid w:val="008D6D6D"/>
    <w:rsid w:val="008D745E"/>
    <w:rsid w:val="008E1D9E"/>
    <w:rsid w:val="008E29AB"/>
    <w:rsid w:val="008E3D00"/>
    <w:rsid w:val="008E3F5B"/>
    <w:rsid w:val="008E44A5"/>
    <w:rsid w:val="008E4EF2"/>
    <w:rsid w:val="008E6706"/>
    <w:rsid w:val="008F06F2"/>
    <w:rsid w:val="008F1E28"/>
    <w:rsid w:val="008F368A"/>
    <w:rsid w:val="008F4C4B"/>
    <w:rsid w:val="008F5D80"/>
    <w:rsid w:val="008F6351"/>
    <w:rsid w:val="008F7B8C"/>
    <w:rsid w:val="009006D2"/>
    <w:rsid w:val="009019DA"/>
    <w:rsid w:val="0090748F"/>
    <w:rsid w:val="009103F3"/>
    <w:rsid w:val="009126A4"/>
    <w:rsid w:val="009163AF"/>
    <w:rsid w:val="00916D52"/>
    <w:rsid w:val="009239F8"/>
    <w:rsid w:val="00923A19"/>
    <w:rsid w:val="00923D3D"/>
    <w:rsid w:val="00924CCB"/>
    <w:rsid w:val="0092520A"/>
    <w:rsid w:val="00927978"/>
    <w:rsid w:val="00930124"/>
    <w:rsid w:val="00932FAD"/>
    <w:rsid w:val="009337BE"/>
    <w:rsid w:val="00936ECF"/>
    <w:rsid w:val="009370CA"/>
    <w:rsid w:val="00937307"/>
    <w:rsid w:val="0094192B"/>
    <w:rsid w:val="00942B9A"/>
    <w:rsid w:val="009445BA"/>
    <w:rsid w:val="00945130"/>
    <w:rsid w:val="00945B0A"/>
    <w:rsid w:val="00946F68"/>
    <w:rsid w:val="009475F3"/>
    <w:rsid w:val="00947CC0"/>
    <w:rsid w:val="00951562"/>
    <w:rsid w:val="00951651"/>
    <w:rsid w:val="009527C9"/>
    <w:rsid w:val="00953C59"/>
    <w:rsid w:val="00953CAB"/>
    <w:rsid w:val="00954EF3"/>
    <w:rsid w:val="0095603B"/>
    <w:rsid w:val="0095783E"/>
    <w:rsid w:val="00957948"/>
    <w:rsid w:val="00961D44"/>
    <w:rsid w:val="00962D81"/>
    <w:rsid w:val="00965585"/>
    <w:rsid w:val="009668EF"/>
    <w:rsid w:val="009713CF"/>
    <w:rsid w:val="009729A9"/>
    <w:rsid w:val="009761F8"/>
    <w:rsid w:val="00976AF1"/>
    <w:rsid w:val="00976FB3"/>
    <w:rsid w:val="00977BE2"/>
    <w:rsid w:val="0098030D"/>
    <w:rsid w:val="00981B13"/>
    <w:rsid w:val="00981E62"/>
    <w:rsid w:val="00983838"/>
    <w:rsid w:val="009928E1"/>
    <w:rsid w:val="00994666"/>
    <w:rsid w:val="0099488A"/>
    <w:rsid w:val="00994D57"/>
    <w:rsid w:val="00995EC8"/>
    <w:rsid w:val="00996460"/>
    <w:rsid w:val="0099677B"/>
    <w:rsid w:val="009A1E07"/>
    <w:rsid w:val="009A25EB"/>
    <w:rsid w:val="009A290D"/>
    <w:rsid w:val="009B0A38"/>
    <w:rsid w:val="009B1CFC"/>
    <w:rsid w:val="009B28AD"/>
    <w:rsid w:val="009B3E8C"/>
    <w:rsid w:val="009B5190"/>
    <w:rsid w:val="009B5381"/>
    <w:rsid w:val="009B654F"/>
    <w:rsid w:val="009C0C2D"/>
    <w:rsid w:val="009C159A"/>
    <w:rsid w:val="009C16DF"/>
    <w:rsid w:val="009C1FDC"/>
    <w:rsid w:val="009C4804"/>
    <w:rsid w:val="009C65A2"/>
    <w:rsid w:val="009C6A14"/>
    <w:rsid w:val="009D104E"/>
    <w:rsid w:val="009D1FDF"/>
    <w:rsid w:val="009D2F00"/>
    <w:rsid w:val="009D3524"/>
    <w:rsid w:val="009D5236"/>
    <w:rsid w:val="009E1667"/>
    <w:rsid w:val="009E1CA8"/>
    <w:rsid w:val="009E28E1"/>
    <w:rsid w:val="009E2A18"/>
    <w:rsid w:val="009E38C1"/>
    <w:rsid w:val="009E6780"/>
    <w:rsid w:val="009E79EC"/>
    <w:rsid w:val="009F265F"/>
    <w:rsid w:val="009F4D99"/>
    <w:rsid w:val="009F50F0"/>
    <w:rsid w:val="009F5593"/>
    <w:rsid w:val="009F61C4"/>
    <w:rsid w:val="00A01327"/>
    <w:rsid w:val="00A018E7"/>
    <w:rsid w:val="00A01926"/>
    <w:rsid w:val="00A03911"/>
    <w:rsid w:val="00A05140"/>
    <w:rsid w:val="00A06FC9"/>
    <w:rsid w:val="00A10DE1"/>
    <w:rsid w:val="00A11D59"/>
    <w:rsid w:val="00A123C7"/>
    <w:rsid w:val="00A13029"/>
    <w:rsid w:val="00A14349"/>
    <w:rsid w:val="00A14E44"/>
    <w:rsid w:val="00A14E66"/>
    <w:rsid w:val="00A176D9"/>
    <w:rsid w:val="00A20730"/>
    <w:rsid w:val="00A20FEB"/>
    <w:rsid w:val="00A224A8"/>
    <w:rsid w:val="00A22538"/>
    <w:rsid w:val="00A23BCC"/>
    <w:rsid w:val="00A24DD4"/>
    <w:rsid w:val="00A27E2B"/>
    <w:rsid w:val="00A330D0"/>
    <w:rsid w:val="00A33B7B"/>
    <w:rsid w:val="00A34039"/>
    <w:rsid w:val="00A3552E"/>
    <w:rsid w:val="00A35E94"/>
    <w:rsid w:val="00A36449"/>
    <w:rsid w:val="00A40930"/>
    <w:rsid w:val="00A40EBF"/>
    <w:rsid w:val="00A417FA"/>
    <w:rsid w:val="00A42760"/>
    <w:rsid w:val="00A443C7"/>
    <w:rsid w:val="00A458B3"/>
    <w:rsid w:val="00A45B60"/>
    <w:rsid w:val="00A45E73"/>
    <w:rsid w:val="00A47E8D"/>
    <w:rsid w:val="00A50132"/>
    <w:rsid w:val="00A503CE"/>
    <w:rsid w:val="00A52EC2"/>
    <w:rsid w:val="00A5551F"/>
    <w:rsid w:val="00A61B0C"/>
    <w:rsid w:val="00A62E17"/>
    <w:rsid w:val="00A63A2B"/>
    <w:rsid w:val="00A65CAA"/>
    <w:rsid w:val="00A662CF"/>
    <w:rsid w:val="00A66AD2"/>
    <w:rsid w:val="00A679C2"/>
    <w:rsid w:val="00A727F2"/>
    <w:rsid w:val="00A766FD"/>
    <w:rsid w:val="00A80353"/>
    <w:rsid w:val="00A817CB"/>
    <w:rsid w:val="00A820E7"/>
    <w:rsid w:val="00A82DF8"/>
    <w:rsid w:val="00A8367D"/>
    <w:rsid w:val="00A91306"/>
    <w:rsid w:val="00A9333E"/>
    <w:rsid w:val="00A94EC5"/>
    <w:rsid w:val="00A9554E"/>
    <w:rsid w:val="00A95DBA"/>
    <w:rsid w:val="00AA31F2"/>
    <w:rsid w:val="00AA406C"/>
    <w:rsid w:val="00AA4F9F"/>
    <w:rsid w:val="00AA556A"/>
    <w:rsid w:val="00AA5E1B"/>
    <w:rsid w:val="00AA7256"/>
    <w:rsid w:val="00AB0987"/>
    <w:rsid w:val="00AB1DC0"/>
    <w:rsid w:val="00AB1F76"/>
    <w:rsid w:val="00AB2344"/>
    <w:rsid w:val="00AB3900"/>
    <w:rsid w:val="00AB4B46"/>
    <w:rsid w:val="00AB6B08"/>
    <w:rsid w:val="00AB7215"/>
    <w:rsid w:val="00AC005D"/>
    <w:rsid w:val="00AC0606"/>
    <w:rsid w:val="00AC14DE"/>
    <w:rsid w:val="00AC56C2"/>
    <w:rsid w:val="00AC5E19"/>
    <w:rsid w:val="00AC6F49"/>
    <w:rsid w:val="00AC71F8"/>
    <w:rsid w:val="00AD2723"/>
    <w:rsid w:val="00AD2B58"/>
    <w:rsid w:val="00AD42F5"/>
    <w:rsid w:val="00AD445D"/>
    <w:rsid w:val="00AD6F47"/>
    <w:rsid w:val="00AE10D8"/>
    <w:rsid w:val="00AE22E4"/>
    <w:rsid w:val="00AE26E6"/>
    <w:rsid w:val="00AE2781"/>
    <w:rsid w:val="00AE5C52"/>
    <w:rsid w:val="00AE6D76"/>
    <w:rsid w:val="00AE6E0A"/>
    <w:rsid w:val="00AF045F"/>
    <w:rsid w:val="00AF0FA2"/>
    <w:rsid w:val="00AF0FDD"/>
    <w:rsid w:val="00AF5A70"/>
    <w:rsid w:val="00AF5C5C"/>
    <w:rsid w:val="00B03FB1"/>
    <w:rsid w:val="00B1210A"/>
    <w:rsid w:val="00B12A25"/>
    <w:rsid w:val="00B15336"/>
    <w:rsid w:val="00B15829"/>
    <w:rsid w:val="00B16BCA"/>
    <w:rsid w:val="00B17A9D"/>
    <w:rsid w:val="00B206FA"/>
    <w:rsid w:val="00B21C2F"/>
    <w:rsid w:val="00B249B7"/>
    <w:rsid w:val="00B262D7"/>
    <w:rsid w:val="00B2764E"/>
    <w:rsid w:val="00B30E77"/>
    <w:rsid w:val="00B31210"/>
    <w:rsid w:val="00B328CA"/>
    <w:rsid w:val="00B33C5B"/>
    <w:rsid w:val="00B33F27"/>
    <w:rsid w:val="00B34B88"/>
    <w:rsid w:val="00B35441"/>
    <w:rsid w:val="00B35EE5"/>
    <w:rsid w:val="00B377EA"/>
    <w:rsid w:val="00B37A25"/>
    <w:rsid w:val="00B40100"/>
    <w:rsid w:val="00B411DE"/>
    <w:rsid w:val="00B41512"/>
    <w:rsid w:val="00B41813"/>
    <w:rsid w:val="00B430D3"/>
    <w:rsid w:val="00B43652"/>
    <w:rsid w:val="00B437B6"/>
    <w:rsid w:val="00B44032"/>
    <w:rsid w:val="00B456CC"/>
    <w:rsid w:val="00B478EF"/>
    <w:rsid w:val="00B5029A"/>
    <w:rsid w:val="00B50739"/>
    <w:rsid w:val="00B51942"/>
    <w:rsid w:val="00B51BAD"/>
    <w:rsid w:val="00B537DD"/>
    <w:rsid w:val="00B55BE4"/>
    <w:rsid w:val="00B564A3"/>
    <w:rsid w:val="00B56514"/>
    <w:rsid w:val="00B56551"/>
    <w:rsid w:val="00B57AE9"/>
    <w:rsid w:val="00B57CA2"/>
    <w:rsid w:val="00B619B1"/>
    <w:rsid w:val="00B620CF"/>
    <w:rsid w:val="00B62992"/>
    <w:rsid w:val="00B638BD"/>
    <w:rsid w:val="00B65EB5"/>
    <w:rsid w:val="00B6615F"/>
    <w:rsid w:val="00B66555"/>
    <w:rsid w:val="00B67303"/>
    <w:rsid w:val="00B71672"/>
    <w:rsid w:val="00B72CEC"/>
    <w:rsid w:val="00B73156"/>
    <w:rsid w:val="00B731CF"/>
    <w:rsid w:val="00B73D83"/>
    <w:rsid w:val="00B74929"/>
    <w:rsid w:val="00B761C8"/>
    <w:rsid w:val="00B7716B"/>
    <w:rsid w:val="00B777E6"/>
    <w:rsid w:val="00B80134"/>
    <w:rsid w:val="00B80707"/>
    <w:rsid w:val="00B82507"/>
    <w:rsid w:val="00B840FE"/>
    <w:rsid w:val="00B861D4"/>
    <w:rsid w:val="00B8737A"/>
    <w:rsid w:val="00B87675"/>
    <w:rsid w:val="00B910DF"/>
    <w:rsid w:val="00B922B9"/>
    <w:rsid w:val="00B95043"/>
    <w:rsid w:val="00B9749F"/>
    <w:rsid w:val="00BA3026"/>
    <w:rsid w:val="00BA3EFF"/>
    <w:rsid w:val="00BA4972"/>
    <w:rsid w:val="00BA5FE7"/>
    <w:rsid w:val="00BA6156"/>
    <w:rsid w:val="00BB1C24"/>
    <w:rsid w:val="00BB2572"/>
    <w:rsid w:val="00BB2580"/>
    <w:rsid w:val="00BB2689"/>
    <w:rsid w:val="00BB27EC"/>
    <w:rsid w:val="00BB37EE"/>
    <w:rsid w:val="00BB530B"/>
    <w:rsid w:val="00BB58D3"/>
    <w:rsid w:val="00BC179B"/>
    <w:rsid w:val="00BC3AC8"/>
    <w:rsid w:val="00BC3DEF"/>
    <w:rsid w:val="00BC432E"/>
    <w:rsid w:val="00BC6774"/>
    <w:rsid w:val="00BC6C8B"/>
    <w:rsid w:val="00BC6EEF"/>
    <w:rsid w:val="00BC7980"/>
    <w:rsid w:val="00BD28C5"/>
    <w:rsid w:val="00BD2BCF"/>
    <w:rsid w:val="00BD2FEE"/>
    <w:rsid w:val="00BD4D43"/>
    <w:rsid w:val="00BD6296"/>
    <w:rsid w:val="00BD7695"/>
    <w:rsid w:val="00BE0D5C"/>
    <w:rsid w:val="00BE0EE1"/>
    <w:rsid w:val="00BE3869"/>
    <w:rsid w:val="00BE4BDF"/>
    <w:rsid w:val="00BE5FED"/>
    <w:rsid w:val="00BE65E4"/>
    <w:rsid w:val="00BE7D81"/>
    <w:rsid w:val="00BF0AA7"/>
    <w:rsid w:val="00BF2F97"/>
    <w:rsid w:val="00BF7365"/>
    <w:rsid w:val="00BF7FCF"/>
    <w:rsid w:val="00C00316"/>
    <w:rsid w:val="00C00765"/>
    <w:rsid w:val="00C00E26"/>
    <w:rsid w:val="00C03A2E"/>
    <w:rsid w:val="00C03B72"/>
    <w:rsid w:val="00C06287"/>
    <w:rsid w:val="00C10E73"/>
    <w:rsid w:val="00C12309"/>
    <w:rsid w:val="00C163DE"/>
    <w:rsid w:val="00C20D5E"/>
    <w:rsid w:val="00C21C39"/>
    <w:rsid w:val="00C23583"/>
    <w:rsid w:val="00C235B2"/>
    <w:rsid w:val="00C312CC"/>
    <w:rsid w:val="00C3457C"/>
    <w:rsid w:val="00C350F8"/>
    <w:rsid w:val="00C36C67"/>
    <w:rsid w:val="00C4066A"/>
    <w:rsid w:val="00C40D0E"/>
    <w:rsid w:val="00C469FC"/>
    <w:rsid w:val="00C51DF7"/>
    <w:rsid w:val="00C5255D"/>
    <w:rsid w:val="00C552A5"/>
    <w:rsid w:val="00C560BB"/>
    <w:rsid w:val="00C56BAB"/>
    <w:rsid w:val="00C57E14"/>
    <w:rsid w:val="00C602B7"/>
    <w:rsid w:val="00C60D92"/>
    <w:rsid w:val="00C62751"/>
    <w:rsid w:val="00C65930"/>
    <w:rsid w:val="00C75AB0"/>
    <w:rsid w:val="00C76228"/>
    <w:rsid w:val="00C76EF1"/>
    <w:rsid w:val="00C82AA4"/>
    <w:rsid w:val="00C82B3C"/>
    <w:rsid w:val="00C8305C"/>
    <w:rsid w:val="00C844D6"/>
    <w:rsid w:val="00C84BE5"/>
    <w:rsid w:val="00C85FF6"/>
    <w:rsid w:val="00C86C49"/>
    <w:rsid w:val="00C9326B"/>
    <w:rsid w:val="00C93B2C"/>
    <w:rsid w:val="00C95691"/>
    <w:rsid w:val="00C96A47"/>
    <w:rsid w:val="00C970CE"/>
    <w:rsid w:val="00C9760E"/>
    <w:rsid w:val="00CA113C"/>
    <w:rsid w:val="00CA1ECD"/>
    <w:rsid w:val="00CA205F"/>
    <w:rsid w:val="00CA4C7F"/>
    <w:rsid w:val="00CB0AF4"/>
    <w:rsid w:val="00CB13B7"/>
    <w:rsid w:val="00CB2F4F"/>
    <w:rsid w:val="00CB3395"/>
    <w:rsid w:val="00CB6E07"/>
    <w:rsid w:val="00CB7087"/>
    <w:rsid w:val="00CB723D"/>
    <w:rsid w:val="00CC198E"/>
    <w:rsid w:val="00CC41EE"/>
    <w:rsid w:val="00CC64D2"/>
    <w:rsid w:val="00CD061B"/>
    <w:rsid w:val="00CD0BF5"/>
    <w:rsid w:val="00CD0FA4"/>
    <w:rsid w:val="00CD1089"/>
    <w:rsid w:val="00CD1BCD"/>
    <w:rsid w:val="00CD41F8"/>
    <w:rsid w:val="00CD6D61"/>
    <w:rsid w:val="00CD7D66"/>
    <w:rsid w:val="00CD7FFC"/>
    <w:rsid w:val="00CE00C3"/>
    <w:rsid w:val="00CE1EE7"/>
    <w:rsid w:val="00CE2942"/>
    <w:rsid w:val="00CE2C6E"/>
    <w:rsid w:val="00CE2D75"/>
    <w:rsid w:val="00CE3D6A"/>
    <w:rsid w:val="00CE6C66"/>
    <w:rsid w:val="00CE799B"/>
    <w:rsid w:val="00CE7C35"/>
    <w:rsid w:val="00CF046A"/>
    <w:rsid w:val="00CF321C"/>
    <w:rsid w:val="00CF4FE6"/>
    <w:rsid w:val="00CF556F"/>
    <w:rsid w:val="00CF5974"/>
    <w:rsid w:val="00D0030F"/>
    <w:rsid w:val="00D01259"/>
    <w:rsid w:val="00D02EFD"/>
    <w:rsid w:val="00D0445F"/>
    <w:rsid w:val="00D0466E"/>
    <w:rsid w:val="00D0608D"/>
    <w:rsid w:val="00D061D5"/>
    <w:rsid w:val="00D06E87"/>
    <w:rsid w:val="00D06EFC"/>
    <w:rsid w:val="00D074BF"/>
    <w:rsid w:val="00D07815"/>
    <w:rsid w:val="00D1197E"/>
    <w:rsid w:val="00D122E5"/>
    <w:rsid w:val="00D1619E"/>
    <w:rsid w:val="00D16A5E"/>
    <w:rsid w:val="00D17137"/>
    <w:rsid w:val="00D206B3"/>
    <w:rsid w:val="00D207F3"/>
    <w:rsid w:val="00D219C1"/>
    <w:rsid w:val="00D22C33"/>
    <w:rsid w:val="00D27373"/>
    <w:rsid w:val="00D30224"/>
    <w:rsid w:val="00D32833"/>
    <w:rsid w:val="00D33DA7"/>
    <w:rsid w:val="00D3507E"/>
    <w:rsid w:val="00D354D0"/>
    <w:rsid w:val="00D41D9A"/>
    <w:rsid w:val="00D461E5"/>
    <w:rsid w:val="00D472D8"/>
    <w:rsid w:val="00D47795"/>
    <w:rsid w:val="00D50DE2"/>
    <w:rsid w:val="00D5255B"/>
    <w:rsid w:val="00D538F6"/>
    <w:rsid w:val="00D5457D"/>
    <w:rsid w:val="00D54EF5"/>
    <w:rsid w:val="00D56FF4"/>
    <w:rsid w:val="00D6098E"/>
    <w:rsid w:val="00D61E55"/>
    <w:rsid w:val="00D6213A"/>
    <w:rsid w:val="00D64E87"/>
    <w:rsid w:val="00D70223"/>
    <w:rsid w:val="00D727D6"/>
    <w:rsid w:val="00D73760"/>
    <w:rsid w:val="00D74036"/>
    <w:rsid w:val="00D802BD"/>
    <w:rsid w:val="00D808EE"/>
    <w:rsid w:val="00D8151A"/>
    <w:rsid w:val="00D87FE7"/>
    <w:rsid w:val="00D91885"/>
    <w:rsid w:val="00D92EEF"/>
    <w:rsid w:val="00D93663"/>
    <w:rsid w:val="00D94097"/>
    <w:rsid w:val="00D94961"/>
    <w:rsid w:val="00D95DDC"/>
    <w:rsid w:val="00D96B60"/>
    <w:rsid w:val="00DA0634"/>
    <w:rsid w:val="00DA3E6F"/>
    <w:rsid w:val="00DA62C5"/>
    <w:rsid w:val="00DA7CB8"/>
    <w:rsid w:val="00DA7DA7"/>
    <w:rsid w:val="00DB0871"/>
    <w:rsid w:val="00DB0CB2"/>
    <w:rsid w:val="00DB1CAD"/>
    <w:rsid w:val="00DB60F0"/>
    <w:rsid w:val="00DB7329"/>
    <w:rsid w:val="00DC08BC"/>
    <w:rsid w:val="00DC150C"/>
    <w:rsid w:val="00DC1F63"/>
    <w:rsid w:val="00DD1011"/>
    <w:rsid w:val="00DD52DA"/>
    <w:rsid w:val="00DD5419"/>
    <w:rsid w:val="00DD771A"/>
    <w:rsid w:val="00DD785D"/>
    <w:rsid w:val="00DE10BB"/>
    <w:rsid w:val="00DE1D58"/>
    <w:rsid w:val="00DE221F"/>
    <w:rsid w:val="00DE38C7"/>
    <w:rsid w:val="00DE3A2A"/>
    <w:rsid w:val="00DE3F4B"/>
    <w:rsid w:val="00DE55E6"/>
    <w:rsid w:val="00DE5DBB"/>
    <w:rsid w:val="00DF029D"/>
    <w:rsid w:val="00DF169D"/>
    <w:rsid w:val="00DF2867"/>
    <w:rsid w:val="00DF4142"/>
    <w:rsid w:val="00DF7A96"/>
    <w:rsid w:val="00DF7AE1"/>
    <w:rsid w:val="00E0241F"/>
    <w:rsid w:val="00E04482"/>
    <w:rsid w:val="00E04D37"/>
    <w:rsid w:val="00E05840"/>
    <w:rsid w:val="00E07968"/>
    <w:rsid w:val="00E10BA8"/>
    <w:rsid w:val="00E12448"/>
    <w:rsid w:val="00E142B0"/>
    <w:rsid w:val="00E1447A"/>
    <w:rsid w:val="00E14683"/>
    <w:rsid w:val="00E207DB"/>
    <w:rsid w:val="00E21EFB"/>
    <w:rsid w:val="00E2267F"/>
    <w:rsid w:val="00E235D4"/>
    <w:rsid w:val="00E25FBA"/>
    <w:rsid w:val="00E2630B"/>
    <w:rsid w:val="00E26437"/>
    <w:rsid w:val="00E270B7"/>
    <w:rsid w:val="00E27C9F"/>
    <w:rsid w:val="00E301FD"/>
    <w:rsid w:val="00E31C1C"/>
    <w:rsid w:val="00E325BC"/>
    <w:rsid w:val="00E32D9D"/>
    <w:rsid w:val="00E36A50"/>
    <w:rsid w:val="00E375F5"/>
    <w:rsid w:val="00E404A4"/>
    <w:rsid w:val="00E41B22"/>
    <w:rsid w:val="00E42BBE"/>
    <w:rsid w:val="00E42E01"/>
    <w:rsid w:val="00E43C87"/>
    <w:rsid w:val="00E44BDB"/>
    <w:rsid w:val="00E45389"/>
    <w:rsid w:val="00E528EB"/>
    <w:rsid w:val="00E5370B"/>
    <w:rsid w:val="00E53B09"/>
    <w:rsid w:val="00E53E1B"/>
    <w:rsid w:val="00E54754"/>
    <w:rsid w:val="00E5517A"/>
    <w:rsid w:val="00E56811"/>
    <w:rsid w:val="00E56A3E"/>
    <w:rsid w:val="00E6139F"/>
    <w:rsid w:val="00E61E1E"/>
    <w:rsid w:val="00E62387"/>
    <w:rsid w:val="00E64B3B"/>
    <w:rsid w:val="00E67D97"/>
    <w:rsid w:val="00E71A05"/>
    <w:rsid w:val="00E71C4F"/>
    <w:rsid w:val="00E742BC"/>
    <w:rsid w:val="00E80AB0"/>
    <w:rsid w:val="00E8407F"/>
    <w:rsid w:val="00E8435E"/>
    <w:rsid w:val="00E90B9D"/>
    <w:rsid w:val="00E923F1"/>
    <w:rsid w:val="00E93762"/>
    <w:rsid w:val="00E96A6F"/>
    <w:rsid w:val="00EA0108"/>
    <w:rsid w:val="00EA1B79"/>
    <w:rsid w:val="00EA42B1"/>
    <w:rsid w:val="00EA4BDE"/>
    <w:rsid w:val="00EA5A19"/>
    <w:rsid w:val="00EA6D03"/>
    <w:rsid w:val="00EB0541"/>
    <w:rsid w:val="00EB068E"/>
    <w:rsid w:val="00EB1D3D"/>
    <w:rsid w:val="00EB3D8A"/>
    <w:rsid w:val="00EB4AF9"/>
    <w:rsid w:val="00EB5C17"/>
    <w:rsid w:val="00EB6139"/>
    <w:rsid w:val="00EB6F60"/>
    <w:rsid w:val="00EB711D"/>
    <w:rsid w:val="00EC0476"/>
    <w:rsid w:val="00EC26AA"/>
    <w:rsid w:val="00EC71ED"/>
    <w:rsid w:val="00EC7486"/>
    <w:rsid w:val="00ED04F4"/>
    <w:rsid w:val="00ED0BF7"/>
    <w:rsid w:val="00ED18C4"/>
    <w:rsid w:val="00ED2536"/>
    <w:rsid w:val="00ED27A5"/>
    <w:rsid w:val="00ED30BF"/>
    <w:rsid w:val="00ED7B38"/>
    <w:rsid w:val="00EE0057"/>
    <w:rsid w:val="00EE0E84"/>
    <w:rsid w:val="00EE120A"/>
    <w:rsid w:val="00EE208F"/>
    <w:rsid w:val="00EE308D"/>
    <w:rsid w:val="00EE3C23"/>
    <w:rsid w:val="00EE44C9"/>
    <w:rsid w:val="00EE66FF"/>
    <w:rsid w:val="00EF087C"/>
    <w:rsid w:val="00EF24CD"/>
    <w:rsid w:val="00EF2769"/>
    <w:rsid w:val="00EF366A"/>
    <w:rsid w:val="00EF4DF3"/>
    <w:rsid w:val="00F00F95"/>
    <w:rsid w:val="00F017AE"/>
    <w:rsid w:val="00F02F28"/>
    <w:rsid w:val="00F04095"/>
    <w:rsid w:val="00F0799D"/>
    <w:rsid w:val="00F07DCF"/>
    <w:rsid w:val="00F1093A"/>
    <w:rsid w:val="00F12744"/>
    <w:rsid w:val="00F13F24"/>
    <w:rsid w:val="00F1419E"/>
    <w:rsid w:val="00F1472A"/>
    <w:rsid w:val="00F17F3B"/>
    <w:rsid w:val="00F209D8"/>
    <w:rsid w:val="00F22906"/>
    <w:rsid w:val="00F24048"/>
    <w:rsid w:val="00F24C69"/>
    <w:rsid w:val="00F27ED1"/>
    <w:rsid w:val="00F30CF8"/>
    <w:rsid w:val="00F31315"/>
    <w:rsid w:val="00F36625"/>
    <w:rsid w:val="00F40408"/>
    <w:rsid w:val="00F40BA1"/>
    <w:rsid w:val="00F42301"/>
    <w:rsid w:val="00F42F5E"/>
    <w:rsid w:val="00F43BA3"/>
    <w:rsid w:val="00F46297"/>
    <w:rsid w:val="00F46ABC"/>
    <w:rsid w:val="00F47050"/>
    <w:rsid w:val="00F5172B"/>
    <w:rsid w:val="00F53655"/>
    <w:rsid w:val="00F53C1E"/>
    <w:rsid w:val="00F5415B"/>
    <w:rsid w:val="00F55290"/>
    <w:rsid w:val="00F55956"/>
    <w:rsid w:val="00F56CA9"/>
    <w:rsid w:val="00F6071E"/>
    <w:rsid w:val="00F614AD"/>
    <w:rsid w:val="00F616C5"/>
    <w:rsid w:val="00F62CFC"/>
    <w:rsid w:val="00F639E2"/>
    <w:rsid w:val="00F64249"/>
    <w:rsid w:val="00F65284"/>
    <w:rsid w:val="00F65ECC"/>
    <w:rsid w:val="00F711FF"/>
    <w:rsid w:val="00F71512"/>
    <w:rsid w:val="00F74363"/>
    <w:rsid w:val="00F74FA5"/>
    <w:rsid w:val="00F7658C"/>
    <w:rsid w:val="00F769FF"/>
    <w:rsid w:val="00F773C5"/>
    <w:rsid w:val="00F77E6A"/>
    <w:rsid w:val="00F81D93"/>
    <w:rsid w:val="00F82AB5"/>
    <w:rsid w:val="00F831FB"/>
    <w:rsid w:val="00F845B1"/>
    <w:rsid w:val="00F86C62"/>
    <w:rsid w:val="00F907B5"/>
    <w:rsid w:val="00F92298"/>
    <w:rsid w:val="00F93164"/>
    <w:rsid w:val="00F93332"/>
    <w:rsid w:val="00F940A3"/>
    <w:rsid w:val="00F9413F"/>
    <w:rsid w:val="00F94A2D"/>
    <w:rsid w:val="00F94D21"/>
    <w:rsid w:val="00F968CA"/>
    <w:rsid w:val="00FA05F2"/>
    <w:rsid w:val="00FA11D0"/>
    <w:rsid w:val="00FA14EB"/>
    <w:rsid w:val="00FA344A"/>
    <w:rsid w:val="00FA39DE"/>
    <w:rsid w:val="00FA406D"/>
    <w:rsid w:val="00FA44DE"/>
    <w:rsid w:val="00FA4570"/>
    <w:rsid w:val="00FA690F"/>
    <w:rsid w:val="00FA75BE"/>
    <w:rsid w:val="00FB3001"/>
    <w:rsid w:val="00FB3748"/>
    <w:rsid w:val="00FB3CC6"/>
    <w:rsid w:val="00FB464E"/>
    <w:rsid w:val="00FB5056"/>
    <w:rsid w:val="00FB75E1"/>
    <w:rsid w:val="00FC015B"/>
    <w:rsid w:val="00FC019D"/>
    <w:rsid w:val="00FC19A6"/>
    <w:rsid w:val="00FC3C87"/>
    <w:rsid w:val="00FC4606"/>
    <w:rsid w:val="00FC4A38"/>
    <w:rsid w:val="00FD081A"/>
    <w:rsid w:val="00FD0CB0"/>
    <w:rsid w:val="00FD1315"/>
    <w:rsid w:val="00FD19F3"/>
    <w:rsid w:val="00FD1C14"/>
    <w:rsid w:val="00FD5E37"/>
    <w:rsid w:val="00FD6EA8"/>
    <w:rsid w:val="00FD744F"/>
    <w:rsid w:val="00FD7BD8"/>
    <w:rsid w:val="00FE1536"/>
    <w:rsid w:val="00FE25EE"/>
    <w:rsid w:val="00FE4491"/>
    <w:rsid w:val="00FE5718"/>
    <w:rsid w:val="00FE68CD"/>
    <w:rsid w:val="00FF061A"/>
    <w:rsid w:val="00FF150A"/>
    <w:rsid w:val="00FF2137"/>
    <w:rsid w:val="00FF2D07"/>
    <w:rsid w:val="00FF33FA"/>
    <w:rsid w:val="00FF3954"/>
    <w:rsid w:val="00FF3DA4"/>
    <w:rsid w:val="00FF5C71"/>
    <w:rsid w:val="00FF648A"/>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DBW 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DBW 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L,List Paragraph111,F5 List Paragraph,Dot pt,CV text,Table text,Numbered Paragraph,List Paragraph2,Bulleted Para,NFP GP Bulleted List,FooterText,numbered,列出段落,列出段落1,Paragraphe de liste1"/>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30544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List Paragraph1 Char,Recommendation Char,List Paragraph11 Char,L Char,List Paragraph111 Char,F5 List Paragraph Char,Dot pt Char,CV text Char,Table text Char,Numbered Paragraph Char,List Paragraph2 Char,Bulleted Para Char,列出段落 Char"/>
    <w:basedOn w:val="DefaultParagraphFont"/>
    <w:link w:val="ListParagraph"/>
    <w:uiPriority w:val="34"/>
    <w:locked/>
    <w:rsid w:val="00DF029D"/>
    <w:rPr>
      <w:rFonts w:ascii="Times New Roman" w:eastAsia="Times New Roman" w:hAnsi="Times New Roman" w:cs="Times New Roman"/>
      <w:szCs w:val="24"/>
    </w:rPr>
  </w:style>
  <w:style w:type="character" w:customStyle="1" w:styleId="st1">
    <w:name w:val="st1"/>
    <w:basedOn w:val="DefaultParagraphFont"/>
    <w:rsid w:val="00CA2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DBW 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DBW 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L,List Paragraph111,F5 List Paragraph,Dot pt,CV text,Table text,Numbered Paragraph,List Paragraph2,Bulleted Para,NFP GP Bulleted List,FooterText,numbered,列出段落,列出段落1,Paragraphe de liste1"/>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30544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List Paragraph1 Char,Recommendation Char,List Paragraph11 Char,L Char,List Paragraph111 Char,F5 List Paragraph Char,Dot pt Char,CV text Char,Table text Char,Numbered Paragraph Char,List Paragraph2 Char,Bulleted Para Char,列出段落 Char"/>
    <w:basedOn w:val="DefaultParagraphFont"/>
    <w:link w:val="ListParagraph"/>
    <w:uiPriority w:val="34"/>
    <w:locked/>
    <w:rsid w:val="00DF029D"/>
    <w:rPr>
      <w:rFonts w:ascii="Times New Roman" w:eastAsia="Times New Roman" w:hAnsi="Times New Roman" w:cs="Times New Roman"/>
      <w:szCs w:val="24"/>
    </w:rPr>
  </w:style>
  <w:style w:type="character" w:customStyle="1" w:styleId="st1">
    <w:name w:val="st1"/>
    <w:basedOn w:val="DefaultParagraphFont"/>
    <w:rsid w:val="00CA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804">
      <w:bodyDiv w:val="1"/>
      <w:marLeft w:val="0"/>
      <w:marRight w:val="0"/>
      <w:marTop w:val="0"/>
      <w:marBottom w:val="0"/>
      <w:divBdr>
        <w:top w:val="none" w:sz="0" w:space="0" w:color="auto"/>
        <w:left w:val="none" w:sz="0" w:space="0" w:color="auto"/>
        <w:bottom w:val="none" w:sz="0" w:space="0" w:color="auto"/>
        <w:right w:val="none" w:sz="0" w:space="0" w:color="auto"/>
      </w:divBdr>
    </w:div>
    <w:div w:id="105584201">
      <w:bodyDiv w:val="1"/>
      <w:marLeft w:val="0"/>
      <w:marRight w:val="0"/>
      <w:marTop w:val="0"/>
      <w:marBottom w:val="0"/>
      <w:divBdr>
        <w:top w:val="none" w:sz="0" w:space="0" w:color="auto"/>
        <w:left w:val="none" w:sz="0" w:space="0" w:color="auto"/>
        <w:bottom w:val="none" w:sz="0" w:space="0" w:color="auto"/>
        <w:right w:val="none" w:sz="0" w:space="0" w:color="auto"/>
      </w:divBdr>
    </w:div>
    <w:div w:id="119155869">
      <w:bodyDiv w:val="1"/>
      <w:marLeft w:val="0"/>
      <w:marRight w:val="0"/>
      <w:marTop w:val="0"/>
      <w:marBottom w:val="0"/>
      <w:divBdr>
        <w:top w:val="none" w:sz="0" w:space="0" w:color="auto"/>
        <w:left w:val="none" w:sz="0" w:space="0" w:color="auto"/>
        <w:bottom w:val="none" w:sz="0" w:space="0" w:color="auto"/>
        <w:right w:val="none" w:sz="0" w:space="0" w:color="auto"/>
      </w:divBdr>
    </w:div>
    <w:div w:id="13634522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81210082">
      <w:bodyDiv w:val="1"/>
      <w:marLeft w:val="0"/>
      <w:marRight w:val="0"/>
      <w:marTop w:val="0"/>
      <w:marBottom w:val="0"/>
      <w:divBdr>
        <w:top w:val="none" w:sz="0" w:space="0" w:color="auto"/>
        <w:left w:val="none" w:sz="0" w:space="0" w:color="auto"/>
        <w:bottom w:val="none" w:sz="0" w:space="0" w:color="auto"/>
        <w:right w:val="none" w:sz="0" w:space="0" w:color="auto"/>
      </w:divBdr>
    </w:div>
    <w:div w:id="224535020">
      <w:bodyDiv w:val="1"/>
      <w:marLeft w:val="0"/>
      <w:marRight w:val="0"/>
      <w:marTop w:val="0"/>
      <w:marBottom w:val="0"/>
      <w:divBdr>
        <w:top w:val="none" w:sz="0" w:space="0" w:color="auto"/>
        <w:left w:val="none" w:sz="0" w:space="0" w:color="auto"/>
        <w:bottom w:val="none" w:sz="0" w:space="0" w:color="auto"/>
        <w:right w:val="none" w:sz="0" w:space="0" w:color="auto"/>
      </w:divBdr>
    </w:div>
    <w:div w:id="309871307">
      <w:bodyDiv w:val="1"/>
      <w:marLeft w:val="0"/>
      <w:marRight w:val="0"/>
      <w:marTop w:val="0"/>
      <w:marBottom w:val="0"/>
      <w:divBdr>
        <w:top w:val="none" w:sz="0" w:space="0" w:color="auto"/>
        <w:left w:val="none" w:sz="0" w:space="0" w:color="auto"/>
        <w:bottom w:val="none" w:sz="0" w:space="0" w:color="auto"/>
        <w:right w:val="none" w:sz="0" w:space="0" w:color="auto"/>
      </w:divBdr>
    </w:div>
    <w:div w:id="350955771">
      <w:bodyDiv w:val="1"/>
      <w:marLeft w:val="0"/>
      <w:marRight w:val="0"/>
      <w:marTop w:val="0"/>
      <w:marBottom w:val="0"/>
      <w:divBdr>
        <w:top w:val="none" w:sz="0" w:space="0" w:color="auto"/>
        <w:left w:val="none" w:sz="0" w:space="0" w:color="auto"/>
        <w:bottom w:val="none" w:sz="0" w:space="0" w:color="auto"/>
        <w:right w:val="none" w:sz="0" w:space="0" w:color="auto"/>
      </w:divBdr>
    </w:div>
    <w:div w:id="380834286">
      <w:bodyDiv w:val="1"/>
      <w:marLeft w:val="0"/>
      <w:marRight w:val="0"/>
      <w:marTop w:val="0"/>
      <w:marBottom w:val="0"/>
      <w:divBdr>
        <w:top w:val="none" w:sz="0" w:space="0" w:color="auto"/>
        <w:left w:val="none" w:sz="0" w:space="0" w:color="auto"/>
        <w:bottom w:val="none" w:sz="0" w:space="0" w:color="auto"/>
        <w:right w:val="none" w:sz="0" w:space="0" w:color="auto"/>
      </w:divBdr>
    </w:div>
    <w:div w:id="390734757">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40953408">
      <w:bodyDiv w:val="1"/>
      <w:marLeft w:val="0"/>
      <w:marRight w:val="0"/>
      <w:marTop w:val="0"/>
      <w:marBottom w:val="0"/>
      <w:divBdr>
        <w:top w:val="none" w:sz="0" w:space="0" w:color="auto"/>
        <w:left w:val="none" w:sz="0" w:space="0" w:color="auto"/>
        <w:bottom w:val="none" w:sz="0" w:space="0" w:color="auto"/>
        <w:right w:val="none" w:sz="0" w:space="0" w:color="auto"/>
      </w:divBdr>
    </w:div>
    <w:div w:id="594947004">
      <w:bodyDiv w:val="1"/>
      <w:marLeft w:val="0"/>
      <w:marRight w:val="0"/>
      <w:marTop w:val="0"/>
      <w:marBottom w:val="0"/>
      <w:divBdr>
        <w:top w:val="none" w:sz="0" w:space="0" w:color="auto"/>
        <w:left w:val="none" w:sz="0" w:space="0" w:color="auto"/>
        <w:bottom w:val="none" w:sz="0" w:space="0" w:color="auto"/>
        <w:right w:val="none" w:sz="0" w:space="0" w:color="auto"/>
      </w:divBdr>
    </w:div>
    <w:div w:id="669868153">
      <w:bodyDiv w:val="1"/>
      <w:marLeft w:val="0"/>
      <w:marRight w:val="0"/>
      <w:marTop w:val="0"/>
      <w:marBottom w:val="0"/>
      <w:divBdr>
        <w:top w:val="none" w:sz="0" w:space="0" w:color="auto"/>
        <w:left w:val="none" w:sz="0" w:space="0" w:color="auto"/>
        <w:bottom w:val="none" w:sz="0" w:space="0" w:color="auto"/>
        <w:right w:val="none" w:sz="0" w:space="0" w:color="auto"/>
      </w:divBdr>
    </w:div>
    <w:div w:id="713773940">
      <w:bodyDiv w:val="1"/>
      <w:marLeft w:val="0"/>
      <w:marRight w:val="0"/>
      <w:marTop w:val="0"/>
      <w:marBottom w:val="0"/>
      <w:divBdr>
        <w:top w:val="none" w:sz="0" w:space="0" w:color="auto"/>
        <w:left w:val="none" w:sz="0" w:space="0" w:color="auto"/>
        <w:bottom w:val="none" w:sz="0" w:space="0" w:color="auto"/>
        <w:right w:val="none" w:sz="0" w:space="0" w:color="auto"/>
      </w:divBdr>
    </w:div>
    <w:div w:id="754861316">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04812305">
      <w:bodyDiv w:val="1"/>
      <w:marLeft w:val="0"/>
      <w:marRight w:val="0"/>
      <w:marTop w:val="0"/>
      <w:marBottom w:val="0"/>
      <w:divBdr>
        <w:top w:val="none" w:sz="0" w:space="0" w:color="auto"/>
        <w:left w:val="none" w:sz="0" w:space="0" w:color="auto"/>
        <w:bottom w:val="none" w:sz="0" w:space="0" w:color="auto"/>
        <w:right w:val="none" w:sz="0" w:space="0" w:color="auto"/>
      </w:divBdr>
    </w:div>
    <w:div w:id="816382730">
      <w:bodyDiv w:val="1"/>
      <w:marLeft w:val="30"/>
      <w:marRight w:val="0"/>
      <w:marTop w:val="0"/>
      <w:marBottom w:val="0"/>
      <w:divBdr>
        <w:top w:val="none" w:sz="0" w:space="0" w:color="auto"/>
        <w:left w:val="none" w:sz="0" w:space="0" w:color="auto"/>
        <w:bottom w:val="none" w:sz="0" w:space="0" w:color="auto"/>
        <w:right w:val="none" w:sz="0" w:space="0" w:color="auto"/>
      </w:divBdr>
      <w:divsChild>
        <w:div w:id="1852136422">
          <w:marLeft w:val="0"/>
          <w:marRight w:val="0"/>
          <w:marTop w:val="0"/>
          <w:marBottom w:val="0"/>
          <w:divBdr>
            <w:top w:val="none" w:sz="0" w:space="0" w:color="auto"/>
            <w:left w:val="none" w:sz="0" w:space="0" w:color="auto"/>
            <w:bottom w:val="none" w:sz="0" w:space="0" w:color="auto"/>
            <w:right w:val="none" w:sz="0" w:space="0" w:color="auto"/>
          </w:divBdr>
          <w:divsChild>
            <w:div w:id="148905208">
              <w:marLeft w:val="0"/>
              <w:marRight w:val="0"/>
              <w:marTop w:val="0"/>
              <w:marBottom w:val="0"/>
              <w:divBdr>
                <w:top w:val="none" w:sz="0" w:space="0" w:color="auto"/>
                <w:left w:val="none" w:sz="0" w:space="0" w:color="auto"/>
                <w:bottom w:val="none" w:sz="0" w:space="0" w:color="auto"/>
                <w:right w:val="none" w:sz="0" w:space="0" w:color="auto"/>
              </w:divBdr>
              <w:divsChild>
                <w:div w:id="1434934632">
                  <w:marLeft w:val="0"/>
                  <w:marRight w:val="0"/>
                  <w:marTop w:val="0"/>
                  <w:marBottom w:val="0"/>
                  <w:divBdr>
                    <w:top w:val="none" w:sz="0" w:space="0" w:color="auto"/>
                    <w:left w:val="none" w:sz="0" w:space="0" w:color="auto"/>
                    <w:bottom w:val="none" w:sz="0" w:space="0" w:color="auto"/>
                    <w:right w:val="none" w:sz="0" w:space="0" w:color="auto"/>
                  </w:divBdr>
                  <w:divsChild>
                    <w:div w:id="968704210">
                      <w:marLeft w:val="0"/>
                      <w:marRight w:val="0"/>
                      <w:marTop w:val="0"/>
                      <w:marBottom w:val="0"/>
                      <w:divBdr>
                        <w:top w:val="none" w:sz="0" w:space="0" w:color="auto"/>
                        <w:left w:val="none" w:sz="0" w:space="0" w:color="auto"/>
                        <w:bottom w:val="none" w:sz="0" w:space="0" w:color="auto"/>
                        <w:right w:val="none" w:sz="0" w:space="0" w:color="auto"/>
                      </w:divBdr>
                      <w:divsChild>
                        <w:div w:id="9799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3904886">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211337">
      <w:bodyDiv w:val="1"/>
      <w:marLeft w:val="0"/>
      <w:marRight w:val="0"/>
      <w:marTop w:val="0"/>
      <w:marBottom w:val="0"/>
      <w:divBdr>
        <w:top w:val="none" w:sz="0" w:space="0" w:color="auto"/>
        <w:left w:val="none" w:sz="0" w:space="0" w:color="auto"/>
        <w:bottom w:val="none" w:sz="0" w:space="0" w:color="auto"/>
        <w:right w:val="none" w:sz="0" w:space="0" w:color="auto"/>
      </w:divBdr>
    </w:div>
    <w:div w:id="959528659">
      <w:bodyDiv w:val="1"/>
      <w:marLeft w:val="0"/>
      <w:marRight w:val="0"/>
      <w:marTop w:val="0"/>
      <w:marBottom w:val="0"/>
      <w:divBdr>
        <w:top w:val="none" w:sz="0" w:space="0" w:color="auto"/>
        <w:left w:val="none" w:sz="0" w:space="0" w:color="auto"/>
        <w:bottom w:val="none" w:sz="0" w:space="0" w:color="auto"/>
        <w:right w:val="none" w:sz="0" w:space="0" w:color="auto"/>
      </w:divBdr>
    </w:div>
    <w:div w:id="978918179">
      <w:bodyDiv w:val="1"/>
      <w:marLeft w:val="0"/>
      <w:marRight w:val="0"/>
      <w:marTop w:val="0"/>
      <w:marBottom w:val="0"/>
      <w:divBdr>
        <w:top w:val="none" w:sz="0" w:space="0" w:color="auto"/>
        <w:left w:val="none" w:sz="0" w:space="0" w:color="auto"/>
        <w:bottom w:val="none" w:sz="0" w:space="0" w:color="auto"/>
        <w:right w:val="none" w:sz="0" w:space="0" w:color="auto"/>
      </w:divBdr>
    </w:div>
    <w:div w:id="982780335">
      <w:bodyDiv w:val="1"/>
      <w:marLeft w:val="0"/>
      <w:marRight w:val="0"/>
      <w:marTop w:val="0"/>
      <w:marBottom w:val="0"/>
      <w:divBdr>
        <w:top w:val="none" w:sz="0" w:space="0" w:color="auto"/>
        <w:left w:val="none" w:sz="0" w:space="0" w:color="auto"/>
        <w:bottom w:val="none" w:sz="0" w:space="0" w:color="auto"/>
        <w:right w:val="none" w:sz="0" w:space="0" w:color="auto"/>
      </w:divBdr>
    </w:div>
    <w:div w:id="1056778558">
      <w:bodyDiv w:val="1"/>
      <w:marLeft w:val="0"/>
      <w:marRight w:val="0"/>
      <w:marTop w:val="0"/>
      <w:marBottom w:val="0"/>
      <w:divBdr>
        <w:top w:val="none" w:sz="0" w:space="0" w:color="auto"/>
        <w:left w:val="none" w:sz="0" w:space="0" w:color="auto"/>
        <w:bottom w:val="none" w:sz="0" w:space="0" w:color="auto"/>
        <w:right w:val="none" w:sz="0" w:space="0" w:color="auto"/>
      </w:divBdr>
    </w:div>
    <w:div w:id="1060134308">
      <w:bodyDiv w:val="1"/>
      <w:marLeft w:val="0"/>
      <w:marRight w:val="0"/>
      <w:marTop w:val="0"/>
      <w:marBottom w:val="0"/>
      <w:divBdr>
        <w:top w:val="none" w:sz="0" w:space="0" w:color="auto"/>
        <w:left w:val="none" w:sz="0" w:space="0" w:color="auto"/>
        <w:bottom w:val="none" w:sz="0" w:space="0" w:color="auto"/>
        <w:right w:val="none" w:sz="0" w:space="0" w:color="auto"/>
      </w:divBdr>
    </w:div>
    <w:div w:id="1090585321">
      <w:bodyDiv w:val="1"/>
      <w:marLeft w:val="0"/>
      <w:marRight w:val="0"/>
      <w:marTop w:val="0"/>
      <w:marBottom w:val="0"/>
      <w:divBdr>
        <w:top w:val="none" w:sz="0" w:space="0" w:color="auto"/>
        <w:left w:val="none" w:sz="0" w:space="0" w:color="auto"/>
        <w:bottom w:val="none" w:sz="0" w:space="0" w:color="auto"/>
        <w:right w:val="none" w:sz="0" w:space="0" w:color="auto"/>
      </w:divBdr>
      <w:divsChild>
        <w:div w:id="1021122907">
          <w:marLeft w:val="0"/>
          <w:marRight w:val="0"/>
          <w:marTop w:val="0"/>
          <w:marBottom w:val="0"/>
          <w:divBdr>
            <w:top w:val="none" w:sz="0" w:space="0" w:color="auto"/>
            <w:left w:val="none" w:sz="0" w:space="0" w:color="auto"/>
            <w:bottom w:val="none" w:sz="0" w:space="0" w:color="auto"/>
            <w:right w:val="none" w:sz="0" w:space="0" w:color="auto"/>
          </w:divBdr>
          <w:divsChild>
            <w:div w:id="17857179">
              <w:marLeft w:val="0"/>
              <w:marRight w:val="0"/>
              <w:marTop w:val="0"/>
              <w:marBottom w:val="0"/>
              <w:divBdr>
                <w:top w:val="none" w:sz="0" w:space="0" w:color="auto"/>
                <w:left w:val="none" w:sz="0" w:space="0" w:color="auto"/>
                <w:bottom w:val="none" w:sz="0" w:space="0" w:color="auto"/>
                <w:right w:val="none" w:sz="0" w:space="0" w:color="auto"/>
              </w:divBdr>
              <w:divsChild>
                <w:div w:id="51347034">
                  <w:marLeft w:val="0"/>
                  <w:marRight w:val="0"/>
                  <w:marTop w:val="0"/>
                  <w:marBottom w:val="0"/>
                  <w:divBdr>
                    <w:top w:val="none" w:sz="0" w:space="0" w:color="auto"/>
                    <w:left w:val="none" w:sz="0" w:space="0" w:color="auto"/>
                    <w:bottom w:val="none" w:sz="0" w:space="0" w:color="auto"/>
                    <w:right w:val="none" w:sz="0" w:space="0" w:color="auto"/>
                  </w:divBdr>
                  <w:divsChild>
                    <w:div w:id="159203052">
                      <w:marLeft w:val="0"/>
                      <w:marRight w:val="0"/>
                      <w:marTop w:val="0"/>
                      <w:marBottom w:val="0"/>
                      <w:divBdr>
                        <w:top w:val="none" w:sz="0" w:space="0" w:color="auto"/>
                        <w:left w:val="none" w:sz="0" w:space="0" w:color="auto"/>
                        <w:bottom w:val="none" w:sz="0" w:space="0" w:color="auto"/>
                        <w:right w:val="none" w:sz="0" w:space="0" w:color="auto"/>
                      </w:divBdr>
                      <w:divsChild>
                        <w:div w:id="111289677">
                          <w:marLeft w:val="0"/>
                          <w:marRight w:val="0"/>
                          <w:marTop w:val="0"/>
                          <w:marBottom w:val="0"/>
                          <w:divBdr>
                            <w:top w:val="none" w:sz="0" w:space="0" w:color="auto"/>
                            <w:left w:val="none" w:sz="0" w:space="0" w:color="auto"/>
                            <w:bottom w:val="none" w:sz="0" w:space="0" w:color="auto"/>
                            <w:right w:val="none" w:sz="0" w:space="0" w:color="auto"/>
                          </w:divBdr>
                          <w:divsChild>
                            <w:div w:id="424233365">
                              <w:marLeft w:val="0"/>
                              <w:marRight w:val="0"/>
                              <w:marTop w:val="0"/>
                              <w:marBottom w:val="0"/>
                              <w:divBdr>
                                <w:top w:val="none" w:sz="0" w:space="0" w:color="auto"/>
                                <w:left w:val="none" w:sz="0" w:space="0" w:color="auto"/>
                                <w:bottom w:val="none" w:sz="0" w:space="0" w:color="auto"/>
                                <w:right w:val="none" w:sz="0" w:space="0" w:color="auto"/>
                              </w:divBdr>
                              <w:divsChild>
                                <w:div w:id="11037664">
                                  <w:marLeft w:val="0"/>
                                  <w:marRight w:val="0"/>
                                  <w:marTop w:val="0"/>
                                  <w:marBottom w:val="0"/>
                                  <w:divBdr>
                                    <w:top w:val="none" w:sz="0" w:space="0" w:color="auto"/>
                                    <w:left w:val="none" w:sz="0" w:space="0" w:color="auto"/>
                                    <w:bottom w:val="none" w:sz="0" w:space="0" w:color="auto"/>
                                    <w:right w:val="none" w:sz="0" w:space="0" w:color="auto"/>
                                  </w:divBdr>
                                  <w:divsChild>
                                    <w:div w:id="139270696">
                                      <w:marLeft w:val="0"/>
                                      <w:marRight w:val="0"/>
                                      <w:marTop w:val="0"/>
                                      <w:marBottom w:val="0"/>
                                      <w:divBdr>
                                        <w:top w:val="none" w:sz="0" w:space="0" w:color="auto"/>
                                        <w:left w:val="none" w:sz="0" w:space="0" w:color="auto"/>
                                        <w:bottom w:val="none" w:sz="0" w:space="0" w:color="auto"/>
                                        <w:right w:val="none" w:sz="0" w:space="0" w:color="auto"/>
                                      </w:divBdr>
                                      <w:divsChild>
                                        <w:div w:id="272905113">
                                          <w:marLeft w:val="0"/>
                                          <w:marRight w:val="0"/>
                                          <w:marTop w:val="0"/>
                                          <w:marBottom w:val="0"/>
                                          <w:divBdr>
                                            <w:top w:val="none" w:sz="0" w:space="0" w:color="auto"/>
                                            <w:left w:val="none" w:sz="0" w:space="0" w:color="auto"/>
                                            <w:bottom w:val="none" w:sz="0" w:space="0" w:color="auto"/>
                                            <w:right w:val="none" w:sz="0" w:space="0" w:color="auto"/>
                                          </w:divBdr>
                                          <w:divsChild>
                                            <w:div w:id="1250504791">
                                              <w:marLeft w:val="0"/>
                                              <w:marRight w:val="0"/>
                                              <w:marTop w:val="0"/>
                                              <w:marBottom w:val="0"/>
                                              <w:divBdr>
                                                <w:top w:val="none" w:sz="0" w:space="0" w:color="auto"/>
                                                <w:left w:val="none" w:sz="0" w:space="0" w:color="auto"/>
                                                <w:bottom w:val="none" w:sz="0" w:space="0" w:color="auto"/>
                                                <w:right w:val="none" w:sz="0" w:space="0" w:color="auto"/>
                                              </w:divBdr>
                                              <w:divsChild>
                                                <w:div w:id="638149050">
                                                  <w:marLeft w:val="0"/>
                                                  <w:marRight w:val="0"/>
                                                  <w:marTop w:val="0"/>
                                                  <w:marBottom w:val="0"/>
                                                  <w:divBdr>
                                                    <w:top w:val="none" w:sz="0" w:space="0" w:color="auto"/>
                                                    <w:left w:val="none" w:sz="0" w:space="0" w:color="auto"/>
                                                    <w:bottom w:val="none" w:sz="0" w:space="0" w:color="auto"/>
                                                    <w:right w:val="none" w:sz="0" w:space="0" w:color="auto"/>
                                                  </w:divBdr>
                                                  <w:divsChild>
                                                    <w:div w:id="829372134">
                                                      <w:marLeft w:val="0"/>
                                                      <w:marRight w:val="0"/>
                                                      <w:marTop w:val="0"/>
                                                      <w:marBottom w:val="0"/>
                                                      <w:divBdr>
                                                        <w:top w:val="none" w:sz="0" w:space="0" w:color="auto"/>
                                                        <w:left w:val="none" w:sz="0" w:space="0" w:color="auto"/>
                                                        <w:bottom w:val="none" w:sz="0" w:space="0" w:color="auto"/>
                                                        <w:right w:val="none" w:sz="0" w:space="0" w:color="auto"/>
                                                      </w:divBdr>
                                                      <w:divsChild>
                                                        <w:div w:id="1858691987">
                                                          <w:marLeft w:val="0"/>
                                                          <w:marRight w:val="0"/>
                                                          <w:marTop w:val="0"/>
                                                          <w:marBottom w:val="0"/>
                                                          <w:divBdr>
                                                            <w:top w:val="none" w:sz="0" w:space="0" w:color="auto"/>
                                                            <w:left w:val="none" w:sz="0" w:space="0" w:color="auto"/>
                                                            <w:bottom w:val="none" w:sz="0" w:space="0" w:color="auto"/>
                                                            <w:right w:val="none" w:sz="0" w:space="0" w:color="auto"/>
                                                          </w:divBdr>
                                                          <w:divsChild>
                                                            <w:div w:id="1737511181">
                                                              <w:marLeft w:val="0"/>
                                                              <w:marRight w:val="150"/>
                                                              <w:marTop w:val="0"/>
                                                              <w:marBottom w:val="150"/>
                                                              <w:divBdr>
                                                                <w:top w:val="none" w:sz="0" w:space="0" w:color="auto"/>
                                                                <w:left w:val="none" w:sz="0" w:space="0" w:color="auto"/>
                                                                <w:bottom w:val="none" w:sz="0" w:space="0" w:color="auto"/>
                                                                <w:right w:val="none" w:sz="0" w:space="0" w:color="auto"/>
                                                              </w:divBdr>
                                                              <w:divsChild>
                                                                <w:div w:id="1008866401">
                                                                  <w:marLeft w:val="0"/>
                                                                  <w:marRight w:val="0"/>
                                                                  <w:marTop w:val="0"/>
                                                                  <w:marBottom w:val="0"/>
                                                                  <w:divBdr>
                                                                    <w:top w:val="none" w:sz="0" w:space="0" w:color="auto"/>
                                                                    <w:left w:val="none" w:sz="0" w:space="0" w:color="auto"/>
                                                                    <w:bottom w:val="none" w:sz="0" w:space="0" w:color="auto"/>
                                                                    <w:right w:val="none" w:sz="0" w:space="0" w:color="auto"/>
                                                                  </w:divBdr>
                                                                  <w:divsChild>
                                                                    <w:div w:id="2128811354">
                                                                      <w:marLeft w:val="0"/>
                                                                      <w:marRight w:val="0"/>
                                                                      <w:marTop w:val="0"/>
                                                                      <w:marBottom w:val="0"/>
                                                                      <w:divBdr>
                                                                        <w:top w:val="none" w:sz="0" w:space="0" w:color="auto"/>
                                                                        <w:left w:val="none" w:sz="0" w:space="0" w:color="auto"/>
                                                                        <w:bottom w:val="none" w:sz="0" w:space="0" w:color="auto"/>
                                                                        <w:right w:val="none" w:sz="0" w:space="0" w:color="auto"/>
                                                                      </w:divBdr>
                                                                      <w:divsChild>
                                                                        <w:div w:id="993339308">
                                                                          <w:marLeft w:val="0"/>
                                                                          <w:marRight w:val="0"/>
                                                                          <w:marTop w:val="0"/>
                                                                          <w:marBottom w:val="0"/>
                                                                          <w:divBdr>
                                                                            <w:top w:val="none" w:sz="0" w:space="0" w:color="auto"/>
                                                                            <w:left w:val="none" w:sz="0" w:space="0" w:color="auto"/>
                                                                            <w:bottom w:val="none" w:sz="0" w:space="0" w:color="auto"/>
                                                                            <w:right w:val="none" w:sz="0" w:space="0" w:color="auto"/>
                                                                          </w:divBdr>
                                                                          <w:divsChild>
                                                                            <w:div w:id="558631721">
                                                                              <w:marLeft w:val="0"/>
                                                                              <w:marRight w:val="0"/>
                                                                              <w:marTop w:val="0"/>
                                                                              <w:marBottom w:val="0"/>
                                                                              <w:divBdr>
                                                                                <w:top w:val="none" w:sz="0" w:space="0" w:color="auto"/>
                                                                                <w:left w:val="none" w:sz="0" w:space="0" w:color="auto"/>
                                                                                <w:bottom w:val="none" w:sz="0" w:space="0" w:color="auto"/>
                                                                                <w:right w:val="none" w:sz="0" w:space="0" w:color="auto"/>
                                                                              </w:divBdr>
                                                                              <w:divsChild>
                                                                                <w:div w:id="814377048">
                                                                                  <w:marLeft w:val="0"/>
                                                                                  <w:marRight w:val="0"/>
                                                                                  <w:marTop w:val="0"/>
                                                                                  <w:marBottom w:val="0"/>
                                                                                  <w:divBdr>
                                                                                    <w:top w:val="none" w:sz="0" w:space="0" w:color="auto"/>
                                                                                    <w:left w:val="none" w:sz="0" w:space="0" w:color="auto"/>
                                                                                    <w:bottom w:val="none" w:sz="0" w:space="0" w:color="auto"/>
                                                                                    <w:right w:val="none" w:sz="0" w:space="0" w:color="auto"/>
                                                                                  </w:divBdr>
                                                                                  <w:divsChild>
                                                                                    <w:div w:id="8368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00103331">
      <w:bodyDiv w:val="1"/>
      <w:marLeft w:val="0"/>
      <w:marRight w:val="0"/>
      <w:marTop w:val="0"/>
      <w:marBottom w:val="0"/>
      <w:divBdr>
        <w:top w:val="none" w:sz="0" w:space="0" w:color="auto"/>
        <w:left w:val="none" w:sz="0" w:space="0" w:color="auto"/>
        <w:bottom w:val="none" w:sz="0" w:space="0" w:color="auto"/>
        <w:right w:val="none" w:sz="0" w:space="0" w:color="auto"/>
      </w:divBdr>
    </w:div>
    <w:div w:id="1101341002">
      <w:bodyDiv w:val="1"/>
      <w:marLeft w:val="0"/>
      <w:marRight w:val="0"/>
      <w:marTop w:val="0"/>
      <w:marBottom w:val="0"/>
      <w:divBdr>
        <w:top w:val="none" w:sz="0" w:space="0" w:color="auto"/>
        <w:left w:val="none" w:sz="0" w:space="0" w:color="auto"/>
        <w:bottom w:val="none" w:sz="0" w:space="0" w:color="auto"/>
        <w:right w:val="none" w:sz="0" w:space="0" w:color="auto"/>
      </w:divBdr>
    </w:div>
    <w:div w:id="1159495452">
      <w:bodyDiv w:val="1"/>
      <w:marLeft w:val="0"/>
      <w:marRight w:val="0"/>
      <w:marTop w:val="0"/>
      <w:marBottom w:val="0"/>
      <w:divBdr>
        <w:top w:val="none" w:sz="0" w:space="0" w:color="auto"/>
        <w:left w:val="none" w:sz="0" w:space="0" w:color="auto"/>
        <w:bottom w:val="none" w:sz="0" w:space="0" w:color="auto"/>
        <w:right w:val="none" w:sz="0" w:space="0" w:color="auto"/>
      </w:divBdr>
    </w:div>
    <w:div w:id="1187937733">
      <w:bodyDiv w:val="1"/>
      <w:marLeft w:val="0"/>
      <w:marRight w:val="0"/>
      <w:marTop w:val="0"/>
      <w:marBottom w:val="0"/>
      <w:divBdr>
        <w:top w:val="none" w:sz="0" w:space="0" w:color="auto"/>
        <w:left w:val="none" w:sz="0" w:space="0" w:color="auto"/>
        <w:bottom w:val="none" w:sz="0" w:space="0" w:color="auto"/>
        <w:right w:val="none" w:sz="0" w:space="0" w:color="auto"/>
      </w:divBdr>
    </w:div>
    <w:div w:id="121990231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26470200">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54305424">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01122372">
      <w:bodyDiv w:val="1"/>
      <w:marLeft w:val="0"/>
      <w:marRight w:val="0"/>
      <w:marTop w:val="0"/>
      <w:marBottom w:val="0"/>
      <w:divBdr>
        <w:top w:val="none" w:sz="0" w:space="0" w:color="auto"/>
        <w:left w:val="none" w:sz="0" w:space="0" w:color="auto"/>
        <w:bottom w:val="none" w:sz="0" w:space="0" w:color="auto"/>
        <w:right w:val="none" w:sz="0" w:space="0" w:color="auto"/>
      </w:divBdr>
    </w:div>
    <w:div w:id="1568418378">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49817811">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016702">
      <w:bodyDiv w:val="1"/>
      <w:marLeft w:val="0"/>
      <w:marRight w:val="0"/>
      <w:marTop w:val="0"/>
      <w:marBottom w:val="0"/>
      <w:divBdr>
        <w:top w:val="none" w:sz="0" w:space="0" w:color="auto"/>
        <w:left w:val="none" w:sz="0" w:space="0" w:color="auto"/>
        <w:bottom w:val="none" w:sz="0" w:space="0" w:color="auto"/>
        <w:right w:val="none" w:sz="0" w:space="0" w:color="auto"/>
      </w:divBdr>
    </w:div>
    <w:div w:id="1678382983">
      <w:bodyDiv w:val="1"/>
      <w:marLeft w:val="0"/>
      <w:marRight w:val="0"/>
      <w:marTop w:val="0"/>
      <w:marBottom w:val="0"/>
      <w:divBdr>
        <w:top w:val="none" w:sz="0" w:space="0" w:color="auto"/>
        <w:left w:val="none" w:sz="0" w:space="0" w:color="auto"/>
        <w:bottom w:val="none" w:sz="0" w:space="0" w:color="auto"/>
        <w:right w:val="none" w:sz="0" w:space="0" w:color="auto"/>
      </w:divBdr>
    </w:div>
    <w:div w:id="1683313637">
      <w:bodyDiv w:val="1"/>
      <w:marLeft w:val="0"/>
      <w:marRight w:val="0"/>
      <w:marTop w:val="0"/>
      <w:marBottom w:val="0"/>
      <w:divBdr>
        <w:top w:val="none" w:sz="0" w:space="0" w:color="auto"/>
        <w:left w:val="none" w:sz="0" w:space="0" w:color="auto"/>
        <w:bottom w:val="none" w:sz="0" w:space="0" w:color="auto"/>
        <w:right w:val="none" w:sz="0" w:space="0" w:color="auto"/>
      </w:divBdr>
    </w:div>
    <w:div w:id="1748842609">
      <w:bodyDiv w:val="1"/>
      <w:marLeft w:val="0"/>
      <w:marRight w:val="0"/>
      <w:marTop w:val="0"/>
      <w:marBottom w:val="0"/>
      <w:divBdr>
        <w:top w:val="none" w:sz="0" w:space="0" w:color="auto"/>
        <w:left w:val="none" w:sz="0" w:space="0" w:color="auto"/>
        <w:bottom w:val="none" w:sz="0" w:space="0" w:color="auto"/>
        <w:right w:val="none" w:sz="0" w:space="0" w:color="auto"/>
      </w:divBdr>
    </w:div>
    <w:div w:id="1799686071">
      <w:bodyDiv w:val="1"/>
      <w:marLeft w:val="0"/>
      <w:marRight w:val="0"/>
      <w:marTop w:val="0"/>
      <w:marBottom w:val="0"/>
      <w:divBdr>
        <w:top w:val="none" w:sz="0" w:space="0" w:color="auto"/>
        <w:left w:val="none" w:sz="0" w:space="0" w:color="auto"/>
        <w:bottom w:val="none" w:sz="0" w:space="0" w:color="auto"/>
        <w:right w:val="none" w:sz="0" w:space="0" w:color="auto"/>
      </w:divBdr>
    </w:div>
    <w:div w:id="1805341876">
      <w:bodyDiv w:val="1"/>
      <w:marLeft w:val="0"/>
      <w:marRight w:val="0"/>
      <w:marTop w:val="0"/>
      <w:marBottom w:val="0"/>
      <w:divBdr>
        <w:top w:val="none" w:sz="0" w:space="0" w:color="auto"/>
        <w:left w:val="none" w:sz="0" w:space="0" w:color="auto"/>
        <w:bottom w:val="none" w:sz="0" w:space="0" w:color="auto"/>
        <w:right w:val="none" w:sz="0" w:space="0" w:color="auto"/>
      </w:divBdr>
    </w:div>
    <w:div w:id="1852791423">
      <w:bodyDiv w:val="1"/>
      <w:marLeft w:val="0"/>
      <w:marRight w:val="0"/>
      <w:marTop w:val="0"/>
      <w:marBottom w:val="0"/>
      <w:divBdr>
        <w:top w:val="none" w:sz="0" w:space="0" w:color="auto"/>
        <w:left w:val="none" w:sz="0" w:space="0" w:color="auto"/>
        <w:bottom w:val="none" w:sz="0" w:space="0" w:color="auto"/>
        <w:right w:val="none" w:sz="0" w:space="0" w:color="auto"/>
      </w:divBdr>
    </w:div>
    <w:div w:id="1856459424">
      <w:bodyDiv w:val="1"/>
      <w:marLeft w:val="0"/>
      <w:marRight w:val="0"/>
      <w:marTop w:val="0"/>
      <w:marBottom w:val="0"/>
      <w:divBdr>
        <w:top w:val="none" w:sz="0" w:space="0" w:color="auto"/>
        <w:left w:val="none" w:sz="0" w:space="0" w:color="auto"/>
        <w:bottom w:val="none" w:sz="0" w:space="0" w:color="auto"/>
        <w:right w:val="none" w:sz="0" w:space="0" w:color="auto"/>
      </w:divBdr>
    </w:div>
    <w:div w:id="1875387689">
      <w:bodyDiv w:val="1"/>
      <w:marLeft w:val="0"/>
      <w:marRight w:val="0"/>
      <w:marTop w:val="0"/>
      <w:marBottom w:val="0"/>
      <w:divBdr>
        <w:top w:val="none" w:sz="0" w:space="0" w:color="auto"/>
        <w:left w:val="none" w:sz="0" w:space="0" w:color="auto"/>
        <w:bottom w:val="none" w:sz="0" w:space="0" w:color="auto"/>
        <w:right w:val="none" w:sz="0" w:space="0" w:color="auto"/>
      </w:divBdr>
    </w:div>
    <w:div w:id="187911921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74288263">
      <w:bodyDiv w:val="1"/>
      <w:marLeft w:val="0"/>
      <w:marRight w:val="0"/>
      <w:marTop w:val="0"/>
      <w:marBottom w:val="0"/>
      <w:divBdr>
        <w:top w:val="none" w:sz="0" w:space="0" w:color="auto"/>
        <w:left w:val="none" w:sz="0" w:space="0" w:color="auto"/>
        <w:bottom w:val="none" w:sz="0" w:space="0" w:color="auto"/>
        <w:right w:val="none" w:sz="0" w:space="0" w:color="auto"/>
      </w:divBdr>
    </w:div>
    <w:div w:id="2004046183">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231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www.dvb.no/news/health-education-spending-to-increase-in-2014-burma-myanmar/35887" TargetMode="External"/><Relationship Id="rId13" Type="http://schemas.openxmlformats.org/officeDocument/2006/relationships/hyperlink" Target="https://www.cia.gov/library/publications/the-world-factbook/geos/bm.html" TargetMode="External"/><Relationship Id="rId3" Type="http://schemas.openxmlformats.org/officeDocument/2006/relationships/hyperlink" Target="http://scalingupnutrition.org/sun-countries/myanmar" TargetMode="External"/><Relationship Id="rId7" Type="http://schemas.openxmlformats.org/officeDocument/2006/relationships/hyperlink" Target="http://data.worldbank.org/indicator/IC.BUS.EASE.XQ?order=wbapi_data_value_2013+wbapi_data_value+wbapi_data_value-last&amp;sort=asc" TargetMode="External"/><Relationship Id="rId12" Type="http://schemas.openxmlformats.org/officeDocument/2006/relationships/hyperlink" Target="http://www.irrawaddy.org/interview/uk-official-talks-development-aid-military-ties-burma.html" TargetMode="External"/><Relationship Id="rId2" Type="http://schemas.openxmlformats.org/officeDocument/2006/relationships/hyperlink" Target="http://www.adb.org/countries/myanmar/main" TargetMode="External"/><Relationship Id="rId1" Type="http://schemas.openxmlformats.org/officeDocument/2006/relationships/hyperlink" Target="http://www.unescap.org/resources/asia-pacific-regional-mdg-report-201213-asia-pacific-aspirations-perspectives-post-2015" TargetMode="External"/><Relationship Id="rId6" Type="http://schemas.openxmlformats.org/officeDocument/2006/relationships/hyperlink" Target="http://reliefweb.int/report/myanmar/myanmar-countrywide-displacement-snapshot-november-2013" TargetMode="External"/><Relationship Id="rId11" Type="http://schemas.openxmlformats.org/officeDocument/2006/relationships/hyperlink" Target="http://www.dvb.no/news/eu-pledges-burma-up-to-e90-million-a-year-in-development-assistance-myanmar/34426" TargetMode="External"/><Relationship Id="rId5" Type="http://schemas.openxmlformats.org/officeDocument/2006/relationships/hyperlink" Target="http://reliefweb.int/report/myanmar/2014-strategic-response-plan-myanmar-december-2013" TargetMode="External"/><Relationship Id="rId10" Type="http://schemas.openxmlformats.org/officeDocument/2006/relationships/hyperlink" Target="http://www.adb.org/countries/myanmar/economy" TargetMode="External"/><Relationship Id="rId4" Type="http://schemas.openxmlformats.org/officeDocument/2006/relationships/hyperlink" Target="http://www.imf.org/external/np/speeches/2013/120713.htm" TargetMode="External"/><Relationship Id="rId9" Type="http://schemas.openxmlformats.org/officeDocument/2006/relationships/hyperlink" Target="http://www.imf.org/external/np/sec/pr/2014/pr14284.ht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CF2865-4FA1-489A-9AF5-F34437F1A3AD}"/>
</file>

<file path=customXml/itemProps2.xml><?xml version="1.0" encoding="utf-8"?>
<ds:datastoreItem xmlns:ds="http://schemas.openxmlformats.org/officeDocument/2006/customXml" ds:itemID="{4534402E-1C2C-429F-93C3-5DA219B70FFE}"/>
</file>

<file path=customXml/itemProps3.xml><?xml version="1.0" encoding="utf-8"?>
<ds:datastoreItem xmlns:ds="http://schemas.openxmlformats.org/officeDocument/2006/customXml" ds:itemID="{EE652ADA-0391-4E93-8158-C3630372E0E4}"/>
</file>

<file path=customXml/itemProps4.xml><?xml version="1.0" encoding="utf-8"?>
<ds:datastoreItem xmlns:ds="http://schemas.openxmlformats.org/officeDocument/2006/customXml" ds:itemID="{7FA31823-BEC7-4116-A975-B018537FFA94}"/>
</file>

<file path=docProps/app.xml><?xml version="1.0" encoding="utf-8"?>
<Properties xmlns="http://schemas.openxmlformats.org/officeDocument/2006/extended-properties" xmlns:vt="http://schemas.openxmlformats.org/officeDocument/2006/docPropsVTypes">
  <Template>BEE52B6B</Template>
  <TotalTime>0</TotalTime>
  <Pages>25</Pages>
  <Words>10565</Words>
  <Characters>61808</Characters>
  <Application>Microsoft Office Word</Application>
  <DocSecurity>0</DocSecurity>
  <Lines>1287</Lines>
  <Paragraphs>569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71804</CharactersWithSpaces>
  <SharedDoc>false</SharedDoc>
  <HLinks>
    <vt:vector size="84" baseType="variant">
      <vt:variant>
        <vt:i4>917570</vt:i4>
      </vt:variant>
      <vt:variant>
        <vt:i4>45</vt:i4>
      </vt:variant>
      <vt:variant>
        <vt:i4>0</vt:i4>
      </vt:variant>
      <vt:variant>
        <vt:i4>5</vt:i4>
      </vt:variant>
      <vt:variant>
        <vt:lpwstr>https://www.cia.gov/library/publications/the-world-factbook/geos/bm.html</vt:lpwstr>
      </vt:variant>
      <vt:variant>
        <vt:lpwstr/>
      </vt:variant>
      <vt:variant>
        <vt:i4>4456459</vt:i4>
      </vt:variant>
      <vt:variant>
        <vt:i4>39</vt:i4>
      </vt:variant>
      <vt:variant>
        <vt:i4>0</vt:i4>
      </vt:variant>
      <vt:variant>
        <vt:i4>5</vt:i4>
      </vt:variant>
      <vt:variant>
        <vt:lpwstr>http://www.irrawaddy.org/interview/uk-official-talks-development-aid-military-ties-burma.html</vt:lpwstr>
      </vt:variant>
      <vt:variant>
        <vt:lpwstr/>
      </vt:variant>
      <vt:variant>
        <vt:i4>4521988</vt:i4>
      </vt:variant>
      <vt:variant>
        <vt:i4>36</vt:i4>
      </vt:variant>
      <vt:variant>
        <vt:i4>0</vt:i4>
      </vt:variant>
      <vt:variant>
        <vt:i4>5</vt:i4>
      </vt:variant>
      <vt:variant>
        <vt:lpwstr>http://www.dvb.no/news/eu-pledges-burma-up-to-e90-million-a-year-in-development-assistance-myanmar/34426</vt:lpwstr>
      </vt:variant>
      <vt:variant>
        <vt:lpwstr/>
      </vt:variant>
      <vt:variant>
        <vt:i4>5701703</vt:i4>
      </vt:variant>
      <vt:variant>
        <vt:i4>33</vt:i4>
      </vt:variant>
      <vt:variant>
        <vt:i4>0</vt:i4>
      </vt:variant>
      <vt:variant>
        <vt:i4>5</vt:i4>
      </vt:variant>
      <vt:variant>
        <vt:lpwstr>http://www.adb.org/countries/myanmar/economy</vt:lpwstr>
      </vt:variant>
      <vt:variant>
        <vt:lpwstr/>
      </vt:variant>
      <vt:variant>
        <vt:i4>7864352</vt:i4>
      </vt:variant>
      <vt:variant>
        <vt:i4>30</vt:i4>
      </vt:variant>
      <vt:variant>
        <vt:i4>0</vt:i4>
      </vt:variant>
      <vt:variant>
        <vt:i4>5</vt:i4>
      </vt:variant>
      <vt:variant>
        <vt:lpwstr>http://www.imf.org/external/np/sec/pr/2014/pr14284.htm</vt:lpwstr>
      </vt:variant>
      <vt:variant>
        <vt:lpwstr/>
      </vt:variant>
      <vt:variant>
        <vt:i4>5505032</vt:i4>
      </vt:variant>
      <vt:variant>
        <vt:i4>27</vt:i4>
      </vt:variant>
      <vt:variant>
        <vt:i4>0</vt:i4>
      </vt:variant>
      <vt:variant>
        <vt:i4>5</vt:i4>
      </vt:variant>
      <vt:variant>
        <vt:lpwstr>http://www.dvb.no/news/health-education-spending-to-increase-in-2014-burma-myanmar/35887</vt:lpwstr>
      </vt:variant>
      <vt:variant>
        <vt:lpwstr/>
      </vt:variant>
      <vt:variant>
        <vt:i4>6815756</vt:i4>
      </vt:variant>
      <vt:variant>
        <vt:i4>24</vt:i4>
      </vt:variant>
      <vt:variant>
        <vt:i4>0</vt:i4>
      </vt:variant>
      <vt:variant>
        <vt:i4>5</vt:i4>
      </vt:variant>
      <vt:variant>
        <vt:lpwstr>http://data.worldbank.org/indicator/IC.BUS.EASE.XQ?order=wbapi_data_value_2013+wbapi_data_value+wbapi_data_value-last&amp;sort=asc</vt:lpwstr>
      </vt:variant>
      <vt:variant>
        <vt:lpwstr/>
      </vt:variant>
      <vt:variant>
        <vt:i4>8257593</vt:i4>
      </vt:variant>
      <vt:variant>
        <vt:i4>21</vt:i4>
      </vt:variant>
      <vt:variant>
        <vt:i4>0</vt:i4>
      </vt:variant>
      <vt:variant>
        <vt:i4>5</vt:i4>
      </vt:variant>
      <vt:variant>
        <vt:lpwstr>http://reliefweb.int/report/myanmar/myanmar-countrywide-displacement-snapshot-november-2013</vt:lpwstr>
      </vt:variant>
      <vt:variant>
        <vt:lpwstr/>
      </vt:variant>
      <vt:variant>
        <vt:i4>2818164</vt:i4>
      </vt:variant>
      <vt:variant>
        <vt:i4>18</vt:i4>
      </vt:variant>
      <vt:variant>
        <vt:i4>0</vt:i4>
      </vt:variant>
      <vt:variant>
        <vt:i4>5</vt:i4>
      </vt:variant>
      <vt:variant>
        <vt:lpwstr>http://reliefweb.int/report/myanmar/2014-strategic-response-plan-myanmar-december-2013</vt:lpwstr>
      </vt:variant>
      <vt:variant>
        <vt:lpwstr/>
      </vt:variant>
      <vt:variant>
        <vt:i4>3276855</vt:i4>
      </vt:variant>
      <vt:variant>
        <vt:i4>15</vt:i4>
      </vt:variant>
      <vt:variant>
        <vt:i4>0</vt:i4>
      </vt:variant>
      <vt:variant>
        <vt:i4>5</vt:i4>
      </vt:variant>
      <vt:variant>
        <vt:lpwstr>http://mhpss.net/resource/myanmar-a-country-prone-to-a-range-of-natural-disasters/</vt:lpwstr>
      </vt:variant>
      <vt:variant>
        <vt:lpwstr/>
      </vt:variant>
      <vt:variant>
        <vt:i4>2556012</vt:i4>
      </vt:variant>
      <vt:variant>
        <vt:i4>12</vt:i4>
      </vt:variant>
      <vt:variant>
        <vt:i4>0</vt:i4>
      </vt:variant>
      <vt:variant>
        <vt:i4>5</vt:i4>
      </vt:variant>
      <vt:variant>
        <vt:lpwstr>http://www.imf.org/external/np/speeches/2013/120713.htm</vt:lpwstr>
      </vt:variant>
      <vt:variant>
        <vt:lpwstr/>
      </vt:variant>
      <vt:variant>
        <vt:i4>4128869</vt:i4>
      </vt:variant>
      <vt:variant>
        <vt:i4>6</vt:i4>
      </vt:variant>
      <vt:variant>
        <vt:i4>0</vt:i4>
      </vt:variant>
      <vt:variant>
        <vt:i4>5</vt:i4>
      </vt:variant>
      <vt:variant>
        <vt:lpwstr>http://scalingupnutrition.org/sun-countries/myanmar</vt:lpwstr>
      </vt:variant>
      <vt:variant>
        <vt:lpwstr/>
      </vt:variant>
      <vt:variant>
        <vt:i4>5177414</vt:i4>
      </vt:variant>
      <vt:variant>
        <vt:i4>3</vt:i4>
      </vt:variant>
      <vt:variant>
        <vt:i4>0</vt:i4>
      </vt:variant>
      <vt:variant>
        <vt:i4>5</vt:i4>
      </vt:variant>
      <vt:variant>
        <vt:lpwstr>http://www.adb.org/countries/myanmar/main</vt:lpwstr>
      </vt:variant>
      <vt:variant>
        <vt:lpwstr/>
      </vt:variant>
      <vt:variant>
        <vt:i4>5505104</vt:i4>
      </vt:variant>
      <vt:variant>
        <vt:i4>0</vt:i4>
      </vt:variant>
      <vt:variant>
        <vt:i4>0</vt:i4>
      </vt:variant>
      <vt:variant>
        <vt:i4>5</vt:i4>
      </vt:variant>
      <vt:variant>
        <vt:lpwstr>http://www.unescap.org/resources/asia-pacific-regional-mdg-report-201213-asia-pacific-aspirations-perspectives-post-2015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2014-10-31T02:21:00Z</dcterms:created>
  <dcterms:modified xsi:type="dcterms:W3CDTF">2014-10-31T02:21:00Z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