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884E8" w14:textId="1DBBB2DB" w:rsidR="0050529F" w:rsidRPr="00D17249" w:rsidRDefault="00371766" w:rsidP="001C2D75">
      <w:pPr>
        <w:pStyle w:val="Title"/>
        <w:ind w:right="-313"/>
      </w:pPr>
      <w:r w:rsidRPr="00CA6DB6">
        <w:t>Aid Program Performance Report</w:t>
      </w:r>
      <w:r w:rsidR="00735B9F">
        <w:t xml:space="preserve"> </w:t>
      </w:r>
      <w:r w:rsidRPr="00CA6DB6">
        <w:t>2012</w:t>
      </w:r>
      <w:r w:rsidRPr="00052BF3">
        <w:t>−</w:t>
      </w:r>
      <w:r w:rsidRPr="00CA6DB6">
        <w:t xml:space="preserve">13 </w:t>
      </w:r>
      <w:r w:rsidR="00A9539F">
        <w:t>Burma</w:t>
      </w:r>
    </w:p>
    <w:p w14:paraId="12E39571" w14:textId="38A60C08" w:rsidR="00180B19" w:rsidRPr="00A46BEB" w:rsidRDefault="00180B19" w:rsidP="00A46BEB">
      <w:pPr>
        <w:pStyle w:val="Heading1"/>
      </w:pPr>
      <w:r w:rsidRPr="00A46BEB">
        <w:t xml:space="preserve">Key </w:t>
      </w:r>
      <w:r w:rsidR="001F19DB" w:rsidRPr="00A46BEB">
        <w:t>messages</w:t>
      </w:r>
    </w:p>
    <w:p w14:paraId="3FE8C2B4" w14:textId="4941F3EB" w:rsidR="008810FA" w:rsidRDefault="00180B19" w:rsidP="00A46BEB">
      <w:pPr>
        <w:pStyle w:val="BodyText"/>
      </w:pPr>
      <w:r w:rsidRPr="004D0A10">
        <w:t xml:space="preserve">This report summarises the aid program’s progress </w:t>
      </w:r>
      <w:r w:rsidR="004C3EF3" w:rsidRPr="004D0A10">
        <w:t xml:space="preserve">in </w:t>
      </w:r>
      <w:r w:rsidR="00A9539F">
        <w:t>Burma</w:t>
      </w:r>
      <w:r w:rsidR="00A9539F" w:rsidRPr="004D0A10">
        <w:t xml:space="preserve"> </w:t>
      </w:r>
      <w:r w:rsidR="001F19DB" w:rsidRPr="004D0A10">
        <w:t>from January 2012 to June 2013</w:t>
      </w:r>
      <w:r w:rsidR="004C3EF3" w:rsidRPr="004D0A10">
        <w:t>.</w:t>
      </w:r>
      <w:r w:rsidR="00DF16C9" w:rsidRPr="004D0A10">
        <w:t xml:space="preserve"> The key achievements over this period </w:t>
      </w:r>
      <w:r w:rsidR="00195B83" w:rsidRPr="004D0A10">
        <w:t>include</w:t>
      </w:r>
      <w:r w:rsidR="00DF16C9" w:rsidRPr="004D0A10">
        <w:t>:</w:t>
      </w:r>
    </w:p>
    <w:p w14:paraId="6C8A920D" w14:textId="77777777" w:rsidR="000A5381" w:rsidRPr="000A7230" w:rsidRDefault="000A5381" w:rsidP="004D0A10">
      <w:pPr>
        <w:ind w:left="-292"/>
        <w:rPr>
          <w:szCs w:val="22"/>
        </w:rPr>
      </w:pPr>
    </w:p>
    <w:p w14:paraId="5F825C24" w14:textId="100A17B0" w:rsidR="00270283" w:rsidRDefault="001F19DB" w:rsidP="00A46BEB">
      <w:pPr>
        <w:pStyle w:val="ListBullet"/>
      </w:pPr>
      <w:r>
        <w:t>d</w:t>
      </w:r>
      <w:r w:rsidRPr="00270283">
        <w:t>istribut</w:t>
      </w:r>
      <w:r>
        <w:t xml:space="preserve">ing </w:t>
      </w:r>
      <w:r w:rsidR="004F1294">
        <w:t>more than</w:t>
      </w:r>
      <w:r w:rsidR="00270283">
        <w:t xml:space="preserve"> 2</w:t>
      </w:r>
      <w:r w:rsidR="00AA1B2F">
        <w:t>30</w:t>
      </w:r>
      <w:r>
        <w:t xml:space="preserve"> </w:t>
      </w:r>
      <w:r w:rsidR="00270283" w:rsidRPr="00270283">
        <w:t xml:space="preserve">000 essential learning packages of textbooks and basic learning materials </w:t>
      </w:r>
    </w:p>
    <w:p w14:paraId="2715A85F" w14:textId="3D821C6F" w:rsidR="004F1294" w:rsidRDefault="001F19DB" w:rsidP="00A46BEB">
      <w:pPr>
        <w:pStyle w:val="ListBullet"/>
      </w:pPr>
      <w:r>
        <w:t>v</w:t>
      </w:r>
      <w:r w:rsidRPr="004F1294">
        <w:t>accinat</w:t>
      </w:r>
      <w:r>
        <w:t>ing</w:t>
      </w:r>
      <w:r w:rsidRPr="004F1294">
        <w:t xml:space="preserve"> </w:t>
      </w:r>
      <w:r w:rsidR="004F1294" w:rsidRPr="004F1294">
        <w:t>10</w:t>
      </w:r>
      <w:r>
        <w:t xml:space="preserve"> </w:t>
      </w:r>
      <w:r w:rsidR="004F1294" w:rsidRPr="004F1294">
        <w:t>129 children against diphtheria, pertussis and tetanus</w:t>
      </w:r>
      <w:r w:rsidR="00086FAB">
        <w:t xml:space="preserve"> </w:t>
      </w:r>
    </w:p>
    <w:p w14:paraId="04E90F72" w14:textId="7A1B9DC3" w:rsidR="004F1294" w:rsidRDefault="001F19DB" w:rsidP="00A46BEB">
      <w:pPr>
        <w:pStyle w:val="ListBullet"/>
      </w:pPr>
      <w:r>
        <w:t xml:space="preserve">increasing </w:t>
      </w:r>
      <w:r w:rsidR="004F1294">
        <w:t xml:space="preserve">the incomes of over </w:t>
      </w:r>
      <w:r w:rsidR="004F1294" w:rsidRPr="004F1294">
        <w:t>1</w:t>
      </w:r>
      <w:r w:rsidR="00AA1B2F">
        <w:t>4</w:t>
      </w:r>
      <w:r>
        <w:t xml:space="preserve"> </w:t>
      </w:r>
      <w:r w:rsidR="00AA1B2F">
        <w:t>4</w:t>
      </w:r>
      <w:r w:rsidR="004F1294" w:rsidRPr="004F1294">
        <w:t>9</w:t>
      </w:r>
      <w:r w:rsidR="00AA1B2F">
        <w:t>0</w:t>
      </w:r>
      <w:r w:rsidR="004F1294">
        <w:t xml:space="preserve"> poor men and women</w:t>
      </w:r>
    </w:p>
    <w:p w14:paraId="7C022E1A" w14:textId="2926DEC6" w:rsidR="004F1294" w:rsidRDefault="001F19DB" w:rsidP="00A46BEB">
      <w:pPr>
        <w:pStyle w:val="ListBullet"/>
      </w:pPr>
      <w:r>
        <w:t xml:space="preserve">providing </w:t>
      </w:r>
      <w:proofErr w:type="spellStart"/>
      <w:r w:rsidR="004F1294">
        <w:t>life saving</w:t>
      </w:r>
      <w:proofErr w:type="spellEnd"/>
      <w:r w:rsidR="004F1294">
        <w:t xml:space="preserve"> assistance to </w:t>
      </w:r>
      <w:r w:rsidR="004F1294" w:rsidRPr="004F1294">
        <w:t>242</w:t>
      </w:r>
      <w:r>
        <w:t xml:space="preserve"> </w:t>
      </w:r>
      <w:r w:rsidR="004F1294" w:rsidRPr="004F1294">
        <w:t>570</w:t>
      </w:r>
      <w:r w:rsidR="004F1294">
        <w:t xml:space="preserve"> conflict and disaster affected people</w:t>
      </w:r>
    </w:p>
    <w:p w14:paraId="7AAF834B" w14:textId="218F504F" w:rsidR="00DF16C9" w:rsidRDefault="00A3468B" w:rsidP="00A46BEB">
      <w:pPr>
        <w:pStyle w:val="ListBullet"/>
      </w:pPr>
      <w:proofErr w:type="gramStart"/>
      <w:r>
        <w:t>support</w:t>
      </w:r>
      <w:r w:rsidR="001F19DB">
        <w:t>ing</w:t>
      </w:r>
      <w:proofErr w:type="gramEnd"/>
      <w:r w:rsidR="004F1294">
        <w:t xml:space="preserve"> </w:t>
      </w:r>
      <w:r>
        <w:t xml:space="preserve">the </w:t>
      </w:r>
      <w:r w:rsidR="00802CB3" w:rsidRPr="00190B63">
        <w:rPr>
          <w:szCs w:val="22"/>
        </w:rPr>
        <w:t>Mya</w:t>
      </w:r>
      <w:r w:rsidR="00802CB3">
        <w:rPr>
          <w:szCs w:val="22"/>
        </w:rPr>
        <w:t xml:space="preserve">nmar Government’s </w:t>
      </w:r>
      <w:r>
        <w:t>reform agenda</w:t>
      </w:r>
      <w:r w:rsidR="004F1294">
        <w:t>,</w:t>
      </w:r>
      <w:r>
        <w:t xml:space="preserve"> </w:t>
      </w:r>
      <w:r w:rsidR="004F1294">
        <w:t>including</w:t>
      </w:r>
      <w:r>
        <w:t xml:space="preserve"> activities in response to requests from the </w:t>
      </w:r>
      <w:r w:rsidR="001F19DB">
        <w:t xml:space="preserve">government </w:t>
      </w:r>
      <w:r w:rsidR="00B9606D">
        <w:t xml:space="preserve">and to promote </w:t>
      </w:r>
      <w:r w:rsidR="001F78DD">
        <w:t>dialogue</w:t>
      </w:r>
      <w:r w:rsidR="00B9606D">
        <w:t xml:space="preserve"> to </w:t>
      </w:r>
      <w:r w:rsidR="00B9606D" w:rsidRPr="00B9606D">
        <w:t>address the un</w:t>
      </w:r>
      <w:r w:rsidR="00B9606D">
        <w:t>derlying causes of conflict</w:t>
      </w:r>
      <w:r>
        <w:t>.</w:t>
      </w:r>
    </w:p>
    <w:p w14:paraId="7809674D" w14:textId="60B3A769" w:rsidR="006B60E2" w:rsidRPr="000A7230" w:rsidRDefault="0016091F" w:rsidP="00A46BEB">
      <w:pPr>
        <w:pStyle w:val="BodyText"/>
      </w:pPr>
      <w:r>
        <w:t>The</w:t>
      </w:r>
      <w:r w:rsidR="00F833F7">
        <w:t xml:space="preserve"> </w:t>
      </w:r>
      <w:r w:rsidR="005F3E6F">
        <w:t>Australia</w:t>
      </w:r>
      <w:r>
        <w:t xml:space="preserve">n </w:t>
      </w:r>
      <w:r w:rsidR="00965791">
        <w:t>G</w:t>
      </w:r>
      <w:r>
        <w:t xml:space="preserve">overnment </w:t>
      </w:r>
      <w:r w:rsidR="00607FA4">
        <w:t xml:space="preserve">aid </w:t>
      </w:r>
      <w:r w:rsidR="00B52CB2" w:rsidRPr="004D0A10">
        <w:t xml:space="preserve">program </w:t>
      </w:r>
      <w:r>
        <w:t xml:space="preserve">in </w:t>
      </w:r>
      <w:r w:rsidR="00A9539F">
        <w:t>Burma</w:t>
      </w:r>
      <w:r>
        <w:t xml:space="preserve"> </w:t>
      </w:r>
      <w:r w:rsidR="00B52CB2" w:rsidRPr="004D0A10">
        <w:t xml:space="preserve">responded very effectively to the </w:t>
      </w:r>
      <w:r w:rsidR="006610F2" w:rsidRPr="004D0A10">
        <w:t xml:space="preserve">rare </w:t>
      </w:r>
      <w:r w:rsidR="00B52CB2" w:rsidRPr="004D0A10">
        <w:t xml:space="preserve">opportunity to support a </w:t>
      </w:r>
      <w:r w:rsidR="006610F2" w:rsidRPr="004D0A10">
        <w:t xml:space="preserve">new, </w:t>
      </w:r>
      <w:r w:rsidR="00B52CB2" w:rsidRPr="004D0A10">
        <w:t>reformist government, particularly through new governance and peace initiatives</w:t>
      </w:r>
      <w:r w:rsidR="006B60E2" w:rsidRPr="004D0A10">
        <w:t xml:space="preserve"> and the finalisation of a bilateral </w:t>
      </w:r>
      <w:r w:rsidR="003D6AEF">
        <w:t>m</w:t>
      </w:r>
      <w:r w:rsidR="003D6AEF" w:rsidRPr="004D0A10">
        <w:t xml:space="preserve">emorandum </w:t>
      </w:r>
      <w:r w:rsidR="006B60E2" w:rsidRPr="004D0A10">
        <w:t xml:space="preserve">of </w:t>
      </w:r>
      <w:r w:rsidR="003D6AEF">
        <w:t>u</w:t>
      </w:r>
      <w:r w:rsidR="003D6AEF" w:rsidRPr="004D0A10">
        <w:t xml:space="preserve">nderstanding </w:t>
      </w:r>
      <w:r w:rsidR="006B60E2" w:rsidRPr="004D0A10">
        <w:t>on development cooperation</w:t>
      </w:r>
      <w:r w:rsidR="00B52CB2" w:rsidRPr="004D0A10">
        <w:t>.</w:t>
      </w:r>
      <w:r w:rsidR="000A5381">
        <w:t xml:space="preserve"> </w:t>
      </w:r>
      <w:r w:rsidR="00B52CB2" w:rsidRPr="004D0A10">
        <w:t xml:space="preserve">At the same time, </w:t>
      </w:r>
      <w:r w:rsidR="00A67CA3">
        <w:t xml:space="preserve">Australia’s </w:t>
      </w:r>
      <w:r w:rsidR="00B52CB2" w:rsidRPr="004D0A10">
        <w:t>core programs in health, education and livelihoods are adapting</w:t>
      </w:r>
      <w:r w:rsidR="006B60E2" w:rsidRPr="004D0A10">
        <w:t xml:space="preserve"> well</w:t>
      </w:r>
      <w:r w:rsidR="00B52CB2" w:rsidRPr="004D0A10">
        <w:t xml:space="preserve"> to the new operating context, </w:t>
      </w:r>
      <w:r w:rsidR="0087267B" w:rsidRPr="004D0A10">
        <w:t xml:space="preserve">ensuring conflict sensitivity and </w:t>
      </w:r>
      <w:r w:rsidR="00B52CB2" w:rsidRPr="004D0A10">
        <w:t xml:space="preserve">increasing their engagement with government </w:t>
      </w:r>
      <w:r w:rsidR="006B60E2" w:rsidRPr="004D0A10">
        <w:t xml:space="preserve">and civil society </w:t>
      </w:r>
      <w:r w:rsidR="00B52CB2" w:rsidRPr="004D0A10">
        <w:t>through policy dialogue and capacity building.</w:t>
      </w:r>
      <w:r w:rsidR="000A5381">
        <w:t xml:space="preserve"> </w:t>
      </w:r>
      <w:r w:rsidR="006B60E2" w:rsidRPr="004D0A10">
        <w:t xml:space="preserve">As new development partners have entered </w:t>
      </w:r>
      <w:r w:rsidR="00A9539F">
        <w:t>Burma</w:t>
      </w:r>
      <w:r w:rsidR="006B60E2" w:rsidRPr="004D0A10">
        <w:t xml:space="preserve"> and existing partners </w:t>
      </w:r>
      <w:r w:rsidR="000F788B">
        <w:t>build</w:t>
      </w:r>
      <w:r w:rsidR="006B60E2" w:rsidRPr="004D0A10">
        <w:t xml:space="preserve"> their programs</w:t>
      </w:r>
      <w:r w:rsidR="000F788B">
        <w:t>,</w:t>
      </w:r>
      <w:r w:rsidR="006B60E2" w:rsidRPr="004D0A10">
        <w:t xml:space="preserve"> </w:t>
      </w:r>
      <w:r w:rsidR="005F3E6F">
        <w:t xml:space="preserve">Australia </w:t>
      </w:r>
      <w:r w:rsidR="006B60E2" w:rsidRPr="004D0A10">
        <w:t>has been a leading advocate for good donor behaviour, seeking to minimise the burden of donor coordination on an inexperienced administration</w:t>
      </w:r>
      <w:r w:rsidR="000A5381">
        <w:t xml:space="preserve">. </w:t>
      </w:r>
      <w:r w:rsidR="00D71CFA">
        <w:t>Burma</w:t>
      </w:r>
      <w:r w:rsidR="00D71CFA" w:rsidRPr="004D0A10">
        <w:t xml:space="preserve">’s </w:t>
      </w:r>
      <w:r w:rsidR="00B52CB2" w:rsidRPr="004D0A10">
        <w:t xml:space="preserve">democratic transformation is </w:t>
      </w:r>
      <w:r w:rsidR="006B60E2" w:rsidRPr="004D0A10">
        <w:t xml:space="preserve">unleashing social tensions previously held in check. </w:t>
      </w:r>
      <w:r w:rsidR="00DA3881">
        <w:t>The</w:t>
      </w:r>
      <w:r w:rsidR="007A15DE">
        <w:t xml:space="preserve"> Australian aid program </w:t>
      </w:r>
      <w:r w:rsidR="006B60E2" w:rsidRPr="004D0A10">
        <w:t xml:space="preserve">has responded swiftly to provide humanitarian assistance to conflict affected communities, particularly in </w:t>
      </w:r>
      <w:proofErr w:type="spellStart"/>
      <w:r w:rsidR="006B60E2" w:rsidRPr="004D0A10">
        <w:t>Rakhine</w:t>
      </w:r>
      <w:proofErr w:type="spellEnd"/>
      <w:r w:rsidR="006B60E2" w:rsidRPr="004D0A10">
        <w:t xml:space="preserve"> State, and worked closely with partners to jointly advocate for appropriate government responses.</w:t>
      </w:r>
    </w:p>
    <w:p w14:paraId="1BCCF567" w14:textId="77777777" w:rsidR="00180B19" w:rsidRPr="00A46BEB" w:rsidRDefault="00180B19" w:rsidP="00A46BEB">
      <w:pPr>
        <w:pStyle w:val="Heading1"/>
      </w:pPr>
      <w:r w:rsidRPr="00A46BEB">
        <w:t xml:space="preserve">Context </w:t>
      </w:r>
    </w:p>
    <w:p w14:paraId="20EF30C9" w14:textId="5AC11894" w:rsidR="00026906" w:rsidRDefault="00B7424F" w:rsidP="00A46BEB">
      <w:pPr>
        <w:pStyle w:val="BodyText"/>
      </w:pPr>
      <w:r w:rsidRPr="00CD7F2B">
        <w:t xml:space="preserve">Events have moved rapidly in </w:t>
      </w:r>
      <w:r w:rsidR="00A9539F">
        <w:t>Burma</w:t>
      </w:r>
      <w:r w:rsidR="00034AA7" w:rsidRPr="00CD7F2B">
        <w:t xml:space="preserve"> </w:t>
      </w:r>
      <w:r w:rsidR="001C0039">
        <w:t>over the last two years</w:t>
      </w:r>
      <w:r w:rsidR="0079722E" w:rsidRPr="00CD7F2B">
        <w:t xml:space="preserve"> with the continued</w:t>
      </w:r>
      <w:r w:rsidRPr="00CD7F2B">
        <w:t xml:space="preserve"> </w:t>
      </w:r>
      <w:r w:rsidR="0002315E">
        <w:t>progress</w:t>
      </w:r>
      <w:r w:rsidR="00A2496C" w:rsidRPr="00CD7F2B">
        <w:t xml:space="preserve"> </w:t>
      </w:r>
      <w:r w:rsidR="002505E9" w:rsidRPr="00CD7F2B">
        <w:t xml:space="preserve">towards democracy </w:t>
      </w:r>
      <w:r w:rsidR="00A2496C" w:rsidRPr="00CD7F2B">
        <w:t xml:space="preserve">of </w:t>
      </w:r>
      <w:r w:rsidR="002505E9" w:rsidRPr="00CD7F2B">
        <w:t>a</w:t>
      </w:r>
      <w:r w:rsidR="00A2496C" w:rsidRPr="00CD7F2B">
        <w:t xml:space="preserve"> </w:t>
      </w:r>
      <w:r w:rsidRPr="00CD7F2B">
        <w:t xml:space="preserve">political system </w:t>
      </w:r>
      <w:r w:rsidR="002505E9" w:rsidRPr="00CD7F2B">
        <w:t xml:space="preserve">once </w:t>
      </w:r>
      <w:r w:rsidR="006610F2">
        <w:t xml:space="preserve">closed to its own people and the international community and </w:t>
      </w:r>
      <w:r w:rsidRPr="00CD7F2B">
        <w:t xml:space="preserve">dominated by the military. </w:t>
      </w:r>
      <w:r w:rsidR="00026906" w:rsidRPr="00CD7F2B">
        <w:t xml:space="preserve">Prominent economic reforms by the Government of Myanmar over the last </w:t>
      </w:r>
      <w:r w:rsidR="00026906">
        <w:t>18 months</w:t>
      </w:r>
      <w:r w:rsidR="00026906" w:rsidRPr="00CD7F2B">
        <w:t xml:space="preserve"> include the gradual harmonisation of market and official exchange rates and the approval of a new</w:t>
      </w:r>
      <w:r w:rsidR="00026906">
        <w:t>,</w:t>
      </w:r>
      <w:r w:rsidR="00026906" w:rsidRPr="00CD7F2B">
        <w:t xml:space="preserve"> </w:t>
      </w:r>
      <w:r w:rsidR="00026906">
        <w:t xml:space="preserve">more hospitable </w:t>
      </w:r>
      <w:r w:rsidR="00026906" w:rsidRPr="00CD7F2B">
        <w:t>foreign investment law</w:t>
      </w:r>
      <w:r w:rsidR="00026906">
        <w:t>. In response to this economic opening</w:t>
      </w:r>
      <w:r w:rsidR="001F19DB">
        <w:t>,</w:t>
      </w:r>
      <w:r w:rsidR="00026906">
        <w:t xml:space="preserve"> major investors such as Mitsubishi, General Electric and Coca Cola are seeking engagement in </w:t>
      </w:r>
      <w:r w:rsidR="00A9539F">
        <w:t>Burma</w:t>
      </w:r>
      <w:r w:rsidR="00026906">
        <w:t xml:space="preserve">. </w:t>
      </w:r>
      <w:r w:rsidR="00026906" w:rsidRPr="00CD7F2B">
        <w:t>Two new agricultural laws have also been passed with important implications for land rights and land use.</w:t>
      </w:r>
      <w:r w:rsidR="00026906">
        <w:t xml:space="preserve"> A</w:t>
      </w:r>
      <w:r w:rsidR="00026906" w:rsidRPr="00007B18">
        <w:t xml:space="preserve">gricultural development is a priority for the </w:t>
      </w:r>
      <w:r w:rsidR="001F19DB">
        <w:t>g</w:t>
      </w:r>
      <w:r w:rsidR="001F19DB" w:rsidRPr="00007B18">
        <w:t>overnment</w:t>
      </w:r>
      <w:r w:rsidR="00026906" w:rsidRPr="00007B18">
        <w:t xml:space="preserve">, which announced this would be an important component </w:t>
      </w:r>
      <w:r w:rsidR="007D7889">
        <w:t>to achieve</w:t>
      </w:r>
      <w:r w:rsidR="00026906" w:rsidRPr="00007B18">
        <w:t xml:space="preserve"> </w:t>
      </w:r>
      <w:r w:rsidR="007D7889">
        <w:t>its</w:t>
      </w:r>
      <w:r w:rsidR="00026906" w:rsidRPr="00007B18">
        <w:t xml:space="preserve"> </w:t>
      </w:r>
      <w:r w:rsidR="007D7889">
        <w:t>objective</w:t>
      </w:r>
      <w:r w:rsidR="00026906" w:rsidRPr="00007B18">
        <w:t xml:space="preserve"> of reducing poverty from 26 to 16</w:t>
      </w:r>
      <w:r w:rsidR="00026906">
        <w:t> </w:t>
      </w:r>
      <w:r w:rsidR="00026906" w:rsidRPr="00007B18">
        <w:t>per cent by 2015.</w:t>
      </w:r>
      <w:r w:rsidR="001F19DB">
        <w:t xml:space="preserve"> </w:t>
      </w:r>
      <w:r w:rsidR="0068218C" w:rsidRPr="0068218C">
        <w:t xml:space="preserve">The </w:t>
      </w:r>
      <w:r w:rsidR="001F19DB">
        <w:t xml:space="preserve">country’s </w:t>
      </w:r>
      <w:r w:rsidR="0068218C" w:rsidRPr="0068218C">
        <w:t>2012</w:t>
      </w:r>
      <w:r w:rsidR="001F19DB">
        <w:t>–</w:t>
      </w:r>
      <w:r w:rsidR="0068218C" w:rsidRPr="0068218C">
        <w:t xml:space="preserve">13 </w:t>
      </w:r>
      <w:proofErr w:type="gramStart"/>
      <w:r w:rsidR="0068218C" w:rsidRPr="0068218C">
        <w:t>budget</w:t>
      </w:r>
      <w:proofErr w:type="gramEnd"/>
      <w:r w:rsidR="0068218C" w:rsidRPr="0068218C">
        <w:t xml:space="preserve"> saw an increase in health spending to </w:t>
      </w:r>
      <w:r w:rsidR="001F19DB">
        <w:t>three</w:t>
      </w:r>
      <w:r w:rsidR="001F19DB" w:rsidRPr="0068218C">
        <w:t xml:space="preserve"> </w:t>
      </w:r>
      <w:r w:rsidR="0068218C" w:rsidRPr="0068218C">
        <w:t>per cent of total budget</w:t>
      </w:r>
      <w:r w:rsidR="001F19DB">
        <w:t>,</w:t>
      </w:r>
      <w:r w:rsidR="0068218C" w:rsidRPr="0068218C">
        <w:t xml:space="preserve"> up from 1.1</w:t>
      </w:r>
      <w:r w:rsidR="0068218C">
        <w:t xml:space="preserve"> per cent</w:t>
      </w:r>
      <w:r w:rsidR="0068218C" w:rsidRPr="0068218C">
        <w:t>. Education rose to 4.91</w:t>
      </w:r>
      <w:r w:rsidR="000A7230">
        <w:t xml:space="preserve"> </w:t>
      </w:r>
      <w:r w:rsidR="0068218C">
        <w:t xml:space="preserve">per cent </w:t>
      </w:r>
      <w:r w:rsidR="0068218C" w:rsidRPr="0068218C">
        <w:t>from 4.13</w:t>
      </w:r>
      <w:r w:rsidR="0068218C">
        <w:t xml:space="preserve"> per cent</w:t>
      </w:r>
      <w:r w:rsidR="0068218C" w:rsidRPr="0068218C">
        <w:t xml:space="preserve"> the previous year.</w:t>
      </w:r>
    </w:p>
    <w:p w14:paraId="1741F1DF" w14:textId="75BA1CFA" w:rsidR="00007B18" w:rsidRDefault="00AB24A2" w:rsidP="00A46BEB">
      <w:pPr>
        <w:pStyle w:val="BodyText"/>
      </w:pPr>
      <w:r w:rsidRPr="00CD7F2B">
        <w:t xml:space="preserve">Important political reforms </w:t>
      </w:r>
      <w:r w:rsidR="00A2496C" w:rsidRPr="00CD7F2B">
        <w:t xml:space="preserve">over this period </w:t>
      </w:r>
      <w:r w:rsidRPr="00CD7F2B">
        <w:t>include releas</w:t>
      </w:r>
      <w:r w:rsidR="001F19DB">
        <w:t>ing</w:t>
      </w:r>
      <w:r w:rsidRPr="00CD7F2B">
        <w:t xml:space="preserve"> political prisoners</w:t>
      </w:r>
      <w:r w:rsidR="001F19DB">
        <w:t>,</w:t>
      </w:r>
      <w:r w:rsidR="001F19DB" w:rsidRPr="00CD7F2B">
        <w:t xml:space="preserve"> </w:t>
      </w:r>
      <w:r w:rsidRPr="00CD7F2B">
        <w:t xml:space="preserve">holding </w:t>
      </w:r>
      <w:r w:rsidR="00034AA7" w:rsidRPr="00CD7F2B">
        <w:t xml:space="preserve">relatively </w:t>
      </w:r>
      <w:r w:rsidRPr="00CD7F2B">
        <w:t>free and fair by-elections</w:t>
      </w:r>
      <w:r w:rsidR="001F19DB">
        <w:t>,</w:t>
      </w:r>
      <w:r w:rsidR="001F19DB" w:rsidRPr="00CD7F2B">
        <w:t xml:space="preserve"> increas</w:t>
      </w:r>
      <w:r w:rsidR="001F19DB">
        <w:t>ing</w:t>
      </w:r>
      <w:r w:rsidR="001F19DB" w:rsidRPr="00CD7F2B">
        <w:t xml:space="preserve"> </w:t>
      </w:r>
      <w:r w:rsidRPr="00CD7F2B">
        <w:t xml:space="preserve">media </w:t>
      </w:r>
      <w:r w:rsidR="00B7424F" w:rsidRPr="00CD7F2B">
        <w:t>freedom</w:t>
      </w:r>
      <w:r w:rsidRPr="00CD7F2B">
        <w:t xml:space="preserve"> and r</w:t>
      </w:r>
      <w:r w:rsidR="00034AA7" w:rsidRPr="00CD7F2B">
        <w:t xml:space="preserve">ights to peaceful </w:t>
      </w:r>
      <w:r w:rsidR="00034AA7" w:rsidRPr="00CD7F2B">
        <w:lastRenderedPageBreak/>
        <w:t>assembly</w:t>
      </w:r>
      <w:r w:rsidR="001F19DB">
        <w:t>,</w:t>
      </w:r>
      <w:r w:rsidR="001F19DB" w:rsidRPr="00CD7F2B">
        <w:t xml:space="preserve"> </w:t>
      </w:r>
      <w:r w:rsidR="00F16181">
        <w:t>elevatin</w:t>
      </w:r>
      <w:r w:rsidR="001F19DB">
        <w:t>g</w:t>
      </w:r>
      <w:r w:rsidR="00F16181">
        <w:t xml:space="preserve"> reform-minded </w:t>
      </w:r>
      <w:r w:rsidR="001F19DB">
        <w:t xml:space="preserve">ministers </w:t>
      </w:r>
      <w:r w:rsidR="00F16181">
        <w:t>in key portfolios</w:t>
      </w:r>
      <w:r w:rsidR="001F19DB">
        <w:t xml:space="preserve">, </w:t>
      </w:r>
      <w:r w:rsidRPr="00CD7F2B">
        <w:t>and increasing</w:t>
      </w:r>
      <w:r w:rsidR="000F788B">
        <w:t xml:space="preserve"> the</w:t>
      </w:r>
      <w:r w:rsidRPr="00CD7F2B">
        <w:t xml:space="preserve"> </w:t>
      </w:r>
      <w:r w:rsidR="000F788B" w:rsidRPr="00CD7F2B">
        <w:t>independen</w:t>
      </w:r>
      <w:r w:rsidR="000F788B">
        <w:t>ce of</w:t>
      </w:r>
      <w:r w:rsidR="000F788B" w:rsidRPr="00CD7F2B">
        <w:t xml:space="preserve"> </w:t>
      </w:r>
      <w:r w:rsidR="00B7424F" w:rsidRPr="00CD7F2B">
        <w:t>parliament.</w:t>
      </w:r>
      <w:r w:rsidR="00034AA7" w:rsidRPr="00CD7F2B">
        <w:t xml:space="preserve"> </w:t>
      </w:r>
      <w:r w:rsidR="004622DB">
        <w:t xml:space="preserve">The </w:t>
      </w:r>
      <w:r w:rsidR="00BD67D2">
        <w:t>Myanmar</w:t>
      </w:r>
      <w:r w:rsidR="004622DB">
        <w:t xml:space="preserve"> Government</w:t>
      </w:r>
      <w:r w:rsidR="00BD67D2">
        <w:t xml:space="preserve"> has </w:t>
      </w:r>
      <w:r w:rsidR="004622DB">
        <w:t xml:space="preserve">signed </w:t>
      </w:r>
      <w:r w:rsidR="00BD67D2">
        <w:t>ceasefire</w:t>
      </w:r>
      <w:r w:rsidR="004622DB">
        <w:t xml:space="preserve"> agreements</w:t>
      </w:r>
      <w:r w:rsidR="00BD67D2">
        <w:t xml:space="preserve"> </w:t>
      </w:r>
      <w:r w:rsidR="004622DB">
        <w:t xml:space="preserve">with </w:t>
      </w:r>
      <w:r w:rsidR="00E20683">
        <w:t>10</w:t>
      </w:r>
      <w:r w:rsidR="004622DB">
        <w:t xml:space="preserve"> of the</w:t>
      </w:r>
      <w:r w:rsidR="00E20683">
        <w:t xml:space="preserve"> country’s</w:t>
      </w:r>
      <w:r w:rsidR="004622DB">
        <w:t xml:space="preserve"> </w:t>
      </w:r>
      <w:r w:rsidR="00E20683">
        <w:t xml:space="preserve">11 </w:t>
      </w:r>
      <w:r w:rsidR="00BD67D2">
        <w:t xml:space="preserve">major ethnic </w:t>
      </w:r>
      <w:r w:rsidR="004622DB">
        <w:t>groups</w:t>
      </w:r>
      <w:r w:rsidR="00BD67D2">
        <w:t xml:space="preserve">. </w:t>
      </w:r>
      <w:r w:rsidR="007D7889">
        <w:t>P</w:t>
      </w:r>
      <w:r w:rsidR="00BD67D2">
        <w:t>rogress</w:t>
      </w:r>
      <w:r w:rsidR="007D7889">
        <w:t xml:space="preserve"> </w:t>
      </w:r>
      <w:r w:rsidR="00BD67D2">
        <w:t>has</w:t>
      </w:r>
      <w:r w:rsidR="00B9606D">
        <w:t xml:space="preserve"> not however </w:t>
      </w:r>
      <w:r w:rsidR="00BD67D2">
        <w:t>been without difficulties. The rela</w:t>
      </w:r>
      <w:r w:rsidR="007D7889">
        <w:t>xa</w:t>
      </w:r>
      <w:r w:rsidR="00BD67D2">
        <w:t>tion of central government control has opened space for extremist elements</w:t>
      </w:r>
      <w:r w:rsidR="007D7889">
        <w:t>,</w:t>
      </w:r>
      <w:r w:rsidR="00BD67D2">
        <w:t xml:space="preserve"> resulting in</w:t>
      </w:r>
      <w:r w:rsidR="00034AA7" w:rsidRPr="00CD7F2B">
        <w:t xml:space="preserve"> an increase in ethnic and religious conflict in parts of </w:t>
      </w:r>
      <w:r w:rsidR="00A9539F">
        <w:t>Burma</w:t>
      </w:r>
      <w:r w:rsidR="00034AA7" w:rsidRPr="00CD7F2B">
        <w:t xml:space="preserve"> where </w:t>
      </w:r>
      <w:r w:rsidR="00A2496C" w:rsidRPr="00CD7F2B">
        <w:t>underlying</w:t>
      </w:r>
      <w:r w:rsidR="00034AA7" w:rsidRPr="00CD7F2B">
        <w:t xml:space="preserve"> tensions were previously held in check.</w:t>
      </w:r>
      <w:r w:rsidR="00685825">
        <w:t xml:space="preserve"> </w:t>
      </w:r>
    </w:p>
    <w:p w14:paraId="16327320" w14:textId="7A780A71" w:rsidR="008A412F" w:rsidRDefault="008A412F" w:rsidP="00A46BEB">
      <w:pPr>
        <w:pStyle w:val="BodyText"/>
      </w:pPr>
      <w:r w:rsidRPr="00CD7F2B">
        <w:t>Notwithstanding these important reforms</w:t>
      </w:r>
      <w:r w:rsidR="001F19DB">
        <w:t>,</w:t>
      </w:r>
      <w:r w:rsidRPr="00CD7F2B">
        <w:t xml:space="preserve"> the development needs of </w:t>
      </w:r>
      <w:r w:rsidR="00A9539F">
        <w:t>Burma</w:t>
      </w:r>
      <w:r w:rsidRPr="00CD7F2B">
        <w:t xml:space="preserve">’s people remain critical. </w:t>
      </w:r>
      <w:r w:rsidR="00685825">
        <w:t>The most recent census was undertaken in 198</w:t>
      </w:r>
      <w:r w:rsidR="00DA6239">
        <w:t>3</w:t>
      </w:r>
      <w:r w:rsidR="00685825">
        <w:t xml:space="preserve">, meaning that statistical data on population and development indicators </w:t>
      </w:r>
      <w:r w:rsidR="00B629E3">
        <w:t>must be</w:t>
      </w:r>
      <w:r w:rsidR="00685825">
        <w:t xml:space="preserve"> estimate</w:t>
      </w:r>
      <w:r w:rsidR="00B629E3">
        <w:t>d</w:t>
      </w:r>
      <w:r w:rsidR="00685825">
        <w:t xml:space="preserve">. </w:t>
      </w:r>
      <w:r w:rsidR="00837B82">
        <w:t>O</w:t>
      </w:r>
      <w:r w:rsidR="00BC639A" w:rsidRPr="00BC639A">
        <w:t xml:space="preserve">f </w:t>
      </w:r>
      <w:r w:rsidR="00A9539F">
        <w:t>Burma</w:t>
      </w:r>
      <w:r w:rsidR="00BC639A" w:rsidRPr="00BC639A">
        <w:t xml:space="preserve">’s </w:t>
      </w:r>
      <w:r w:rsidR="00BC639A">
        <w:t xml:space="preserve">estimated </w:t>
      </w:r>
      <w:r w:rsidR="00BC639A" w:rsidRPr="00BC639A">
        <w:t>60 million people</w:t>
      </w:r>
      <w:r w:rsidR="001F19DB">
        <w:t>,</w:t>
      </w:r>
      <w:r w:rsidR="00BC639A" w:rsidRPr="00BC639A">
        <w:t xml:space="preserve"> </w:t>
      </w:r>
      <w:proofErr w:type="gramStart"/>
      <w:r w:rsidR="00837B82">
        <w:t>a</w:t>
      </w:r>
      <w:r w:rsidR="00837B82" w:rsidRPr="00BC639A">
        <w:t xml:space="preserve"> quarter </w:t>
      </w:r>
      <w:r w:rsidR="00BC639A" w:rsidRPr="00BC639A">
        <w:t>live</w:t>
      </w:r>
      <w:proofErr w:type="gramEnd"/>
      <w:r w:rsidR="00BC639A" w:rsidRPr="00BC639A">
        <w:t xml:space="preserve"> </w:t>
      </w:r>
      <w:r w:rsidR="00BC639A">
        <w:t xml:space="preserve">on less than </w:t>
      </w:r>
      <w:r w:rsidR="00BC639A" w:rsidRPr="00BC639A">
        <w:t xml:space="preserve">$1.25 </w:t>
      </w:r>
      <w:r w:rsidR="001F19DB">
        <w:t>a</w:t>
      </w:r>
      <w:r w:rsidR="001F19DB" w:rsidRPr="00BC639A">
        <w:t xml:space="preserve"> </w:t>
      </w:r>
      <w:r w:rsidR="00BC639A" w:rsidRPr="00BC639A">
        <w:t xml:space="preserve">day and </w:t>
      </w:r>
      <w:r w:rsidR="00E52B15">
        <w:t xml:space="preserve">up to </w:t>
      </w:r>
      <w:r w:rsidR="000A7230">
        <w:t>10</w:t>
      </w:r>
      <w:r w:rsidR="000A7230" w:rsidRPr="00BC639A">
        <w:t xml:space="preserve"> </w:t>
      </w:r>
      <w:r w:rsidR="00BC639A" w:rsidRPr="00BC639A">
        <w:t>per cent do not have access to sufficient food</w:t>
      </w:r>
      <w:r w:rsidR="001F19DB">
        <w:t>.</w:t>
      </w:r>
      <w:r w:rsidR="00E52B15">
        <w:rPr>
          <w:rStyle w:val="FootnoteReference"/>
        </w:rPr>
        <w:footnoteReference w:id="1"/>
      </w:r>
      <w:r w:rsidR="00BC639A" w:rsidRPr="00BC639A">
        <w:t xml:space="preserve"> Agricultural development in </w:t>
      </w:r>
      <w:r w:rsidR="00A9539F">
        <w:t>Burma</w:t>
      </w:r>
      <w:r w:rsidR="00BC639A" w:rsidRPr="00BC639A">
        <w:t xml:space="preserve"> has </w:t>
      </w:r>
      <w:r w:rsidR="00BC639A">
        <w:t xml:space="preserve">long </w:t>
      </w:r>
      <w:r w:rsidR="00BC639A" w:rsidRPr="00BC639A">
        <w:t>been deeply affected by natural disasters, mismanagement, lack of credit and infrastructure, high cost of inputs, and poor knowledge and uptake of new technologies</w:t>
      </w:r>
      <w:r w:rsidR="00BC639A">
        <w:t xml:space="preserve">. </w:t>
      </w:r>
      <w:r w:rsidRPr="00CD7F2B">
        <w:t>With primary net enrolment estimated at around 81</w:t>
      </w:r>
      <w:r w:rsidR="00837B82">
        <w:t> </w:t>
      </w:r>
      <w:r w:rsidRPr="00CD7F2B">
        <w:t xml:space="preserve">per cent, </w:t>
      </w:r>
      <w:r w:rsidR="00A9539F">
        <w:t>Burma</w:t>
      </w:r>
      <w:r w:rsidRPr="00CD7F2B">
        <w:t xml:space="preserve"> is off</w:t>
      </w:r>
      <w:r w:rsidR="001F19DB">
        <w:t>-</w:t>
      </w:r>
      <w:r w:rsidRPr="00CD7F2B">
        <w:t xml:space="preserve">track </w:t>
      </w:r>
      <w:r>
        <w:t>to meet</w:t>
      </w:r>
      <w:r w:rsidRPr="00CD7F2B">
        <w:t xml:space="preserve"> </w:t>
      </w:r>
      <w:r w:rsidR="001F19DB">
        <w:t>Millennium Development Goal</w:t>
      </w:r>
      <w:r w:rsidR="001F19DB" w:rsidRPr="00CD7F2B">
        <w:t xml:space="preserve"> </w:t>
      </w:r>
      <w:r w:rsidRPr="00CD7F2B">
        <w:t>2</w:t>
      </w:r>
      <w:r w:rsidR="001F19DB">
        <w:t xml:space="preserve"> to achieve universal primary education.</w:t>
      </w:r>
      <w:r w:rsidR="00DA6239">
        <w:rPr>
          <w:rStyle w:val="FootnoteReference"/>
        </w:rPr>
        <w:footnoteReference w:id="2"/>
      </w:r>
      <w:r w:rsidR="0061615E">
        <w:t xml:space="preserve"> </w:t>
      </w:r>
      <w:r w:rsidR="001F19DB">
        <w:t>The United Nations Children’s Fund</w:t>
      </w:r>
      <w:r w:rsidR="001F19DB" w:rsidRPr="00CD7F2B">
        <w:t xml:space="preserve"> </w:t>
      </w:r>
      <w:r w:rsidRPr="00CD7F2B">
        <w:t>estimates that only around half of children complete five grades of primary school.</w:t>
      </w:r>
      <w:r w:rsidR="0061615E">
        <w:t xml:space="preserve"> </w:t>
      </w:r>
      <w:r w:rsidRPr="00CD7F2B">
        <w:t xml:space="preserve">Low levels of government investment lead to </w:t>
      </w:r>
      <w:r>
        <w:t>poor</w:t>
      </w:r>
      <w:r w:rsidRPr="00CD7F2B">
        <w:t xml:space="preserve"> education outcomes and place a heavy burden on households, with parents contributing some 70 per cent of all </w:t>
      </w:r>
      <w:r>
        <w:t xml:space="preserve">education </w:t>
      </w:r>
      <w:r w:rsidRPr="00CD7F2B">
        <w:t xml:space="preserve">costs. </w:t>
      </w:r>
      <w:r>
        <w:t>Fo</w:t>
      </w:r>
      <w:r w:rsidRPr="00CD7F2B">
        <w:t>r those children in school there is an urgent need to improve teaching and learning: most students completing government primary school have not mastered even half of the curriculum.</w:t>
      </w:r>
      <w:r w:rsidR="00DA6239">
        <w:rPr>
          <w:rStyle w:val="FootnoteReference"/>
        </w:rPr>
        <w:footnoteReference w:id="3"/>
      </w:r>
    </w:p>
    <w:p w14:paraId="0441B42E" w14:textId="730F5EC9" w:rsidR="00A70E2A" w:rsidRPr="0085525F" w:rsidRDefault="008A412F" w:rsidP="00A46BEB">
      <w:pPr>
        <w:pStyle w:val="BodyText"/>
      </w:pPr>
      <w:r w:rsidRPr="008A412F">
        <w:t xml:space="preserve">Health outcomes </w:t>
      </w:r>
      <w:r>
        <w:t xml:space="preserve">in </w:t>
      </w:r>
      <w:r w:rsidR="00A9539F">
        <w:t>Burma</w:t>
      </w:r>
      <w:r>
        <w:t xml:space="preserve"> </w:t>
      </w:r>
      <w:r w:rsidR="0068218C">
        <w:t xml:space="preserve">remain </w:t>
      </w:r>
      <w:r w:rsidR="0068218C" w:rsidRPr="008A412F">
        <w:t>among</w:t>
      </w:r>
      <w:r w:rsidRPr="008A412F">
        <w:t xml:space="preserve"> the worst in the region with large numbers of people dying from easily preventable illness and disease. Women and children bear the brunt of poor health services. Around one in 14 child</w:t>
      </w:r>
      <w:r>
        <w:t>ren dies before the age of five</w:t>
      </w:r>
      <w:r w:rsidR="00DA6239">
        <w:rPr>
          <w:rStyle w:val="FootnoteReference"/>
        </w:rPr>
        <w:footnoteReference w:id="4"/>
      </w:r>
      <w:r w:rsidRPr="008A412F">
        <w:t xml:space="preserve"> and the United Nations estimates that 2400 pregnant women die </w:t>
      </w:r>
      <w:r w:rsidR="000A7230">
        <w:t>each year</w:t>
      </w:r>
      <w:r w:rsidR="000A7230" w:rsidRPr="008A412F">
        <w:t xml:space="preserve"> </w:t>
      </w:r>
      <w:r w:rsidRPr="008A412F">
        <w:t>of largely preventable causes</w:t>
      </w:r>
      <w:r w:rsidR="001F19DB">
        <w:t>.</w:t>
      </w:r>
      <w:r w:rsidR="00DA6239">
        <w:rPr>
          <w:rStyle w:val="FootnoteReference"/>
        </w:rPr>
        <w:footnoteReference w:id="5"/>
      </w:r>
      <w:r w:rsidRPr="008A412F">
        <w:t xml:space="preserve"> The burden of communicable disease mortality and morbidity for HIV/AIDS, tuberculosis and malaria also presents significant challenges. </w:t>
      </w:r>
      <w:r w:rsidR="00A9539F">
        <w:t>Burma</w:t>
      </w:r>
      <w:r w:rsidRPr="008A412F">
        <w:t xml:space="preserve"> accounts for 75 per cent of malaria cases and deaths in the Mekong </w:t>
      </w:r>
      <w:r>
        <w:t>region</w:t>
      </w:r>
      <w:r w:rsidR="001F19DB">
        <w:t>.</w:t>
      </w:r>
      <w:r w:rsidR="006E747E">
        <w:rPr>
          <w:rStyle w:val="FootnoteReference"/>
        </w:rPr>
        <w:footnoteReference w:id="6"/>
      </w:r>
      <w:r>
        <w:t xml:space="preserve"> </w:t>
      </w:r>
      <w:r w:rsidRPr="008A412F">
        <w:t xml:space="preserve">With one of lowest levels of public investment in health in the world, </w:t>
      </w:r>
      <w:r w:rsidR="00A9539F">
        <w:t>Burma</w:t>
      </w:r>
      <w:r>
        <w:t>’s</w:t>
      </w:r>
      <w:r w:rsidRPr="008A412F">
        <w:t xml:space="preserve"> health system is ill equipped and insufficiently funded to address these issues. High out of pocket payments </w:t>
      </w:r>
      <w:r w:rsidR="00F16181">
        <w:t>for</w:t>
      </w:r>
      <w:r w:rsidRPr="008A412F">
        <w:t xml:space="preserve"> patients deny access to health services and drive the vulnerable into poverty. </w:t>
      </w:r>
      <w:r>
        <w:t>Sustained</w:t>
      </w:r>
      <w:r w:rsidRPr="008A412F">
        <w:t xml:space="preserve"> underinvestment in infrastructure and </w:t>
      </w:r>
      <w:r w:rsidR="000F788B">
        <w:t xml:space="preserve">the </w:t>
      </w:r>
      <w:r>
        <w:t>health</w:t>
      </w:r>
      <w:r w:rsidR="000F788B">
        <w:t xml:space="preserve"> </w:t>
      </w:r>
      <w:r>
        <w:t>care work</w:t>
      </w:r>
      <w:r w:rsidR="00BF3A77">
        <w:t>force</w:t>
      </w:r>
      <w:r w:rsidRPr="008A412F">
        <w:t xml:space="preserve"> particularly </w:t>
      </w:r>
      <w:r w:rsidR="000A7230">
        <w:t>a</w:t>
      </w:r>
      <w:r w:rsidR="000A7230" w:rsidRPr="008A412F">
        <w:t xml:space="preserve">ffects </w:t>
      </w:r>
      <w:r w:rsidRPr="008A412F">
        <w:t>populations in underserved rural areas</w:t>
      </w:r>
      <w:r w:rsidR="00A70E2A">
        <w:t>.</w:t>
      </w:r>
      <w:r w:rsidR="00EE6F3C">
        <w:t xml:space="preserve"> </w:t>
      </w:r>
      <w:r w:rsidR="00A70E2A" w:rsidRPr="00A70E2A">
        <w:t xml:space="preserve">Women’s </w:t>
      </w:r>
      <w:r w:rsidR="00A70E2A" w:rsidRPr="0085525F">
        <w:t xml:space="preserve">representation </w:t>
      </w:r>
      <w:proofErr w:type="gramStart"/>
      <w:r w:rsidR="00A70E2A" w:rsidRPr="0085525F">
        <w:t xml:space="preserve">in </w:t>
      </w:r>
      <w:r w:rsidR="00A9539F" w:rsidRPr="0085525F">
        <w:t xml:space="preserve"> </w:t>
      </w:r>
      <w:r w:rsidR="00A70E2A" w:rsidRPr="0085525F">
        <w:t>Parliament</w:t>
      </w:r>
      <w:proofErr w:type="gramEnd"/>
      <w:r w:rsidR="00A70E2A" w:rsidRPr="0085525F">
        <w:t xml:space="preserve"> remains the lowest in the region</w:t>
      </w:r>
      <w:r w:rsidR="00A70E2A" w:rsidRPr="0085525F">
        <w:rPr>
          <w:rStyle w:val="FootnoteReference"/>
        </w:rPr>
        <w:footnoteReference w:id="7"/>
      </w:r>
      <w:r w:rsidR="001F19DB" w:rsidRPr="0085525F">
        <w:t>––</w:t>
      </w:r>
      <w:r w:rsidR="00A70E2A" w:rsidRPr="0085525F">
        <w:t>only 54 per cent of women participate in the labour force compared to 82 per cent of men</w:t>
      </w:r>
      <w:r w:rsidR="001F19DB" w:rsidRPr="0085525F">
        <w:t>––</w:t>
      </w:r>
      <w:r w:rsidR="00A70E2A" w:rsidRPr="0085525F">
        <w:t xml:space="preserve">and the lack of reliable </w:t>
      </w:r>
      <w:r w:rsidR="001F19DB" w:rsidRPr="0085525F">
        <w:t>gender</w:t>
      </w:r>
      <w:r w:rsidR="00A70E2A" w:rsidRPr="0085525F">
        <w:t>-disaggregated data and gender analysis is a major constraint to ensuring</w:t>
      </w:r>
      <w:r w:rsidR="00A70E2A" w:rsidRPr="0085525F">
        <w:rPr>
          <w:rFonts w:eastAsiaTheme="minorHAnsi"/>
        </w:rPr>
        <w:t xml:space="preserve"> inclusive poverty reduction strategies in the reform process</w:t>
      </w:r>
      <w:r w:rsidR="00A70E2A" w:rsidRPr="0085525F">
        <w:t>.</w:t>
      </w:r>
      <w:r w:rsidR="00A70E2A" w:rsidRPr="0085525F">
        <w:rPr>
          <w:rStyle w:val="FootnoteReference"/>
        </w:rPr>
        <w:footnoteReference w:id="8"/>
      </w:r>
    </w:p>
    <w:p w14:paraId="7EC0F4AB" w14:textId="431BD2B9" w:rsidR="004C3EF3" w:rsidRDefault="007D7889" w:rsidP="00A46BEB">
      <w:pPr>
        <w:pStyle w:val="BodyText"/>
      </w:pPr>
      <w:r w:rsidRPr="0085525F">
        <w:lastRenderedPageBreak/>
        <w:t xml:space="preserve">Australia’s progressive policy of engagement has seen an increase in the number of high-level visits between Australia and </w:t>
      </w:r>
      <w:r w:rsidR="00A9539F" w:rsidRPr="0085525F">
        <w:t>Burma</w:t>
      </w:r>
      <w:r w:rsidRPr="0085525F">
        <w:t>. During the reporting period visits were undertaken by Australia’</w:t>
      </w:r>
      <w:r w:rsidR="004C3EF3" w:rsidRPr="0085525F">
        <w:t>s Minister for Foreign Affairs</w:t>
      </w:r>
      <w:r w:rsidR="001F19DB" w:rsidRPr="0085525F">
        <w:t xml:space="preserve">, </w:t>
      </w:r>
      <w:r w:rsidR="004C3EF3" w:rsidRPr="0085525F">
        <w:t xml:space="preserve">the </w:t>
      </w:r>
      <w:r w:rsidRPr="0085525F">
        <w:t>Minister for Employment and Workplace Relations</w:t>
      </w:r>
      <w:r w:rsidR="001F19DB" w:rsidRPr="0085525F">
        <w:t xml:space="preserve"> (</w:t>
      </w:r>
      <w:r w:rsidR="004C3EF3" w:rsidRPr="0085525F">
        <w:t>accompanied by a business delegation</w:t>
      </w:r>
      <w:r w:rsidR="001F19DB" w:rsidRPr="0085525F">
        <w:t xml:space="preserve">), </w:t>
      </w:r>
      <w:r w:rsidR="004C3EF3" w:rsidRPr="0085525F">
        <w:t xml:space="preserve">and the President of the Senate. Australia has also hosted visits by </w:t>
      </w:r>
      <w:r w:rsidR="00A9539F" w:rsidRPr="0085525F">
        <w:t>Burma</w:t>
      </w:r>
      <w:r w:rsidR="004C3EF3" w:rsidRPr="0085525F">
        <w:t>’s President</w:t>
      </w:r>
      <w:r w:rsidR="001F19DB" w:rsidRPr="0085525F">
        <w:t xml:space="preserve">, </w:t>
      </w:r>
      <w:r w:rsidR="004C3EF3" w:rsidRPr="0085525F">
        <w:t xml:space="preserve">the </w:t>
      </w:r>
      <w:r w:rsidR="001F19DB" w:rsidRPr="0085525F">
        <w:t xml:space="preserve">speakers </w:t>
      </w:r>
      <w:r w:rsidR="004C3EF3" w:rsidRPr="0085525F">
        <w:t xml:space="preserve">of </w:t>
      </w:r>
      <w:r w:rsidR="00BF3A77" w:rsidRPr="0085525F">
        <w:t xml:space="preserve">both </w:t>
      </w:r>
      <w:r w:rsidR="004C3EF3" w:rsidRPr="0085525F">
        <w:t xml:space="preserve">the </w:t>
      </w:r>
      <w:r w:rsidR="001F19DB" w:rsidRPr="0085525F">
        <w:t xml:space="preserve">lower </w:t>
      </w:r>
      <w:r w:rsidR="00BF3A77" w:rsidRPr="0085525F">
        <w:t xml:space="preserve">and </w:t>
      </w:r>
      <w:r w:rsidR="001F19DB" w:rsidRPr="0085525F">
        <w:t xml:space="preserve">upper houses </w:t>
      </w:r>
      <w:proofErr w:type="gramStart"/>
      <w:r w:rsidR="004C3EF3" w:rsidRPr="0085525F">
        <w:t xml:space="preserve">of  </w:t>
      </w:r>
      <w:r w:rsidR="00745E8A">
        <w:t>P</w:t>
      </w:r>
      <w:r w:rsidR="001F19DB" w:rsidRPr="0085525F">
        <w:t>arliament</w:t>
      </w:r>
      <w:proofErr w:type="gramEnd"/>
      <w:r w:rsidR="001F19DB" w:rsidRPr="0085525F">
        <w:t xml:space="preserve">, </w:t>
      </w:r>
      <w:r w:rsidR="004C3EF3" w:rsidRPr="0085525F">
        <w:t>t</w:t>
      </w:r>
      <w:r w:rsidR="004C3EF3">
        <w:t xml:space="preserve">he Minister of Finance and Revenue and the Minister for Mining, along with senior officials. </w:t>
      </w:r>
      <w:r w:rsidR="004C3EF3" w:rsidRPr="00836AF0">
        <w:t>AusAID’s</w:t>
      </w:r>
      <w:r w:rsidR="000E782B" w:rsidRPr="00836AF0">
        <w:rPr>
          <w:rStyle w:val="FootnoteReference"/>
        </w:rPr>
        <w:footnoteReference w:id="9"/>
      </w:r>
      <w:r w:rsidR="004C3EF3">
        <w:t xml:space="preserve"> Director General and his counterpart from the U</w:t>
      </w:r>
      <w:r w:rsidR="001F19DB">
        <w:t xml:space="preserve">nited </w:t>
      </w:r>
      <w:r w:rsidR="0061615E">
        <w:t>Kingdom</w:t>
      </w:r>
      <w:r w:rsidR="004C3EF3">
        <w:t xml:space="preserve"> also undertook a joint visit in January 2013.</w:t>
      </w:r>
    </w:p>
    <w:p w14:paraId="37432FF8" w14:textId="5F572479" w:rsidR="001F19DB" w:rsidRDefault="004C3EF3" w:rsidP="00A46BEB">
      <w:pPr>
        <w:pStyle w:val="BodyText"/>
      </w:pPr>
      <w:r>
        <w:t xml:space="preserve">This high level engagement and associated policy dialogue have </w:t>
      </w:r>
      <w:r w:rsidR="007D7889">
        <w:t xml:space="preserve">positioned </w:t>
      </w:r>
      <w:r w:rsidR="000B460B">
        <w:t>Australia</w:t>
      </w:r>
      <w:r w:rsidR="007D7889">
        <w:t xml:space="preserve"> well to s</w:t>
      </w:r>
      <w:r w:rsidR="00B96958">
        <w:t xml:space="preserve">upport </w:t>
      </w:r>
      <w:r w:rsidR="00A9539F">
        <w:t>Burma</w:t>
      </w:r>
      <w:r w:rsidR="00B96958">
        <w:t xml:space="preserve">’s reform agenda. It underpins the program’s ongoing transition from its previous focus on delivering assistance separate from the </w:t>
      </w:r>
      <w:r w:rsidR="00802CB3" w:rsidRPr="00A226A5">
        <w:t>Myanmar</w:t>
      </w:r>
      <w:r w:rsidR="00802CB3" w:rsidRPr="00190B63">
        <w:t xml:space="preserve"> Government</w:t>
      </w:r>
      <w:r w:rsidR="00B96958">
        <w:t xml:space="preserve"> to a development partnership that strengthens government systems and responds to government priorities. </w:t>
      </w:r>
      <w:r w:rsidR="004601C0" w:rsidRPr="00CD7F2B">
        <w:t xml:space="preserve">In response to the transformation underway in </w:t>
      </w:r>
      <w:r w:rsidR="00A9539F">
        <w:t>Burma</w:t>
      </w:r>
      <w:r w:rsidR="00432B16" w:rsidRPr="00CD7F2B">
        <w:t xml:space="preserve"> </w:t>
      </w:r>
      <w:r w:rsidR="00CD7F2B">
        <w:t xml:space="preserve">and </w:t>
      </w:r>
      <w:r w:rsidR="00432B16" w:rsidRPr="00CD7F2B">
        <w:t xml:space="preserve">the </w:t>
      </w:r>
      <w:r w:rsidR="00F16181">
        <w:t xml:space="preserve">pressing </w:t>
      </w:r>
      <w:r w:rsidR="00432B16" w:rsidRPr="00CD7F2B">
        <w:t>needs of its people</w:t>
      </w:r>
      <w:r w:rsidR="00CD7F2B">
        <w:t>,</w:t>
      </w:r>
      <w:r w:rsidR="00CC1D85" w:rsidRPr="00CD7F2B">
        <w:t xml:space="preserve"> </w:t>
      </w:r>
      <w:r w:rsidR="0016091F">
        <w:t xml:space="preserve">the </w:t>
      </w:r>
      <w:r w:rsidR="005F3E6F">
        <w:t>Australia</w:t>
      </w:r>
      <w:r w:rsidR="0016091F">
        <w:t xml:space="preserve">n </w:t>
      </w:r>
      <w:r w:rsidR="00965791">
        <w:t>G</w:t>
      </w:r>
      <w:r w:rsidR="0016091F">
        <w:t>overnment</w:t>
      </w:r>
      <w:r w:rsidR="005F3E6F">
        <w:t xml:space="preserve"> </w:t>
      </w:r>
      <w:r w:rsidR="00CC1D85" w:rsidRPr="00CD7F2B">
        <w:t xml:space="preserve">has </w:t>
      </w:r>
      <w:r w:rsidR="001760F1" w:rsidRPr="00CD7F2B">
        <w:t>developed</w:t>
      </w:r>
      <w:r w:rsidR="004601C0" w:rsidRPr="00CD7F2B">
        <w:t xml:space="preserve"> an interim </w:t>
      </w:r>
      <w:r w:rsidR="000E6C80" w:rsidRPr="0085525F">
        <w:t>Aid</w:t>
      </w:r>
      <w:r w:rsidR="000E6C80" w:rsidRPr="003D6AEF">
        <w:t xml:space="preserve"> Program Strategy </w:t>
      </w:r>
      <w:r w:rsidR="001760F1" w:rsidRPr="003D6AEF">
        <w:t>2012</w:t>
      </w:r>
      <w:r w:rsidR="001F19DB" w:rsidRPr="003D6AEF">
        <w:t>–</w:t>
      </w:r>
      <w:r w:rsidR="001760F1" w:rsidRPr="003D6AEF">
        <w:t>2014</w:t>
      </w:r>
      <w:r w:rsidR="001760F1" w:rsidRPr="001B31D0">
        <w:t>.</w:t>
      </w:r>
      <w:r w:rsidR="001760F1" w:rsidRPr="00CD7F2B">
        <w:t xml:space="preserve"> The two year period of the </w:t>
      </w:r>
      <w:r w:rsidR="001F19DB">
        <w:t>s</w:t>
      </w:r>
      <w:r w:rsidR="001F19DB" w:rsidRPr="00CD7F2B">
        <w:t xml:space="preserve">trategy </w:t>
      </w:r>
      <w:r w:rsidR="001760F1" w:rsidRPr="00CD7F2B">
        <w:t xml:space="preserve">reflects the pace of change in </w:t>
      </w:r>
      <w:r w:rsidR="00A9539F">
        <w:t>Burma</w:t>
      </w:r>
      <w:r w:rsidR="001760F1" w:rsidRPr="00CD7F2B">
        <w:t xml:space="preserve">, the increasing role of the </w:t>
      </w:r>
      <w:r w:rsidR="001F19DB">
        <w:t>g</w:t>
      </w:r>
      <w:r w:rsidR="001F19DB" w:rsidRPr="00CD7F2B">
        <w:t xml:space="preserve">overnment </w:t>
      </w:r>
      <w:r w:rsidR="001760F1" w:rsidRPr="00CD7F2B">
        <w:t>and civil society in leading the country’s reform and development agenda, and the expanding opportunities for Australia to support this agenda.</w:t>
      </w:r>
      <w:r w:rsidR="00432B16" w:rsidRPr="00CD7F2B">
        <w:t xml:space="preserve"> </w:t>
      </w:r>
    </w:p>
    <w:p w14:paraId="076002B3" w14:textId="2D1F20E2" w:rsidR="007D7889" w:rsidRPr="00A46BEB" w:rsidRDefault="00432B16" w:rsidP="00A46BEB">
      <w:pPr>
        <w:pStyle w:val="BodyText"/>
      </w:pPr>
      <w:r w:rsidRPr="00CD7F2B">
        <w:t xml:space="preserve">Under this </w:t>
      </w:r>
      <w:r w:rsidR="001F19DB">
        <w:t>s</w:t>
      </w:r>
      <w:r w:rsidR="001F19DB" w:rsidRPr="00CD7F2B">
        <w:t xml:space="preserve">trategy </w:t>
      </w:r>
      <w:r w:rsidR="001760F1" w:rsidRPr="00CD7F2B">
        <w:t xml:space="preserve">the purpose of Australian aid to </w:t>
      </w:r>
      <w:r w:rsidR="00A9539F">
        <w:t>Burma</w:t>
      </w:r>
      <w:r w:rsidR="001760F1" w:rsidRPr="00CD7F2B">
        <w:t xml:space="preserve"> is to help people overcome poverty by focusing on four objectives:</w:t>
      </w:r>
    </w:p>
    <w:p w14:paraId="09545064" w14:textId="77777777" w:rsidR="001760F1" w:rsidRDefault="001760F1" w:rsidP="00A46BEB">
      <w:pPr>
        <w:pStyle w:val="ListNumber"/>
      </w:pPr>
      <w:r>
        <w:t>improving the delivery of basic education and health services to the poor</w:t>
      </w:r>
    </w:p>
    <w:p w14:paraId="029CCB1F" w14:textId="77777777" w:rsidR="001760F1" w:rsidRDefault="001760F1" w:rsidP="00A46BEB">
      <w:pPr>
        <w:pStyle w:val="ListNumber"/>
      </w:pPr>
      <w:r>
        <w:t>improving the livelihoods of the rural poor</w:t>
      </w:r>
    </w:p>
    <w:p w14:paraId="54291FFB" w14:textId="77777777" w:rsidR="001760F1" w:rsidRDefault="001760F1" w:rsidP="00A46BEB">
      <w:pPr>
        <w:pStyle w:val="ListNumber"/>
      </w:pPr>
      <w:r>
        <w:t>addressing the needs of conflict and disaster-affected people</w:t>
      </w:r>
    </w:p>
    <w:p w14:paraId="09E3503F" w14:textId="384D872B" w:rsidR="00986D6A" w:rsidRDefault="001760F1" w:rsidP="00A46BEB">
      <w:pPr>
        <w:pStyle w:val="ListNumber"/>
      </w:pPr>
      <w:proofErr w:type="gramStart"/>
      <w:r>
        <w:t>supporting</w:t>
      </w:r>
      <w:proofErr w:type="gramEnd"/>
      <w:r>
        <w:t xml:space="preserve"> reform and improved governance.</w:t>
      </w:r>
    </w:p>
    <w:p w14:paraId="041B4207" w14:textId="7672FB88" w:rsidR="00C71DC0" w:rsidRDefault="00332EF1" w:rsidP="00A46BEB">
      <w:pPr>
        <w:pStyle w:val="BodyText"/>
      </w:pPr>
      <w:r w:rsidRPr="00332EF1">
        <w:t xml:space="preserve">These objectives have been chosen because they address the pressing needs of </w:t>
      </w:r>
      <w:r w:rsidR="00A9539F">
        <w:t>Burma</w:t>
      </w:r>
      <w:r w:rsidR="000A7230">
        <w:t>’s</w:t>
      </w:r>
      <w:r w:rsidR="000A7230" w:rsidRPr="000A7230">
        <w:t xml:space="preserve"> </w:t>
      </w:r>
      <w:r w:rsidR="000A7230" w:rsidRPr="00332EF1">
        <w:t>people</w:t>
      </w:r>
      <w:r w:rsidRPr="00332EF1">
        <w:t xml:space="preserve">, build on established Australian programs and relationships, and support the reform </w:t>
      </w:r>
      <w:r w:rsidR="00B47530">
        <w:t>priorities</w:t>
      </w:r>
      <w:r w:rsidRPr="00332EF1">
        <w:t xml:space="preserve"> of the </w:t>
      </w:r>
      <w:r w:rsidRPr="00A226A5">
        <w:t>Myanmar</w:t>
      </w:r>
      <w:r w:rsidRPr="00332EF1">
        <w:t xml:space="preserve"> Government</w:t>
      </w:r>
      <w:r>
        <w:t xml:space="preserve">. Improving </w:t>
      </w:r>
      <w:r w:rsidRPr="00332EF1">
        <w:t>service delivery entail</w:t>
      </w:r>
      <w:r>
        <w:t>s expanding the reach of our</w:t>
      </w:r>
      <w:r w:rsidRPr="00332EF1">
        <w:t xml:space="preserve"> education and health programs and the quality of services. Australia support</w:t>
      </w:r>
      <w:r>
        <w:t>s</w:t>
      </w:r>
      <w:r w:rsidRPr="00332EF1">
        <w:t xml:space="preserve"> livelihoods by improving income opportunities and agricultural productivity, the means by which most poor people in </w:t>
      </w:r>
      <w:r w:rsidR="00A9539F">
        <w:t>Burma</w:t>
      </w:r>
      <w:r w:rsidRPr="00332EF1">
        <w:t xml:space="preserve"> secure the necessities of life. Conflict and disaster-affected people include those who are beyond the reach of programs delivering basic services, including refugees outside </w:t>
      </w:r>
      <w:r w:rsidR="00A9539F">
        <w:t>Burma</w:t>
      </w:r>
      <w:r w:rsidRPr="00332EF1">
        <w:t>’s borders</w:t>
      </w:r>
      <w:r>
        <w:t xml:space="preserve">. </w:t>
      </w:r>
      <w:r w:rsidRPr="00332EF1">
        <w:t xml:space="preserve">Support for reform </w:t>
      </w:r>
      <w:r w:rsidR="00C71DC0">
        <w:t>includes an</w:t>
      </w:r>
      <w:r w:rsidRPr="00332EF1">
        <w:t xml:space="preserve"> increased focus on building the capacity </w:t>
      </w:r>
      <w:proofErr w:type="gramStart"/>
      <w:r w:rsidRPr="00332EF1">
        <w:t>of  institutions</w:t>
      </w:r>
      <w:proofErr w:type="gramEnd"/>
      <w:r w:rsidRPr="00332EF1">
        <w:t xml:space="preserve"> to develop policies and deliver services, to ensure that improvements are sustainable and reforms are embedded. It also include</w:t>
      </w:r>
      <w:r w:rsidR="00C71DC0">
        <w:t>s</w:t>
      </w:r>
      <w:r w:rsidRPr="00332EF1">
        <w:t xml:space="preserve"> initiatives that help maintain a positive reform path in </w:t>
      </w:r>
      <w:r w:rsidR="003710CF">
        <w:t>Burma</w:t>
      </w:r>
      <w:r w:rsidRPr="00332EF1">
        <w:t>, including activities that strengthen the peace process, democratisation and good governance.</w:t>
      </w:r>
      <w:r w:rsidR="00A70E2A">
        <w:t xml:space="preserve"> </w:t>
      </w:r>
      <w:r w:rsidR="00A70E2A" w:rsidRPr="00A70E2A">
        <w:t>Gender equality is a high priority issue that cuts acro</w:t>
      </w:r>
      <w:r w:rsidR="00A70E2A">
        <w:t>ss all objectives</w:t>
      </w:r>
      <w:r w:rsidR="00A70E2A" w:rsidRPr="00A70E2A">
        <w:t>.</w:t>
      </w:r>
    </w:p>
    <w:p w14:paraId="24C0A8F0" w14:textId="04288EF2" w:rsidR="00332EF1" w:rsidRDefault="00DA076A" w:rsidP="00A46BEB">
      <w:pPr>
        <w:pStyle w:val="BodyText"/>
      </w:pPr>
      <w:r>
        <w:t xml:space="preserve">In 2011 Australia </w:t>
      </w:r>
      <w:r w:rsidR="000B1CEB">
        <w:t xml:space="preserve">was the </w:t>
      </w:r>
      <w:r>
        <w:t>second</w:t>
      </w:r>
      <w:r w:rsidR="000B1CEB">
        <w:t xml:space="preserve"> largest bilateral grant donor to</w:t>
      </w:r>
      <w:r>
        <w:t xml:space="preserve"> </w:t>
      </w:r>
      <w:r w:rsidR="003710CF">
        <w:t>Burma</w:t>
      </w:r>
      <w:r w:rsidR="000A7230" w:rsidRPr="000A7230">
        <w:t xml:space="preserve"> </w:t>
      </w:r>
      <w:r w:rsidR="000A7230">
        <w:t>with USD44.4 million,</w:t>
      </w:r>
      <w:r>
        <w:t xml:space="preserve"> behind the U</w:t>
      </w:r>
      <w:r w:rsidR="001F19DB">
        <w:t xml:space="preserve">nited </w:t>
      </w:r>
      <w:r>
        <w:t>K</w:t>
      </w:r>
      <w:r w:rsidR="001F19DB">
        <w:t>ingdom</w:t>
      </w:r>
      <w:r>
        <w:t xml:space="preserve"> at USD62.2 million. </w:t>
      </w:r>
      <w:r w:rsidR="000B1CEB">
        <w:t>This contribution represent</w:t>
      </w:r>
      <w:r>
        <w:t>ed</w:t>
      </w:r>
      <w:r w:rsidR="000B1CEB">
        <w:t xml:space="preserve"> </w:t>
      </w:r>
      <w:r w:rsidR="000757EF">
        <w:t>15.8</w:t>
      </w:r>
      <w:r w:rsidR="00107E6E">
        <w:t xml:space="preserve"> per cent of </w:t>
      </w:r>
      <w:r w:rsidR="000757EF">
        <w:t xml:space="preserve">bilateral </w:t>
      </w:r>
      <w:r w:rsidR="00107E6E">
        <w:t xml:space="preserve">grant </w:t>
      </w:r>
      <w:r w:rsidR="001F19DB">
        <w:t xml:space="preserve">official development assistance </w:t>
      </w:r>
      <w:r w:rsidR="00107E6E">
        <w:t xml:space="preserve">to </w:t>
      </w:r>
      <w:r w:rsidR="003710CF">
        <w:t>Burma</w:t>
      </w:r>
      <w:r w:rsidR="001F19DB">
        <w:t>.</w:t>
      </w:r>
      <w:r w:rsidR="000757EF">
        <w:rPr>
          <w:rStyle w:val="FootnoteReference"/>
        </w:rPr>
        <w:footnoteReference w:id="10"/>
      </w:r>
      <w:r w:rsidR="00107E6E">
        <w:t xml:space="preserve">. </w:t>
      </w:r>
      <w:r w:rsidR="00107E6E" w:rsidRPr="00107E6E">
        <w:t>Following</w:t>
      </w:r>
      <w:r w:rsidR="00107E6E" w:rsidRPr="00986D6A">
        <w:t xml:space="preserve"> the lifting or suspension of </w:t>
      </w:r>
      <w:r w:rsidR="00107E6E">
        <w:t>most international sanctions</w:t>
      </w:r>
      <w:r w:rsidR="00B944E3">
        <w:t>,</w:t>
      </w:r>
      <w:r w:rsidR="00107E6E">
        <w:t xml:space="preserve"> other donors</w:t>
      </w:r>
      <w:r w:rsidR="00B944E3">
        <w:t>––</w:t>
      </w:r>
      <w:r w:rsidR="00107E6E">
        <w:t>most notably the U</w:t>
      </w:r>
      <w:r w:rsidR="00B944E3">
        <w:t xml:space="preserve">nited </w:t>
      </w:r>
      <w:r w:rsidR="00107E6E">
        <w:t>S</w:t>
      </w:r>
      <w:r w:rsidR="00B944E3">
        <w:t>tates––</w:t>
      </w:r>
      <w:r w:rsidR="00107E6E">
        <w:t xml:space="preserve">are increasing the value and scope of their aid programs and </w:t>
      </w:r>
      <w:r w:rsidR="00EC77F7">
        <w:t>looking more</w:t>
      </w:r>
      <w:r w:rsidR="00107E6E">
        <w:t xml:space="preserve"> to work bilaterally with the government, rather than contributing to multi-donor funds as </w:t>
      </w:r>
      <w:r w:rsidR="00EC77F7">
        <w:t>in the past</w:t>
      </w:r>
      <w:r w:rsidR="00107E6E">
        <w:t>.</w:t>
      </w:r>
    </w:p>
    <w:p w14:paraId="0E1DC0FA" w14:textId="77777777" w:rsidR="00180B19" w:rsidRPr="00A46BEB" w:rsidRDefault="00180B19" w:rsidP="00A46BEB">
      <w:pPr>
        <w:pStyle w:val="Heading1"/>
      </w:pPr>
      <w:r w:rsidRPr="00A46BEB">
        <w:lastRenderedPageBreak/>
        <w:t>Expenditure</w:t>
      </w:r>
    </w:p>
    <w:p w14:paraId="2680FCBB" w14:textId="6588E91C" w:rsidR="004C3EF3" w:rsidRPr="00A46BEB" w:rsidRDefault="004C3EF3" w:rsidP="00A46BEB">
      <w:pPr>
        <w:pStyle w:val="Caption"/>
        <w:rPr>
          <w:rFonts w:eastAsiaTheme="minorHAnsi"/>
        </w:rPr>
      </w:pPr>
      <w:r w:rsidRPr="00A46BEB">
        <w:t>Table 1A</w:t>
      </w:r>
      <w:r w:rsidR="00B944E3" w:rsidRPr="00A46BEB">
        <w:t>:</w:t>
      </w:r>
      <w:r w:rsidRPr="00A46BEB">
        <w:t xml:space="preserve"> Expenditure 1 Jan</w:t>
      </w:r>
      <w:r w:rsidR="000A7230" w:rsidRPr="00A46BEB">
        <w:t>uary</w:t>
      </w:r>
      <w:r w:rsidRPr="00A46BEB">
        <w:t xml:space="preserve"> </w:t>
      </w:r>
      <w:r w:rsidR="00B944E3" w:rsidRPr="00A46BEB">
        <w:t xml:space="preserve">to </w:t>
      </w:r>
      <w:r w:rsidRPr="00A46BEB">
        <w:t>30 Jun</w:t>
      </w:r>
      <w:r w:rsidR="00B944E3" w:rsidRPr="00A46BEB">
        <w:t>e</w:t>
      </w:r>
      <w:r w:rsidRPr="00A46BEB">
        <w:t xml:space="preserve"> 2012</w:t>
      </w:r>
    </w:p>
    <w:tbl>
      <w:tblPr>
        <w:tblpPr w:leftFromText="180" w:rightFromText="180" w:vertAnchor="text" w:horzAnchor="margin" w:tblpY="48"/>
        <w:tblW w:w="5000" w:type="pct"/>
        <w:tblCellSpacing w:w="15" w:type="dxa"/>
        <w:tblBorders>
          <w:top w:val="single" w:sz="12" w:space="0" w:color="000000"/>
          <w:bottom w:val="single" w:sz="12" w:space="0" w:color="000000"/>
        </w:tblBorders>
        <w:tblCellMar>
          <w:left w:w="0" w:type="dxa"/>
          <w:right w:w="0" w:type="dxa"/>
        </w:tblCellMar>
        <w:tblLook w:val="04A0" w:firstRow="1" w:lastRow="0" w:firstColumn="1" w:lastColumn="0" w:noHBand="0" w:noVBand="1"/>
      </w:tblPr>
      <w:tblGrid>
        <w:gridCol w:w="6133"/>
        <w:gridCol w:w="998"/>
        <w:gridCol w:w="1479"/>
      </w:tblGrid>
      <w:tr w:rsidR="007E39A9" w14:paraId="5BE71F85" w14:textId="77777777" w:rsidTr="007E39A9">
        <w:trPr>
          <w:tblHeader/>
          <w:tblCellSpacing w:w="15" w:type="dxa"/>
        </w:trPr>
        <w:tc>
          <w:tcPr>
            <w:tcW w:w="6047" w:type="dxa"/>
            <w:tcBorders>
              <w:top w:val="nil"/>
              <w:left w:val="nil"/>
              <w:bottom w:val="nil"/>
              <w:right w:val="nil"/>
            </w:tcBorders>
            <w:tcMar>
              <w:top w:w="0" w:type="dxa"/>
              <w:left w:w="108" w:type="dxa"/>
              <w:bottom w:w="0" w:type="dxa"/>
              <w:right w:w="108" w:type="dxa"/>
            </w:tcMar>
            <w:hideMark/>
          </w:tcPr>
          <w:p w14:paraId="3D6C5778" w14:textId="77777777" w:rsidR="007E39A9" w:rsidRPr="005E0F24" w:rsidRDefault="007E39A9" w:rsidP="005E0F24">
            <w:pPr>
              <w:pStyle w:val="TableHeading1"/>
              <w:rPr>
                <w:b/>
              </w:rPr>
            </w:pPr>
            <w:r w:rsidRPr="005E0F24">
              <w:rPr>
                <w:b/>
              </w:rPr>
              <w:t>Objective</w:t>
            </w:r>
          </w:p>
        </w:tc>
        <w:tc>
          <w:tcPr>
            <w:tcW w:w="962" w:type="dxa"/>
            <w:tcBorders>
              <w:top w:val="nil"/>
              <w:left w:val="nil"/>
              <w:bottom w:val="nil"/>
              <w:right w:val="nil"/>
            </w:tcBorders>
            <w:tcMar>
              <w:top w:w="0" w:type="dxa"/>
              <w:left w:w="108" w:type="dxa"/>
              <w:bottom w:w="0" w:type="dxa"/>
              <w:right w:w="108" w:type="dxa"/>
            </w:tcMar>
            <w:hideMark/>
          </w:tcPr>
          <w:p w14:paraId="00645FA7" w14:textId="5063D02E" w:rsidR="007E39A9" w:rsidRPr="005E0F24" w:rsidRDefault="007E39A9" w:rsidP="005E0F24">
            <w:pPr>
              <w:pStyle w:val="TableHeading1"/>
              <w:rPr>
                <w:b/>
              </w:rPr>
            </w:pPr>
            <w:r w:rsidRPr="005E0F24">
              <w:rPr>
                <w:b/>
              </w:rPr>
              <w:t>$ million</w:t>
            </w:r>
          </w:p>
        </w:tc>
        <w:tc>
          <w:tcPr>
            <w:tcW w:w="1425" w:type="dxa"/>
            <w:tcBorders>
              <w:top w:val="nil"/>
              <w:left w:val="nil"/>
              <w:bottom w:val="nil"/>
              <w:right w:val="nil"/>
            </w:tcBorders>
            <w:tcMar>
              <w:top w:w="0" w:type="dxa"/>
              <w:left w:w="108" w:type="dxa"/>
              <w:bottom w:w="0" w:type="dxa"/>
              <w:right w:w="108" w:type="dxa"/>
            </w:tcMar>
            <w:hideMark/>
          </w:tcPr>
          <w:p w14:paraId="25B640F8" w14:textId="77777777" w:rsidR="007E39A9" w:rsidRPr="005E0F24" w:rsidRDefault="007E39A9" w:rsidP="005E0F24">
            <w:pPr>
              <w:pStyle w:val="TableHeading1"/>
              <w:rPr>
                <w:b/>
              </w:rPr>
            </w:pPr>
            <w:r w:rsidRPr="005E0F24">
              <w:rPr>
                <w:b/>
              </w:rPr>
              <w:t>% of bilateral program</w:t>
            </w:r>
          </w:p>
        </w:tc>
      </w:tr>
      <w:tr w:rsidR="007E39A9" w14:paraId="75BB376A" w14:textId="77777777" w:rsidTr="007E39A9">
        <w:trPr>
          <w:tblHeader/>
          <w:tblCellSpacing w:w="15" w:type="dxa"/>
        </w:trPr>
        <w:tc>
          <w:tcPr>
            <w:tcW w:w="6047" w:type="dxa"/>
            <w:tcBorders>
              <w:top w:val="nil"/>
              <w:left w:val="nil"/>
              <w:bottom w:val="nil"/>
              <w:right w:val="nil"/>
            </w:tcBorders>
            <w:tcMar>
              <w:top w:w="0" w:type="dxa"/>
              <w:left w:w="108" w:type="dxa"/>
              <w:bottom w:w="0" w:type="dxa"/>
              <w:right w:w="108" w:type="dxa"/>
            </w:tcMar>
            <w:hideMark/>
          </w:tcPr>
          <w:p w14:paraId="4CB106BC" w14:textId="77777777" w:rsidR="007E39A9" w:rsidRDefault="007E39A9" w:rsidP="007E39A9">
            <w:pPr>
              <w:pStyle w:val="TableTextEntries"/>
            </w:pPr>
            <w:r>
              <w:t>Objective 1: Improving the delivery of basic education and health services to the poor</w:t>
            </w:r>
          </w:p>
        </w:tc>
        <w:tc>
          <w:tcPr>
            <w:tcW w:w="962" w:type="dxa"/>
            <w:tcBorders>
              <w:top w:val="nil"/>
              <w:left w:val="nil"/>
              <w:bottom w:val="nil"/>
              <w:right w:val="nil"/>
            </w:tcBorders>
            <w:tcMar>
              <w:top w:w="0" w:type="dxa"/>
              <w:left w:w="108" w:type="dxa"/>
              <w:bottom w:w="0" w:type="dxa"/>
              <w:right w:w="108" w:type="dxa"/>
            </w:tcMar>
            <w:hideMark/>
          </w:tcPr>
          <w:p w14:paraId="3E5C36D5" w14:textId="77777777" w:rsidR="007E39A9" w:rsidRDefault="007E39A9" w:rsidP="007E39A9">
            <w:pPr>
              <w:pStyle w:val="TableTextEntries"/>
              <w:rPr>
                <w:b/>
                <w:bCs/>
              </w:rPr>
            </w:pPr>
            <w:r>
              <w:t>23.103</w:t>
            </w:r>
          </w:p>
        </w:tc>
        <w:tc>
          <w:tcPr>
            <w:tcW w:w="1425" w:type="dxa"/>
            <w:tcBorders>
              <w:top w:val="nil"/>
              <w:left w:val="nil"/>
              <w:bottom w:val="nil"/>
              <w:right w:val="nil"/>
            </w:tcBorders>
            <w:tcMar>
              <w:top w:w="0" w:type="dxa"/>
              <w:left w:w="108" w:type="dxa"/>
              <w:bottom w:w="0" w:type="dxa"/>
              <w:right w:w="108" w:type="dxa"/>
            </w:tcMar>
            <w:hideMark/>
          </w:tcPr>
          <w:p w14:paraId="72B06FBA" w14:textId="77777777" w:rsidR="007E39A9" w:rsidRDefault="007E39A9" w:rsidP="007E39A9">
            <w:pPr>
              <w:pStyle w:val="TableTextEntries"/>
              <w:rPr>
                <w:b/>
                <w:bCs/>
              </w:rPr>
            </w:pPr>
            <w:r>
              <w:t>68.05</w:t>
            </w:r>
          </w:p>
        </w:tc>
      </w:tr>
      <w:tr w:rsidR="007E39A9" w14:paraId="67DD4F51" w14:textId="77777777" w:rsidTr="007E39A9">
        <w:trPr>
          <w:tblHeader/>
          <w:tblCellSpacing w:w="15" w:type="dxa"/>
        </w:trPr>
        <w:tc>
          <w:tcPr>
            <w:tcW w:w="6047" w:type="dxa"/>
            <w:tcBorders>
              <w:top w:val="nil"/>
              <w:left w:val="nil"/>
              <w:bottom w:val="nil"/>
              <w:right w:val="nil"/>
            </w:tcBorders>
            <w:tcMar>
              <w:top w:w="0" w:type="dxa"/>
              <w:left w:w="108" w:type="dxa"/>
              <w:bottom w:w="0" w:type="dxa"/>
              <w:right w:w="108" w:type="dxa"/>
            </w:tcMar>
            <w:hideMark/>
          </w:tcPr>
          <w:p w14:paraId="2A49DFA9" w14:textId="77777777" w:rsidR="007E39A9" w:rsidRDefault="007E39A9" w:rsidP="007E39A9">
            <w:pPr>
              <w:pStyle w:val="TableTextEntries"/>
            </w:pPr>
            <w:r>
              <w:t>Objective 2: Improving the livelihoods of the rural poor</w:t>
            </w:r>
          </w:p>
        </w:tc>
        <w:tc>
          <w:tcPr>
            <w:tcW w:w="962" w:type="dxa"/>
            <w:tcBorders>
              <w:top w:val="nil"/>
              <w:left w:val="nil"/>
              <w:bottom w:val="nil"/>
              <w:right w:val="nil"/>
            </w:tcBorders>
            <w:tcMar>
              <w:top w:w="0" w:type="dxa"/>
              <w:left w:w="108" w:type="dxa"/>
              <w:bottom w:w="0" w:type="dxa"/>
              <w:right w:w="108" w:type="dxa"/>
            </w:tcMar>
            <w:hideMark/>
          </w:tcPr>
          <w:p w14:paraId="6F161D80" w14:textId="77777777" w:rsidR="007E39A9" w:rsidRDefault="007E39A9" w:rsidP="007E39A9">
            <w:pPr>
              <w:pStyle w:val="TableTextEntries"/>
              <w:rPr>
                <w:b/>
                <w:bCs/>
              </w:rPr>
            </w:pPr>
            <w:r>
              <w:t>0.0178</w:t>
            </w:r>
          </w:p>
        </w:tc>
        <w:tc>
          <w:tcPr>
            <w:tcW w:w="1425" w:type="dxa"/>
            <w:tcBorders>
              <w:top w:val="nil"/>
              <w:left w:val="nil"/>
              <w:bottom w:val="nil"/>
              <w:right w:val="nil"/>
            </w:tcBorders>
            <w:tcMar>
              <w:top w:w="0" w:type="dxa"/>
              <w:left w:w="108" w:type="dxa"/>
              <w:bottom w:w="0" w:type="dxa"/>
              <w:right w:w="108" w:type="dxa"/>
            </w:tcMar>
            <w:hideMark/>
          </w:tcPr>
          <w:p w14:paraId="3E769FCD" w14:textId="77777777" w:rsidR="007E39A9" w:rsidRDefault="007E39A9" w:rsidP="007E39A9">
            <w:pPr>
              <w:pStyle w:val="TableTextEntries"/>
              <w:rPr>
                <w:b/>
                <w:bCs/>
              </w:rPr>
            </w:pPr>
            <w:r>
              <w:t>0.05</w:t>
            </w:r>
          </w:p>
        </w:tc>
      </w:tr>
      <w:tr w:rsidR="007E39A9" w14:paraId="3916D77E" w14:textId="77777777" w:rsidTr="007E39A9">
        <w:trPr>
          <w:tblHeader/>
          <w:tblCellSpacing w:w="15" w:type="dxa"/>
        </w:trPr>
        <w:tc>
          <w:tcPr>
            <w:tcW w:w="6047" w:type="dxa"/>
            <w:tcBorders>
              <w:top w:val="nil"/>
              <w:left w:val="nil"/>
              <w:bottom w:val="nil"/>
              <w:right w:val="nil"/>
            </w:tcBorders>
            <w:tcMar>
              <w:top w:w="0" w:type="dxa"/>
              <w:left w:w="108" w:type="dxa"/>
              <w:bottom w:w="0" w:type="dxa"/>
              <w:right w:w="108" w:type="dxa"/>
            </w:tcMar>
            <w:hideMark/>
          </w:tcPr>
          <w:p w14:paraId="3038BA15" w14:textId="77777777" w:rsidR="007E39A9" w:rsidRDefault="007E39A9" w:rsidP="007E39A9">
            <w:pPr>
              <w:pStyle w:val="TableTextEntries"/>
            </w:pPr>
            <w:r>
              <w:t>Objective 3: Addressing the needs of conflict and disaster-affected people</w:t>
            </w:r>
          </w:p>
        </w:tc>
        <w:tc>
          <w:tcPr>
            <w:tcW w:w="962" w:type="dxa"/>
            <w:tcBorders>
              <w:top w:val="nil"/>
              <w:left w:val="nil"/>
              <w:bottom w:val="nil"/>
              <w:right w:val="nil"/>
            </w:tcBorders>
            <w:tcMar>
              <w:top w:w="0" w:type="dxa"/>
              <w:left w:w="108" w:type="dxa"/>
              <w:bottom w:w="0" w:type="dxa"/>
              <w:right w:w="108" w:type="dxa"/>
            </w:tcMar>
            <w:hideMark/>
          </w:tcPr>
          <w:p w14:paraId="0B478170" w14:textId="77777777" w:rsidR="007E39A9" w:rsidRDefault="007E39A9" w:rsidP="007E39A9">
            <w:pPr>
              <w:pStyle w:val="TableTextEntries"/>
              <w:rPr>
                <w:b/>
                <w:bCs/>
              </w:rPr>
            </w:pPr>
            <w:r>
              <w:t>9.574</w:t>
            </w:r>
          </w:p>
        </w:tc>
        <w:tc>
          <w:tcPr>
            <w:tcW w:w="1425" w:type="dxa"/>
            <w:tcBorders>
              <w:top w:val="nil"/>
              <w:left w:val="nil"/>
              <w:bottom w:val="nil"/>
              <w:right w:val="nil"/>
            </w:tcBorders>
            <w:tcMar>
              <w:top w:w="0" w:type="dxa"/>
              <w:left w:w="108" w:type="dxa"/>
              <w:bottom w:w="0" w:type="dxa"/>
              <w:right w:w="108" w:type="dxa"/>
            </w:tcMar>
            <w:hideMark/>
          </w:tcPr>
          <w:p w14:paraId="513D55F1" w14:textId="77777777" w:rsidR="007E39A9" w:rsidRDefault="007E39A9" w:rsidP="007E39A9">
            <w:pPr>
              <w:pStyle w:val="TableTextEntries"/>
              <w:rPr>
                <w:b/>
                <w:bCs/>
              </w:rPr>
            </w:pPr>
            <w:r>
              <w:t>28.2</w:t>
            </w:r>
          </w:p>
        </w:tc>
      </w:tr>
      <w:tr w:rsidR="007E39A9" w14:paraId="3C011BE9" w14:textId="77777777" w:rsidTr="007E39A9">
        <w:trPr>
          <w:tblHeader/>
          <w:tblCellSpacing w:w="15" w:type="dxa"/>
        </w:trPr>
        <w:tc>
          <w:tcPr>
            <w:tcW w:w="6047" w:type="dxa"/>
            <w:tcBorders>
              <w:top w:val="nil"/>
              <w:left w:val="nil"/>
              <w:bottom w:val="nil"/>
              <w:right w:val="nil"/>
            </w:tcBorders>
            <w:tcMar>
              <w:top w:w="0" w:type="dxa"/>
              <w:left w:w="108" w:type="dxa"/>
              <w:bottom w:w="0" w:type="dxa"/>
              <w:right w:w="108" w:type="dxa"/>
            </w:tcMar>
            <w:hideMark/>
          </w:tcPr>
          <w:p w14:paraId="3C55C78D" w14:textId="77777777" w:rsidR="007E39A9" w:rsidRDefault="007E39A9" w:rsidP="007E39A9">
            <w:pPr>
              <w:pStyle w:val="TableTextEntries"/>
            </w:pPr>
            <w:r>
              <w:t>Objective 4: Supporting reform and improved governance</w:t>
            </w:r>
          </w:p>
        </w:tc>
        <w:tc>
          <w:tcPr>
            <w:tcW w:w="962" w:type="dxa"/>
            <w:tcBorders>
              <w:top w:val="nil"/>
              <w:left w:val="nil"/>
              <w:bottom w:val="nil"/>
              <w:right w:val="nil"/>
            </w:tcBorders>
            <w:tcMar>
              <w:top w:w="0" w:type="dxa"/>
              <w:left w:w="108" w:type="dxa"/>
              <w:bottom w:w="0" w:type="dxa"/>
              <w:right w:w="108" w:type="dxa"/>
            </w:tcMar>
            <w:hideMark/>
          </w:tcPr>
          <w:p w14:paraId="41D550B4" w14:textId="77777777" w:rsidR="007E39A9" w:rsidRDefault="007E39A9" w:rsidP="007E39A9">
            <w:pPr>
              <w:pStyle w:val="TableTextEntries"/>
              <w:rPr>
                <w:b/>
                <w:bCs/>
              </w:rPr>
            </w:pPr>
            <w:r>
              <w:t>0.731</w:t>
            </w:r>
          </w:p>
        </w:tc>
        <w:tc>
          <w:tcPr>
            <w:tcW w:w="1425" w:type="dxa"/>
            <w:tcBorders>
              <w:top w:val="nil"/>
              <w:left w:val="nil"/>
              <w:bottom w:val="nil"/>
              <w:right w:val="nil"/>
            </w:tcBorders>
            <w:tcMar>
              <w:top w:w="0" w:type="dxa"/>
              <w:left w:w="108" w:type="dxa"/>
              <w:bottom w:w="0" w:type="dxa"/>
              <w:right w:w="108" w:type="dxa"/>
            </w:tcMar>
            <w:hideMark/>
          </w:tcPr>
          <w:p w14:paraId="2F85D31F" w14:textId="77777777" w:rsidR="007E39A9" w:rsidRDefault="007E39A9" w:rsidP="007E39A9">
            <w:pPr>
              <w:pStyle w:val="TableTextEntries"/>
              <w:rPr>
                <w:b/>
                <w:bCs/>
              </w:rPr>
            </w:pPr>
            <w:r>
              <w:t>2.15</w:t>
            </w:r>
          </w:p>
        </w:tc>
      </w:tr>
      <w:tr w:rsidR="007E39A9" w14:paraId="4E6675BE" w14:textId="77777777" w:rsidTr="007E39A9">
        <w:trPr>
          <w:tblHeader/>
          <w:tblCellSpacing w:w="15" w:type="dxa"/>
        </w:trPr>
        <w:tc>
          <w:tcPr>
            <w:tcW w:w="6047" w:type="dxa"/>
            <w:tcBorders>
              <w:top w:val="nil"/>
              <w:left w:val="nil"/>
              <w:bottom w:val="nil"/>
              <w:right w:val="nil"/>
            </w:tcBorders>
            <w:tcMar>
              <w:top w:w="0" w:type="dxa"/>
              <w:left w:w="108" w:type="dxa"/>
              <w:bottom w:w="0" w:type="dxa"/>
              <w:right w:w="108" w:type="dxa"/>
            </w:tcMar>
            <w:hideMark/>
          </w:tcPr>
          <w:p w14:paraId="119896B5" w14:textId="77777777" w:rsidR="007E39A9" w:rsidRDefault="007E39A9" w:rsidP="007E39A9">
            <w:pPr>
              <w:pStyle w:val="TableTextEntries"/>
            </w:pPr>
            <w:r>
              <w:t>Other</w:t>
            </w:r>
          </w:p>
        </w:tc>
        <w:tc>
          <w:tcPr>
            <w:tcW w:w="962" w:type="dxa"/>
            <w:tcBorders>
              <w:top w:val="nil"/>
              <w:left w:val="nil"/>
              <w:bottom w:val="nil"/>
              <w:right w:val="nil"/>
            </w:tcBorders>
            <w:tcMar>
              <w:top w:w="0" w:type="dxa"/>
              <w:left w:w="108" w:type="dxa"/>
              <w:bottom w:w="0" w:type="dxa"/>
              <w:right w:w="108" w:type="dxa"/>
            </w:tcMar>
            <w:hideMark/>
          </w:tcPr>
          <w:p w14:paraId="25DA6829" w14:textId="77777777" w:rsidR="007E39A9" w:rsidRDefault="007E39A9" w:rsidP="007E39A9">
            <w:pPr>
              <w:pStyle w:val="TableTextEntries"/>
              <w:rPr>
                <w:b/>
                <w:bCs/>
              </w:rPr>
            </w:pPr>
            <w:r>
              <w:t>0.524</w:t>
            </w:r>
          </w:p>
        </w:tc>
        <w:tc>
          <w:tcPr>
            <w:tcW w:w="1425" w:type="dxa"/>
            <w:tcBorders>
              <w:top w:val="nil"/>
              <w:left w:val="nil"/>
              <w:bottom w:val="nil"/>
              <w:right w:val="nil"/>
            </w:tcBorders>
            <w:tcMar>
              <w:top w:w="0" w:type="dxa"/>
              <w:left w:w="108" w:type="dxa"/>
              <w:bottom w:w="0" w:type="dxa"/>
              <w:right w:w="108" w:type="dxa"/>
            </w:tcMar>
            <w:hideMark/>
          </w:tcPr>
          <w:p w14:paraId="46DAAE88" w14:textId="77777777" w:rsidR="007E39A9" w:rsidRDefault="007E39A9" w:rsidP="007E39A9">
            <w:pPr>
              <w:pStyle w:val="TableTextEntries"/>
              <w:rPr>
                <w:b/>
                <w:bCs/>
              </w:rPr>
            </w:pPr>
            <w:r>
              <w:t>1.54</w:t>
            </w:r>
          </w:p>
        </w:tc>
      </w:tr>
      <w:tr w:rsidR="007E39A9" w14:paraId="16999646" w14:textId="77777777" w:rsidTr="007E39A9">
        <w:trPr>
          <w:tblHeader/>
          <w:tblCellSpacing w:w="15" w:type="dxa"/>
        </w:trPr>
        <w:tc>
          <w:tcPr>
            <w:tcW w:w="6047" w:type="dxa"/>
            <w:tcBorders>
              <w:top w:val="nil"/>
              <w:left w:val="nil"/>
              <w:bottom w:val="nil"/>
              <w:right w:val="nil"/>
            </w:tcBorders>
            <w:tcMar>
              <w:top w:w="0" w:type="dxa"/>
              <w:left w:w="108" w:type="dxa"/>
              <w:bottom w:w="0" w:type="dxa"/>
              <w:right w:w="108" w:type="dxa"/>
            </w:tcMar>
            <w:hideMark/>
          </w:tcPr>
          <w:p w14:paraId="4BBFC7CC" w14:textId="77777777" w:rsidR="007E39A9" w:rsidRPr="005E0F24" w:rsidRDefault="007E39A9" w:rsidP="005E0F24">
            <w:pPr>
              <w:pStyle w:val="TableHeading1"/>
              <w:rPr>
                <w:b/>
              </w:rPr>
            </w:pPr>
            <w:r w:rsidRPr="005E0F24">
              <w:rPr>
                <w:b/>
              </w:rPr>
              <w:t>Total</w:t>
            </w:r>
          </w:p>
        </w:tc>
        <w:tc>
          <w:tcPr>
            <w:tcW w:w="962" w:type="dxa"/>
            <w:tcBorders>
              <w:top w:val="nil"/>
              <w:left w:val="nil"/>
              <w:bottom w:val="nil"/>
              <w:right w:val="nil"/>
            </w:tcBorders>
            <w:tcMar>
              <w:top w:w="0" w:type="dxa"/>
              <w:left w:w="108" w:type="dxa"/>
              <w:bottom w:w="0" w:type="dxa"/>
              <w:right w:w="108" w:type="dxa"/>
            </w:tcMar>
            <w:hideMark/>
          </w:tcPr>
          <w:p w14:paraId="1760CBC8" w14:textId="77777777" w:rsidR="007E39A9" w:rsidRPr="005E0F24" w:rsidRDefault="007E39A9" w:rsidP="005E0F24">
            <w:pPr>
              <w:pStyle w:val="TableHeading1"/>
              <w:rPr>
                <w:b/>
              </w:rPr>
            </w:pPr>
            <w:r w:rsidRPr="005E0F24">
              <w:rPr>
                <w:b/>
              </w:rPr>
              <w:t>33.952</w:t>
            </w:r>
          </w:p>
        </w:tc>
        <w:tc>
          <w:tcPr>
            <w:tcW w:w="1425" w:type="dxa"/>
            <w:tcBorders>
              <w:top w:val="nil"/>
              <w:left w:val="nil"/>
              <w:bottom w:val="nil"/>
              <w:right w:val="nil"/>
            </w:tcBorders>
            <w:tcMar>
              <w:top w:w="0" w:type="dxa"/>
              <w:left w:w="108" w:type="dxa"/>
              <w:bottom w:w="0" w:type="dxa"/>
              <w:right w:w="108" w:type="dxa"/>
            </w:tcMar>
            <w:hideMark/>
          </w:tcPr>
          <w:p w14:paraId="777675FE" w14:textId="77777777" w:rsidR="007E39A9" w:rsidRPr="005E0F24" w:rsidRDefault="007E39A9" w:rsidP="005E0F24">
            <w:pPr>
              <w:pStyle w:val="TableHeading1"/>
              <w:rPr>
                <w:b/>
              </w:rPr>
            </w:pPr>
            <w:r w:rsidRPr="005E0F24">
              <w:rPr>
                <w:b/>
              </w:rPr>
              <w:t>100</w:t>
            </w:r>
          </w:p>
        </w:tc>
      </w:tr>
    </w:tbl>
    <w:p w14:paraId="1D26BECB" w14:textId="77777777" w:rsidR="003A2021" w:rsidRPr="003A2021" w:rsidRDefault="003A2021" w:rsidP="00A46BEB">
      <w:pPr>
        <w:pStyle w:val="Note"/>
        <w:rPr>
          <w:rFonts w:eastAsiaTheme="minorHAnsi"/>
        </w:rPr>
      </w:pPr>
      <w:r w:rsidRPr="003A2021">
        <w:t>Source: AidWorks</w:t>
      </w:r>
    </w:p>
    <w:p w14:paraId="72723089" w14:textId="77777777" w:rsidR="00180B19" w:rsidRPr="00180B19" w:rsidRDefault="00180B19" w:rsidP="00180B19"/>
    <w:tbl>
      <w:tblPr>
        <w:tblpPr w:leftFromText="180" w:rightFromText="180" w:vertAnchor="text" w:horzAnchor="margin" w:tblpY="478"/>
        <w:tblW w:w="5000" w:type="pct"/>
        <w:tblCellSpacing w:w="15" w:type="dxa"/>
        <w:tblBorders>
          <w:top w:val="single" w:sz="12" w:space="0" w:color="000000"/>
          <w:bottom w:val="single" w:sz="12" w:space="0" w:color="000000"/>
        </w:tblBorders>
        <w:tblCellMar>
          <w:left w:w="0" w:type="dxa"/>
          <w:right w:w="0" w:type="dxa"/>
        </w:tblCellMar>
        <w:tblLook w:val="04A0" w:firstRow="1" w:lastRow="0" w:firstColumn="1" w:lastColumn="0" w:noHBand="0" w:noVBand="1"/>
      </w:tblPr>
      <w:tblGrid>
        <w:gridCol w:w="6130"/>
        <w:gridCol w:w="1000"/>
        <w:gridCol w:w="1480"/>
      </w:tblGrid>
      <w:tr w:rsidR="003A2021" w14:paraId="6F4413D7" w14:textId="77777777" w:rsidTr="003A2021">
        <w:trPr>
          <w:tblHeader/>
          <w:tblCellSpacing w:w="15" w:type="dxa"/>
        </w:trPr>
        <w:tc>
          <w:tcPr>
            <w:tcW w:w="6044" w:type="dxa"/>
            <w:tcBorders>
              <w:top w:val="nil"/>
              <w:left w:val="nil"/>
              <w:bottom w:val="nil"/>
              <w:right w:val="nil"/>
            </w:tcBorders>
            <w:tcMar>
              <w:top w:w="0" w:type="dxa"/>
              <w:left w:w="108" w:type="dxa"/>
              <w:bottom w:w="0" w:type="dxa"/>
              <w:right w:w="108" w:type="dxa"/>
            </w:tcMar>
            <w:hideMark/>
          </w:tcPr>
          <w:p w14:paraId="21BCD9DA" w14:textId="77777777" w:rsidR="003A2021" w:rsidRPr="005E0F24" w:rsidRDefault="003A2021" w:rsidP="005E0F24">
            <w:pPr>
              <w:pStyle w:val="TableHeading1"/>
              <w:rPr>
                <w:b/>
              </w:rPr>
            </w:pPr>
            <w:r w:rsidRPr="005E0F24">
              <w:rPr>
                <w:b/>
              </w:rPr>
              <w:t>Objective</w:t>
            </w:r>
          </w:p>
        </w:tc>
        <w:tc>
          <w:tcPr>
            <w:tcW w:w="964" w:type="dxa"/>
            <w:tcBorders>
              <w:top w:val="nil"/>
              <w:left w:val="nil"/>
              <w:bottom w:val="nil"/>
              <w:right w:val="nil"/>
            </w:tcBorders>
            <w:tcMar>
              <w:top w:w="0" w:type="dxa"/>
              <w:left w:w="108" w:type="dxa"/>
              <w:bottom w:w="0" w:type="dxa"/>
              <w:right w:w="108" w:type="dxa"/>
            </w:tcMar>
            <w:hideMark/>
          </w:tcPr>
          <w:p w14:paraId="64FE5131" w14:textId="20365BF7" w:rsidR="003A2021" w:rsidRPr="005E0F24" w:rsidRDefault="003A2021" w:rsidP="005E0F24">
            <w:pPr>
              <w:pStyle w:val="TableHeading1"/>
              <w:rPr>
                <w:b/>
              </w:rPr>
            </w:pPr>
            <w:r w:rsidRPr="005E0F24">
              <w:rPr>
                <w:b/>
              </w:rPr>
              <w:t>$ million</w:t>
            </w:r>
          </w:p>
        </w:tc>
        <w:tc>
          <w:tcPr>
            <w:tcW w:w="1426" w:type="dxa"/>
            <w:tcBorders>
              <w:top w:val="nil"/>
              <w:left w:val="nil"/>
              <w:bottom w:val="nil"/>
              <w:right w:val="nil"/>
            </w:tcBorders>
            <w:tcMar>
              <w:top w:w="0" w:type="dxa"/>
              <w:left w:w="108" w:type="dxa"/>
              <w:bottom w:w="0" w:type="dxa"/>
              <w:right w:w="108" w:type="dxa"/>
            </w:tcMar>
            <w:hideMark/>
          </w:tcPr>
          <w:p w14:paraId="0B7DAC35" w14:textId="77777777" w:rsidR="003A2021" w:rsidRPr="005E0F24" w:rsidRDefault="003A2021" w:rsidP="005E0F24">
            <w:pPr>
              <w:pStyle w:val="TableHeading1"/>
              <w:rPr>
                <w:b/>
              </w:rPr>
            </w:pPr>
            <w:r w:rsidRPr="005E0F24">
              <w:rPr>
                <w:b/>
              </w:rPr>
              <w:t>% of bilateral program</w:t>
            </w:r>
          </w:p>
        </w:tc>
      </w:tr>
      <w:tr w:rsidR="003A2021" w14:paraId="457A64D4" w14:textId="77777777" w:rsidTr="003A2021">
        <w:trPr>
          <w:tblHeader/>
          <w:tblCellSpacing w:w="15" w:type="dxa"/>
        </w:trPr>
        <w:tc>
          <w:tcPr>
            <w:tcW w:w="6044" w:type="dxa"/>
            <w:tcBorders>
              <w:top w:val="nil"/>
              <w:left w:val="nil"/>
              <w:bottom w:val="nil"/>
              <w:right w:val="nil"/>
            </w:tcBorders>
            <w:tcMar>
              <w:top w:w="0" w:type="dxa"/>
              <w:left w:w="108" w:type="dxa"/>
              <w:bottom w:w="0" w:type="dxa"/>
              <w:right w:w="108" w:type="dxa"/>
            </w:tcMar>
            <w:hideMark/>
          </w:tcPr>
          <w:p w14:paraId="21BA0DDA" w14:textId="77777777" w:rsidR="003A2021" w:rsidRDefault="003A2021" w:rsidP="003A2021">
            <w:pPr>
              <w:pStyle w:val="TableTextEntries"/>
            </w:pPr>
            <w:r>
              <w:t>Objective 1: Improving the delivery of basic education and health services to the poor</w:t>
            </w:r>
          </w:p>
        </w:tc>
        <w:tc>
          <w:tcPr>
            <w:tcW w:w="964" w:type="dxa"/>
            <w:tcBorders>
              <w:top w:val="nil"/>
              <w:left w:val="nil"/>
              <w:bottom w:val="nil"/>
              <w:right w:val="nil"/>
            </w:tcBorders>
            <w:tcMar>
              <w:top w:w="0" w:type="dxa"/>
              <w:left w:w="108" w:type="dxa"/>
              <w:bottom w:w="0" w:type="dxa"/>
              <w:right w:w="108" w:type="dxa"/>
            </w:tcMar>
            <w:hideMark/>
          </w:tcPr>
          <w:p w14:paraId="79B229A7" w14:textId="77777777" w:rsidR="003A2021" w:rsidRDefault="003A2021" w:rsidP="003A2021">
            <w:pPr>
              <w:pStyle w:val="TableTextEntries"/>
            </w:pPr>
            <w:r>
              <w:t>28.861</w:t>
            </w:r>
          </w:p>
        </w:tc>
        <w:tc>
          <w:tcPr>
            <w:tcW w:w="1426" w:type="dxa"/>
            <w:tcBorders>
              <w:top w:val="nil"/>
              <w:left w:val="nil"/>
              <w:bottom w:val="nil"/>
              <w:right w:val="nil"/>
            </w:tcBorders>
            <w:tcMar>
              <w:top w:w="0" w:type="dxa"/>
              <w:left w:w="108" w:type="dxa"/>
              <w:bottom w:w="0" w:type="dxa"/>
              <w:right w:w="108" w:type="dxa"/>
            </w:tcMar>
            <w:hideMark/>
          </w:tcPr>
          <w:p w14:paraId="42F4D41E" w14:textId="77777777" w:rsidR="003A2021" w:rsidRDefault="003A2021" w:rsidP="003A2021">
            <w:pPr>
              <w:pStyle w:val="TableTextEntries"/>
            </w:pPr>
            <w:r>
              <w:t>45.52</w:t>
            </w:r>
          </w:p>
        </w:tc>
      </w:tr>
      <w:tr w:rsidR="003A2021" w14:paraId="0E84EBDA" w14:textId="77777777" w:rsidTr="003A2021">
        <w:trPr>
          <w:tblHeader/>
          <w:tblCellSpacing w:w="15" w:type="dxa"/>
        </w:trPr>
        <w:tc>
          <w:tcPr>
            <w:tcW w:w="6044" w:type="dxa"/>
            <w:tcBorders>
              <w:top w:val="nil"/>
              <w:left w:val="nil"/>
              <w:bottom w:val="nil"/>
              <w:right w:val="nil"/>
            </w:tcBorders>
            <w:tcMar>
              <w:top w:w="0" w:type="dxa"/>
              <w:left w:w="108" w:type="dxa"/>
              <w:bottom w:w="0" w:type="dxa"/>
              <w:right w:w="108" w:type="dxa"/>
            </w:tcMar>
            <w:hideMark/>
          </w:tcPr>
          <w:p w14:paraId="037B025E" w14:textId="77777777" w:rsidR="003A2021" w:rsidRDefault="003A2021" w:rsidP="003A2021">
            <w:pPr>
              <w:pStyle w:val="TableTextEntries"/>
            </w:pPr>
            <w:r>
              <w:t>Objective 2: Improving the livelihoods of the rural poor</w:t>
            </w:r>
          </w:p>
        </w:tc>
        <w:tc>
          <w:tcPr>
            <w:tcW w:w="964" w:type="dxa"/>
            <w:tcBorders>
              <w:top w:val="nil"/>
              <w:left w:val="nil"/>
              <w:bottom w:val="nil"/>
              <w:right w:val="nil"/>
            </w:tcBorders>
            <w:tcMar>
              <w:top w:w="0" w:type="dxa"/>
              <w:left w:w="108" w:type="dxa"/>
              <w:bottom w:w="0" w:type="dxa"/>
              <w:right w:w="108" w:type="dxa"/>
            </w:tcMar>
            <w:hideMark/>
          </w:tcPr>
          <w:p w14:paraId="21169276" w14:textId="77777777" w:rsidR="003A2021" w:rsidRDefault="003A2021" w:rsidP="003A2021">
            <w:pPr>
              <w:pStyle w:val="TableTextEntries"/>
            </w:pPr>
            <w:r>
              <w:t>5.4</w:t>
            </w:r>
          </w:p>
        </w:tc>
        <w:tc>
          <w:tcPr>
            <w:tcW w:w="1426" w:type="dxa"/>
            <w:tcBorders>
              <w:top w:val="nil"/>
              <w:left w:val="nil"/>
              <w:bottom w:val="nil"/>
              <w:right w:val="nil"/>
            </w:tcBorders>
            <w:tcMar>
              <w:top w:w="0" w:type="dxa"/>
              <w:left w:w="108" w:type="dxa"/>
              <w:bottom w:w="0" w:type="dxa"/>
              <w:right w:w="108" w:type="dxa"/>
            </w:tcMar>
            <w:hideMark/>
          </w:tcPr>
          <w:p w14:paraId="79FD8930" w14:textId="77777777" w:rsidR="003A2021" w:rsidRDefault="003A2021" w:rsidP="003A2021">
            <w:pPr>
              <w:pStyle w:val="TableTextEntries"/>
            </w:pPr>
            <w:r>
              <w:t>8.52</w:t>
            </w:r>
          </w:p>
        </w:tc>
      </w:tr>
      <w:tr w:rsidR="003A2021" w14:paraId="4970D1A8" w14:textId="77777777" w:rsidTr="003A2021">
        <w:trPr>
          <w:tblHeader/>
          <w:tblCellSpacing w:w="15" w:type="dxa"/>
        </w:trPr>
        <w:tc>
          <w:tcPr>
            <w:tcW w:w="6044" w:type="dxa"/>
            <w:tcBorders>
              <w:top w:val="nil"/>
              <w:left w:val="nil"/>
              <w:bottom w:val="nil"/>
              <w:right w:val="nil"/>
            </w:tcBorders>
            <w:tcMar>
              <w:top w:w="0" w:type="dxa"/>
              <w:left w:w="108" w:type="dxa"/>
              <w:bottom w:w="0" w:type="dxa"/>
              <w:right w:w="108" w:type="dxa"/>
            </w:tcMar>
            <w:hideMark/>
          </w:tcPr>
          <w:p w14:paraId="1C58D5F3" w14:textId="77777777" w:rsidR="003A2021" w:rsidRDefault="003A2021" w:rsidP="003A2021">
            <w:pPr>
              <w:pStyle w:val="TableTextEntries"/>
            </w:pPr>
            <w:r>
              <w:t>Objective 3: Addressing the needs of conflict and disaster-affected people</w:t>
            </w:r>
          </w:p>
        </w:tc>
        <w:tc>
          <w:tcPr>
            <w:tcW w:w="964" w:type="dxa"/>
            <w:tcBorders>
              <w:top w:val="nil"/>
              <w:left w:val="nil"/>
              <w:bottom w:val="nil"/>
              <w:right w:val="nil"/>
            </w:tcBorders>
            <w:tcMar>
              <w:top w:w="0" w:type="dxa"/>
              <w:left w:w="108" w:type="dxa"/>
              <w:bottom w:w="0" w:type="dxa"/>
              <w:right w:w="108" w:type="dxa"/>
            </w:tcMar>
            <w:hideMark/>
          </w:tcPr>
          <w:p w14:paraId="17149742" w14:textId="77777777" w:rsidR="003A2021" w:rsidRDefault="003A2021" w:rsidP="003A2021">
            <w:pPr>
              <w:pStyle w:val="TableTextEntries"/>
            </w:pPr>
            <w:r>
              <w:t>17.764</w:t>
            </w:r>
          </w:p>
        </w:tc>
        <w:tc>
          <w:tcPr>
            <w:tcW w:w="1426" w:type="dxa"/>
            <w:tcBorders>
              <w:top w:val="nil"/>
              <w:left w:val="nil"/>
              <w:bottom w:val="nil"/>
              <w:right w:val="nil"/>
            </w:tcBorders>
            <w:tcMar>
              <w:top w:w="0" w:type="dxa"/>
              <w:left w:w="108" w:type="dxa"/>
              <w:bottom w:w="0" w:type="dxa"/>
              <w:right w:w="108" w:type="dxa"/>
            </w:tcMar>
            <w:hideMark/>
          </w:tcPr>
          <w:p w14:paraId="0BFB7980" w14:textId="77777777" w:rsidR="003A2021" w:rsidRDefault="003A2021" w:rsidP="003A2021">
            <w:pPr>
              <w:pStyle w:val="TableTextEntries"/>
            </w:pPr>
            <w:r>
              <w:t>28.02</w:t>
            </w:r>
          </w:p>
        </w:tc>
      </w:tr>
      <w:tr w:rsidR="003A2021" w14:paraId="7196ABAC" w14:textId="77777777" w:rsidTr="003A2021">
        <w:trPr>
          <w:tblHeader/>
          <w:tblCellSpacing w:w="15" w:type="dxa"/>
        </w:trPr>
        <w:tc>
          <w:tcPr>
            <w:tcW w:w="6044" w:type="dxa"/>
            <w:tcBorders>
              <w:top w:val="nil"/>
              <w:left w:val="nil"/>
              <w:bottom w:val="nil"/>
              <w:right w:val="nil"/>
            </w:tcBorders>
            <w:tcMar>
              <w:top w:w="0" w:type="dxa"/>
              <w:left w:w="108" w:type="dxa"/>
              <w:bottom w:w="0" w:type="dxa"/>
              <w:right w:w="108" w:type="dxa"/>
            </w:tcMar>
            <w:hideMark/>
          </w:tcPr>
          <w:p w14:paraId="0827EFAE" w14:textId="77777777" w:rsidR="003A2021" w:rsidRDefault="003A2021" w:rsidP="003A2021">
            <w:pPr>
              <w:pStyle w:val="TableTextEntries"/>
            </w:pPr>
            <w:r>
              <w:t>Objective 4: Supporting reform and improved governance</w:t>
            </w:r>
          </w:p>
        </w:tc>
        <w:tc>
          <w:tcPr>
            <w:tcW w:w="964" w:type="dxa"/>
            <w:tcBorders>
              <w:top w:val="nil"/>
              <w:left w:val="nil"/>
              <w:bottom w:val="nil"/>
              <w:right w:val="nil"/>
            </w:tcBorders>
            <w:tcMar>
              <w:top w:w="0" w:type="dxa"/>
              <w:left w:w="108" w:type="dxa"/>
              <w:bottom w:w="0" w:type="dxa"/>
              <w:right w:w="108" w:type="dxa"/>
            </w:tcMar>
            <w:hideMark/>
          </w:tcPr>
          <w:p w14:paraId="7F228AEC" w14:textId="77777777" w:rsidR="003A2021" w:rsidRDefault="003A2021" w:rsidP="003A2021">
            <w:pPr>
              <w:pStyle w:val="TableTextEntries"/>
            </w:pPr>
            <w:r>
              <w:t>9.198</w:t>
            </w:r>
          </w:p>
        </w:tc>
        <w:tc>
          <w:tcPr>
            <w:tcW w:w="1426" w:type="dxa"/>
            <w:tcBorders>
              <w:top w:val="nil"/>
              <w:left w:val="nil"/>
              <w:bottom w:val="nil"/>
              <w:right w:val="nil"/>
            </w:tcBorders>
            <w:tcMar>
              <w:top w:w="0" w:type="dxa"/>
              <w:left w:w="108" w:type="dxa"/>
              <w:bottom w:w="0" w:type="dxa"/>
              <w:right w:w="108" w:type="dxa"/>
            </w:tcMar>
            <w:hideMark/>
          </w:tcPr>
          <w:p w14:paraId="6B388016" w14:textId="77777777" w:rsidR="003A2021" w:rsidRDefault="003A2021" w:rsidP="003A2021">
            <w:pPr>
              <w:pStyle w:val="TableTextEntries"/>
            </w:pPr>
            <w:r>
              <w:t>14.51</w:t>
            </w:r>
          </w:p>
        </w:tc>
      </w:tr>
      <w:tr w:rsidR="003A2021" w14:paraId="0CBEBD79" w14:textId="77777777" w:rsidTr="003A2021">
        <w:trPr>
          <w:tblHeader/>
          <w:tblCellSpacing w:w="15" w:type="dxa"/>
        </w:trPr>
        <w:tc>
          <w:tcPr>
            <w:tcW w:w="6044" w:type="dxa"/>
            <w:tcBorders>
              <w:top w:val="nil"/>
              <w:left w:val="nil"/>
              <w:bottom w:val="nil"/>
              <w:right w:val="nil"/>
            </w:tcBorders>
            <w:tcMar>
              <w:top w:w="0" w:type="dxa"/>
              <w:left w:w="108" w:type="dxa"/>
              <w:bottom w:w="0" w:type="dxa"/>
              <w:right w:w="108" w:type="dxa"/>
            </w:tcMar>
            <w:hideMark/>
          </w:tcPr>
          <w:p w14:paraId="3C44E40A" w14:textId="77777777" w:rsidR="003A2021" w:rsidRDefault="003A2021" w:rsidP="003A2021">
            <w:pPr>
              <w:pStyle w:val="TableTextEntries"/>
            </w:pPr>
            <w:r>
              <w:t>Other</w:t>
            </w:r>
          </w:p>
        </w:tc>
        <w:tc>
          <w:tcPr>
            <w:tcW w:w="964" w:type="dxa"/>
            <w:tcBorders>
              <w:top w:val="nil"/>
              <w:left w:val="nil"/>
              <w:bottom w:val="nil"/>
              <w:right w:val="nil"/>
            </w:tcBorders>
            <w:tcMar>
              <w:top w:w="0" w:type="dxa"/>
              <w:left w:w="108" w:type="dxa"/>
              <w:bottom w:w="0" w:type="dxa"/>
              <w:right w:w="108" w:type="dxa"/>
            </w:tcMar>
            <w:hideMark/>
          </w:tcPr>
          <w:p w14:paraId="39ED2588" w14:textId="77777777" w:rsidR="003A2021" w:rsidRDefault="003A2021" w:rsidP="003A2021">
            <w:pPr>
              <w:pStyle w:val="TableTextEntries"/>
            </w:pPr>
            <w:r>
              <w:t>2.197</w:t>
            </w:r>
          </w:p>
        </w:tc>
        <w:tc>
          <w:tcPr>
            <w:tcW w:w="1426" w:type="dxa"/>
            <w:tcBorders>
              <w:top w:val="nil"/>
              <w:left w:val="nil"/>
              <w:bottom w:val="nil"/>
              <w:right w:val="nil"/>
            </w:tcBorders>
            <w:tcMar>
              <w:top w:w="0" w:type="dxa"/>
              <w:left w:w="108" w:type="dxa"/>
              <w:bottom w:w="0" w:type="dxa"/>
              <w:right w:w="108" w:type="dxa"/>
            </w:tcMar>
            <w:hideMark/>
          </w:tcPr>
          <w:p w14:paraId="59C59A56" w14:textId="77777777" w:rsidR="003A2021" w:rsidRDefault="003A2021" w:rsidP="003A2021">
            <w:pPr>
              <w:pStyle w:val="TableTextEntries"/>
            </w:pPr>
            <w:r>
              <w:t>3.43</w:t>
            </w:r>
          </w:p>
        </w:tc>
      </w:tr>
      <w:tr w:rsidR="003A2021" w14:paraId="1E3438B1" w14:textId="77777777" w:rsidTr="003A2021">
        <w:trPr>
          <w:tblHeader/>
          <w:tblCellSpacing w:w="15" w:type="dxa"/>
        </w:trPr>
        <w:tc>
          <w:tcPr>
            <w:tcW w:w="6044" w:type="dxa"/>
            <w:tcBorders>
              <w:top w:val="nil"/>
              <w:left w:val="nil"/>
              <w:bottom w:val="nil"/>
              <w:right w:val="nil"/>
            </w:tcBorders>
            <w:tcMar>
              <w:top w:w="0" w:type="dxa"/>
              <w:left w:w="108" w:type="dxa"/>
              <w:bottom w:w="0" w:type="dxa"/>
              <w:right w:w="108" w:type="dxa"/>
            </w:tcMar>
            <w:hideMark/>
          </w:tcPr>
          <w:p w14:paraId="0C777179" w14:textId="77777777" w:rsidR="003A2021" w:rsidRPr="005E0F24" w:rsidRDefault="003A2021" w:rsidP="005E0F24">
            <w:pPr>
              <w:pStyle w:val="TableHeading1"/>
              <w:rPr>
                <w:b/>
              </w:rPr>
            </w:pPr>
            <w:r w:rsidRPr="005E0F24">
              <w:rPr>
                <w:b/>
              </w:rPr>
              <w:t>Total</w:t>
            </w:r>
          </w:p>
        </w:tc>
        <w:tc>
          <w:tcPr>
            <w:tcW w:w="964" w:type="dxa"/>
            <w:tcBorders>
              <w:top w:val="nil"/>
              <w:left w:val="nil"/>
              <w:bottom w:val="nil"/>
              <w:right w:val="nil"/>
            </w:tcBorders>
            <w:tcMar>
              <w:top w:w="0" w:type="dxa"/>
              <w:left w:w="108" w:type="dxa"/>
              <w:bottom w:w="0" w:type="dxa"/>
              <w:right w:w="108" w:type="dxa"/>
            </w:tcMar>
            <w:hideMark/>
          </w:tcPr>
          <w:p w14:paraId="5D48F05E" w14:textId="77777777" w:rsidR="003A2021" w:rsidRPr="005E0F24" w:rsidRDefault="003A2021" w:rsidP="005E0F24">
            <w:pPr>
              <w:pStyle w:val="TableHeading1"/>
              <w:rPr>
                <w:b/>
              </w:rPr>
            </w:pPr>
            <w:r w:rsidRPr="005E0F24">
              <w:rPr>
                <w:b/>
              </w:rPr>
              <w:t>63.42</w:t>
            </w:r>
          </w:p>
        </w:tc>
        <w:tc>
          <w:tcPr>
            <w:tcW w:w="1426" w:type="dxa"/>
            <w:tcBorders>
              <w:top w:val="nil"/>
              <w:left w:val="nil"/>
              <w:bottom w:val="nil"/>
              <w:right w:val="nil"/>
            </w:tcBorders>
            <w:tcMar>
              <w:top w:w="0" w:type="dxa"/>
              <w:left w:w="108" w:type="dxa"/>
              <w:bottom w:w="0" w:type="dxa"/>
              <w:right w:w="108" w:type="dxa"/>
            </w:tcMar>
            <w:hideMark/>
          </w:tcPr>
          <w:p w14:paraId="523A35F1" w14:textId="77777777" w:rsidR="003A2021" w:rsidRPr="005E0F24" w:rsidRDefault="003A2021" w:rsidP="005E0F24">
            <w:pPr>
              <w:pStyle w:val="TableHeading1"/>
              <w:rPr>
                <w:b/>
              </w:rPr>
            </w:pPr>
            <w:r w:rsidRPr="005E0F24">
              <w:rPr>
                <w:b/>
              </w:rPr>
              <w:t>100</w:t>
            </w:r>
          </w:p>
        </w:tc>
      </w:tr>
    </w:tbl>
    <w:p w14:paraId="546FA57B" w14:textId="2FE55D03" w:rsidR="004C3EF3" w:rsidRDefault="004C3EF3" w:rsidP="00A46BEB">
      <w:pPr>
        <w:pStyle w:val="Caption"/>
      </w:pPr>
      <w:r>
        <w:t>Table 1B</w:t>
      </w:r>
      <w:r w:rsidR="00B944E3">
        <w:t>:</w:t>
      </w:r>
      <w:r>
        <w:t xml:space="preserve"> Estimated expenditure in 2012</w:t>
      </w:r>
      <w:r w:rsidR="00B944E3">
        <w:t>–</w:t>
      </w:r>
      <w:r>
        <w:t>13</w:t>
      </w:r>
    </w:p>
    <w:p w14:paraId="5A2C4EF3" w14:textId="38DBC1DD" w:rsidR="003A2021" w:rsidRPr="003A2021" w:rsidRDefault="003A2021" w:rsidP="00A46BEB">
      <w:pPr>
        <w:pStyle w:val="Note"/>
        <w:rPr>
          <w:rFonts w:eastAsiaTheme="minorHAnsi"/>
        </w:rPr>
      </w:pPr>
      <w:r w:rsidRPr="003A2021">
        <w:t>Source: AidWorks at 7 June 2013. Figures are based on predicted actual spend for 2012</w:t>
      </w:r>
      <w:r w:rsidR="00B944E3">
        <w:t>–</w:t>
      </w:r>
      <w:r w:rsidRPr="003A2021">
        <w:t>13 and do not include global and regional flows which will be finalised in the new financial year.</w:t>
      </w:r>
    </w:p>
    <w:p w14:paraId="70DDB65D" w14:textId="77777777" w:rsidR="00180B19" w:rsidRPr="00A46BEB" w:rsidRDefault="00180B19" w:rsidP="00A46BEB">
      <w:pPr>
        <w:pStyle w:val="Heading1"/>
      </w:pPr>
      <w:r w:rsidRPr="00A46BEB">
        <w:t>Progress towards objectives</w:t>
      </w:r>
    </w:p>
    <w:p w14:paraId="04A9F1D2" w14:textId="57CDAF50" w:rsidR="00180B19" w:rsidRDefault="001353F7" w:rsidP="00A46BEB">
      <w:pPr>
        <w:pStyle w:val="BodyText"/>
      </w:pPr>
      <w:r>
        <w:t xml:space="preserve">The </w:t>
      </w:r>
      <w:r w:rsidR="00414015" w:rsidRPr="00414015">
        <w:t xml:space="preserve">interim </w:t>
      </w:r>
      <w:r w:rsidR="00414015" w:rsidRPr="003D6AEF">
        <w:t>Australia–</w:t>
      </w:r>
      <w:r w:rsidR="00414015" w:rsidRPr="00A226A5">
        <w:t>Myanmar</w:t>
      </w:r>
      <w:r w:rsidR="00414015" w:rsidRPr="003D6AEF">
        <w:t xml:space="preserve"> Aid Program Strategy 2012–</w:t>
      </w:r>
      <w:r w:rsidR="005F1552" w:rsidRPr="003D6AEF">
        <w:t>2014</w:t>
      </w:r>
      <w:r w:rsidR="00414015">
        <w:t xml:space="preserve"> includes a </w:t>
      </w:r>
      <w:r w:rsidR="000A7230">
        <w:t xml:space="preserve">performance assessment framework </w:t>
      </w:r>
      <w:r w:rsidR="003C4DB1">
        <w:t>that</w:t>
      </w:r>
      <w:r w:rsidR="00414015">
        <w:t xml:space="preserve"> provides </w:t>
      </w:r>
      <w:r w:rsidR="005F1552">
        <w:t xml:space="preserve">the </w:t>
      </w:r>
      <w:r w:rsidR="003C4DB1">
        <w:t>indicators</w:t>
      </w:r>
      <w:r w:rsidR="00414015">
        <w:t xml:space="preserve"> against which the </w:t>
      </w:r>
      <w:r w:rsidR="003710CF">
        <w:t>Burma</w:t>
      </w:r>
      <w:r>
        <w:t xml:space="preserve"> program </w:t>
      </w:r>
      <w:r w:rsidR="00414015">
        <w:t xml:space="preserve">reports. This </w:t>
      </w:r>
      <w:r w:rsidR="00B944E3">
        <w:t>f</w:t>
      </w:r>
      <w:r w:rsidR="00414015" w:rsidRPr="00414015">
        <w:t>ramework</w:t>
      </w:r>
      <w:r w:rsidR="00414015">
        <w:t xml:space="preserve"> was developed while Australia’s major health initiative </w:t>
      </w:r>
      <w:r w:rsidR="005F1552">
        <w:t xml:space="preserve">in </w:t>
      </w:r>
      <w:r w:rsidR="003710CF">
        <w:t>Burma</w:t>
      </w:r>
      <w:r w:rsidR="005F1552">
        <w:t xml:space="preserve"> </w:t>
      </w:r>
      <w:r w:rsidR="00414015">
        <w:t xml:space="preserve">was </w:t>
      </w:r>
      <w:r w:rsidR="00B944E3">
        <w:t xml:space="preserve">being </w:t>
      </w:r>
      <w:r w:rsidR="00414015">
        <w:t>design</w:t>
      </w:r>
      <w:r w:rsidR="00B944E3">
        <w:t>ed,</w:t>
      </w:r>
      <w:r w:rsidR="00414015">
        <w:t xml:space="preserve"> and consequently no health indicators had been established at the time of publication. A revised </w:t>
      </w:r>
      <w:r w:rsidR="00B944E3" w:rsidRPr="00414015">
        <w:t>performance assessment framework</w:t>
      </w:r>
      <w:r w:rsidR="00B944E3">
        <w:t xml:space="preserve"> </w:t>
      </w:r>
      <w:r w:rsidR="00414015">
        <w:t xml:space="preserve">will be developed </w:t>
      </w:r>
      <w:proofErr w:type="gramStart"/>
      <w:r w:rsidR="00EC77F7">
        <w:t xml:space="preserve">by </w:t>
      </w:r>
      <w:r w:rsidR="006A5339">
        <w:t xml:space="preserve"> February</w:t>
      </w:r>
      <w:proofErr w:type="gramEnd"/>
      <w:r w:rsidR="006A5339">
        <w:t xml:space="preserve"> </w:t>
      </w:r>
      <w:r w:rsidR="00496976">
        <w:t>201</w:t>
      </w:r>
      <w:r w:rsidR="006A5339">
        <w:t>4</w:t>
      </w:r>
      <w:r w:rsidR="00414015">
        <w:t xml:space="preserve">. For the purpose of </w:t>
      </w:r>
      <w:r w:rsidR="003C4DB1">
        <w:t>this report</w:t>
      </w:r>
      <w:r w:rsidR="00414015">
        <w:t xml:space="preserve">, </w:t>
      </w:r>
      <w:r w:rsidR="00B944E3">
        <w:t xml:space="preserve">objective </w:t>
      </w:r>
      <w:r w:rsidR="00414015">
        <w:t xml:space="preserve">1 of </w:t>
      </w:r>
      <w:r w:rsidR="003C4DB1">
        <w:t xml:space="preserve">the </w:t>
      </w:r>
      <w:r w:rsidR="00B944E3">
        <w:t>p</w:t>
      </w:r>
      <w:r w:rsidR="005F1552" w:rsidRPr="003D6AEF">
        <w:t xml:space="preserve">rogram </w:t>
      </w:r>
      <w:r w:rsidR="00B944E3">
        <w:t>s</w:t>
      </w:r>
      <w:r w:rsidR="00B944E3" w:rsidRPr="003D6AEF">
        <w:t>trategy</w:t>
      </w:r>
      <w:r w:rsidR="000F788B">
        <w:t>––</w:t>
      </w:r>
      <w:r w:rsidR="00B944E3">
        <w:t>i</w:t>
      </w:r>
      <w:r w:rsidR="003C4DB1" w:rsidRPr="003C4DB1">
        <w:t>mproving the delivery of basic education and health services to the poor</w:t>
      </w:r>
      <w:r w:rsidR="000F788B">
        <w:t>––</w:t>
      </w:r>
      <w:r w:rsidR="003C4DB1">
        <w:t>will be disaggregated into separate education and health objectives to better highlight the progress of the</w:t>
      </w:r>
      <w:r w:rsidR="00B944E3">
        <w:t>se</w:t>
      </w:r>
      <w:r w:rsidR="003C4DB1">
        <w:t xml:space="preserve"> two major initiatives.</w:t>
      </w:r>
    </w:p>
    <w:p w14:paraId="7507AA7F" w14:textId="08CB7CA3" w:rsidR="002D0243" w:rsidRPr="002D0243" w:rsidRDefault="002D0243" w:rsidP="00A46BEB">
      <w:pPr>
        <w:pStyle w:val="BodyText"/>
      </w:pPr>
      <w:r w:rsidRPr="002D0243">
        <w:t>With the easing of sanctions</w:t>
      </w:r>
      <w:r w:rsidR="00B944E3">
        <w:t>,</w:t>
      </w:r>
      <w:r w:rsidRPr="002D0243">
        <w:t xml:space="preserve"> the </w:t>
      </w:r>
      <w:r w:rsidR="00802CB3" w:rsidRPr="00A226A5">
        <w:t>Myanmar</w:t>
      </w:r>
      <w:r w:rsidR="00802CB3" w:rsidRPr="00190B63">
        <w:t xml:space="preserve"> Government </w:t>
      </w:r>
      <w:r w:rsidRPr="002D0243">
        <w:t xml:space="preserve">is now in a position to increase its engagement with development partners and take greater leadership of the country’s development agenda. In January 2013 Australia was the first western donor to enter into a bilateral </w:t>
      </w:r>
      <w:r w:rsidR="00B944E3">
        <w:t>m</w:t>
      </w:r>
      <w:r w:rsidR="00B944E3" w:rsidRPr="002D0243">
        <w:t xml:space="preserve">emorandum </w:t>
      </w:r>
      <w:r w:rsidRPr="002D0243">
        <w:t xml:space="preserve">of </w:t>
      </w:r>
      <w:r w:rsidR="00B944E3">
        <w:t>u</w:t>
      </w:r>
      <w:r w:rsidR="00B944E3" w:rsidRPr="002D0243">
        <w:t>nderstanding</w:t>
      </w:r>
      <w:r w:rsidR="00B944E3">
        <w:t xml:space="preserve"> </w:t>
      </w:r>
      <w:r w:rsidRPr="002D0243">
        <w:t>with</w:t>
      </w:r>
      <w:r w:rsidR="00B944E3">
        <w:t xml:space="preserve"> </w:t>
      </w:r>
      <w:r w:rsidR="003710CF">
        <w:t>Burma</w:t>
      </w:r>
      <w:r w:rsidR="00B944E3" w:rsidRPr="002D0243">
        <w:t xml:space="preserve"> </w:t>
      </w:r>
      <w:r w:rsidRPr="002D0243">
        <w:t>and the U</w:t>
      </w:r>
      <w:r w:rsidR="00B944E3">
        <w:t xml:space="preserve">nited </w:t>
      </w:r>
      <w:r w:rsidRPr="002D0243">
        <w:t>K</w:t>
      </w:r>
      <w:r w:rsidR="00B944E3">
        <w:t>ingdom</w:t>
      </w:r>
      <w:r w:rsidRPr="002D0243">
        <w:t xml:space="preserve"> to open a liaison office in the capital Nay </w:t>
      </w:r>
      <w:proofErr w:type="spellStart"/>
      <w:r w:rsidRPr="002D0243">
        <w:t>Pyi</w:t>
      </w:r>
      <w:proofErr w:type="spellEnd"/>
      <w:r w:rsidRPr="002D0243">
        <w:t xml:space="preserve"> Taw. The </w:t>
      </w:r>
      <w:r w:rsidR="00B944E3">
        <w:t>m</w:t>
      </w:r>
      <w:r w:rsidR="00B944E3" w:rsidRPr="002D0243">
        <w:t xml:space="preserve">emorandum of </w:t>
      </w:r>
      <w:r w:rsidR="00B944E3">
        <w:t>u</w:t>
      </w:r>
      <w:r w:rsidR="00B944E3" w:rsidRPr="002D0243">
        <w:t>nderstanding</w:t>
      </w:r>
      <w:r w:rsidR="00B944E3">
        <w:t xml:space="preserve"> </w:t>
      </w:r>
      <w:r w:rsidRPr="002D0243">
        <w:t xml:space="preserve">makes provisions for high-level consultations between officials on Australia’s aid program, the first of which </w:t>
      </w:r>
      <w:r w:rsidR="00EC77F7">
        <w:t xml:space="preserve">has been proposed for </w:t>
      </w:r>
      <w:r w:rsidRPr="002D0243">
        <w:t>July</w:t>
      </w:r>
      <w:r w:rsidR="004A4090">
        <w:t> </w:t>
      </w:r>
      <w:r w:rsidRPr="002D0243">
        <w:t>2013.</w:t>
      </w:r>
    </w:p>
    <w:p w14:paraId="17FA82C9" w14:textId="21D6A6EA" w:rsidR="002D0243" w:rsidRPr="002D0243" w:rsidRDefault="002D0243" w:rsidP="00A46BEB">
      <w:pPr>
        <w:pStyle w:val="BodyText"/>
      </w:pPr>
      <w:r w:rsidRPr="002D0243">
        <w:lastRenderedPageBreak/>
        <w:t xml:space="preserve">Years of isolation however, have left the </w:t>
      </w:r>
      <w:r w:rsidR="00B944E3">
        <w:t>g</w:t>
      </w:r>
      <w:r w:rsidR="00B944E3" w:rsidRPr="002D0243">
        <w:t xml:space="preserve">overnment </w:t>
      </w:r>
      <w:r w:rsidRPr="002D0243">
        <w:t xml:space="preserve">with limited capacity to lead donor coordination efforts. Given the country’s urgent development needs, a challenge facing </w:t>
      </w:r>
      <w:r w:rsidR="003710CF">
        <w:t>Burma</w:t>
      </w:r>
      <w:r w:rsidRPr="002D0243">
        <w:t xml:space="preserve">’s policymakers is determining not only what needs to be done, but establishing priorities and appropriate modalities. Australia has been a strong supporter of </w:t>
      </w:r>
      <w:r w:rsidR="003710CF">
        <w:t>Burma</w:t>
      </w:r>
      <w:r w:rsidRPr="002D0243">
        <w:t xml:space="preserve">’s leadership and has provided advisory support to help it take up this role. The </w:t>
      </w:r>
      <w:r w:rsidR="00B944E3" w:rsidRPr="002D0243">
        <w:t xml:space="preserve">release of </w:t>
      </w:r>
      <w:r w:rsidR="00B944E3">
        <w:t>the g</w:t>
      </w:r>
      <w:r w:rsidR="00B944E3" w:rsidRPr="002D0243">
        <w:t xml:space="preserve">overnment's </w:t>
      </w:r>
      <w:r w:rsidR="004B29E4" w:rsidRPr="001B31D0">
        <w:t>framework for economic and social reform</w:t>
      </w:r>
      <w:r w:rsidR="004B29E4" w:rsidRPr="002D0243">
        <w:t xml:space="preserve"> </w:t>
      </w:r>
      <w:r w:rsidRPr="002D0243">
        <w:t>in early 2013</w:t>
      </w:r>
      <w:r w:rsidR="00B944E3">
        <w:t>,</w:t>
      </w:r>
      <w:r w:rsidRPr="002D0243">
        <w:t xml:space="preserve"> and finalisation of the </w:t>
      </w:r>
      <w:r w:rsidRPr="003D6AEF">
        <w:t xml:space="preserve">Nay </w:t>
      </w:r>
      <w:proofErr w:type="spellStart"/>
      <w:r w:rsidRPr="003D6AEF">
        <w:t>Pyi</w:t>
      </w:r>
      <w:proofErr w:type="spellEnd"/>
      <w:r w:rsidRPr="003D6AEF">
        <w:t xml:space="preserve"> Taw Accord on Effective Development Cooperation</w:t>
      </w:r>
      <w:r w:rsidR="00B944E3">
        <w:t>,</w:t>
      </w:r>
      <w:r w:rsidRPr="002D0243">
        <w:t xml:space="preserve"> will support better integration of international development programs with the </w:t>
      </w:r>
      <w:r w:rsidR="00B944E3">
        <w:t>g</w:t>
      </w:r>
      <w:r w:rsidR="00B944E3" w:rsidRPr="002D0243">
        <w:t xml:space="preserve">overnment’s </w:t>
      </w:r>
      <w:r w:rsidRPr="002D0243">
        <w:t xml:space="preserve">reform priorities. </w:t>
      </w:r>
    </w:p>
    <w:p w14:paraId="1C6F68AD" w14:textId="383CA492" w:rsidR="002D0243" w:rsidRDefault="002D0243" w:rsidP="00A46BEB">
      <w:pPr>
        <w:pStyle w:val="BodyText"/>
      </w:pPr>
      <w:r w:rsidRPr="002D0243">
        <w:t>Reform</w:t>
      </w:r>
      <w:r>
        <w:t xml:space="preserve"> in </w:t>
      </w:r>
      <w:r w:rsidR="003710CF">
        <w:t>Burma</w:t>
      </w:r>
      <w:r w:rsidRPr="002D0243">
        <w:t xml:space="preserve"> has seen an increase in the number of development partners operating in </w:t>
      </w:r>
      <w:r w:rsidR="004A4090">
        <w:t>the country</w:t>
      </w:r>
      <w:r w:rsidRPr="002D0243">
        <w:t xml:space="preserve"> and the scope of activities these partners can potentially </w:t>
      </w:r>
      <w:r w:rsidR="004A4090">
        <w:t>engage in</w:t>
      </w:r>
      <w:r w:rsidRPr="002D0243">
        <w:t xml:space="preserve">. As well as addressing the development objectives outlined in the </w:t>
      </w:r>
      <w:r w:rsidR="00B944E3" w:rsidRPr="002D0243">
        <w:t>aid program strategy</w:t>
      </w:r>
      <w:r w:rsidRPr="002D0243">
        <w:t xml:space="preserve">, Australia and likeminded partners have been consistent advocates for good international development practice, particularly donor coordination, and for unrestricted operations in </w:t>
      </w:r>
      <w:r w:rsidR="003710CF">
        <w:t>Burma</w:t>
      </w:r>
      <w:r w:rsidRPr="002D0243">
        <w:t xml:space="preserve"> by U</w:t>
      </w:r>
      <w:r w:rsidR="00B944E3">
        <w:t xml:space="preserve">nited </w:t>
      </w:r>
      <w:r w:rsidRPr="002D0243">
        <w:t>N</w:t>
      </w:r>
      <w:r w:rsidR="00B944E3">
        <w:t>ations</w:t>
      </w:r>
      <w:r w:rsidRPr="002D0243">
        <w:t xml:space="preserve"> agencies and international financial institutions. The World Bank and the Asian Development Bank have cleared </w:t>
      </w:r>
      <w:r w:rsidR="003710CF">
        <w:t>Burma</w:t>
      </w:r>
      <w:r w:rsidRPr="002D0243">
        <w:t xml:space="preserve">’s arrears so it can again borrow for development projects. Reform has opened up opportunities for development cooperation in areas previously beyond the reach of international partners, such as democratic and economic governance. </w:t>
      </w:r>
      <w:r w:rsidR="00496976">
        <w:t>E</w:t>
      </w:r>
      <w:r w:rsidR="00496976" w:rsidRPr="002D0243">
        <w:t xml:space="preserve">stablished </w:t>
      </w:r>
      <w:r w:rsidR="00496976">
        <w:t xml:space="preserve">service delivery </w:t>
      </w:r>
      <w:r w:rsidR="00496976" w:rsidRPr="002D0243">
        <w:t>programs</w:t>
      </w:r>
      <w:r w:rsidR="00496976">
        <w:t xml:space="preserve"> have </w:t>
      </w:r>
      <w:r w:rsidR="00496976" w:rsidRPr="002D0243">
        <w:t>until recently been operating in parallel to government systems</w:t>
      </w:r>
      <w:r w:rsidR="00496976">
        <w:t xml:space="preserve">. </w:t>
      </w:r>
      <w:r w:rsidR="003710CF">
        <w:t>Burma</w:t>
      </w:r>
      <w:r w:rsidR="00496976">
        <w:t>’s reforms</w:t>
      </w:r>
      <w:r w:rsidR="00496976" w:rsidRPr="002D0243">
        <w:t xml:space="preserve"> ha</w:t>
      </w:r>
      <w:r w:rsidR="00496976">
        <w:t>ve</w:t>
      </w:r>
      <w:r w:rsidR="00496976" w:rsidRPr="002D0243">
        <w:t xml:space="preserve"> </w:t>
      </w:r>
      <w:r w:rsidRPr="002D0243">
        <w:t xml:space="preserve">changed the operating environment for </w:t>
      </w:r>
      <w:r w:rsidR="00496976">
        <w:t>these programs</w:t>
      </w:r>
      <w:r w:rsidRPr="002D0243">
        <w:t xml:space="preserve">, </w:t>
      </w:r>
      <w:r w:rsidR="00496976">
        <w:t>requiring them to</w:t>
      </w:r>
      <w:r w:rsidRPr="002D0243">
        <w:t xml:space="preserve"> take into consideration</w:t>
      </w:r>
      <w:r w:rsidR="000F788B">
        <w:t>,</w:t>
      </w:r>
      <w:r w:rsidRPr="002D0243">
        <w:t xml:space="preserve"> and </w:t>
      </w:r>
      <w:r w:rsidR="00496976">
        <w:t>help strengthen</w:t>
      </w:r>
      <w:r w:rsidR="000F788B">
        <w:t>,</w:t>
      </w:r>
      <w:r w:rsidR="00496976" w:rsidRPr="002D0243">
        <w:t xml:space="preserve"> </w:t>
      </w:r>
      <w:r w:rsidRPr="002D0243">
        <w:t>government policy and processes.</w:t>
      </w:r>
    </w:p>
    <w:p w14:paraId="790F7B6E" w14:textId="77777777" w:rsidR="0087267B" w:rsidRPr="00A46BEB" w:rsidRDefault="0087267B" w:rsidP="00A46BEB">
      <w:pPr>
        <w:pStyle w:val="Heading2"/>
      </w:pPr>
      <w:r w:rsidRPr="00A46BEB">
        <w:t>Partnerships</w:t>
      </w:r>
    </w:p>
    <w:p w14:paraId="61FF1459" w14:textId="49094448" w:rsidR="0087267B" w:rsidRDefault="000A7D8A" w:rsidP="00A46BEB">
      <w:pPr>
        <w:pStyle w:val="BodyText"/>
      </w:pPr>
      <w:r>
        <w:t>A</w:t>
      </w:r>
      <w:r w:rsidR="0087267B">
        <w:t xml:space="preserve">id to </w:t>
      </w:r>
      <w:r w:rsidR="003710CF">
        <w:t>Burma</w:t>
      </w:r>
      <w:r w:rsidR="0087267B">
        <w:t xml:space="preserve"> during </w:t>
      </w:r>
      <w:r w:rsidR="00333A10">
        <w:t>the country’s</w:t>
      </w:r>
      <w:r w:rsidR="0087267B">
        <w:t xml:space="preserve"> long period of isolation was </w:t>
      </w:r>
      <w:r>
        <w:t xml:space="preserve">typically </w:t>
      </w:r>
      <w:r w:rsidR="0087267B">
        <w:t xml:space="preserve">delivered through the limited number of </w:t>
      </w:r>
      <w:r w:rsidR="0016220E">
        <w:t xml:space="preserve">available </w:t>
      </w:r>
      <w:r w:rsidR="0087267B">
        <w:t>partners</w:t>
      </w:r>
      <w:r>
        <w:t>:</w:t>
      </w:r>
      <w:r w:rsidR="0087267B">
        <w:t xml:space="preserve"> U</w:t>
      </w:r>
      <w:r w:rsidR="00C955DF">
        <w:t xml:space="preserve">nited </w:t>
      </w:r>
      <w:r w:rsidR="0087267B">
        <w:t>N</w:t>
      </w:r>
      <w:r w:rsidR="00C955DF">
        <w:t>ations</w:t>
      </w:r>
      <w:r w:rsidR="0087267B">
        <w:t xml:space="preserve"> agencies and internationa</w:t>
      </w:r>
      <w:r w:rsidR="00333A10">
        <w:t xml:space="preserve">l non-government organisations. The partnerships and joint programs developed over this period have allowed for consistent support to be delivered </w:t>
      </w:r>
      <w:r>
        <w:t>during</w:t>
      </w:r>
      <w:r w:rsidR="00333A10">
        <w:t xml:space="preserve"> </w:t>
      </w:r>
      <w:r w:rsidR="003710CF">
        <w:t>Burma</w:t>
      </w:r>
      <w:r w:rsidR="00333A10">
        <w:t xml:space="preserve">’s </w:t>
      </w:r>
      <w:r>
        <w:t xml:space="preserve">ongoing </w:t>
      </w:r>
      <w:r w:rsidR="00333A10">
        <w:t xml:space="preserve">reform, particularly through multi-donor trust funds. </w:t>
      </w:r>
      <w:r>
        <w:t>This situation is changing h</w:t>
      </w:r>
      <w:r w:rsidR="0016220E">
        <w:t>owever a</w:t>
      </w:r>
      <w:r w:rsidR="00333A10">
        <w:t xml:space="preserve">s new development partners </w:t>
      </w:r>
      <w:r w:rsidR="00916C65">
        <w:t>establish themselves</w:t>
      </w:r>
      <w:r>
        <w:t xml:space="preserve">, </w:t>
      </w:r>
      <w:r w:rsidR="00333A10">
        <w:t xml:space="preserve">existing partners </w:t>
      </w:r>
      <w:r w:rsidR="00C955DF">
        <w:t>increase</w:t>
      </w:r>
      <w:r w:rsidR="00333A10">
        <w:t xml:space="preserve"> </w:t>
      </w:r>
      <w:r>
        <w:t xml:space="preserve">their engagement, and the </w:t>
      </w:r>
      <w:r w:rsidR="00C955DF">
        <w:t xml:space="preserve">government </w:t>
      </w:r>
      <w:r>
        <w:t>seeks direct bilateral support</w:t>
      </w:r>
      <w:r w:rsidR="00333A10">
        <w:t xml:space="preserve">. </w:t>
      </w:r>
      <w:r>
        <w:t>E</w:t>
      </w:r>
      <w:r w:rsidR="00333A10">
        <w:t xml:space="preserve">xisting multi-donor mechanisms </w:t>
      </w:r>
      <w:r>
        <w:t>are</w:t>
      </w:r>
      <w:r w:rsidR="00333A10">
        <w:t xml:space="preserve"> be</w:t>
      </w:r>
      <w:r>
        <w:t>ing</w:t>
      </w:r>
      <w:r w:rsidR="00333A10">
        <w:t xml:space="preserve"> adapted to respond to the changing context, allowing for greater engagement with</w:t>
      </w:r>
      <w:r w:rsidR="00C955DF">
        <w:t>,</w:t>
      </w:r>
      <w:r w:rsidR="00333A10">
        <w:t xml:space="preserve"> and capacity building </w:t>
      </w:r>
      <w:r w:rsidR="00333A10" w:rsidRPr="0085525F">
        <w:t>for</w:t>
      </w:r>
      <w:proofErr w:type="gramStart"/>
      <w:r w:rsidR="00C955DF" w:rsidRPr="0085525F">
        <w:t>,</w:t>
      </w:r>
      <w:r w:rsidR="00333A10" w:rsidRPr="0085525F">
        <w:t xml:space="preserve"> </w:t>
      </w:r>
      <w:r w:rsidR="00745E8A">
        <w:t xml:space="preserve"> Burma’s</w:t>
      </w:r>
      <w:proofErr w:type="gramEnd"/>
      <w:r w:rsidR="00333A10" w:rsidRPr="0085525F">
        <w:t xml:space="preserve"> institutions</w:t>
      </w:r>
      <w:r w:rsidR="00333A10">
        <w:t xml:space="preserve">. </w:t>
      </w:r>
      <w:r w:rsidR="004A0861">
        <w:t>At the same time n</w:t>
      </w:r>
      <w:r w:rsidR="00333A10">
        <w:t xml:space="preserve">ew partners </w:t>
      </w:r>
      <w:r>
        <w:t>are</w:t>
      </w:r>
      <w:r w:rsidR="00333A10">
        <w:t xml:space="preserve"> bring</w:t>
      </w:r>
      <w:r>
        <w:t>ing</w:t>
      </w:r>
      <w:r w:rsidR="00333A10">
        <w:t xml:space="preserve"> their own comparative advantages, priorit</w:t>
      </w:r>
      <w:r w:rsidR="0016220E">
        <w:t xml:space="preserve">ies or preferred aid modalities, </w:t>
      </w:r>
      <w:r w:rsidR="00916C65">
        <w:t xml:space="preserve">increasing the donor coordination burden on the </w:t>
      </w:r>
      <w:r w:rsidR="00C955DF">
        <w:t>government</w:t>
      </w:r>
      <w:r w:rsidR="00333A10">
        <w:t>.</w:t>
      </w:r>
    </w:p>
    <w:p w14:paraId="05A4CEF4" w14:textId="5F3C5167" w:rsidR="00333A10" w:rsidRPr="00497DDE" w:rsidRDefault="004A0861" w:rsidP="00A46BEB">
      <w:pPr>
        <w:pStyle w:val="BodyText"/>
        <w:rPr>
          <w:lang w:val="en-US"/>
        </w:rPr>
      </w:pPr>
      <w:r>
        <w:t xml:space="preserve">Despite the increasing number of </w:t>
      </w:r>
      <w:r w:rsidR="00916C65">
        <w:t xml:space="preserve">development actors, there remains a limited number of implementing partners with the </w:t>
      </w:r>
      <w:r>
        <w:t xml:space="preserve">skills, </w:t>
      </w:r>
      <w:r w:rsidR="00916C65">
        <w:t>experience and relationships required to effectively deliver aid</w:t>
      </w:r>
      <w:r w:rsidR="0016220E">
        <w:t xml:space="preserve">. </w:t>
      </w:r>
      <w:r>
        <w:t xml:space="preserve">In time this pool will </w:t>
      </w:r>
      <w:r w:rsidR="00586523">
        <w:t>expand,</w:t>
      </w:r>
      <w:r>
        <w:t xml:space="preserve"> increasing Australia’s options for program delivery</w:t>
      </w:r>
      <w:r w:rsidR="00586523">
        <w:t xml:space="preserve">. As development activity in </w:t>
      </w:r>
      <w:r w:rsidR="003710CF">
        <w:t>Burma</w:t>
      </w:r>
      <w:r w:rsidR="00586523">
        <w:t xml:space="preserve"> increases, a</w:t>
      </w:r>
      <w:r w:rsidR="00FD3B31">
        <w:t xml:space="preserve">dherence to agreed principles of effective development cooperation and support for </w:t>
      </w:r>
      <w:r w:rsidR="003710CF">
        <w:t>Burma</w:t>
      </w:r>
      <w:r w:rsidR="00FD3B31">
        <w:t xml:space="preserve">’s leadership of the development agenda </w:t>
      </w:r>
      <w:r w:rsidR="00586523">
        <w:t>will become more critical</w:t>
      </w:r>
      <w:r w:rsidR="00FD3B31">
        <w:t xml:space="preserve">. This will include identifying and </w:t>
      </w:r>
      <w:r w:rsidR="00C955DF">
        <w:t xml:space="preserve">using </w:t>
      </w:r>
      <w:r w:rsidR="00FD3B31">
        <w:t xml:space="preserve">the respective strengths </w:t>
      </w:r>
      <w:r w:rsidR="00B2634C">
        <w:t>of new</w:t>
      </w:r>
      <w:r w:rsidR="00FD3B31">
        <w:t xml:space="preserve"> partners, as Australia is doing through our </w:t>
      </w:r>
      <w:r w:rsidR="00B2634C">
        <w:t>partnership</w:t>
      </w:r>
      <w:r w:rsidR="00772D77">
        <w:t>s</w:t>
      </w:r>
      <w:r w:rsidR="00FD3B31">
        <w:t xml:space="preserve"> </w:t>
      </w:r>
      <w:r w:rsidR="00B2634C">
        <w:t>with</w:t>
      </w:r>
      <w:r w:rsidR="00FD3B31">
        <w:t xml:space="preserve"> the World Bank</w:t>
      </w:r>
      <w:r w:rsidR="00B2634C">
        <w:t xml:space="preserve"> in economic governance and the </w:t>
      </w:r>
      <w:r w:rsidR="00C955DF" w:rsidRPr="00C955DF">
        <w:rPr>
          <w:lang w:val="en-US"/>
        </w:rPr>
        <w:t xml:space="preserve">United Nations Development </w:t>
      </w:r>
      <w:proofErr w:type="spellStart"/>
      <w:r w:rsidR="00C955DF" w:rsidRPr="00C955DF">
        <w:rPr>
          <w:lang w:val="en-US"/>
        </w:rPr>
        <w:t>Programme</w:t>
      </w:r>
      <w:proofErr w:type="spellEnd"/>
      <w:r w:rsidR="00C955DF">
        <w:rPr>
          <w:lang w:val="en-US"/>
        </w:rPr>
        <w:t xml:space="preserve"> </w:t>
      </w:r>
      <w:r w:rsidR="00772D77">
        <w:t>to strengthen</w:t>
      </w:r>
      <w:r w:rsidR="00B2634C">
        <w:t xml:space="preserve"> law and justice.</w:t>
      </w:r>
    </w:p>
    <w:p w14:paraId="1EA41C84" w14:textId="77777777" w:rsidR="00A565AF" w:rsidRPr="00A46BEB" w:rsidRDefault="00A565AF" w:rsidP="00A46BEB">
      <w:pPr>
        <w:pStyle w:val="Heading2"/>
      </w:pPr>
      <w:r w:rsidRPr="00A46BEB">
        <w:t>Australia Awards</w:t>
      </w:r>
    </w:p>
    <w:p w14:paraId="18E6BE6F" w14:textId="2E9D3347" w:rsidR="00A565AF" w:rsidRPr="00A565AF" w:rsidRDefault="00A565AF" w:rsidP="00A46BEB">
      <w:pPr>
        <w:pStyle w:val="BodyText"/>
      </w:pPr>
      <w:r w:rsidRPr="00A565AF">
        <w:t xml:space="preserve">In recognition of the </w:t>
      </w:r>
      <w:r>
        <w:t xml:space="preserve">shortfalls in human </w:t>
      </w:r>
      <w:r w:rsidRPr="00A565AF">
        <w:t>capacity created by decades of isolation</w:t>
      </w:r>
      <w:r>
        <w:t>,</w:t>
      </w:r>
      <w:r w:rsidRPr="00A565AF">
        <w:t xml:space="preserve"> </w:t>
      </w:r>
      <w:r w:rsidR="000A7230">
        <w:t>10</w:t>
      </w:r>
      <w:r w:rsidR="000A7230" w:rsidRPr="00A565AF">
        <w:t xml:space="preserve"> </w:t>
      </w:r>
      <w:r w:rsidR="00802CB3" w:rsidRPr="00A565AF">
        <w:t>long</w:t>
      </w:r>
      <w:r w:rsidR="00802CB3">
        <w:t>-</w:t>
      </w:r>
      <w:r w:rsidRPr="00A565AF">
        <w:t xml:space="preserve">term awards were offered in </w:t>
      </w:r>
      <w:r w:rsidR="003710CF">
        <w:t>Burma</w:t>
      </w:r>
      <w:r w:rsidRPr="00A565AF">
        <w:t xml:space="preserve"> when the Australia Awards program re-started in 2010. </w:t>
      </w:r>
      <w:r w:rsidR="00802CB3" w:rsidRPr="00A565AF">
        <w:t>Long</w:t>
      </w:r>
      <w:r w:rsidR="00802CB3">
        <w:t>-</w:t>
      </w:r>
      <w:r w:rsidRPr="00A565AF">
        <w:t xml:space="preserve">term awards are expected to grow to 50 by 2015 and the program </w:t>
      </w:r>
      <w:r w:rsidR="00CB3239">
        <w:t xml:space="preserve">also </w:t>
      </w:r>
      <w:r w:rsidRPr="00A565AF">
        <w:t xml:space="preserve">includes around </w:t>
      </w:r>
      <w:r w:rsidR="00883598">
        <w:t>6</w:t>
      </w:r>
      <w:r w:rsidRPr="00A565AF">
        <w:t>0 targeted sh</w:t>
      </w:r>
      <w:r>
        <w:t xml:space="preserve">ort-term fellowships </w:t>
      </w:r>
      <w:r w:rsidR="00802CB3">
        <w:t xml:space="preserve">a </w:t>
      </w:r>
      <w:r>
        <w:t xml:space="preserve">year. </w:t>
      </w:r>
      <w:r w:rsidR="00883598" w:rsidRPr="00883598">
        <w:t xml:space="preserve">In 2012 </w:t>
      </w:r>
      <w:r w:rsidR="007A15DE">
        <w:t xml:space="preserve">the Australian aid program </w:t>
      </w:r>
      <w:r w:rsidR="00883598" w:rsidRPr="00883598">
        <w:t>offered 31 awards for study in Australia commencing in 2013. In 2013, 40 awards are being offered for study commencing in 2014.</w:t>
      </w:r>
      <w:r w:rsidR="00802CB3">
        <w:t xml:space="preserve"> </w:t>
      </w:r>
      <w:r w:rsidRPr="00A565AF">
        <w:t>The emphasis for 2012</w:t>
      </w:r>
      <w:r w:rsidR="00802CB3">
        <w:t>–</w:t>
      </w:r>
      <w:r w:rsidRPr="00A565AF">
        <w:t xml:space="preserve">13 was on evaluating the initial two </w:t>
      </w:r>
      <w:r w:rsidRPr="00A565AF">
        <w:lastRenderedPageBreak/>
        <w:t xml:space="preserve">selection processes and undertaking the necessary consultations and design work to underpin the </w:t>
      </w:r>
      <w:r w:rsidR="00802CB3">
        <w:t>expansion</w:t>
      </w:r>
      <w:r w:rsidRPr="00A565AF">
        <w:t xml:space="preserve"> of the program.</w:t>
      </w:r>
    </w:p>
    <w:p w14:paraId="7C0D34AC" w14:textId="23865594" w:rsidR="00A565AF" w:rsidRDefault="00802CB3" w:rsidP="00A46BEB">
      <w:pPr>
        <w:pStyle w:val="BodyText"/>
      </w:pPr>
      <w:r>
        <w:t>C</w:t>
      </w:r>
      <w:r w:rsidR="00190B63" w:rsidRPr="00190B63">
        <w:t xml:space="preserve">onsultations with the </w:t>
      </w:r>
      <w:r w:rsidR="00190B63" w:rsidRPr="003710CF">
        <w:t>Myanmar</w:t>
      </w:r>
      <w:r w:rsidR="00190B63" w:rsidRPr="00190B63">
        <w:t xml:space="preserve"> Government </w:t>
      </w:r>
      <w:r>
        <w:t xml:space="preserve">have </w:t>
      </w:r>
      <w:r w:rsidRPr="00190B63">
        <w:t xml:space="preserve">identified </w:t>
      </w:r>
      <w:r w:rsidR="00190B63" w:rsidRPr="00190B63">
        <w:t>three focal areas</w:t>
      </w:r>
      <w:r w:rsidR="00190B63">
        <w:t>:</w:t>
      </w:r>
      <w:r w:rsidR="00190B63" w:rsidRPr="00190B63">
        <w:t xml:space="preserve"> education, health, agriculture and governance (with a particular focus on economic governance). The aim of Australia Awards is to enhance leadership, knowledge and technical skills to drive sustainable development</w:t>
      </w:r>
      <w:r w:rsidR="00CB3239">
        <w:t>,</w:t>
      </w:r>
      <w:r w:rsidR="00190B63" w:rsidRPr="00190B63">
        <w:t xml:space="preserve"> and build enduring links with Australia. </w:t>
      </w:r>
      <w:r w:rsidR="00883598" w:rsidRPr="00883598">
        <w:t xml:space="preserve">Building the capacity of </w:t>
      </w:r>
      <w:r w:rsidR="003710CF">
        <w:t>Burma</w:t>
      </w:r>
      <w:r w:rsidR="00883598" w:rsidRPr="00883598">
        <w:t xml:space="preserve"> is critical to </w:t>
      </w:r>
      <w:r>
        <w:t>its</w:t>
      </w:r>
      <w:r w:rsidRPr="00883598">
        <w:t xml:space="preserve"> </w:t>
      </w:r>
      <w:r w:rsidR="00883598" w:rsidRPr="00883598">
        <w:t xml:space="preserve">development and the program now strives to provide at least half the allocation of </w:t>
      </w:r>
      <w:r w:rsidR="00CB3239" w:rsidRPr="00883598">
        <w:t>long</w:t>
      </w:r>
      <w:r w:rsidR="00CB3239">
        <w:t>-</w:t>
      </w:r>
      <w:r w:rsidR="00883598" w:rsidRPr="00883598">
        <w:t xml:space="preserve">term awards </w:t>
      </w:r>
      <w:r w:rsidR="00883598">
        <w:t>to Myanmar Government officials</w:t>
      </w:r>
      <w:r w:rsidR="00190B63" w:rsidRPr="00190B63">
        <w:t xml:space="preserve">. While starting from a small base, success of the program is indicated by the successful completion of studies and on-time return to </w:t>
      </w:r>
      <w:r w:rsidR="003710CF">
        <w:t>Burma</w:t>
      </w:r>
      <w:r w:rsidR="00190B63" w:rsidRPr="00190B63">
        <w:t xml:space="preserve"> of 1</w:t>
      </w:r>
      <w:r w:rsidR="00883598">
        <w:t xml:space="preserve">2 </w:t>
      </w:r>
      <w:r w:rsidR="00190B63" w:rsidRPr="00190B63">
        <w:t>people (others remain to complete studies). Myanmar Government officials have shown strong appreciation of the program and its ability to meet capacity gaps.</w:t>
      </w:r>
    </w:p>
    <w:p w14:paraId="21AA9F00" w14:textId="77777777" w:rsidR="00A565AF" w:rsidRPr="00A46BEB" w:rsidRDefault="00A565AF" w:rsidP="00A46BEB">
      <w:pPr>
        <w:pStyle w:val="Heading2"/>
      </w:pPr>
      <w:r w:rsidRPr="00A46BEB">
        <w:t>Gender</w:t>
      </w:r>
    </w:p>
    <w:p w14:paraId="29A287DC" w14:textId="4FCEEA45" w:rsidR="008B0964" w:rsidRPr="008B0964" w:rsidRDefault="00CB3239" w:rsidP="00A46BEB">
      <w:pPr>
        <w:pStyle w:val="BodyText"/>
      </w:pPr>
      <w:r w:rsidRPr="008B0964">
        <w:t xml:space="preserve">The </w:t>
      </w:r>
      <w:r>
        <w:t>p</w:t>
      </w:r>
      <w:r w:rsidRPr="008B0964">
        <w:t>rogram</w:t>
      </w:r>
      <w:r>
        <w:t>’s</w:t>
      </w:r>
      <w:r w:rsidRPr="008B0964">
        <w:t xml:space="preserve"> </w:t>
      </w:r>
      <w:r>
        <w:t>g</w:t>
      </w:r>
      <w:r w:rsidR="008B0964" w:rsidRPr="008B0964">
        <w:t>ender equality considerations have improved throughout 2012</w:t>
      </w:r>
      <w:r w:rsidR="00C649C6">
        <w:t>–</w:t>
      </w:r>
      <w:r w:rsidR="008B0964" w:rsidRPr="008B0964">
        <w:t>13. Gender analysis and sex-disaggregated data increased, particularly in our education, health and livelihoods activities. A gender stocktake report was completed in December 2012 which helped program managers assess how their activity is addressing gender and also provided a greater understanding of our partners’ capacity to implement gender-sensitive programs. To address stocktake recommendations</w:t>
      </w:r>
      <w:r w:rsidR="00C649C6">
        <w:t>,</w:t>
      </w:r>
      <w:r w:rsidR="008B0964" w:rsidRPr="008B0964">
        <w:t xml:space="preserve"> the </w:t>
      </w:r>
      <w:r w:rsidR="00C649C6">
        <w:t>p</w:t>
      </w:r>
      <w:r w:rsidR="00C649C6" w:rsidRPr="008B0964">
        <w:t xml:space="preserve">rogram </w:t>
      </w:r>
      <w:r w:rsidR="008B0964" w:rsidRPr="008B0964">
        <w:t xml:space="preserve">is working closely with partners to ensure activities are gender sensitive </w:t>
      </w:r>
      <w:r w:rsidR="00C649C6">
        <w:t>and</w:t>
      </w:r>
      <w:r w:rsidR="008B0964" w:rsidRPr="008B0964">
        <w:t xml:space="preserve"> exploring options for specific women’s empowerment programs, particular</w:t>
      </w:r>
      <w:r w:rsidR="00C649C6">
        <w:t>ly those</w:t>
      </w:r>
      <w:r w:rsidR="008B0964" w:rsidRPr="008B0964">
        <w:t xml:space="preserve"> focused on ending violence against women and ensuring women’s involvement in the peace process. </w:t>
      </w:r>
    </w:p>
    <w:p w14:paraId="6E9F8B06" w14:textId="5A4F6146" w:rsidR="008B0964" w:rsidRDefault="008B0964" w:rsidP="00A46BEB">
      <w:pPr>
        <w:pStyle w:val="BodyText"/>
      </w:pPr>
      <w:r w:rsidRPr="008B0964">
        <w:t xml:space="preserve">It will be important for the </w:t>
      </w:r>
      <w:r w:rsidR="00C649C6">
        <w:t>p</w:t>
      </w:r>
      <w:r w:rsidR="00C649C6" w:rsidRPr="008B0964">
        <w:t xml:space="preserve">rogram </w:t>
      </w:r>
      <w:r w:rsidRPr="008B0964">
        <w:t xml:space="preserve">to implement the stocktake recommendations, which will build on improvements, address gaps in gender considerations and increase the </w:t>
      </w:r>
      <w:r w:rsidR="00C649C6">
        <w:t>p</w:t>
      </w:r>
      <w:r w:rsidR="00C649C6" w:rsidRPr="008B0964">
        <w:t xml:space="preserve">rogram’s </w:t>
      </w:r>
      <w:r w:rsidRPr="008B0964">
        <w:t xml:space="preserve">ability to measure its impact on women’s empowerment. </w:t>
      </w:r>
      <w:r w:rsidR="00071214">
        <w:t xml:space="preserve">DFAT’s </w:t>
      </w:r>
      <w:r w:rsidR="00981400">
        <w:t xml:space="preserve">support for the 2014 census in </w:t>
      </w:r>
      <w:r w:rsidR="003710CF">
        <w:t>Burma</w:t>
      </w:r>
      <w:r w:rsidR="00981400">
        <w:t xml:space="preserve"> will </w:t>
      </w:r>
      <w:r w:rsidR="000D7C58">
        <w:t xml:space="preserve">also </w:t>
      </w:r>
      <w:r w:rsidR="00981400">
        <w:t>be important in generating</w:t>
      </w:r>
      <w:r w:rsidRPr="008B0964">
        <w:t xml:space="preserve"> more data on gender and poverty analysis</w:t>
      </w:r>
      <w:r w:rsidR="00981400">
        <w:t xml:space="preserve">. As data </w:t>
      </w:r>
      <w:r w:rsidRPr="008B0964">
        <w:t xml:space="preserve">becomes available </w:t>
      </w:r>
      <w:r w:rsidR="00981400">
        <w:t>it will be used to inform</w:t>
      </w:r>
      <w:r w:rsidRPr="008B0964">
        <w:t xml:space="preserve"> our </w:t>
      </w:r>
      <w:r w:rsidR="00C649C6">
        <w:t>p</w:t>
      </w:r>
      <w:r w:rsidR="00C649C6" w:rsidRPr="008B0964">
        <w:t>rogram</w:t>
      </w:r>
      <w:r w:rsidRPr="008B0964">
        <w:t xml:space="preserve">, particularly in preparation for the next </w:t>
      </w:r>
      <w:r w:rsidR="00C649C6">
        <w:t>c</w:t>
      </w:r>
      <w:r w:rsidR="00C649C6" w:rsidRPr="008B0964">
        <w:t xml:space="preserve">ountry </w:t>
      </w:r>
      <w:r w:rsidR="00C649C6">
        <w:t>s</w:t>
      </w:r>
      <w:r w:rsidR="00C649C6" w:rsidRPr="008B0964">
        <w:t xml:space="preserve">trategy </w:t>
      </w:r>
      <w:r w:rsidRPr="008B0964">
        <w:t>process in 2014.</w:t>
      </w:r>
    </w:p>
    <w:p w14:paraId="0686AB13" w14:textId="77777777" w:rsidR="005E0F24" w:rsidRDefault="005E0F24">
      <w:pPr>
        <w:spacing w:after="200" w:line="276" w:lineRule="auto"/>
        <w:rPr>
          <w:rFonts w:ascii="Arial" w:eastAsia="Times New Roman" w:hAnsi="Arial" w:cs="Arial"/>
          <w:color w:val="7E6D5F"/>
          <w:szCs w:val="19"/>
        </w:rPr>
      </w:pPr>
      <w:r>
        <w:br w:type="page"/>
      </w:r>
    </w:p>
    <w:p w14:paraId="547415A6" w14:textId="014D1E0E" w:rsidR="00BE65E4" w:rsidRDefault="00BE65E4" w:rsidP="00A46BEB">
      <w:pPr>
        <w:pStyle w:val="Caption"/>
      </w:pPr>
      <w:r>
        <w:lastRenderedPageBreak/>
        <w:t xml:space="preserve">Table </w:t>
      </w:r>
      <w:r w:rsidR="00C460E0">
        <w:fldChar w:fldCharType="begin"/>
      </w:r>
      <w:r w:rsidR="005B7C71">
        <w:instrText xml:space="preserve"> SEQ Table \* ARABIC </w:instrText>
      </w:r>
      <w:r w:rsidR="00C460E0">
        <w:fldChar w:fldCharType="separate"/>
      </w:r>
      <w:r w:rsidR="00852852">
        <w:rPr>
          <w:noProof/>
        </w:rPr>
        <w:t>1</w:t>
      </w:r>
      <w:r w:rsidR="00C460E0">
        <w:rPr>
          <w:noProof/>
        </w:rPr>
        <w:fldChar w:fldCharType="end"/>
      </w:r>
      <w:r w:rsidR="00C649C6">
        <w:rPr>
          <w:noProof/>
        </w:rPr>
        <w:t>:</w:t>
      </w:r>
      <w:r>
        <w:t xml:space="preserve"> Rating of the</w:t>
      </w:r>
      <w:r w:rsidR="00C649C6">
        <w:t xml:space="preserve"> </w:t>
      </w:r>
      <w:r>
        <w:t>program's progress towards the objectives</w:t>
      </w:r>
    </w:p>
    <w:tbl>
      <w:tblPr>
        <w:tblStyle w:val="APPR"/>
        <w:tblW w:w="5000" w:type="pct"/>
        <w:tblLook w:val="0000" w:firstRow="0" w:lastRow="0" w:firstColumn="0" w:lastColumn="0" w:noHBand="0" w:noVBand="0"/>
      </w:tblPr>
      <w:tblGrid>
        <w:gridCol w:w="6426"/>
        <w:gridCol w:w="1057"/>
        <w:gridCol w:w="1123"/>
      </w:tblGrid>
      <w:tr w:rsidR="005E0F24" w:rsidRPr="0019341B" w14:paraId="7E3D93E9" w14:textId="77777777" w:rsidTr="005E0F24">
        <w:trPr>
          <w:cnfStyle w:val="000000010000" w:firstRow="0" w:lastRow="0" w:firstColumn="0" w:lastColumn="0" w:oddVBand="0" w:evenVBand="0" w:oddHBand="0" w:evenHBand="1" w:firstRowFirstColumn="0" w:firstRowLastColumn="0" w:lastRowFirstColumn="0" w:lastRowLastColumn="0"/>
          <w:trHeight w:val="651"/>
        </w:trPr>
        <w:tc>
          <w:tcPr>
            <w:tcW w:w="6029" w:type="dxa"/>
          </w:tcPr>
          <w:p w14:paraId="046F70E0" w14:textId="77777777" w:rsidR="005E0F24" w:rsidRPr="005E0F24" w:rsidRDefault="005E0F24" w:rsidP="005E0F24">
            <w:pPr>
              <w:pStyle w:val="TableHeading1"/>
              <w:rPr>
                <w:b/>
              </w:rPr>
            </w:pPr>
            <w:r w:rsidRPr="005E0F24">
              <w:rPr>
                <w:b/>
                <w:noProof/>
                <w:lang w:eastAsia="en-AU"/>
              </w:rPr>
              <w:drawing>
                <wp:anchor distT="0" distB="0" distL="114300" distR="114300" simplePos="0" relativeHeight="251668480" behindDoc="0" locked="0" layoutInCell="1" allowOverlap="1" wp14:anchorId="5F37A5A9" wp14:editId="74DB3D7A">
                  <wp:simplePos x="0" y="0"/>
                  <wp:positionH relativeFrom="column">
                    <wp:posOffset>0</wp:posOffset>
                  </wp:positionH>
                  <wp:positionV relativeFrom="paragraph">
                    <wp:posOffset>0</wp:posOffset>
                  </wp:positionV>
                  <wp:extent cx="1857375" cy="228600"/>
                  <wp:effectExtent l="0" t="0" r="9525" b="0"/>
                  <wp:wrapNone/>
                  <wp:docPr id="11" name="Picture 1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anchor>
              </w:drawing>
            </w:r>
            <w:r w:rsidRPr="005E0F24">
              <w:rPr>
                <w:b/>
              </w:rPr>
              <w:t>Objective</w:t>
            </w:r>
          </w:p>
        </w:tc>
        <w:tc>
          <w:tcPr>
            <w:tcW w:w="972" w:type="dxa"/>
          </w:tcPr>
          <w:p w14:paraId="424A069C" w14:textId="4B06FCC6" w:rsidR="005E0F24" w:rsidRPr="005E0F24" w:rsidRDefault="005E0F24" w:rsidP="005E0F24">
            <w:pPr>
              <w:pStyle w:val="TableHeading1"/>
              <w:rPr>
                <w:b/>
              </w:rPr>
            </w:pPr>
            <w:r w:rsidRPr="005E0F24">
              <w:rPr>
                <w:b/>
              </w:rPr>
              <w:t>Current rating</w:t>
            </w:r>
          </w:p>
        </w:tc>
        <w:tc>
          <w:tcPr>
            <w:tcW w:w="1021" w:type="dxa"/>
          </w:tcPr>
          <w:p w14:paraId="0380C621" w14:textId="661C09C0" w:rsidR="005E0F24" w:rsidRPr="005E0F24" w:rsidRDefault="005E0F24" w:rsidP="005E0F24">
            <w:pPr>
              <w:pStyle w:val="TableHeading1"/>
              <w:rPr>
                <w:b/>
              </w:rPr>
            </w:pPr>
            <w:r w:rsidRPr="005E0F24">
              <w:rPr>
                <w:b/>
              </w:rPr>
              <w:t>Previous rating</w:t>
            </w:r>
          </w:p>
        </w:tc>
      </w:tr>
      <w:tr w:rsidR="005E0F24" w:rsidRPr="009D53C4" w14:paraId="18F06F9D" w14:textId="77777777" w:rsidTr="005E0F24">
        <w:trPr>
          <w:cnfStyle w:val="000000010000" w:firstRow="0" w:lastRow="0" w:firstColumn="0" w:lastColumn="0" w:oddVBand="0" w:evenVBand="0" w:oddHBand="0" w:evenHBand="1" w:firstRowFirstColumn="0" w:firstRowLastColumn="0" w:lastRowFirstColumn="0" w:lastRowLastColumn="0"/>
        </w:trPr>
        <w:tc>
          <w:tcPr>
            <w:tcW w:w="6029" w:type="dxa"/>
          </w:tcPr>
          <w:p w14:paraId="1B604D21" w14:textId="77777777" w:rsidR="005E0F24" w:rsidRPr="005E0F24" w:rsidRDefault="005E0F24" w:rsidP="005E0F24">
            <w:pPr>
              <w:pStyle w:val="TableTextEntries"/>
            </w:pPr>
            <w:r w:rsidRPr="005E0F24">
              <w:t>Objective 1a: Improving the delivery of basic education services to the poor</w:t>
            </w:r>
          </w:p>
        </w:tc>
        <w:tc>
          <w:tcPr>
            <w:tcW w:w="972" w:type="dxa"/>
            <w:shd w:val="clear" w:color="auto" w:fill="92D050"/>
            <w:noWrap/>
          </w:tcPr>
          <w:p w14:paraId="587BABA6" w14:textId="77777777" w:rsidR="005E0F24" w:rsidRPr="005E0F24" w:rsidRDefault="005E0F24" w:rsidP="005E0F24">
            <w:pPr>
              <w:pStyle w:val="TableTextEntries"/>
            </w:pPr>
            <w:r w:rsidRPr="005E0F24">
              <w:t>Green</w:t>
            </w:r>
          </w:p>
        </w:tc>
        <w:tc>
          <w:tcPr>
            <w:tcW w:w="1021" w:type="dxa"/>
            <w:shd w:val="clear" w:color="auto" w:fill="F79646" w:themeFill="accent6"/>
            <w:noWrap/>
          </w:tcPr>
          <w:p w14:paraId="7113A010" w14:textId="77777777" w:rsidR="005E0F24" w:rsidRPr="005E0F24" w:rsidRDefault="005E0F24" w:rsidP="005E0F24">
            <w:pPr>
              <w:pStyle w:val="TableTextEntries"/>
            </w:pPr>
            <w:r w:rsidRPr="005E0F24">
              <w:t>Amber</w:t>
            </w:r>
          </w:p>
        </w:tc>
      </w:tr>
      <w:tr w:rsidR="005E0F24" w:rsidRPr="009D53C4" w14:paraId="21BAD1AF" w14:textId="77777777" w:rsidTr="005E0F24">
        <w:trPr>
          <w:cnfStyle w:val="000000010000" w:firstRow="0" w:lastRow="0" w:firstColumn="0" w:lastColumn="0" w:oddVBand="0" w:evenVBand="0" w:oddHBand="0" w:evenHBand="1" w:firstRowFirstColumn="0" w:firstRowLastColumn="0" w:lastRowFirstColumn="0" w:lastRowLastColumn="0"/>
        </w:trPr>
        <w:tc>
          <w:tcPr>
            <w:tcW w:w="6029" w:type="dxa"/>
          </w:tcPr>
          <w:p w14:paraId="5AF69FCB" w14:textId="77777777" w:rsidR="005E0F24" w:rsidRPr="005E0F24" w:rsidRDefault="005E0F24" w:rsidP="005E0F24">
            <w:pPr>
              <w:pStyle w:val="TableTextEntries"/>
            </w:pPr>
            <w:r w:rsidRPr="005E0F24">
              <w:t>Objective 1b: Improving the delivery of health services to the poor</w:t>
            </w:r>
          </w:p>
        </w:tc>
        <w:tc>
          <w:tcPr>
            <w:tcW w:w="972" w:type="dxa"/>
            <w:shd w:val="clear" w:color="auto" w:fill="92D050"/>
            <w:noWrap/>
          </w:tcPr>
          <w:p w14:paraId="425D0CB5" w14:textId="77777777" w:rsidR="005E0F24" w:rsidRPr="005E0F24" w:rsidRDefault="005E0F24" w:rsidP="005E0F24">
            <w:pPr>
              <w:pStyle w:val="TableTextEntries"/>
            </w:pPr>
            <w:r w:rsidRPr="005E0F24">
              <w:t>Green</w:t>
            </w:r>
          </w:p>
        </w:tc>
        <w:tc>
          <w:tcPr>
            <w:tcW w:w="1021" w:type="dxa"/>
            <w:shd w:val="clear" w:color="auto" w:fill="F79646" w:themeFill="accent6"/>
            <w:noWrap/>
          </w:tcPr>
          <w:p w14:paraId="2741C8A3" w14:textId="77777777" w:rsidR="005E0F24" w:rsidRPr="005E0F24" w:rsidRDefault="005E0F24" w:rsidP="005E0F24">
            <w:pPr>
              <w:pStyle w:val="TableTextEntries"/>
            </w:pPr>
            <w:r w:rsidRPr="005E0F24">
              <w:t>Amber</w:t>
            </w:r>
          </w:p>
        </w:tc>
      </w:tr>
      <w:tr w:rsidR="005E0F24" w:rsidRPr="009D53C4" w14:paraId="0BE719A5" w14:textId="77777777" w:rsidTr="005E0F24">
        <w:trPr>
          <w:cnfStyle w:val="000000010000" w:firstRow="0" w:lastRow="0" w:firstColumn="0" w:lastColumn="0" w:oddVBand="0" w:evenVBand="0" w:oddHBand="0" w:evenHBand="1" w:firstRowFirstColumn="0" w:firstRowLastColumn="0" w:lastRowFirstColumn="0" w:lastRowLastColumn="0"/>
        </w:trPr>
        <w:tc>
          <w:tcPr>
            <w:tcW w:w="6029" w:type="dxa"/>
          </w:tcPr>
          <w:p w14:paraId="170AF075" w14:textId="77777777" w:rsidR="005E0F24" w:rsidRPr="005E0F24" w:rsidRDefault="005E0F24" w:rsidP="005E0F24">
            <w:pPr>
              <w:pStyle w:val="TableTextEntries"/>
            </w:pPr>
            <w:r w:rsidRPr="005E0F24">
              <w:t>Objective 2: Improving the livelihoods of the rural poor</w:t>
            </w:r>
          </w:p>
        </w:tc>
        <w:tc>
          <w:tcPr>
            <w:tcW w:w="972" w:type="dxa"/>
            <w:shd w:val="clear" w:color="auto" w:fill="92D050"/>
            <w:noWrap/>
          </w:tcPr>
          <w:p w14:paraId="19B76FBB" w14:textId="77777777" w:rsidR="005E0F24" w:rsidRPr="005E0F24" w:rsidRDefault="005E0F24" w:rsidP="005E0F24">
            <w:pPr>
              <w:pStyle w:val="TableTextEntries"/>
            </w:pPr>
            <w:r w:rsidRPr="005E0F24">
              <w:t>Green</w:t>
            </w:r>
          </w:p>
        </w:tc>
        <w:tc>
          <w:tcPr>
            <w:tcW w:w="1021" w:type="dxa"/>
            <w:shd w:val="clear" w:color="auto" w:fill="F79646" w:themeFill="accent6"/>
            <w:noWrap/>
          </w:tcPr>
          <w:p w14:paraId="7296527A" w14:textId="77777777" w:rsidR="005E0F24" w:rsidRPr="005E0F24" w:rsidRDefault="005E0F24" w:rsidP="005E0F24">
            <w:pPr>
              <w:pStyle w:val="TableTextEntries"/>
            </w:pPr>
            <w:r w:rsidRPr="005E0F24">
              <w:t>Amber</w:t>
            </w:r>
          </w:p>
        </w:tc>
      </w:tr>
      <w:tr w:rsidR="005E0F24" w:rsidRPr="009D53C4" w14:paraId="1C2B05E9" w14:textId="77777777" w:rsidTr="005E0F24">
        <w:trPr>
          <w:cnfStyle w:val="000000010000" w:firstRow="0" w:lastRow="0" w:firstColumn="0" w:lastColumn="0" w:oddVBand="0" w:evenVBand="0" w:oddHBand="0" w:evenHBand="1" w:firstRowFirstColumn="0" w:firstRowLastColumn="0" w:lastRowFirstColumn="0" w:lastRowLastColumn="0"/>
          <w:trHeight w:val="258"/>
        </w:trPr>
        <w:tc>
          <w:tcPr>
            <w:tcW w:w="6029" w:type="dxa"/>
          </w:tcPr>
          <w:p w14:paraId="3BCF8437" w14:textId="77777777" w:rsidR="005E0F24" w:rsidRPr="005E0F24" w:rsidRDefault="005E0F24" w:rsidP="005E0F24">
            <w:pPr>
              <w:pStyle w:val="TableTextEntries"/>
            </w:pPr>
            <w:r w:rsidRPr="005E0F24">
              <w:t>Objective 3: Addressing the needs of conflict and disaster-affected people</w:t>
            </w:r>
          </w:p>
        </w:tc>
        <w:tc>
          <w:tcPr>
            <w:tcW w:w="972" w:type="dxa"/>
            <w:shd w:val="clear" w:color="auto" w:fill="92D050"/>
            <w:noWrap/>
          </w:tcPr>
          <w:p w14:paraId="23101171" w14:textId="77777777" w:rsidR="005E0F24" w:rsidRPr="005E0F24" w:rsidRDefault="005E0F24" w:rsidP="005E0F24">
            <w:pPr>
              <w:pStyle w:val="TableTextEntries"/>
            </w:pPr>
            <w:r w:rsidRPr="005E0F24">
              <w:t>Green</w:t>
            </w:r>
          </w:p>
        </w:tc>
        <w:tc>
          <w:tcPr>
            <w:tcW w:w="1021" w:type="dxa"/>
            <w:shd w:val="clear" w:color="auto" w:fill="F79646" w:themeFill="accent6"/>
            <w:noWrap/>
          </w:tcPr>
          <w:p w14:paraId="7076E48E" w14:textId="77777777" w:rsidR="005E0F24" w:rsidRPr="005E0F24" w:rsidRDefault="005E0F24" w:rsidP="005E0F24">
            <w:pPr>
              <w:pStyle w:val="TableTextEntries"/>
            </w:pPr>
            <w:r w:rsidRPr="005E0F24">
              <w:t>Amber</w:t>
            </w:r>
          </w:p>
        </w:tc>
      </w:tr>
      <w:tr w:rsidR="005E0F24" w:rsidRPr="009D53C4" w14:paraId="38F58DB4" w14:textId="77777777" w:rsidTr="005E0F24">
        <w:trPr>
          <w:cnfStyle w:val="000000010000" w:firstRow="0" w:lastRow="0" w:firstColumn="0" w:lastColumn="0" w:oddVBand="0" w:evenVBand="0" w:oddHBand="0" w:evenHBand="1" w:firstRowFirstColumn="0" w:firstRowLastColumn="0" w:lastRowFirstColumn="0" w:lastRowLastColumn="0"/>
          <w:trHeight w:val="235"/>
        </w:trPr>
        <w:tc>
          <w:tcPr>
            <w:tcW w:w="6029" w:type="dxa"/>
          </w:tcPr>
          <w:p w14:paraId="398E8BE5" w14:textId="77777777" w:rsidR="005E0F24" w:rsidRPr="005E0F24" w:rsidRDefault="005E0F24" w:rsidP="005E0F24">
            <w:pPr>
              <w:pStyle w:val="TableTextEntries"/>
            </w:pPr>
            <w:r w:rsidRPr="005E0F24">
              <w:t>Objective 4: Supporting reform and improved governance</w:t>
            </w:r>
          </w:p>
        </w:tc>
        <w:tc>
          <w:tcPr>
            <w:tcW w:w="972" w:type="dxa"/>
            <w:shd w:val="clear" w:color="auto" w:fill="F79646" w:themeFill="accent6"/>
            <w:noWrap/>
          </w:tcPr>
          <w:p w14:paraId="2C999846" w14:textId="77777777" w:rsidR="005E0F24" w:rsidRPr="005E0F24" w:rsidRDefault="005E0F24" w:rsidP="005E0F24">
            <w:pPr>
              <w:pStyle w:val="TableTextEntries"/>
            </w:pPr>
            <w:r w:rsidRPr="005E0F24">
              <w:t>Amber</w:t>
            </w:r>
          </w:p>
        </w:tc>
        <w:tc>
          <w:tcPr>
            <w:tcW w:w="1021" w:type="dxa"/>
            <w:noWrap/>
          </w:tcPr>
          <w:p w14:paraId="39CAED12" w14:textId="77777777" w:rsidR="005E0F24" w:rsidRPr="005E0F24" w:rsidRDefault="005E0F24" w:rsidP="005E0F24">
            <w:pPr>
              <w:pStyle w:val="TableTextEntries"/>
            </w:pPr>
            <w:r w:rsidRPr="005E0F24">
              <w:t>N/A</w:t>
            </w:r>
          </w:p>
        </w:tc>
      </w:tr>
    </w:tbl>
    <w:p w14:paraId="3F49F4C7" w14:textId="77777777" w:rsidR="00180B19" w:rsidRPr="00180B19" w:rsidRDefault="00180B19" w:rsidP="00100AA2">
      <w:pPr>
        <w:pStyle w:val="Note"/>
      </w:pPr>
      <w:r w:rsidRPr="00180B19">
        <w:t xml:space="preserve">Note: </w:t>
      </w:r>
    </w:p>
    <w:p w14:paraId="13404D96" w14:textId="77777777" w:rsidR="00180B19" w:rsidRPr="00180B19" w:rsidRDefault="00180B19" w:rsidP="00100AA2">
      <w:pPr>
        <w:pStyle w:val="Note"/>
      </w:pPr>
      <w:r w:rsidRPr="004C4A3E">
        <w:rPr>
          <w:color w:val="92D050"/>
        </w:rPr>
        <w:sym w:font="Webdings" w:char="F067"/>
      </w:r>
      <w:r w:rsidRPr="00180B19">
        <w:t> </w:t>
      </w:r>
      <w:r w:rsidRPr="00180B19">
        <w:t xml:space="preserve"> </w:t>
      </w:r>
      <w:proofErr w:type="gramStart"/>
      <w:r w:rsidR="00443639">
        <w:t>Green.</w:t>
      </w:r>
      <w:proofErr w:type="gramEnd"/>
      <w:r w:rsidR="00443639">
        <w:t xml:space="preserve"> </w:t>
      </w:r>
      <w:r w:rsidRPr="00180B19">
        <w:t>Progress is as expected for this point in time and it is likely that the objective will be achieved. Standard program management practices are sufficient.</w:t>
      </w:r>
    </w:p>
    <w:p w14:paraId="24ED3E6C" w14:textId="77777777" w:rsidR="00180B19" w:rsidRPr="00180B19" w:rsidRDefault="00180B19" w:rsidP="00100AA2">
      <w:pPr>
        <w:pStyle w:val="Note"/>
      </w:pPr>
      <w:r w:rsidRPr="004C4A3E">
        <w:rPr>
          <w:color w:val="F79646" w:themeColor="accent6"/>
        </w:rPr>
        <w:sym w:font="Webdings" w:char="F067"/>
      </w:r>
      <w:r w:rsidRPr="00180B19">
        <w:t> </w:t>
      </w:r>
      <w:r w:rsidRPr="00180B19">
        <w:t xml:space="preserve"> </w:t>
      </w:r>
      <w:r w:rsidR="00443639">
        <w:t xml:space="preserve">Amber. </w:t>
      </w:r>
      <w:r w:rsidRPr="00180B19">
        <w:t>Progress is somewhat less than expected for this point in time and restorative action will be necessary if the objective is to be achieved. Close performance monitoring is recommended.</w:t>
      </w:r>
    </w:p>
    <w:p w14:paraId="3C80814A" w14:textId="77777777" w:rsidR="00180B19" w:rsidRPr="00180B19" w:rsidRDefault="00180B19" w:rsidP="00020121">
      <w:pPr>
        <w:pStyle w:val="Note"/>
      </w:pPr>
      <w:r w:rsidRPr="004C4A3E">
        <w:rPr>
          <w:color w:val="FF0000"/>
        </w:rPr>
        <w:sym w:font="Webdings" w:char="F067"/>
      </w:r>
      <w:r w:rsidRPr="00180B19">
        <w:t> </w:t>
      </w:r>
      <w:r w:rsidRPr="00180B19">
        <w:t xml:space="preserve"> </w:t>
      </w:r>
      <w:proofErr w:type="gramStart"/>
      <w:r w:rsidR="00443639">
        <w:t>Red.</w:t>
      </w:r>
      <w:proofErr w:type="gramEnd"/>
      <w:r w:rsidR="00443639">
        <w:t xml:space="preserve"> </w:t>
      </w:r>
      <w:r w:rsidRPr="00180B19">
        <w:t xml:space="preserve">Progress is significantly less than expected for this point in time and the objective is not likely to be met given available resources and priorities. Recasting the objective may be required. </w:t>
      </w:r>
    </w:p>
    <w:p w14:paraId="28ECB55F" w14:textId="77777777" w:rsidR="00180B19" w:rsidRPr="00A46BEB" w:rsidRDefault="00180B19" w:rsidP="00A46BEB">
      <w:pPr>
        <w:pStyle w:val="Heading2"/>
      </w:pPr>
      <w:r w:rsidRPr="00A46BEB">
        <w:t>Objective</w:t>
      </w:r>
      <w:r w:rsidR="00C65930" w:rsidRPr="00A46BEB">
        <w:t xml:space="preserve"> </w:t>
      </w:r>
      <w:r w:rsidR="008A0DB0" w:rsidRPr="00A46BEB">
        <w:t>1a: Improving the delivery of basic education services to the poor</w:t>
      </w:r>
    </w:p>
    <w:p w14:paraId="1BF6CDEA" w14:textId="3253AB46" w:rsidR="00173AC8" w:rsidRDefault="003D4E83" w:rsidP="00A46BEB">
      <w:pPr>
        <w:pStyle w:val="BodyText"/>
      </w:pPr>
      <w:r>
        <w:t xml:space="preserve">The </w:t>
      </w:r>
      <w:r w:rsidR="003710CF">
        <w:t>Burma</w:t>
      </w:r>
      <w:r>
        <w:t xml:space="preserve"> </w:t>
      </w:r>
      <w:r w:rsidR="007A15DE">
        <w:t xml:space="preserve">aid </w:t>
      </w:r>
      <w:r>
        <w:t>program</w:t>
      </w:r>
      <w:r w:rsidR="008A0DB0" w:rsidRPr="008A0DB0">
        <w:t xml:space="preserve"> developed a coordinated $67 million portfolio of </w:t>
      </w:r>
      <w:r w:rsidRPr="008A0DB0">
        <w:t>investments</w:t>
      </w:r>
      <w:r>
        <w:t xml:space="preserve"> in</w:t>
      </w:r>
      <w:r w:rsidRPr="008A0DB0">
        <w:t xml:space="preserve"> </w:t>
      </w:r>
      <w:r w:rsidR="008A0DB0" w:rsidRPr="008A0DB0">
        <w:t xml:space="preserve">basic education in </w:t>
      </w:r>
      <w:r>
        <w:t xml:space="preserve">the 12 months to </w:t>
      </w:r>
      <w:r w:rsidRPr="00467819">
        <w:t>June 2012</w:t>
      </w:r>
      <w:r w:rsidR="008A0DB0" w:rsidRPr="008A0DB0">
        <w:t>.</w:t>
      </w:r>
      <w:r w:rsidR="0061615E">
        <w:t xml:space="preserve"> </w:t>
      </w:r>
      <w:r w:rsidR="008A0DB0" w:rsidRPr="008A0DB0">
        <w:t>Annual expenditure has grown from $4 million</w:t>
      </w:r>
      <w:r>
        <w:t xml:space="preserve"> in </w:t>
      </w:r>
      <w:r w:rsidR="00467819">
        <w:t>2011</w:t>
      </w:r>
      <w:r w:rsidR="008A0DB0" w:rsidRPr="008A0DB0">
        <w:t xml:space="preserve"> to $1</w:t>
      </w:r>
      <w:r w:rsidR="00467819">
        <w:t>4.5</w:t>
      </w:r>
      <w:r>
        <w:t> </w:t>
      </w:r>
      <w:r w:rsidR="008A0DB0" w:rsidRPr="008A0DB0">
        <w:t>million</w:t>
      </w:r>
      <w:r w:rsidR="00B47DAB">
        <w:t xml:space="preserve"> in </w:t>
      </w:r>
      <w:r w:rsidR="00B47DAB" w:rsidRPr="00467819">
        <w:t>2012</w:t>
      </w:r>
      <w:r w:rsidR="008A0DB0" w:rsidRPr="008A0DB0">
        <w:t xml:space="preserve"> </w:t>
      </w:r>
      <w:r>
        <w:t xml:space="preserve">through initiatives that </w:t>
      </w:r>
      <w:r w:rsidR="00CB3239">
        <w:t>support</w:t>
      </w:r>
      <w:r>
        <w:t xml:space="preserve"> Australia’s</w:t>
      </w:r>
      <w:r w:rsidR="008A0DB0" w:rsidRPr="008A0DB0">
        <w:t xml:space="preserve"> commitment to work flexibly with the Myanmar </w:t>
      </w:r>
      <w:r w:rsidR="00C649C6">
        <w:t>G</w:t>
      </w:r>
      <w:r w:rsidR="00C649C6" w:rsidRPr="008A0DB0">
        <w:t xml:space="preserve">overnment </w:t>
      </w:r>
      <w:r w:rsidR="008A0DB0" w:rsidRPr="008A0DB0">
        <w:t xml:space="preserve">to deliver real results. Three major components </w:t>
      </w:r>
      <w:r w:rsidR="00DC514A">
        <w:t>of</w:t>
      </w:r>
      <w:r w:rsidR="008A0DB0" w:rsidRPr="008A0DB0">
        <w:t xml:space="preserve"> the program are now in place</w:t>
      </w:r>
      <w:r w:rsidR="00173AC8">
        <w:t>:</w:t>
      </w:r>
    </w:p>
    <w:p w14:paraId="2F1EF651" w14:textId="4EDE6509" w:rsidR="008A0DB0" w:rsidRPr="00894314" w:rsidRDefault="00C649C6" w:rsidP="00A46BEB">
      <w:pPr>
        <w:pStyle w:val="ListBullet"/>
      </w:pPr>
      <w:r w:rsidRPr="001B31D0">
        <w:t>A</w:t>
      </w:r>
      <w:r w:rsidR="008A0DB0" w:rsidRPr="00191F0C">
        <w:t xml:space="preserve"> joint partnership through the </w:t>
      </w:r>
      <w:r w:rsidR="003D4E83" w:rsidRPr="004D0A10">
        <w:t>M</w:t>
      </w:r>
      <w:r w:rsidR="008A0DB0" w:rsidRPr="004D0A10">
        <w:t>ulti-</w:t>
      </w:r>
      <w:r w:rsidR="003D4E83" w:rsidRPr="004D0A10">
        <w:t>D</w:t>
      </w:r>
      <w:r w:rsidR="008A0DB0" w:rsidRPr="004D0A10">
        <w:t xml:space="preserve">onor </w:t>
      </w:r>
      <w:r w:rsidR="003D4E83" w:rsidRPr="003D6AEF">
        <w:t>E</w:t>
      </w:r>
      <w:r w:rsidR="008A0DB0" w:rsidRPr="003D6AEF">
        <w:t xml:space="preserve">ducation </w:t>
      </w:r>
      <w:r w:rsidR="003D4E83" w:rsidRPr="00497DDE">
        <w:t>F</w:t>
      </w:r>
      <w:r w:rsidR="008A0DB0" w:rsidRPr="00497DDE">
        <w:t xml:space="preserve">und to deliver a </w:t>
      </w:r>
      <w:r w:rsidR="00CB3239" w:rsidRPr="00894314">
        <w:t>Quality Basic Education Programme</w:t>
      </w:r>
      <w:r w:rsidR="00CB3239" w:rsidRPr="00497DDE">
        <w:t xml:space="preserve"> </w:t>
      </w:r>
      <w:r w:rsidR="00CB3239" w:rsidRPr="00894314">
        <w:t>led</w:t>
      </w:r>
      <w:r w:rsidR="00CB3239" w:rsidRPr="00497DDE">
        <w:t xml:space="preserve"> </w:t>
      </w:r>
      <w:r w:rsidR="00CB3239">
        <w:t xml:space="preserve">by the </w:t>
      </w:r>
      <w:r w:rsidR="008A0DB0" w:rsidRPr="00497DDE">
        <w:t>U</w:t>
      </w:r>
      <w:r w:rsidRPr="00894314">
        <w:t xml:space="preserve">nited </w:t>
      </w:r>
      <w:r w:rsidR="008A0DB0" w:rsidRPr="00894314">
        <w:t>N</w:t>
      </w:r>
      <w:r w:rsidRPr="00894314">
        <w:t xml:space="preserve">ations </w:t>
      </w:r>
      <w:r w:rsidR="008A0DB0" w:rsidRPr="00894314">
        <w:t>C</w:t>
      </w:r>
      <w:r w:rsidRPr="00894314">
        <w:t xml:space="preserve">hildren’s </w:t>
      </w:r>
      <w:r w:rsidR="008A0DB0" w:rsidRPr="00894314">
        <w:t>F</w:t>
      </w:r>
      <w:r w:rsidRPr="00894314">
        <w:t>und</w:t>
      </w:r>
      <w:r w:rsidR="00CB3239">
        <w:t>. T</w:t>
      </w:r>
      <w:r w:rsidR="008A0DB0" w:rsidRPr="00894314">
        <w:t>he current four year phase</w:t>
      </w:r>
      <w:r w:rsidR="003D4E83" w:rsidRPr="00894314">
        <w:t xml:space="preserve"> of </w:t>
      </w:r>
      <w:r w:rsidR="00CB3239">
        <w:t xml:space="preserve">this </w:t>
      </w:r>
      <w:r w:rsidR="008A0DB0" w:rsidRPr="00894314">
        <w:t>commenced in January 2012. Core</w:t>
      </w:r>
      <w:r w:rsidR="003D4E83" w:rsidRPr="00894314">
        <w:t xml:space="preserve"> elements of the program target</w:t>
      </w:r>
      <w:r w:rsidR="008A0DB0" w:rsidRPr="00894314">
        <w:t xml:space="preserve"> 38 poor or marginalised </w:t>
      </w:r>
      <w:r w:rsidR="003D4E83" w:rsidRPr="00894314">
        <w:t>t</w:t>
      </w:r>
      <w:r w:rsidR="008A0DB0" w:rsidRPr="00894314">
        <w:t xml:space="preserve">ownships (of over 300 </w:t>
      </w:r>
      <w:r w:rsidR="003D4E83" w:rsidRPr="00894314">
        <w:t>t</w:t>
      </w:r>
      <w:r w:rsidR="008A0DB0" w:rsidRPr="00894314">
        <w:t xml:space="preserve">ownships nationwide), and expand coverage of quality early childhood development services, improve teaching and school management, and </w:t>
      </w:r>
      <w:r w:rsidR="00B47DAB" w:rsidRPr="00894314">
        <w:t>provide</w:t>
      </w:r>
      <w:r w:rsidR="008A0DB0" w:rsidRPr="00894314">
        <w:t xml:space="preserve"> opportunities for second chance education for out-of-school children, as well as support to the</w:t>
      </w:r>
      <w:r w:rsidR="00B47DAB" w:rsidRPr="00894314">
        <w:t xml:space="preserve"> national-level reform agenda.</w:t>
      </w:r>
    </w:p>
    <w:p w14:paraId="1DDE7D1E" w14:textId="44D6E47C" w:rsidR="00DC514A" w:rsidRPr="00894314" w:rsidRDefault="00C649C6" w:rsidP="00A46BEB">
      <w:pPr>
        <w:pStyle w:val="ListBullet"/>
      </w:pPr>
      <w:r w:rsidRPr="00191F0C">
        <w:t>T</w:t>
      </w:r>
      <w:r w:rsidR="008A0DB0" w:rsidRPr="004D0A10">
        <w:t xml:space="preserve">he Myanmar Education Consortium, </w:t>
      </w:r>
      <w:r w:rsidRPr="004D0A10">
        <w:t xml:space="preserve">which is </w:t>
      </w:r>
      <w:r w:rsidR="008A0DB0" w:rsidRPr="004D0A10">
        <w:t>managed by</w:t>
      </w:r>
      <w:r w:rsidR="004B29E4">
        <w:t xml:space="preserve"> the</w:t>
      </w:r>
      <w:r w:rsidR="008A0DB0" w:rsidRPr="001B31D0">
        <w:t xml:space="preserve"> Burnet Institute, Save the Children, and World Vision, </w:t>
      </w:r>
      <w:r w:rsidR="008A0DB0" w:rsidRPr="004D0A10">
        <w:t>focus</w:t>
      </w:r>
      <w:r w:rsidRPr="004D0A10">
        <w:t xml:space="preserve">es </w:t>
      </w:r>
      <w:r w:rsidR="008A0DB0" w:rsidRPr="003D6AEF">
        <w:t>on improving quality and access in the non-formal sector and the monastic school system</w:t>
      </w:r>
      <w:r w:rsidR="00467819" w:rsidRPr="00894314">
        <w:t>, community schools and ethnic areas where education services are delivered outside of the national system</w:t>
      </w:r>
      <w:r w:rsidR="008A0DB0" w:rsidRPr="00894314">
        <w:t xml:space="preserve">. Around five per cent of students </w:t>
      </w:r>
      <w:r w:rsidR="00B47DAB" w:rsidRPr="00894314">
        <w:t xml:space="preserve">in </w:t>
      </w:r>
      <w:r w:rsidR="003710CF">
        <w:t>Burma</w:t>
      </w:r>
      <w:r w:rsidR="00B47DAB" w:rsidRPr="00894314">
        <w:t xml:space="preserve"> </w:t>
      </w:r>
      <w:r w:rsidR="008A0DB0" w:rsidRPr="00894314">
        <w:t>attend monastic or other schools that rec</w:t>
      </w:r>
      <w:r w:rsidR="00B47DAB" w:rsidRPr="00894314">
        <w:t>eive no support from government.</w:t>
      </w:r>
      <w:r w:rsidR="008A0DB0" w:rsidRPr="00894314">
        <w:t xml:space="preserve"> </w:t>
      </w:r>
      <w:r w:rsidR="00B47DAB" w:rsidRPr="00894314">
        <w:t>Children from</w:t>
      </w:r>
      <w:r w:rsidR="008A0DB0" w:rsidRPr="00894314">
        <w:t xml:space="preserve"> poorer region</w:t>
      </w:r>
      <w:r w:rsidR="00B47DAB" w:rsidRPr="00894314">
        <w:t>s are</w:t>
      </w:r>
      <w:r w:rsidR="008A0DB0" w:rsidRPr="00894314">
        <w:t xml:space="preserve"> more likely to be in these </w:t>
      </w:r>
      <w:r w:rsidR="00B47DAB" w:rsidRPr="00894314">
        <w:t>more poorly</w:t>
      </w:r>
      <w:r w:rsidR="005B5CA7" w:rsidRPr="00894314">
        <w:t xml:space="preserve">-resourced schools. </w:t>
      </w:r>
      <w:r>
        <w:t>I</w:t>
      </w:r>
      <w:r w:rsidRPr="002D479B">
        <w:t xml:space="preserve">mplementation </w:t>
      </w:r>
      <w:r>
        <w:t>of the c</w:t>
      </w:r>
      <w:r w:rsidR="00883598" w:rsidRPr="000A7230">
        <w:t xml:space="preserve">onsortium </w:t>
      </w:r>
      <w:r>
        <w:t>began</w:t>
      </w:r>
      <w:r w:rsidRPr="000A7230">
        <w:t xml:space="preserve"> </w:t>
      </w:r>
      <w:r w:rsidR="00883598" w:rsidRPr="00191F0C">
        <w:t>in the first half of 2013.</w:t>
      </w:r>
    </w:p>
    <w:p w14:paraId="7B729C92" w14:textId="171C0DB6" w:rsidR="008A0DB0" w:rsidRPr="001B31D0" w:rsidRDefault="00C649C6" w:rsidP="00A46BEB">
      <w:pPr>
        <w:pStyle w:val="ListBullet"/>
      </w:pPr>
      <w:r w:rsidRPr="00894314">
        <w:t>A</w:t>
      </w:r>
      <w:r w:rsidR="008A0DB0" w:rsidRPr="00894314">
        <w:t xml:space="preserve"> technical assistance and research program to harness the historic opportunity </w:t>
      </w:r>
      <w:r w:rsidR="00B47DAB" w:rsidRPr="00894314">
        <w:t>to deliver</w:t>
      </w:r>
      <w:r w:rsidR="008A0DB0" w:rsidRPr="00894314">
        <w:t xml:space="preserve"> major reform</w:t>
      </w:r>
      <w:r w:rsidR="00B47DAB" w:rsidRPr="00894314">
        <w:t>s</w:t>
      </w:r>
      <w:r w:rsidR="008A0DB0" w:rsidRPr="00894314">
        <w:t>. This component has leveraged the multi-donor education fund along with A</w:t>
      </w:r>
      <w:r>
        <w:t xml:space="preserve">sian </w:t>
      </w:r>
      <w:r w:rsidR="008A0DB0" w:rsidRPr="000A7230">
        <w:t>D</w:t>
      </w:r>
      <w:r>
        <w:t xml:space="preserve">evelopment </w:t>
      </w:r>
      <w:r w:rsidR="008A0DB0" w:rsidRPr="000A7230">
        <w:t>B</w:t>
      </w:r>
      <w:r>
        <w:t>ank</w:t>
      </w:r>
      <w:r w:rsidR="008A0DB0" w:rsidRPr="000A7230">
        <w:t xml:space="preserve"> and World Bank expertise to support a major government</w:t>
      </w:r>
      <w:r w:rsidR="00B47DAB" w:rsidRPr="001B31D0">
        <w:t xml:space="preserve"> rev</w:t>
      </w:r>
      <w:r w:rsidR="00B47DAB" w:rsidRPr="00191F0C">
        <w:t xml:space="preserve">iew of education. </w:t>
      </w:r>
      <w:r w:rsidR="008A0DB0" w:rsidRPr="004D0A10">
        <w:t xml:space="preserve">A </w:t>
      </w:r>
      <w:r w:rsidR="00B47DAB" w:rsidRPr="004D0A10">
        <w:t>‘</w:t>
      </w:r>
      <w:r w:rsidR="008A0DB0" w:rsidRPr="004D0A10">
        <w:t>food for education</w:t>
      </w:r>
      <w:r w:rsidR="00B47DAB" w:rsidRPr="003D6AEF">
        <w:t>’</w:t>
      </w:r>
      <w:r w:rsidR="008A0DB0" w:rsidRPr="003D6AEF">
        <w:t xml:space="preserve"> </w:t>
      </w:r>
      <w:r w:rsidR="00B47DAB" w:rsidRPr="00497DDE">
        <w:t xml:space="preserve">school feeding </w:t>
      </w:r>
      <w:r w:rsidR="008A0DB0" w:rsidRPr="00497DDE">
        <w:t xml:space="preserve">component </w:t>
      </w:r>
      <w:r w:rsidR="00B47DAB" w:rsidRPr="00497DDE">
        <w:t xml:space="preserve">will also be delivered through </w:t>
      </w:r>
      <w:r>
        <w:t xml:space="preserve">the </w:t>
      </w:r>
      <w:r w:rsidR="00B47DAB" w:rsidRPr="000A7230">
        <w:t>W</w:t>
      </w:r>
      <w:r>
        <w:t xml:space="preserve">orld </w:t>
      </w:r>
      <w:r w:rsidR="00B47DAB" w:rsidRPr="000A7230">
        <w:t>F</w:t>
      </w:r>
      <w:r>
        <w:t xml:space="preserve">ood </w:t>
      </w:r>
      <w:r w:rsidR="0061615E" w:rsidRPr="001B31D0">
        <w:t>P</w:t>
      </w:r>
      <w:r w:rsidR="0061615E">
        <w:t>rogramme</w:t>
      </w:r>
      <w:r w:rsidR="008A0DB0" w:rsidRPr="000A7230">
        <w:t>.</w:t>
      </w:r>
      <w:r w:rsidR="00883598" w:rsidRPr="001B31D0">
        <w:t xml:space="preserve"> This component will improve primary school access and retention by providing food at school and take-home rations to children in foo</w:t>
      </w:r>
      <w:r w:rsidR="00883598" w:rsidRPr="00191F0C">
        <w:t>d insecure areas that fall below the national average for enrolmen</w:t>
      </w:r>
      <w:r w:rsidR="00883598" w:rsidRPr="004D0A10">
        <w:t>t and retention. Australia’s 2012</w:t>
      </w:r>
      <w:r>
        <w:t>–</w:t>
      </w:r>
      <w:r w:rsidR="00883598" w:rsidRPr="000A7230">
        <w:t>13</w:t>
      </w:r>
      <w:r w:rsidR="00883598" w:rsidRPr="001B31D0">
        <w:t xml:space="preserve"> contribution will reach 37</w:t>
      </w:r>
      <w:r>
        <w:t xml:space="preserve"> </w:t>
      </w:r>
      <w:r w:rsidR="00883598" w:rsidRPr="000A7230">
        <w:t>500 children.</w:t>
      </w:r>
    </w:p>
    <w:p w14:paraId="65501469" w14:textId="22F40A29" w:rsidR="0098790E" w:rsidRDefault="008A0DB0" w:rsidP="00A46BEB">
      <w:pPr>
        <w:pStyle w:val="BodyText"/>
      </w:pPr>
      <w:r w:rsidRPr="008A0DB0">
        <w:t>Aus</w:t>
      </w:r>
      <w:r w:rsidR="00B47DAB">
        <w:t>tralia</w:t>
      </w:r>
      <w:r w:rsidRPr="008A0DB0">
        <w:t xml:space="preserve"> is the lead donor in the education sector, </w:t>
      </w:r>
      <w:r w:rsidR="00B47DAB">
        <w:t>in partnership</w:t>
      </w:r>
      <w:r w:rsidRPr="008A0DB0">
        <w:t xml:space="preserve"> with </w:t>
      </w:r>
      <w:r w:rsidR="00C649C6">
        <w:t xml:space="preserve">the </w:t>
      </w:r>
      <w:r w:rsidR="00C649C6" w:rsidRPr="00C02C82">
        <w:t>United Nations Children’s Fund</w:t>
      </w:r>
      <w:r w:rsidR="00C649C6">
        <w:t xml:space="preserve"> </w:t>
      </w:r>
      <w:r w:rsidR="00B47DAB">
        <w:t>as the major implementing agency</w:t>
      </w:r>
      <w:r w:rsidRPr="008A0DB0">
        <w:t xml:space="preserve">. This role sees us making a major contribution to the aid effectiveness agenda through </w:t>
      </w:r>
      <w:r w:rsidR="00B47DAB">
        <w:t xml:space="preserve">the </w:t>
      </w:r>
      <w:r w:rsidRPr="008A0DB0">
        <w:t xml:space="preserve">frequency and depth of </w:t>
      </w:r>
      <w:r w:rsidR="00B47DAB">
        <w:t xml:space="preserve">our </w:t>
      </w:r>
      <w:r w:rsidRPr="008A0DB0">
        <w:t>engagement with government and other stakeholders</w:t>
      </w:r>
      <w:r w:rsidR="0098790E">
        <w:t>,</w:t>
      </w:r>
      <w:r w:rsidRPr="008A0DB0">
        <w:t xml:space="preserve"> including parli</w:t>
      </w:r>
      <w:r w:rsidR="00B47DAB">
        <w:t>amentarians and civil society organisations.</w:t>
      </w:r>
      <w:r w:rsidR="004C7ED2">
        <w:t xml:space="preserve"> In accordance with</w:t>
      </w:r>
      <w:r w:rsidRPr="008A0DB0">
        <w:t xml:space="preserve"> the scope and pace of </w:t>
      </w:r>
      <w:r w:rsidR="004C7ED2">
        <w:t>education</w:t>
      </w:r>
      <w:r w:rsidRPr="008A0DB0">
        <w:t xml:space="preserve"> reform, and Aus</w:t>
      </w:r>
      <w:r w:rsidR="004C7ED2">
        <w:t>tralia</w:t>
      </w:r>
      <w:r w:rsidRPr="008A0DB0">
        <w:t xml:space="preserve">’s ability to respond flexibly to these opportunities, </w:t>
      </w:r>
      <w:r w:rsidR="00007B18">
        <w:t>p</w:t>
      </w:r>
      <w:r w:rsidR="00007B18" w:rsidRPr="00007B18">
        <w:t xml:space="preserve">rogress </w:t>
      </w:r>
      <w:r w:rsidR="00007B18">
        <w:t xml:space="preserve">against this objective </w:t>
      </w:r>
      <w:r w:rsidR="00007B18" w:rsidRPr="00007B18">
        <w:t xml:space="preserve">is </w:t>
      </w:r>
      <w:r w:rsidR="00007B18" w:rsidRPr="00007B18">
        <w:lastRenderedPageBreak/>
        <w:t xml:space="preserve">as expected for this point in time and it is likely </w:t>
      </w:r>
      <w:r w:rsidR="00007B18">
        <w:t>to</w:t>
      </w:r>
      <w:r w:rsidR="00007B18" w:rsidRPr="00007B18">
        <w:t xml:space="preserve"> be achieved</w:t>
      </w:r>
      <w:r w:rsidR="0098790E">
        <w:t>––</w:t>
      </w:r>
      <w:r w:rsidR="00195B83">
        <w:t>an improvement since the last reporting period</w:t>
      </w:r>
      <w:r w:rsidRPr="008A0DB0">
        <w:t>.</w:t>
      </w:r>
      <w:r w:rsidR="005B5CA7">
        <w:t xml:space="preserve"> </w:t>
      </w:r>
      <w:r w:rsidRPr="008A0DB0">
        <w:t xml:space="preserve">All core elements of the </w:t>
      </w:r>
      <w:r w:rsidR="0098790E" w:rsidRPr="00C02C82">
        <w:t>United Nations Children’s Fund</w:t>
      </w:r>
      <w:r w:rsidRPr="008A0DB0">
        <w:t>-led Quality Basic Education Programme commenced in 2012, delivering major benefits to school children. These include</w:t>
      </w:r>
      <w:r w:rsidR="0098790E">
        <w:t>d:</w:t>
      </w:r>
    </w:p>
    <w:p w14:paraId="4CC1D226" w14:textId="6EDFBA1A" w:rsidR="0098790E" w:rsidRDefault="00077F5C" w:rsidP="00A46BEB">
      <w:pPr>
        <w:pStyle w:val="ListBullet"/>
      </w:pPr>
      <w:r>
        <w:t xml:space="preserve">distributing </w:t>
      </w:r>
      <w:r w:rsidR="008A0DB0" w:rsidRPr="003D6AEF">
        <w:t>essential learning packages</w:t>
      </w:r>
      <w:r w:rsidR="008A0DB0" w:rsidRPr="00497DDE">
        <w:t xml:space="preserve"> of textbooks and basic learning materials </w:t>
      </w:r>
      <w:r w:rsidR="008A0DB0" w:rsidRPr="00894314">
        <w:t xml:space="preserve">in 28 targeted townships (including three in northern </w:t>
      </w:r>
      <w:proofErr w:type="spellStart"/>
      <w:r w:rsidR="008A0DB0" w:rsidRPr="00894314">
        <w:t>Rakhine</w:t>
      </w:r>
      <w:proofErr w:type="spellEnd"/>
      <w:r w:rsidR="008A0DB0" w:rsidRPr="00894314">
        <w:t xml:space="preserve"> State) as school opened in June 2012</w:t>
      </w:r>
    </w:p>
    <w:p w14:paraId="1BF4F03B" w14:textId="33C063E8" w:rsidR="0098790E" w:rsidRDefault="008A0DB0" w:rsidP="00A46BEB">
      <w:pPr>
        <w:pStyle w:val="ListBullet"/>
      </w:pPr>
      <w:r w:rsidRPr="000A7230">
        <w:t>trai</w:t>
      </w:r>
      <w:r w:rsidR="005B748C" w:rsidRPr="001B31D0">
        <w:t xml:space="preserve">ning and mentoring </w:t>
      </w:r>
      <w:r w:rsidR="005B748C" w:rsidRPr="004D0A10">
        <w:t>teachers,</w:t>
      </w:r>
      <w:r w:rsidRPr="004D0A10">
        <w:t xml:space="preserve"> particularly heads of school</w:t>
      </w:r>
      <w:r w:rsidR="005B748C" w:rsidRPr="003D6AEF">
        <w:t xml:space="preserve"> </w:t>
      </w:r>
    </w:p>
    <w:p w14:paraId="108D09A7" w14:textId="76C597D1" w:rsidR="008A0DB0" w:rsidRPr="00894314" w:rsidRDefault="008A0DB0" w:rsidP="00A46BEB">
      <w:pPr>
        <w:pStyle w:val="ListBullet"/>
      </w:pPr>
      <w:proofErr w:type="gramStart"/>
      <w:r w:rsidRPr="000A7230">
        <w:t>support</w:t>
      </w:r>
      <w:r w:rsidR="0098790E">
        <w:t>ing</w:t>
      </w:r>
      <w:proofErr w:type="gramEnd"/>
      <w:r w:rsidRPr="000A7230">
        <w:t xml:space="preserve"> </w:t>
      </w:r>
      <w:r w:rsidRPr="00191F0C">
        <w:t>exp</w:t>
      </w:r>
      <w:r w:rsidR="005B748C" w:rsidRPr="004D0A10">
        <w:t>a</w:t>
      </w:r>
      <w:r w:rsidRPr="004D0A10">
        <w:t>nded and higher quality early childhood education t</w:t>
      </w:r>
      <w:r w:rsidR="00B47DAB" w:rsidRPr="004D0A10">
        <w:t>hat improves school-readiness.</w:t>
      </w:r>
    </w:p>
    <w:p w14:paraId="6805F1A0" w14:textId="3140F30D" w:rsidR="005B748C" w:rsidRDefault="008A0DB0" w:rsidP="00A46BEB">
      <w:pPr>
        <w:pStyle w:val="BodyText"/>
      </w:pPr>
      <w:r w:rsidRPr="008A0DB0">
        <w:t xml:space="preserve">There is evidence this investment is already </w:t>
      </w:r>
      <w:r w:rsidR="00077F5C">
        <w:t>achieving results</w:t>
      </w:r>
      <w:r w:rsidRPr="008A0DB0">
        <w:t>, despite the cha</w:t>
      </w:r>
      <w:r w:rsidR="005B748C">
        <w:t>llenging operating environment. I</w:t>
      </w:r>
      <w:r w:rsidRPr="008A0DB0">
        <w:t xml:space="preserve">nitial reports from </w:t>
      </w:r>
      <w:r w:rsidR="0098790E">
        <w:t xml:space="preserve">the </w:t>
      </w:r>
      <w:r w:rsidR="0098790E" w:rsidRPr="00C02C82">
        <w:t>United Nations Children’s Fund</w:t>
      </w:r>
      <w:r w:rsidR="0098790E" w:rsidRPr="008A0DB0" w:rsidDel="0098790E">
        <w:t xml:space="preserve"> </w:t>
      </w:r>
      <w:r w:rsidRPr="008A0DB0">
        <w:t xml:space="preserve">suggest that </w:t>
      </w:r>
      <w:r w:rsidR="005B748C" w:rsidRPr="008A0DB0">
        <w:t>in many townships</w:t>
      </w:r>
      <w:r w:rsidR="005B748C">
        <w:t xml:space="preserve"> </w:t>
      </w:r>
      <w:r w:rsidRPr="008A0DB0">
        <w:t>enrolment increased by</w:t>
      </w:r>
      <w:r w:rsidR="005B748C">
        <w:t xml:space="preserve"> </w:t>
      </w:r>
      <w:r w:rsidR="0098790E">
        <w:t>two to eight</w:t>
      </w:r>
      <w:r w:rsidRPr="008A0DB0">
        <w:t xml:space="preserve"> per cent between the 2</w:t>
      </w:r>
      <w:r w:rsidR="005B748C">
        <w:t>011</w:t>
      </w:r>
      <w:r w:rsidR="0098790E">
        <w:t>–</w:t>
      </w:r>
      <w:r w:rsidR="005B748C">
        <w:t>12 and 2012</w:t>
      </w:r>
      <w:r w:rsidR="0098790E">
        <w:t>–</w:t>
      </w:r>
      <w:r w:rsidR="005B748C">
        <w:t>13 school years</w:t>
      </w:r>
      <w:r w:rsidR="0098790E">
        <w:t>.</w:t>
      </w:r>
      <w:r w:rsidR="00007B18">
        <w:rPr>
          <w:rStyle w:val="FootnoteReference"/>
        </w:rPr>
        <w:footnoteReference w:id="11"/>
      </w:r>
      <w:r w:rsidRPr="008A0DB0">
        <w:t xml:space="preserve"> </w:t>
      </w:r>
      <w:r w:rsidR="005B748C">
        <w:t>T</w:t>
      </w:r>
      <w:r w:rsidRPr="008A0DB0">
        <w:t>hese increases will need to be verified in future reporting as the program matures. Monitoring visits have identified evidence of more interactive and effective teaching and learning in primary classrooms.</w:t>
      </w:r>
      <w:r w:rsidR="005B5CA7">
        <w:t xml:space="preserve"> </w:t>
      </w:r>
      <w:r w:rsidR="005B748C" w:rsidRPr="008A0DB0">
        <w:t>We recognise however</w:t>
      </w:r>
      <w:r w:rsidRPr="008A0DB0">
        <w:t xml:space="preserve">, the limitations of this form of program delivery. A 2012 baseline study on classroom practices highlighted how changing the emphasis </w:t>
      </w:r>
      <w:r w:rsidR="005B748C">
        <w:t>from</w:t>
      </w:r>
      <w:r w:rsidRPr="008A0DB0">
        <w:t xml:space="preserve"> choral drills and rote memorisation as key learning strategies remains a major challenge. </w:t>
      </w:r>
      <w:r w:rsidR="0098790E">
        <w:t xml:space="preserve">The </w:t>
      </w:r>
      <w:r w:rsidR="0098790E" w:rsidRPr="00C02C82">
        <w:t>United Nations Children’s Fund</w:t>
      </w:r>
      <w:r w:rsidRPr="008A0DB0">
        <w:t xml:space="preserve"> notes that training workshops alone will not be enough for lasting system-wide change. Major policy reforms are needed in te</w:t>
      </w:r>
      <w:r w:rsidR="005B748C">
        <w:t>acher education and curriculum.</w:t>
      </w:r>
    </w:p>
    <w:p w14:paraId="52FC3608" w14:textId="03083733" w:rsidR="005B748C" w:rsidRDefault="008A0DB0" w:rsidP="00A46BEB">
      <w:pPr>
        <w:pStyle w:val="BodyText"/>
      </w:pPr>
      <w:r w:rsidRPr="008A0DB0">
        <w:t>The Myanmar Education Consortium was to commence in late 2012 but mobilisation was delayed until February 2013 to finalise the design and streamline administrative arrangements</w:t>
      </w:r>
      <w:r w:rsidR="0098790E">
        <w:t>,</w:t>
      </w:r>
      <w:r w:rsidRPr="008A0DB0">
        <w:t xml:space="preserve"> including delegated cooperation from </w:t>
      </w:r>
      <w:r w:rsidR="005B748C">
        <w:t>the U</w:t>
      </w:r>
      <w:r w:rsidR="0098790E">
        <w:t xml:space="preserve">nited </w:t>
      </w:r>
      <w:r w:rsidR="005B748C">
        <w:t>K</w:t>
      </w:r>
      <w:r w:rsidR="0098790E">
        <w:t>ingdom</w:t>
      </w:r>
      <w:r w:rsidRPr="008A0DB0">
        <w:t>. The result is expected to be a more efficient and effective program once full</w:t>
      </w:r>
      <w:r w:rsidR="005B748C">
        <w:t>y</w:t>
      </w:r>
      <w:r w:rsidRPr="008A0DB0">
        <w:t xml:space="preserve"> implement</w:t>
      </w:r>
      <w:r w:rsidR="005B748C">
        <w:t>ed</w:t>
      </w:r>
      <w:r w:rsidRPr="008A0DB0">
        <w:t xml:space="preserve"> in the next reporting period. This work in the non-formal and monastic schools will complement the predominantly government-centric work </w:t>
      </w:r>
      <w:r w:rsidR="005B748C">
        <w:t xml:space="preserve">undertaken </w:t>
      </w:r>
      <w:r w:rsidRPr="008A0DB0">
        <w:t xml:space="preserve">by </w:t>
      </w:r>
      <w:r w:rsidR="0098790E">
        <w:t xml:space="preserve">the </w:t>
      </w:r>
      <w:r w:rsidR="0098790E" w:rsidRPr="00C02C82">
        <w:t>United Nations Children’s Fund</w:t>
      </w:r>
      <w:r w:rsidRPr="008A0DB0">
        <w:t xml:space="preserve">. An important challenge for </w:t>
      </w:r>
      <w:r w:rsidR="00836AF0">
        <w:t xml:space="preserve">the department </w:t>
      </w:r>
      <w:r w:rsidRPr="008A0DB0">
        <w:t>is to ensure these two investments are well coordinated and continue to complement each other in the rapid</w:t>
      </w:r>
      <w:r w:rsidR="005B748C">
        <w:t>ly evolving policy environment.</w:t>
      </w:r>
    </w:p>
    <w:p w14:paraId="2CF59BC8" w14:textId="74272129" w:rsidR="008A0DB0" w:rsidRDefault="005B5CA7" w:rsidP="00A46BEB">
      <w:pPr>
        <w:pStyle w:val="BodyText"/>
      </w:pPr>
      <w:r>
        <w:t>Australia is supporting</w:t>
      </w:r>
      <w:r w:rsidR="008A0DB0" w:rsidRPr="008A0DB0">
        <w:t xml:space="preserve"> </w:t>
      </w:r>
      <w:r w:rsidR="003710CF">
        <w:t>Burma</w:t>
      </w:r>
      <w:r>
        <w:t>’s</w:t>
      </w:r>
      <w:r w:rsidR="008A0DB0" w:rsidRPr="008A0DB0">
        <w:t xml:space="preserve"> Comprehensive Education Sector Review</w:t>
      </w:r>
      <w:r>
        <w:t>,</w:t>
      </w:r>
      <w:r w:rsidR="008A0DB0" w:rsidRPr="008A0DB0">
        <w:t xml:space="preserve"> </w:t>
      </w:r>
      <w:r w:rsidR="0098790E">
        <w:t xml:space="preserve">which was </w:t>
      </w:r>
      <w:r>
        <w:t>a</w:t>
      </w:r>
      <w:r w:rsidR="00A565AF">
        <w:t xml:space="preserve">greed </w:t>
      </w:r>
      <w:r>
        <w:t>in February 2012</w:t>
      </w:r>
      <w:r w:rsidR="008A0DB0" w:rsidRPr="008A0DB0">
        <w:t xml:space="preserve">. We </w:t>
      </w:r>
      <w:r>
        <w:t>used</w:t>
      </w:r>
      <w:r w:rsidR="008A0DB0" w:rsidRPr="008A0DB0">
        <w:t xml:space="preserve"> flexible elements in our existing multi-donor fund, planned technical assistance and research program, and donor leadership to </w:t>
      </w:r>
      <w:r w:rsidR="00573C1D">
        <w:t>deliver on this Myanmar Government priority</w:t>
      </w:r>
      <w:r w:rsidR="008A0DB0" w:rsidRPr="008A0DB0">
        <w:t>. This process has positioned the education sector at the forefront of good development practice at a critical tim</w:t>
      </w:r>
      <w:r w:rsidR="005B748C">
        <w:t xml:space="preserve">e in </w:t>
      </w:r>
      <w:r w:rsidR="003710CF">
        <w:t>Burma</w:t>
      </w:r>
      <w:r w:rsidR="005B748C">
        <w:t>’s reform process.</w:t>
      </w:r>
      <w:r>
        <w:t xml:space="preserve"> </w:t>
      </w:r>
      <w:r w:rsidR="008A0DB0" w:rsidRPr="008A0DB0">
        <w:t xml:space="preserve">An initial rapid assessment phase of the </w:t>
      </w:r>
      <w:r w:rsidR="0098790E">
        <w:t>r</w:t>
      </w:r>
      <w:r w:rsidR="0098790E" w:rsidRPr="008A0DB0">
        <w:t>eview</w:t>
      </w:r>
      <w:r w:rsidR="0098790E">
        <w:t xml:space="preserve"> was</w:t>
      </w:r>
      <w:r w:rsidR="0098790E" w:rsidRPr="008A0DB0">
        <w:t xml:space="preserve"> </w:t>
      </w:r>
      <w:r>
        <w:t>finalised</w:t>
      </w:r>
      <w:r w:rsidR="008A0DB0" w:rsidRPr="008A0DB0">
        <w:t xml:space="preserve"> in May 2013</w:t>
      </w:r>
      <w:r w:rsidR="0098790E">
        <w:t xml:space="preserve"> and</w:t>
      </w:r>
      <w:r w:rsidR="008A0DB0" w:rsidRPr="008A0DB0">
        <w:t xml:space="preserve"> is frank about the dire state of the sector</w:t>
      </w:r>
      <w:r w:rsidR="0098790E">
        <w:t>. It</w:t>
      </w:r>
      <w:r w:rsidR="008A0DB0" w:rsidRPr="008A0DB0">
        <w:t xml:space="preserve"> makes wide-ranging recommendations</w:t>
      </w:r>
      <w:r>
        <w:t>,</w:t>
      </w:r>
      <w:r w:rsidR="008A0DB0" w:rsidRPr="008A0DB0">
        <w:t xml:space="preserve"> including </w:t>
      </w:r>
      <w:r w:rsidR="00573C1D">
        <w:t>for major increases in the</w:t>
      </w:r>
      <w:r w:rsidR="008A0DB0" w:rsidRPr="008A0DB0">
        <w:t xml:space="preserve"> education budget as well as initiatives to reduce the private cost of schooling. A second phase of analysis </w:t>
      </w:r>
      <w:r w:rsidR="00573C1D">
        <w:t>will</w:t>
      </w:r>
      <w:r w:rsidR="008A0DB0" w:rsidRPr="008A0DB0">
        <w:t xml:space="preserve"> be completed by December 2013, informing a costed sector plan ready for mid-2014 to match the governme</w:t>
      </w:r>
      <w:r w:rsidR="00573C1D">
        <w:t>nt’s planning cycle. The</w:t>
      </w:r>
      <w:r w:rsidR="008A0DB0" w:rsidRPr="008A0DB0">
        <w:t xml:space="preserve"> potential reward of greater evidence-based policy development does come with som</w:t>
      </w:r>
      <w:r w:rsidR="00B36C1A">
        <w:t xml:space="preserve">e risk. </w:t>
      </w:r>
      <w:r w:rsidR="00CB3239">
        <w:t>K</w:t>
      </w:r>
      <w:r w:rsidR="00B36C1A">
        <w:t>ey stakeholders can</w:t>
      </w:r>
      <w:r w:rsidR="008A0DB0" w:rsidRPr="008A0DB0">
        <w:t xml:space="preserve"> becom</w:t>
      </w:r>
      <w:r w:rsidR="00B36C1A">
        <w:t>e</w:t>
      </w:r>
      <w:r w:rsidR="008A0DB0" w:rsidRPr="008A0DB0">
        <w:t xml:space="preserve"> frustrated by the time it tak</w:t>
      </w:r>
      <w:r w:rsidR="00B36C1A">
        <w:t>es to develop the evidence base</w:t>
      </w:r>
      <w:r w:rsidR="008A0DB0" w:rsidRPr="008A0DB0">
        <w:t xml:space="preserve"> and </w:t>
      </w:r>
      <w:r w:rsidR="00B36C1A">
        <w:t>an</w:t>
      </w:r>
      <w:r w:rsidR="008A0DB0" w:rsidRPr="008A0DB0">
        <w:t xml:space="preserve"> apparent lack of results on the ground.</w:t>
      </w:r>
      <w:r w:rsidR="0061615E">
        <w:t xml:space="preserve"> </w:t>
      </w:r>
      <w:r w:rsidR="00573C1D">
        <w:t>Australia is</w:t>
      </w:r>
      <w:r w:rsidR="008A0DB0" w:rsidRPr="008A0DB0">
        <w:t xml:space="preserve"> mindful of this tension between rigour and delivery and </w:t>
      </w:r>
      <w:r w:rsidR="00573C1D">
        <w:t xml:space="preserve">is </w:t>
      </w:r>
      <w:r w:rsidR="008A0DB0" w:rsidRPr="008A0DB0">
        <w:t>ensur</w:t>
      </w:r>
      <w:r w:rsidR="00573C1D">
        <w:t>ing that</w:t>
      </w:r>
      <w:r w:rsidR="008A0DB0" w:rsidRPr="008A0DB0">
        <w:t xml:space="preserve"> the results </w:t>
      </w:r>
      <w:r w:rsidR="00573C1D">
        <w:t xml:space="preserve">and benefits of this </w:t>
      </w:r>
      <w:r w:rsidR="008A0DB0" w:rsidRPr="008A0DB0">
        <w:t xml:space="preserve">work are </w:t>
      </w:r>
      <w:r w:rsidR="00573C1D">
        <w:t>widely</w:t>
      </w:r>
      <w:r w:rsidR="008A0DB0" w:rsidRPr="008A0DB0">
        <w:t xml:space="preserve"> communicated.</w:t>
      </w:r>
    </w:p>
    <w:p w14:paraId="18202DD5" w14:textId="768DAC0E" w:rsidR="008A0DB0" w:rsidRDefault="008A0DB0" w:rsidP="00A46BEB">
      <w:pPr>
        <w:pStyle w:val="BodyText"/>
      </w:pPr>
      <w:r w:rsidRPr="008A0DB0">
        <w:t xml:space="preserve">The </w:t>
      </w:r>
      <w:r w:rsidR="0098790E">
        <w:t>Myanmar</w:t>
      </w:r>
      <w:r w:rsidR="0098790E" w:rsidRPr="008A0DB0">
        <w:t xml:space="preserve"> </w:t>
      </w:r>
      <w:r w:rsidRPr="008A0DB0">
        <w:t>Government</w:t>
      </w:r>
      <w:r w:rsidR="00894314">
        <w:t>’s</w:t>
      </w:r>
      <w:r w:rsidR="0098790E">
        <w:t xml:space="preserve"> </w:t>
      </w:r>
      <w:r w:rsidR="00573C1D">
        <w:t xml:space="preserve">welcome </w:t>
      </w:r>
      <w:r w:rsidRPr="008A0DB0">
        <w:t xml:space="preserve">openness to </w:t>
      </w:r>
      <w:r w:rsidR="00573C1D">
        <w:t xml:space="preserve">policy </w:t>
      </w:r>
      <w:r w:rsidR="00573C1D" w:rsidRPr="008A0DB0">
        <w:t>dialogue</w:t>
      </w:r>
      <w:r w:rsidR="00935FA3">
        <w:t xml:space="preserve"> </w:t>
      </w:r>
      <w:r w:rsidR="00573C1D" w:rsidRPr="008A0DB0">
        <w:t xml:space="preserve">and </w:t>
      </w:r>
      <w:r w:rsidR="0098790E">
        <w:t xml:space="preserve">its </w:t>
      </w:r>
      <w:r w:rsidR="00573C1D">
        <w:t>new partners</w:t>
      </w:r>
      <w:r w:rsidRPr="008A0DB0">
        <w:t xml:space="preserve"> </w:t>
      </w:r>
      <w:r w:rsidR="00935FA3">
        <w:t>in</w:t>
      </w:r>
      <w:r w:rsidRPr="008A0DB0">
        <w:t xml:space="preserve"> education </w:t>
      </w:r>
      <w:r w:rsidR="0098790E">
        <w:t xml:space="preserve">have </w:t>
      </w:r>
      <w:r w:rsidR="00573C1D">
        <w:t>increased the importance of</w:t>
      </w:r>
      <w:r w:rsidRPr="008A0DB0">
        <w:t xml:space="preserve"> donor coordination </w:t>
      </w:r>
      <w:r w:rsidR="00573C1D">
        <w:t>in the sector</w:t>
      </w:r>
      <w:r w:rsidRPr="008A0DB0">
        <w:t xml:space="preserve">. </w:t>
      </w:r>
      <w:r w:rsidR="00573C1D">
        <w:t>Australia</w:t>
      </w:r>
      <w:r w:rsidRPr="008A0DB0">
        <w:t xml:space="preserve"> </w:t>
      </w:r>
      <w:r w:rsidR="0098790E">
        <w:t>helped</w:t>
      </w:r>
      <w:r w:rsidRPr="008A0DB0">
        <w:t xml:space="preserve"> establish a </w:t>
      </w:r>
      <w:r w:rsidR="0098790E" w:rsidRPr="008A0DB0">
        <w:t xml:space="preserve">development partner coordination group </w:t>
      </w:r>
      <w:r w:rsidRPr="008A0DB0">
        <w:t xml:space="preserve">in 2012, which meets </w:t>
      </w:r>
      <w:r w:rsidR="00B36C1A" w:rsidRPr="008A0DB0">
        <w:t xml:space="preserve">regularly </w:t>
      </w:r>
      <w:r w:rsidRPr="008A0DB0">
        <w:t xml:space="preserve">to develop </w:t>
      </w:r>
      <w:r w:rsidRPr="008A0DB0">
        <w:lastRenderedPageBreak/>
        <w:t xml:space="preserve">coordinated </w:t>
      </w:r>
      <w:r w:rsidR="00B36C1A">
        <w:t xml:space="preserve">policy positions and </w:t>
      </w:r>
      <w:r w:rsidR="00573C1D">
        <w:t>advocacy</w:t>
      </w:r>
      <w:r w:rsidR="00912360">
        <w:t xml:space="preserve"> </w:t>
      </w:r>
      <w:r w:rsidR="00573C1D">
        <w:t xml:space="preserve">with the </w:t>
      </w:r>
      <w:r w:rsidR="0098790E">
        <w:t>g</w:t>
      </w:r>
      <w:r w:rsidR="0098790E" w:rsidRPr="008A0DB0">
        <w:t>ove</w:t>
      </w:r>
      <w:r w:rsidR="0098790E">
        <w:t xml:space="preserve">rnment </w:t>
      </w:r>
      <w:r w:rsidR="00573C1D">
        <w:t xml:space="preserve">and other stakeholders. </w:t>
      </w:r>
      <w:r w:rsidRPr="008A0DB0">
        <w:t xml:space="preserve">Our donor leadership </w:t>
      </w:r>
      <w:r w:rsidR="00573C1D">
        <w:t>has an impact</w:t>
      </w:r>
      <w:r w:rsidRPr="008A0DB0">
        <w:t xml:space="preserve"> beyond o</w:t>
      </w:r>
      <w:r w:rsidR="00B36C1A">
        <w:t>ur basic education investments.</w:t>
      </w:r>
      <w:r w:rsidRPr="008A0DB0">
        <w:t xml:space="preserve"> For example</w:t>
      </w:r>
      <w:r w:rsidR="00573C1D">
        <w:t>,</w:t>
      </w:r>
      <w:r w:rsidRPr="008A0DB0">
        <w:t xml:space="preserve"> our consistent advocacy </w:t>
      </w:r>
      <w:r w:rsidR="00935FA3">
        <w:t xml:space="preserve">to improve </w:t>
      </w:r>
      <w:r w:rsidRPr="008A0DB0">
        <w:t xml:space="preserve">policy on language of instruction </w:t>
      </w:r>
      <w:r w:rsidR="00912360">
        <w:t>has</w:t>
      </w:r>
      <w:r w:rsidRPr="008A0DB0">
        <w:t xml:space="preserve"> seen a clear shift to broaden </w:t>
      </w:r>
      <w:r w:rsidR="00173AC8">
        <w:t>uptake in</w:t>
      </w:r>
      <w:r w:rsidRPr="008A0DB0">
        <w:t xml:space="preserve"> </w:t>
      </w:r>
      <w:r w:rsidR="003710CF">
        <w:t>Burma</w:t>
      </w:r>
      <w:r w:rsidR="00912360">
        <w:t>,</w:t>
      </w:r>
      <w:r w:rsidRPr="008A0DB0">
        <w:t xml:space="preserve"> </w:t>
      </w:r>
      <w:r w:rsidR="00935FA3">
        <w:t>and</w:t>
      </w:r>
      <w:r w:rsidRPr="008A0DB0">
        <w:t xml:space="preserve"> enable </w:t>
      </w:r>
      <w:r w:rsidR="0098790E">
        <w:t>local language</w:t>
      </w:r>
      <w:r w:rsidRPr="008A0DB0">
        <w:t xml:space="preserve"> instruction in ethnic areas.</w:t>
      </w:r>
      <w:r w:rsidR="00912360">
        <w:t xml:space="preserve"> Beyond basic education, Australia</w:t>
      </w:r>
      <w:r w:rsidRPr="008A0DB0">
        <w:t xml:space="preserve"> responded </w:t>
      </w:r>
      <w:r w:rsidR="00912360" w:rsidRPr="008A0DB0">
        <w:t xml:space="preserve">rapidly </w:t>
      </w:r>
      <w:r w:rsidRPr="008A0DB0">
        <w:t xml:space="preserve">to a request from </w:t>
      </w:r>
      <w:r w:rsidR="00935FA3">
        <w:t xml:space="preserve">the </w:t>
      </w:r>
      <w:r w:rsidR="00935FA3" w:rsidRPr="00935FA3">
        <w:t>Chair of the Parliamentary Committee for Revitalisation of Yangon University</w:t>
      </w:r>
      <w:r w:rsidR="00935FA3">
        <w:t xml:space="preserve"> </w:t>
      </w:r>
      <w:r w:rsidRPr="008A0DB0">
        <w:t>to help develop a master plan to revit</w:t>
      </w:r>
      <w:r w:rsidR="00912360">
        <w:t xml:space="preserve">alise </w:t>
      </w:r>
      <w:r w:rsidR="00935FA3">
        <w:t>the u</w:t>
      </w:r>
      <w:r w:rsidR="00912360">
        <w:t xml:space="preserve">niversity. </w:t>
      </w:r>
      <w:r w:rsidR="00A301A1">
        <w:t xml:space="preserve"> The </w:t>
      </w:r>
      <w:r w:rsidR="0098790E" w:rsidRPr="008A0DB0">
        <w:t>principal education adviser</w:t>
      </w:r>
      <w:r w:rsidR="00A301A1">
        <w:t xml:space="preserve"> for the Australian aid program</w:t>
      </w:r>
      <w:r w:rsidR="0098790E" w:rsidRPr="008A0DB0">
        <w:t xml:space="preserve"> </w:t>
      </w:r>
      <w:r w:rsidRPr="008A0DB0">
        <w:t>facilitate</w:t>
      </w:r>
      <w:r w:rsidR="00912360">
        <w:t>d</w:t>
      </w:r>
      <w:r w:rsidRPr="008A0DB0">
        <w:t xml:space="preserve"> a highly regarded workshop with senior parliamentary officials.</w:t>
      </w:r>
    </w:p>
    <w:p w14:paraId="5FF456FD" w14:textId="340E809C" w:rsidR="008A0DB0" w:rsidRDefault="008A0DB0" w:rsidP="00A46BEB">
      <w:pPr>
        <w:pStyle w:val="BodyText"/>
      </w:pPr>
      <w:r w:rsidRPr="008A0DB0">
        <w:t xml:space="preserve">An increasing array of stakeholders </w:t>
      </w:r>
      <w:r w:rsidR="00912360">
        <w:t xml:space="preserve">in </w:t>
      </w:r>
      <w:r w:rsidR="003710CF">
        <w:t>Burma</w:t>
      </w:r>
      <w:r w:rsidR="00912360">
        <w:t xml:space="preserve"> </w:t>
      </w:r>
      <w:r w:rsidRPr="008A0DB0">
        <w:t>are becoming closely involved in education policy development</w:t>
      </w:r>
      <w:r w:rsidR="00912360">
        <w:t>,</w:t>
      </w:r>
      <w:r w:rsidRPr="008A0DB0">
        <w:t xml:space="preserve"> ranging from parliamentary committees, </w:t>
      </w:r>
      <w:r w:rsidR="00912360" w:rsidRPr="008A0DB0">
        <w:t>opposition</w:t>
      </w:r>
      <w:r w:rsidR="00912360">
        <w:t xml:space="preserve"> parties</w:t>
      </w:r>
      <w:r w:rsidR="0098790E">
        <w:t xml:space="preserve"> and</w:t>
      </w:r>
      <w:r w:rsidRPr="008A0DB0">
        <w:t xml:space="preserve"> civil society groups to returning diaspora. </w:t>
      </w:r>
      <w:r w:rsidR="00CB3239" w:rsidRPr="008A0DB0">
        <w:t>The</w:t>
      </w:r>
      <w:r w:rsidR="00CB3239">
        <w:t>y</w:t>
      </w:r>
      <w:r w:rsidR="00CB3239" w:rsidRPr="008A0DB0">
        <w:t xml:space="preserve"> </w:t>
      </w:r>
      <w:r w:rsidRPr="008A0DB0">
        <w:t xml:space="preserve">bring diverse views and increasing demands and expectations, along with a </w:t>
      </w:r>
      <w:r w:rsidR="00912360">
        <w:t>growing liaison workload for Australia</w:t>
      </w:r>
      <w:r w:rsidRPr="008A0DB0">
        <w:t xml:space="preserve">. Maintaining effective leadership through active participation in the national dialogue on education and strong donor coordination will remain a key priority and continue to </w:t>
      </w:r>
      <w:r w:rsidR="00912360">
        <w:t xml:space="preserve">draw </w:t>
      </w:r>
      <w:r w:rsidRPr="008A0DB0">
        <w:t>substantial resources.</w:t>
      </w:r>
    </w:p>
    <w:p w14:paraId="69B9B63B" w14:textId="69CE1C05" w:rsidR="00573C1D" w:rsidRDefault="008A0DB0" w:rsidP="00A46BEB">
      <w:pPr>
        <w:pStyle w:val="BodyText"/>
      </w:pPr>
      <w:r w:rsidRPr="008A0DB0">
        <w:t xml:space="preserve">Decades of internal conflict have left </w:t>
      </w:r>
      <w:r w:rsidR="003710CF">
        <w:t>Burma</w:t>
      </w:r>
      <w:r w:rsidR="00912360">
        <w:t>’s</w:t>
      </w:r>
      <w:r w:rsidRPr="008A0DB0">
        <w:t xml:space="preserve"> education system fragmented. Many regionally based ethnic and language groups have independent education administrations and school systems</w:t>
      </w:r>
      <w:r w:rsidR="00912360">
        <w:t xml:space="preserve"> that are</w:t>
      </w:r>
      <w:r w:rsidRPr="008A0DB0">
        <w:t xml:space="preserve"> not yet cooperating with central authorities. </w:t>
      </w:r>
      <w:r w:rsidR="00912360">
        <w:t>Good development outcomes</w:t>
      </w:r>
      <w:r w:rsidRPr="008A0DB0">
        <w:t xml:space="preserve"> in the education sector can contribute to national reconciliation</w:t>
      </w:r>
      <w:r w:rsidR="00912360">
        <w:t xml:space="preserve"> and, likewise</w:t>
      </w:r>
      <w:r w:rsidRPr="008A0DB0">
        <w:t>, poor donor programming can exacerbate tensions. Recognising this, Aus</w:t>
      </w:r>
      <w:r w:rsidR="00912360">
        <w:t>tralia</w:t>
      </w:r>
      <w:r w:rsidRPr="008A0DB0">
        <w:t xml:space="preserve"> has engaged a specialist in post-conflict education</w:t>
      </w:r>
      <w:r w:rsidR="00912360">
        <w:t xml:space="preserve"> and made c</w:t>
      </w:r>
      <w:r w:rsidRPr="008A0DB0">
        <w:t>onflict analysis front and centre in our programming decisions. An ethnic education workshop convened</w:t>
      </w:r>
      <w:r w:rsidR="00912360">
        <w:t xml:space="preserve"> by Australia</w:t>
      </w:r>
      <w:r w:rsidRPr="008A0DB0">
        <w:t xml:space="preserve"> in March 2013 </w:t>
      </w:r>
      <w:r w:rsidR="00912360">
        <w:t>was hailed</w:t>
      </w:r>
      <w:r w:rsidRPr="008A0DB0">
        <w:t xml:space="preserve"> by other major donors </w:t>
      </w:r>
      <w:r w:rsidR="00935FA3">
        <w:t>as</w:t>
      </w:r>
      <w:r w:rsidR="00912360">
        <w:t xml:space="preserve"> a forum for</w:t>
      </w:r>
      <w:r w:rsidRPr="008A0DB0">
        <w:t xml:space="preserve"> ground-breaking discussion</w:t>
      </w:r>
      <w:r w:rsidR="00007B18">
        <w:t xml:space="preserve"> </w:t>
      </w:r>
      <w:r w:rsidR="00007B18" w:rsidRPr="00007B18">
        <w:t>on education policy</w:t>
      </w:r>
      <w:r w:rsidRPr="008A0DB0">
        <w:t xml:space="preserve">. Some of the 46 participants attending from ethnic areas had never been to </w:t>
      </w:r>
      <w:r w:rsidR="00A226A5">
        <w:t>Rangoon</w:t>
      </w:r>
      <w:r w:rsidRPr="008A0DB0">
        <w:t>, let alone engaged with the central g</w:t>
      </w:r>
      <w:r w:rsidR="00007B18">
        <w:t>overnment</w:t>
      </w:r>
      <w:r w:rsidR="00573C1D">
        <w:t>.</w:t>
      </w:r>
    </w:p>
    <w:p w14:paraId="1540E184" w14:textId="5CD4C46D" w:rsidR="00573C1D" w:rsidRPr="008A0DB0" w:rsidRDefault="008A0DB0" w:rsidP="00A46BEB">
      <w:pPr>
        <w:pStyle w:val="BodyText"/>
      </w:pPr>
      <w:r w:rsidRPr="008A0DB0">
        <w:t xml:space="preserve">In December 2012 the </w:t>
      </w:r>
      <w:r w:rsidR="0098790E">
        <w:t>Myanmar</w:t>
      </w:r>
      <w:r w:rsidR="0098790E" w:rsidRPr="008A0DB0">
        <w:t xml:space="preserve"> </w:t>
      </w:r>
      <w:r w:rsidR="00573C1D">
        <w:t>G</w:t>
      </w:r>
      <w:r w:rsidRPr="008A0DB0">
        <w:t>overnment</w:t>
      </w:r>
      <w:r w:rsidR="00573C1D">
        <w:t xml:space="preserve"> </w:t>
      </w:r>
      <w:r w:rsidRPr="008A0DB0">
        <w:t xml:space="preserve">launched its </w:t>
      </w:r>
      <w:r w:rsidR="0098790E" w:rsidRPr="008A0DB0">
        <w:t>framework for economic and social reform</w:t>
      </w:r>
      <w:r w:rsidRPr="008A0DB0">
        <w:t>s</w:t>
      </w:r>
      <w:r w:rsidR="0098790E">
        <w:t>,</w:t>
      </w:r>
      <w:r w:rsidRPr="008A0DB0">
        <w:t xml:space="preserve"> which emphasises school grants and targeted cash transfers as policy priorities. </w:t>
      </w:r>
      <w:r w:rsidR="00203E8A">
        <w:t xml:space="preserve">The </w:t>
      </w:r>
      <w:r w:rsidR="00670B9D" w:rsidRPr="008A0DB0">
        <w:t>A</w:t>
      </w:r>
      <w:r w:rsidR="00670B9D">
        <w:t>ustralia</w:t>
      </w:r>
      <w:r w:rsidR="00203E8A">
        <w:t>n</w:t>
      </w:r>
      <w:r w:rsidR="00670B9D" w:rsidRPr="008A0DB0">
        <w:t xml:space="preserve"> </w:t>
      </w:r>
      <w:r w:rsidR="00836AF0">
        <w:t>Government</w:t>
      </w:r>
      <w:r w:rsidR="00203E8A">
        <w:t xml:space="preserve"> </w:t>
      </w:r>
      <w:r w:rsidRPr="008A0DB0">
        <w:t xml:space="preserve">is financing World Bank specialists to work with </w:t>
      </w:r>
      <w:r w:rsidR="0098790E">
        <w:t xml:space="preserve">the </w:t>
      </w:r>
      <w:r w:rsidRPr="008A0DB0">
        <w:t xml:space="preserve">government to scope potential donor support to expand and strengthen the quality of these initiatives. This work will begin in </w:t>
      </w:r>
      <w:r w:rsidR="00883598">
        <w:t>mid-</w:t>
      </w:r>
      <w:r w:rsidRPr="008A0DB0">
        <w:t xml:space="preserve">2013. </w:t>
      </w:r>
      <w:r w:rsidR="0016091F">
        <w:t xml:space="preserve">The </w:t>
      </w:r>
      <w:r w:rsidR="00203E8A">
        <w:t>Australia</w:t>
      </w:r>
      <w:r w:rsidR="0016091F">
        <w:t xml:space="preserve">n </w:t>
      </w:r>
      <w:r w:rsidR="00836AF0">
        <w:t>Government</w:t>
      </w:r>
      <w:r w:rsidR="00203E8A">
        <w:t xml:space="preserve"> </w:t>
      </w:r>
      <w:r w:rsidRPr="008A0DB0">
        <w:t xml:space="preserve">is also funding </w:t>
      </w:r>
      <w:r w:rsidR="0098790E">
        <w:t xml:space="preserve">the </w:t>
      </w:r>
      <w:r w:rsidRPr="008A0DB0">
        <w:t xml:space="preserve">World Bank to provide the technical assistance needed to establish a baseline of early grade reading ability in </w:t>
      </w:r>
      <w:r w:rsidR="007830AE">
        <w:t xml:space="preserve">the </w:t>
      </w:r>
      <w:r w:rsidRPr="008A0DB0">
        <w:t>2013</w:t>
      </w:r>
      <w:r w:rsidR="0098790E">
        <w:t>–</w:t>
      </w:r>
      <w:r w:rsidRPr="008A0DB0">
        <w:t>14</w:t>
      </w:r>
      <w:r w:rsidR="005E0F24">
        <w:t xml:space="preserve"> </w:t>
      </w:r>
      <w:r w:rsidR="007830AE" w:rsidRPr="008A0DB0">
        <w:t xml:space="preserve">school </w:t>
      </w:r>
      <w:proofErr w:type="gramStart"/>
      <w:r w:rsidR="007830AE" w:rsidRPr="008A0DB0">
        <w:t>year</w:t>
      </w:r>
      <w:proofErr w:type="gramEnd"/>
      <w:r w:rsidRPr="008A0DB0">
        <w:t>. This will provide much needed hard evidence on how much children are learning in school to support policy development in all areas and to focus the agenda squarely on real learning outcom</w:t>
      </w:r>
      <w:r w:rsidR="00573C1D">
        <w:t>es.</w:t>
      </w:r>
    </w:p>
    <w:p w14:paraId="75183547" w14:textId="77777777" w:rsidR="003C4DB1" w:rsidRPr="00A46BEB" w:rsidRDefault="003C4DB1" w:rsidP="00A46BEB">
      <w:pPr>
        <w:pStyle w:val="Heading2"/>
      </w:pPr>
      <w:r w:rsidRPr="00A46BEB">
        <w:t xml:space="preserve">Objective </w:t>
      </w:r>
      <w:r w:rsidR="00935FA3" w:rsidRPr="00A46BEB">
        <w:t>1b: Improving the delivery of health services to the poor</w:t>
      </w:r>
    </w:p>
    <w:p w14:paraId="3CC0EB11" w14:textId="6980702C" w:rsidR="00B36C1A" w:rsidRDefault="00B36C1A" w:rsidP="00A46BEB">
      <w:pPr>
        <w:pStyle w:val="BodyText"/>
      </w:pPr>
      <w:r w:rsidRPr="00B36C1A">
        <w:t xml:space="preserve">Australia is a major donor in the health sector and our support is having a direct impact </w:t>
      </w:r>
      <w:r w:rsidR="00077F5C">
        <w:t>o</w:t>
      </w:r>
      <w:r w:rsidR="00077F5C" w:rsidRPr="00B36C1A">
        <w:t xml:space="preserve">n </w:t>
      </w:r>
      <w:r w:rsidRPr="00B36C1A">
        <w:t xml:space="preserve">improving health services to the poor. We are aligned with </w:t>
      </w:r>
      <w:r w:rsidR="003710CF">
        <w:t>Burma</w:t>
      </w:r>
      <w:r w:rsidR="0098790E" w:rsidRPr="00B36C1A">
        <w:t xml:space="preserve">’s </w:t>
      </w:r>
      <w:r w:rsidRPr="00B36C1A">
        <w:t xml:space="preserve">health priorities by supporting achievement of the Millennium Development Goals 4, 5 and 6, </w:t>
      </w:r>
      <w:r w:rsidR="0098790E">
        <w:t xml:space="preserve">which </w:t>
      </w:r>
      <w:r w:rsidRPr="00B36C1A">
        <w:t>aim</w:t>
      </w:r>
      <w:r w:rsidR="00077F5C">
        <w:t xml:space="preserve"> to</w:t>
      </w:r>
      <w:r w:rsidRPr="00B36C1A">
        <w:t xml:space="preserve"> reduc</w:t>
      </w:r>
      <w:r w:rsidR="00077F5C">
        <w:t>e</w:t>
      </w:r>
      <w:r w:rsidRPr="00B36C1A">
        <w:t xml:space="preserve"> child mortality</w:t>
      </w:r>
      <w:r w:rsidR="0098790E">
        <w:t>,</w:t>
      </w:r>
      <w:r w:rsidR="0098790E" w:rsidRPr="00B36C1A">
        <w:t xml:space="preserve"> </w:t>
      </w:r>
      <w:r w:rsidRPr="00B36C1A">
        <w:t>improv</w:t>
      </w:r>
      <w:r w:rsidR="00077F5C">
        <w:t xml:space="preserve">e </w:t>
      </w:r>
      <w:r w:rsidRPr="00B36C1A">
        <w:t>maternal health</w:t>
      </w:r>
      <w:r w:rsidR="0098790E">
        <w:t>,</w:t>
      </w:r>
      <w:r w:rsidR="0098790E" w:rsidRPr="00B36C1A">
        <w:t xml:space="preserve"> </w:t>
      </w:r>
      <w:r w:rsidRPr="00B36C1A">
        <w:t>and combat HIV/AIDS, ma</w:t>
      </w:r>
      <w:r>
        <w:t>laria and other major diseases.</w:t>
      </w:r>
      <w:r w:rsidR="00EE6F3C">
        <w:t xml:space="preserve"> </w:t>
      </w:r>
      <w:r w:rsidRPr="00B36C1A">
        <w:t xml:space="preserve">Australia has been a </w:t>
      </w:r>
      <w:r w:rsidR="002D3D55">
        <w:t>key</w:t>
      </w:r>
      <w:r w:rsidRPr="00B36C1A">
        <w:t xml:space="preserve"> contributor </w:t>
      </w:r>
      <w:r w:rsidR="002D3D55">
        <w:t>(12 per cent)</w:t>
      </w:r>
      <w:r w:rsidR="00007B18">
        <w:t xml:space="preserve"> </w:t>
      </w:r>
      <w:r w:rsidRPr="00B36C1A">
        <w:t xml:space="preserve">to the multi-donor Three Diseases Fund, which has provided approximately 30 to 50 per cent of the country’s inputs towards achieving national targets for HIV, tuberculosis and malaria. Australia has partnered with other donors and United Nations health agencies </w:t>
      </w:r>
      <w:r>
        <w:t>t</w:t>
      </w:r>
      <w:r w:rsidRPr="00B36C1A">
        <w:t>hough the Joint Initiative on Maternal, Newborn and Child Health and the Joint United Nations Program on Maternal, Newborn and Child Health programs</w:t>
      </w:r>
      <w:r>
        <w:t>.</w:t>
      </w:r>
    </w:p>
    <w:p w14:paraId="2BE11D3C" w14:textId="195BEF56" w:rsidR="00B36C1A" w:rsidRPr="00B36C1A" w:rsidRDefault="00B36C1A" w:rsidP="00A46BEB">
      <w:pPr>
        <w:pStyle w:val="BodyText"/>
      </w:pPr>
      <w:r w:rsidRPr="00B36C1A">
        <w:t xml:space="preserve">Without these </w:t>
      </w:r>
      <w:r>
        <w:t>programs, which</w:t>
      </w:r>
      <w:r w:rsidRPr="00B36C1A">
        <w:t xml:space="preserve"> increase </w:t>
      </w:r>
      <w:r>
        <w:t>access to basic health services</w:t>
      </w:r>
      <w:r w:rsidR="00077F5C">
        <w:t>,</w:t>
      </w:r>
      <w:r w:rsidRPr="00B36C1A">
        <w:t xml:space="preserve"> including emergency obstetric care, contraceptives and immunisations for poor women and children, the health needs of thousands </w:t>
      </w:r>
      <w:proofErr w:type="gramStart"/>
      <w:r w:rsidRPr="00B36C1A">
        <w:t xml:space="preserve">of </w:t>
      </w:r>
      <w:r w:rsidR="00745E8A">
        <w:t xml:space="preserve"> Burma’s</w:t>
      </w:r>
      <w:proofErr w:type="gramEnd"/>
      <w:r w:rsidR="00745E8A">
        <w:t xml:space="preserve"> </w:t>
      </w:r>
      <w:r w:rsidRPr="00B36C1A">
        <w:t>peop</w:t>
      </w:r>
      <w:r>
        <w:t xml:space="preserve">le would have gone unmet. </w:t>
      </w:r>
      <w:r w:rsidR="00800EC1">
        <w:t>Our support has</w:t>
      </w:r>
      <w:r w:rsidRPr="00B36C1A">
        <w:t xml:space="preserve"> also built the capacity of local systems to deliver integrated, low cost, and high impact services at the community level along with effective referral systems. They have also worked to increase </w:t>
      </w:r>
      <w:r w:rsidRPr="00B36C1A">
        <w:lastRenderedPageBreak/>
        <w:t>technical engagement and policy leadership on these key health issues from the Ministry of Health.</w:t>
      </w:r>
    </w:p>
    <w:p w14:paraId="763600C4" w14:textId="76F971BB" w:rsidR="00B36C1A" w:rsidRDefault="001B4664" w:rsidP="00A46BEB">
      <w:pPr>
        <w:pStyle w:val="BodyText"/>
      </w:pPr>
      <w:r w:rsidRPr="001B4664">
        <w:t xml:space="preserve">Progress against health objectives </w:t>
      </w:r>
      <w:r w:rsidR="00874AFC">
        <w:t xml:space="preserve">has improved over the reporting period, and </w:t>
      </w:r>
      <w:r w:rsidRPr="001B4664">
        <w:t xml:space="preserve">is now as expected as our investments are consolidated under a more strategic and flexible programmatic approach. Our established initiatives delivered strong results by providing critical services for women and children and addressing priority communicable diseases. Our new programming is building and improving on these successes by also strengthening the broader health system and responding more flexibly to the highly dynamic health sector in </w:t>
      </w:r>
      <w:r w:rsidR="003710CF">
        <w:t>Burma</w:t>
      </w:r>
      <w:r w:rsidRPr="001B4664">
        <w:t>.</w:t>
      </w:r>
      <w:r w:rsidR="00874AFC">
        <w:t xml:space="preserve"> </w:t>
      </w:r>
      <w:r w:rsidR="00800EC1" w:rsidRPr="00800EC1">
        <w:t>Key results from our contributions in partnership with other</w:t>
      </w:r>
      <w:r w:rsidR="00800EC1">
        <w:t xml:space="preserve"> donors until June 2012 include</w:t>
      </w:r>
      <w:r w:rsidR="00B36C1A" w:rsidRPr="00B36C1A">
        <w:t>:</w:t>
      </w:r>
    </w:p>
    <w:p w14:paraId="72C461BB" w14:textId="150B3A62" w:rsidR="00B36C1A" w:rsidRPr="00B36C1A" w:rsidRDefault="00B36C1A" w:rsidP="00A46BEB">
      <w:pPr>
        <w:pStyle w:val="ListBullet"/>
      </w:pPr>
      <w:r w:rsidRPr="00B36C1A">
        <w:t>distributi</w:t>
      </w:r>
      <w:r w:rsidR="0098790E">
        <w:t xml:space="preserve">ng </w:t>
      </w:r>
      <w:r w:rsidRPr="00B36C1A">
        <w:t>over 2.2 million rapid diagnostic tests to support malaria detection, treat</w:t>
      </w:r>
      <w:r w:rsidR="00187513">
        <w:t xml:space="preserve">ing </w:t>
      </w:r>
      <w:r w:rsidRPr="00B36C1A">
        <w:t>1</w:t>
      </w:r>
      <w:r w:rsidRPr="000A5381">
        <w:t>.</w:t>
      </w:r>
      <w:r w:rsidR="00894314" w:rsidRPr="00B36C1A">
        <w:t>9</w:t>
      </w:r>
      <w:r w:rsidR="00894314">
        <w:t> </w:t>
      </w:r>
      <w:r w:rsidRPr="00B36C1A">
        <w:t>million malaria cases</w:t>
      </w:r>
      <w:r w:rsidR="00187513">
        <w:t>,</w:t>
      </w:r>
      <w:r w:rsidRPr="00B36C1A">
        <w:t xml:space="preserve"> and </w:t>
      </w:r>
      <w:r w:rsidR="00187513" w:rsidRPr="00B36C1A">
        <w:t>treat</w:t>
      </w:r>
      <w:r w:rsidR="00187513">
        <w:t xml:space="preserve">ing </w:t>
      </w:r>
      <w:r w:rsidRPr="00B36C1A">
        <w:t xml:space="preserve">and </w:t>
      </w:r>
      <w:r w:rsidR="00187513" w:rsidRPr="00B36C1A">
        <w:t>distribut</w:t>
      </w:r>
      <w:r w:rsidR="00187513">
        <w:t xml:space="preserve">ing </w:t>
      </w:r>
      <w:r w:rsidRPr="00B36C1A">
        <w:t>over 2.2 million bed nets to prevent the disease</w:t>
      </w:r>
    </w:p>
    <w:p w14:paraId="72E63DF7" w14:textId="1C11FE06" w:rsidR="00B36C1A" w:rsidRPr="00B36C1A" w:rsidRDefault="00B36C1A" w:rsidP="00A46BEB">
      <w:pPr>
        <w:pStyle w:val="ListBullet"/>
      </w:pPr>
      <w:r w:rsidRPr="00B36C1A">
        <w:t>distribut</w:t>
      </w:r>
      <w:r w:rsidR="00187513">
        <w:t xml:space="preserve">ing </w:t>
      </w:r>
      <w:r w:rsidRPr="00B36C1A">
        <w:t>over 59 million condoms and over 13.2 million needles nationwide to prevent HIV infection</w:t>
      </w:r>
    </w:p>
    <w:p w14:paraId="05E41077" w14:textId="133E22C5" w:rsidR="00B36C1A" w:rsidRPr="00B36C1A" w:rsidRDefault="00B36C1A" w:rsidP="00A46BEB">
      <w:pPr>
        <w:pStyle w:val="ListBullet"/>
      </w:pPr>
      <w:r w:rsidRPr="00B36C1A">
        <w:t>detect</w:t>
      </w:r>
      <w:r w:rsidR="00187513">
        <w:t xml:space="preserve">ing </w:t>
      </w:r>
      <w:r w:rsidRPr="00B36C1A">
        <w:t>180</w:t>
      </w:r>
      <w:r w:rsidR="00187513">
        <w:t xml:space="preserve"> </w:t>
      </w:r>
      <w:r w:rsidRPr="00B36C1A">
        <w:t xml:space="preserve">000 cases </w:t>
      </w:r>
      <w:r>
        <w:t xml:space="preserve">of tuberculosis </w:t>
      </w:r>
      <w:r w:rsidRPr="00B36C1A">
        <w:t>and refer</w:t>
      </w:r>
      <w:r w:rsidR="00187513">
        <w:t xml:space="preserve">ring </w:t>
      </w:r>
      <w:r w:rsidRPr="00B36C1A">
        <w:t>135</w:t>
      </w:r>
      <w:r w:rsidR="00187513">
        <w:t xml:space="preserve"> </w:t>
      </w:r>
      <w:r w:rsidRPr="00B36C1A">
        <w:t>000 suspected cases to appropriate health facilities</w:t>
      </w:r>
    </w:p>
    <w:p w14:paraId="19584FB8" w14:textId="17E0319C" w:rsidR="00B36C1A" w:rsidRPr="00B36C1A" w:rsidRDefault="00187513" w:rsidP="00A46BEB">
      <w:pPr>
        <w:pStyle w:val="ListBullet"/>
      </w:pPr>
      <w:r>
        <w:t xml:space="preserve">enabling </w:t>
      </w:r>
      <w:r w:rsidR="00B36C1A" w:rsidRPr="00B36C1A">
        <w:t>22</w:t>
      </w:r>
      <w:r>
        <w:t xml:space="preserve"> </w:t>
      </w:r>
      <w:r w:rsidR="00B36C1A" w:rsidRPr="00B36C1A">
        <w:t xml:space="preserve">700 births </w:t>
      </w:r>
      <w:r>
        <w:t xml:space="preserve">to be </w:t>
      </w:r>
      <w:r w:rsidR="00B36C1A" w:rsidRPr="00B36C1A">
        <w:t>attended by skilled personnel</w:t>
      </w:r>
    </w:p>
    <w:p w14:paraId="6BF6F8F1" w14:textId="6DD1744F" w:rsidR="00B36C1A" w:rsidRPr="00B36C1A" w:rsidRDefault="00187513" w:rsidP="00A46BEB">
      <w:pPr>
        <w:pStyle w:val="ListBullet"/>
      </w:pPr>
      <w:r>
        <w:t xml:space="preserve">enabling </w:t>
      </w:r>
      <w:r w:rsidR="00B36C1A" w:rsidRPr="00B36C1A">
        <w:t>60</w:t>
      </w:r>
      <w:r>
        <w:t xml:space="preserve"> </w:t>
      </w:r>
      <w:r w:rsidR="00B36C1A" w:rsidRPr="00B36C1A">
        <w:t xml:space="preserve">000 pregnant women </w:t>
      </w:r>
      <w:r>
        <w:t xml:space="preserve">to </w:t>
      </w:r>
      <w:r w:rsidR="00B36C1A" w:rsidRPr="00B36C1A">
        <w:t xml:space="preserve">receive antenatal care at least once, and </w:t>
      </w:r>
      <w:r w:rsidRPr="00B36C1A">
        <w:t>increas</w:t>
      </w:r>
      <w:r>
        <w:t>ing</w:t>
      </w:r>
      <w:r w:rsidRPr="00B36C1A">
        <w:t xml:space="preserve"> </w:t>
      </w:r>
      <w:r w:rsidR="00B36C1A" w:rsidRPr="00B36C1A">
        <w:t>access to midwives with 17</w:t>
      </w:r>
      <w:r>
        <w:t xml:space="preserve"> </w:t>
      </w:r>
      <w:r w:rsidR="00B36C1A" w:rsidRPr="00B36C1A">
        <w:t>000 outreach and 3500 hard to reach outreach visits</w:t>
      </w:r>
    </w:p>
    <w:p w14:paraId="7CB9311B" w14:textId="622AF5D7" w:rsidR="00B36C1A" w:rsidRPr="00B36C1A" w:rsidRDefault="00187513" w:rsidP="00A46BEB">
      <w:pPr>
        <w:pStyle w:val="ListBullet"/>
      </w:pPr>
      <w:r>
        <w:t>i</w:t>
      </w:r>
      <w:r w:rsidRPr="00B36C1A">
        <w:t>ncreas</w:t>
      </w:r>
      <w:r>
        <w:t>ing</w:t>
      </w:r>
      <w:r w:rsidRPr="00B36C1A">
        <w:t xml:space="preserve"> </w:t>
      </w:r>
      <w:r w:rsidR="00B36C1A" w:rsidRPr="00B36C1A">
        <w:t xml:space="preserve">access to emergency care with </w:t>
      </w:r>
      <w:r>
        <w:t xml:space="preserve">funding support for </w:t>
      </w:r>
      <w:r w:rsidR="00B36C1A" w:rsidRPr="00B36C1A">
        <w:t>nearly 10</w:t>
      </w:r>
      <w:r>
        <w:t xml:space="preserve"> </w:t>
      </w:r>
      <w:r w:rsidR="00B36C1A" w:rsidRPr="00B36C1A">
        <w:t>000 emergency obstetric or child care referrals</w:t>
      </w:r>
    </w:p>
    <w:p w14:paraId="679DC6E0" w14:textId="766092B0" w:rsidR="00B36C1A" w:rsidRPr="00B36C1A" w:rsidRDefault="00187513" w:rsidP="00A46BEB">
      <w:pPr>
        <w:pStyle w:val="ListBullet"/>
      </w:pPr>
      <w:proofErr w:type="gramStart"/>
      <w:r w:rsidRPr="00B36C1A">
        <w:t>vaccinat</w:t>
      </w:r>
      <w:r>
        <w:t>ing</w:t>
      </w:r>
      <w:proofErr w:type="gramEnd"/>
      <w:r w:rsidRPr="00B36C1A">
        <w:t xml:space="preserve"> </w:t>
      </w:r>
      <w:r w:rsidR="00B36C1A" w:rsidRPr="00B36C1A">
        <w:t>41</w:t>
      </w:r>
      <w:r>
        <w:t xml:space="preserve"> </w:t>
      </w:r>
      <w:r w:rsidR="00B36C1A" w:rsidRPr="00B36C1A">
        <w:t xml:space="preserve">000 children </w:t>
      </w:r>
      <w:r w:rsidRPr="00B36C1A">
        <w:t>under</w:t>
      </w:r>
      <w:r>
        <w:t xml:space="preserve"> the age of </w:t>
      </w:r>
      <w:r w:rsidRPr="00B36C1A">
        <w:t xml:space="preserve">one </w:t>
      </w:r>
      <w:r w:rsidR="00B36C1A" w:rsidRPr="00B36C1A">
        <w:t>against diphtheria, pertussis and tetanus, and 40</w:t>
      </w:r>
      <w:r>
        <w:t xml:space="preserve"> </w:t>
      </w:r>
      <w:r w:rsidR="00B36C1A" w:rsidRPr="00B36C1A">
        <w:t>000 against measles.</w:t>
      </w:r>
    </w:p>
    <w:p w14:paraId="73AAED8F" w14:textId="5A8D1BAD" w:rsidR="00F5100A" w:rsidRDefault="00F5100A" w:rsidP="00A46BEB">
      <w:pPr>
        <w:pStyle w:val="BodyText"/>
      </w:pPr>
      <w:r>
        <w:t>I</w:t>
      </w:r>
      <w:r w:rsidRPr="00F5100A">
        <w:t>mplementation of the Joint Initiative on Maternal, Newborn and Child Health and the Three Diseases Fund ended in December 2012</w:t>
      </w:r>
      <w:r w:rsidR="00187513">
        <w:t>,</w:t>
      </w:r>
      <w:r w:rsidRPr="00F5100A">
        <w:t xml:space="preserve"> and the Joint United Nations Program on Maternal, Newborn and Child Health ended in May 2013</w:t>
      </w:r>
      <w:r>
        <w:t>.</w:t>
      </w:r>
      <w:r w:rsidRPr="00F5100A">
        <w:t xml:space="preserve"> </w:t>
      </w:r>
      <w:r w:rsidR="00B36C1A" w:rsidRPr="00B36C1A">
        <w:t>As these programs</w:t>
      </w:r>
      <w:r>
        <w:t xml:space="preserve"> have</w:t>
      </w:r>
      <w:r w:rsidR="00B36C1A" w:rsidRPr="00B36C1A">
        <w:t xml:space="preserve"> </w:t>
      </w:r>
      <w:r w:rsidR="00187513">
        <w:t>concluded</w:t>
      </w:r>
      <w:r w:rsidR="00B36C1A" w:rsidRPr="00B36C1A">
        <w:t xml:space="preserve">, our support for maternal and child health and communicable disease priorities is being consolidated under a streamlined investment in the new Three Millennium Development Goals (3MDG) </w:t>
      </w:r>
      <w:r w:rsidR="00187513">
        <w:t>F</w:t>
      </w:r>
      <w:r w:rsidR="00187513" w:rsidRPr="00B36C1A">
        <w:t>und</w:t>
      </w:r>
      <w:r w:rsidR="00B36C1A" w:rsidRPr="00B36C1A">
        <w:t xml:space="preserve">. Lessons learnt from implementing these programs have closely informed the design and implementation plans for this multi-donor trust fund. Support by Australia and other donors to 3MDG in </w:t>
      </w:r>
      <w:r w:rsidR="003710CF">
        <w:t>Burma</w:t>
      </w:r>
      <w:r w:rsidR="00B36C1A" w:rsidRPr="00B36C1A">
        <w:t xml:space="preserve"> over five years is expected to save the lives of approximately 25</w:t>
      </w:r>
      <w:r w:rsidR="00187513">
        <w:t xml:space="preserve"> </w:t>
      </w:r>
      <w:r w:rsidR="00B36C1A" w:rsidRPr="00B36C1A">
        <w:t xml:space="preserve">000 children and 3000 mothers. The </w:t>
      </w:r>
      <w:r w:rsidR="00187513">
        <w:t>f</w:t>
      </w:r>
      <w:r w:rsidR="00B36C1A" w:rsidRPr="00B36C1A">
        <w:t xml:space="preserve">und will play a key role in preventing and treating HIV, </w:t>
      </w:r>
      <w:r w:rsidR="00187513">
        <w:t>tuberculosis</w:t>
      </w:r>
      <w:r w:rsidR="00187513" w:rsidRPr="00B36C1A">
        <w:t xml:space="preserve"> </w:t>
      </w:r>
      <w:r w:rsidR="00B36C1A" w:rsidRPr="00B36C1A">
        <w:t>and malaria, including addressing the critical need for the containment of the growing threat from drug resistant malaria.</w:t>
      </w:r>
    </w:p>
    <w:p w14:paraId="63A36820" w14:textId="76332CA8" w:rsidR="00B36C1A" w:rsidRDefault="00F5100A" w:rsidP="00A46BEB">
      <w:pPr>
        <w:pStyle w:val="BodyText"/>
      </w:pPr>
      <w:r>
        <w:t>While t</w:t>
      </w:r>
      <w:r w:rsidRPr="00F5100A">
        <w:t>he 3MDG Fund commenced operation in early 2013</w:t>
      </w:r>
      <w:r>
        <w:t>, t</w:t>
      </w:r>
      <w:r w:rsidRPr="00F5100A">
        <w:t xml:space="preserve">he roll out of maternal and child health services in new program sites has been delayed until later in 2013 </w:t>
      </w:r>
      <w:r>
        <w:t>to allow program</w:t>
      </w:r>
      <w:r w:rsidRPr="00F5100A">
        <w:t xml:space="preserve"> to align more closely with Ministry of Health planning and financial management processes. Significant work has however already commenced in supporting HIV, </w:t>
      </w:r>
      <w:r w:rsidR="00187513">
        <w:t>tuberculosis</w:t>
      </w:r>
      <w:r w:rsidR="00187513" w:rsidRPr="00F5100A">
        <w:t xml:space="preserve"> </w:t>
      </w:r>
      <w:r w:rsidRPr="00F5100A">
        <w:t xml:space="preserve">and malaria services and commissioning a key health sector review </w:t>
      </w:r>
      <w:r w:rsidR="00187513">
        <w:t xml:space="preserve">which is </w:t>
      </w:r>
      <w:r w:rsidRPr="00F5100A">
        <w:t>being undertaken by the World Bank.</w:t>
      </w:r>
      <w:r>
        <w:t xml:space="preserve"> </w:t>
      </w:r>
      <w:r w:rsidRPr="00B36C1A">
        <w:t xml:space="preserve">The </w:t>
      </w:r>
      <w:r w:rsidR="00187513">
        <w:t>f</w:t>
      </w:r>
      <w:r w:rsidR="00187513" w:rsidRPr="00B36C1A">
        <w:t xml:space="preserve">und </w:t>
      </w:r>
      <w:r w:rsidRPr="00B36C1A">
        <w:t>will also support the peace process by expanding access to health care in previously under-serviced areas under a conflict-sensitive approach.</w:t>
      </w:r>
    </w:p>
    <w:p w14:paraId="0A3090D5" w14:textId="726BA8B7" w:rsidR="00B36C1A" w:rsidRPr="00B36C1A" w:rsidRDefault="00B36C1A" w:rsidP="00A46BEB">
      <w:pPr>
        <w:pStyle w:val="BodyText"/>
      </w:pPr>
      <w:r w:rsidRPr="00B36C1A">
        <w:t>The sustainability of our past investments and the f</w:t>
      </w:r>
      <w:r w:rsidR="001B01DF">
        <w:t>uture success of the 3MDG Fund</w:t>
      </w:r>
      <w:r w:rsidRPr="00B36C1A">
        <w:t xml:space="preserve"> will be linked to the progress of broader reforms to the health system in </w:t>
      </w:r>
      <w:r w:rsidR="003710CF">
        <w:t>Burma</w:t>
      </w:r>
      <w:r w:rsidRPr="00B36C1A">
        <w:t xml:space="preserve">, increased investments in health by the </w:t>
      </w:r>
      <w:r w:rsidR="00187513">
        <w:t>g</w:t>
      </w:r>
      <w:r w:rsidR="00187513" w:rsidRPr="00B36C1A">
        <w:t xml:space="preserve">overnment </w:t>
      </w:r>
      <w:r w:rsidRPr="00B36C1A">
        <w:t xml:space="preserve">and other development partners, and successful coordination of partners in the sector. Fundamental reforms are needed to the way the sector is financed, human resources are managed, </w:t>
      </w:r>
      <w:r w:rsidR="001B01DF" w:rsidRPr="00B36C1A">
        <w:t>and medical</w:t>
      </w:r>
      <w:r w:rsidRPr="00B36C1A">
        <w:t xml:space="preserve"> supplies are bought and distributed. Measuring the true burden of disease and the effectiveness of health interventions remains </w:t>
      </w:r>
      <w:r w:rsidRPr="00B36C1A">
        <w:lastRenderedPageBreak/>
        <w:t>difficult due to weak health data colle</w:t>
      </w:r>
      <w:r w:rsidR="001B01DF">
        <w:t xml:space="preserve">ction and disease surveillance. </w:t>
      </w:r>
      <w:r w:rsidRPr="00B36C1A">
        <w:t>Australia, both via the 3MDG Fund and direct bilateral engagement with the Ministry of Health and other development partners, is championing changes to help develop a more equitable and effective health system.</w:t>
      </w:r>
    </w:p>
    <w:p w14:paraId="63A160BB" w14:textId="15CFFCDF" w:rsidR="00B36C1A" w:rsidRDefault="00B36C1A" w:rsidP="00A46BEB">
      <w:pPr>
        <w:pStyle w:val="BodyText"/>
      </w:pPr>
      <w:r w:rsidRPr="00B36C1A">
        <w:t xml:space="preserve">Increased public expenditure to support health care staff, infrastructure and essential medicines is critical to improve access to quality health services. Recent increased national budget allocations to the health sector have been welcomed, but further increases are needed to address decades of underfunding. Future funding levels from </w:t>
      </w:r>
      <w:r w:rsidR="00F5100A">
        <w:t xml:space="preserve">other </w:t>
      </w:r>
      <w:r w:rsidRPr="00B36C1A">
        <w:t xml:space="preserve">major health sector funders, </w:t>
      </w:r>
      <w:r w:rsidR="00F5100A">
        <w:t>including</w:t>
      </w:r>
      <w:r w:rsidRPr="00B36C1A">
        <w:t xml:space="preserve"> the Global Fund</w:t>
      </w:r>
      <w:r w:rsidR="00187513">
        <w:t xml:space="preserve"> to Fight AIDS, Tuberculosis and Malaria</w:t>
      </w:r>
      <w:r w:rsidRPr="00B36C1A">
        <w:t xml:space="preserve">, will also impact on the 3MDG Fund, with the potential for further demands for funding for the three diseases if investments from these sources are insufficient to </w:t>
      </w:r>
      <w:r w:rsidR="00670AA3">
        <w:t>grow</w:t>
      </w:r>
      <w:r w:rsidR="00670AA3" w:rsidRPr="00B36C1A">
        <w:t xml:space="preserve"> </w:t>
      </w:r>
      <w:r w:rsidRPr="00B36C1A">
        <w:t>programs to meet needs</w:t>
      </w:r>
      <w:r w:rsidR="001B01DF">
        <w:t>.</w:t>
      </w:r>
    </w:p>
    <w:p w14:paraId="08F3D21F" w14:textId="273471C3" w:rsidR="001F7E16" w:rsidRDefault="00B36C1A" w:rsidP="00A46BEB">
      <w:pPr>
        <w:pStyle w:val="BodyText"/>
      </w:pPr>
      <w:r w:rsidRPr="00B36C1A">
        <w:t xml:space="preserve">The number of development partners engaged in </w:t>
      </w:r>
      <w:r w:rsidR="003710CF">
        <w:t>Burma</w:t>
      </w:r>
      <w:r w:rsidR="00187513">
        <w:t>’s</w:t>
      </w:r>
      <w:r w:rsidR="00187513" w:rsidRPr="00B36C1A">
        <w:t xml:space="preserve"> </w:t>
      </w:r>
      <w:r w:rsidRPr="00B36C1A">
        <w:t xml:space="preserve">health sector grew significantly in 2012. While these additional resources are welcomed, they have tested the capacity of the Ministry of Health as it has sought to increase its engagement with partners and leadership of the sector. The changing dynamic of the health sector means that all partners, particularly United Nations health agencies and international non-government organisations, will need to change their approach, moving away from the current focus on project delivery towards a greater emphasis on programmatic approaches, technical assistance, policy advice and strategic coordination. Due to our long-standing engagement in the health sector and our strengthened relationship with the </w:t>
      </w:r>
      <w:r w:rsidR="00187513" w:rsidRPr="00B36C1A">
        <w:t xml:space="preserve">Myanmar </w:t>
      </w:r>
      <w:r w:rsidRPr="00B36C1A">
        <w:t>Government, Australia is well placed to work with other development partners and to support the Ministry of Health in strengthening coordination of healt</w:t>
      </w:r>
      <w:r w:rsidR="001B01DF">
        <w:t>h sector policies and programs.</w:t>
      </w:r>
    </w:p>
    <w:p w14:paraId="0CD0A118" w14:textId="77777777" w:rsidR="001F7E16" w:rsidRPr="00A46BEB" w:rsidRDefault="001F7E16" w:rsidP="00A46BEB">
      <w:pPr>
        <w:pStyle w:val="Heading2"/>
      </w:pPr>
      <w:r w:rsidRPr="00A46BEB">
        <w:t>Objective 2: Improving the livelihoods of the rural poor</w:t>
      </w:r>
    </w:p>
    <w:p w14:paraId="21846FF7" w14:textId="05003B8B" w:rsidR="00187513" w:rsidRDefault="00874B83" w:rsidP="00A46BEB">
      <w:pPr>
        <w:pStyle w:val="BodyText"/>
      </w:pPr>
      <w:r w:rsidRPr="00874B83">
        <w:t xml:space="preserve">Improving food and livelihoods security is a long-standing pillar of Australia’s aid program to </w:t>
      </w:r>
      <w:r w:rsidR="003710CF">
        <w:t>Burma</w:t>
      </w:r>
      <w:r w:rsidRPr="00874B83">
        <w:t>, which has significant agricultural and food production potential. Effective agricultural and rural development is crucial to reducing poverty</w:t>
      </w:r>
      <w:r w:rsidR="00187513">
        <w:t>:</w:t>
      </w:r>
      <w:r w:rsidRPr="00874B83">
        <w:t xml:space="preserve"> around 70 per cent of </w:t>
      </w:r>
      <w:r w:rsidR="00187513">
        <w:t>the</w:t>
      </w:r>
      <w:r w:rsidR="00187513" w:rsidRPr="00874B83">
        <w:t xml:space="preserve"> </w:t>
      </w:r>
      <w:r w:rsidRPr="00874B83">
        <w:t xml:space="preserve">population are subsistence-level farmers and agriculture accounts for approximately 50 per cent of </w:t>
      </w:r>
      <w:r w:rsidR="003710CF">
        <w:t>Burma</w:t>
      </w:r>
      <w:r w:rsidRPr="00874B83">
        <w:t xml:space="preserve">’s </w:t>
      </w:r>
      <w:r w:rsidR="00187513">
        <w:t>gross domestic product</w:t>
      </w:r>
      <w:r w:rsidRPr="00874B83">
        <w:t xml:space="preserve">. </w:t>
      </w:r>
    </w:p>
    <w:p w14:paraId="3AC0C12E" w14:textId="1905EAD7" w:rsidR="00874B83" w:rsidRPr="00874B83" w:rsidRDefault="00874B83" w:rsidP="00A46BEB">
      <w:pPr>
        <w:pStyle w:val="BodyText"/>
      </w:pPr>
      <w:r w:rsidRPr="00874B83">
        <w:t>Progress against this objective in 2012</w:t>
      </w:r>
      <w:r w:rsidR="00187513">
        <w:t>–</w:t>
      </w:r>
      <w:r w:rsidRPr="00874B83">
        <w:t>13 for the Strengthening Partnerships and Resilient Communities</w:t>
      </w:r>
      <w:r w:rsidR="00187513">
        <w:t xml:space="preserve"> initiative</w:t>
      </w:r>
      <w:r w:rsidRPr="00874B83">
        <w:t>, which is implemented by CARE and the Australian Centre for International Agricultural Research’s multi-disciplinary research program</w:t>
      </w:r>
      <w:r w:rsidR="00187513">
        <w:t>,</w:t>
      </w:r>
      <w:r w:rsidRPr="00874B83">
        <w:t xml:space="preserve"> was less than expected due to implementation delays. Both of these programs ha</w:t>
      </w:r>
      <w:r w:rsidR="005A76C1">
        <w:t>ve made progress in late 2012</w:t>
      </w:r>
      <w:r w:rsidR="00187513">
        <w:t xml:space="preserve"> and </w:t>
      </w:r>
      <w:r w:rsidRPr="00874B83">
        <w:t>early 2013</w:t>
      </w:r>
      <w:r w:rsidR="00187513">
        <w:t>,</w:t>
      </w:r>
      <w:r w:rsidRPr="00874B83">
        <w:t xml:space="preserve"> and are now on track and expected to commence implementation in July 2013. However the impact of these delays </w:t>
      </w:r>
      <w:r w:rsidR="005A76C1">
        <w:t>was</w:t>
      </w:r>
      <w:r w:rsidRPr="00874B83">
        <w:t xml:space="preserve"> offset by </w:t>
      </w:r>
      <w:r w:rsidR="00195B83">
        <w:t xml:space="preserve">the </w:t>
      </w:r>
      <w:r w:rsidRPr="00874B83">
        <w:t xml:space="preserve">good </w:t>
      </w:r>
      <w:r w:rsidR="00195B83">
        <w:t>performance of</w:t>
      </w:r>
      <w:r w:rsidRPr="00874B83">
        <w:t xml:space="preserve"> the multi-donor Livelihoods and Food Security Trust Fund (LIFT)</w:t>
      </w:r>
      <w:r w:rsidR="00195B83">
        <w:t>, resulting in an overall improvement in performance against the objective since the last reporting period</w:t>
      </w:r>
      <w:r w:rsidRPr="00874B83">
        <w:t>.</w:t>
      </w:r>
    </w:p>
    <w:p w14:paraId="01A99EA4" w14:textId="4215052E" w:rsidR="00697E82" w:rsidRDefault="00874B83" w:rsidP="00A46BEB">
      <w:pPr>
        <w:pStyle w:val="BodyText"/>
      </w:pPr>
      <w:r w:rsidRPr="00874B83">
        <w:t>In 2012</w:t>
      </w:r>
      <w:r w:rsidR="00697E82">
        <w:t>–</w:t>
      </w:r>
      <w:r w:rsidRPr="00874B83">
        <w:t xml:space="preserve">13 Australia contributed $2.7 million to LIFT, which continues to improve livelihoods for up to </w:t>
      </w:r>
      <w:r w:rsidR="00697E82">
        <w:t>two</w:t>
      </w:r>
      <w:r w:rsidR="00697E82" w:rsidRPr="00874B83">
        <w:t xml:space="preserve"> </w:t>
      </w:r>
      <w:r w:rsidRPr="00874B83">
        <w:t>million target beneficiaries by increasing food availability, income generation opportunities and food use. LIFT continues to yield positive results. By the end of 2012, it has provided services that have directly benefited 373</w:t>
      </w:r>
      <w:r w:rsidR="00697E82">
        <w:t xml:space="preserve"> </w:t>
      </w:r>
      <w:r w:rsidRPr="00874B83">
        <w:t>520 households</w:t>
      </w:r>
      <w:r w:rsidR="00697E82">
        <w:t>,</w:t>
      </w:r>
      <w:r w:rsidRPr="00874B83">
        <w:t xml:space="preserve"> surpassing its goal of assisting 360</w:t>
      </w:r>
      <w:r w:rsidR="00697E82">
        <w:t xml:space="preserve"> </w:t>
      </w:r>
      <w:r w:rsidRPr="00874B83">
        <w:t>890 households by 2016. In 2012 alone, LIFT helped</w:t>
      </w:r>
      <w:r w:rsidR="00697E82">
        <w:t>:</w:t>
      </w:r>
    </w:p>
    <w:p w14:paraId="6445FE0F" w14:textId="3E5484A9" w:rsidR="00697E82" w:rsidRPr="00670AA3" w:rsidRDefault="00874B83" w:rsidP="00A46BEB">
      <w:pPr>
        <w:pStyle w:val="ListBullet"/>
      </w:pPr>
      <w:r w:rsidRPr="00191F0C">
        <w:t>20</w:t>
      </w:r>
      <w:r w:rsidR="00697E82" w:rsidRPr="004D0A10">
        <w:t xml:space="preserve"> </w:t>
      </w:r>
      <w:r w:rsidRPr="004D0A10">
        <w:t xml:space="preserve">600 farming households to improve their yields by using new agricultural </w:t>
      </w:r>
      <w:r w:rsidR="00670AA3" w:rsidRPr="004D0A10">
        <w:t>practi</w:t>
      </w:r>
      <w:r w:rsidR="00670AA3">
        <w:t>c</w:t>
      </w:r>
      <w:r w:rsidR="00670AA3" w:rsidRPr="004D0A10">
        <w:t xml:space="preserve">e </w:t>
      </w:r>
      <w:r w:rsidRPr="004D0A10">
        <w:t>delivered through farmer training courses</w:t>
      </w:r>
      <w:r w:rsidRPr="00670AA3">
        <w:t xml:space="preserve"> </w:t>
      </w:r>
    </w:p>
    <w:p w14:paraId="55111831" w14:textId="712A723B" w:rsidR="00697E82" w:rsidRPr="00670AA3" w:rsidRDefault="00874B83" w:rsidP="00A46BEB">
      <w:pPr>
        <w:pStyle w:val="ListBullet"/>
      </w:pPr>
      <w:r w:rsidRPr="00670AA3">
        <w:t xml:space="preserve">9400 households to increase their crop yield by more than </w:t>
      </w:r>
      <w:r w:rsidR="001B31D0">
        <w:t>five</w:t>
      </w:r>
      <w:r w:rsidR="001B31D0" w:rsidRPr="001B31D0">
        <w:t xml:space="preserve"> </w:t>
      </w:r>
      <w:r w:rsidRPr="00191F0C">
        <w:t xml:space="preserve">per cent above their yields prior to LIFT </w:t>
      </w:r>
      <w:r w:rsidRPr="00670AA3">
        <w:t>intervening</w:t>
      </w:r>
    </w:p>
    <w:p w14:paraId="3411D613" w14:textId="78C62A47" w:rsidR="00697E82" w:rsidRPr="00670AA3" w:rsidRDefault="00874B83" w:rsidP="00A46BEB">
      <w:pPr>
        <w:pStyle w:val="ListBullet"/>
      </w:pPr>
      <w:r w:rsidRPr="00670AA3">
        <w:t>69</w:t>
      </w:r>
      <w:r w:rsidR="00697E82" w:rsidRPr="00670AA3">
        <w:t xml:space="preserve"> </w:t>
      </w:r>
      <w:r w:rsidRPr="00670AA3">
        <w:t xml:space="preserve">000 households </w:t>
      </w:r>
      <w:r w:rsidR="001B31D0">
        <w:t>to</w:t>
      </w:r>
      <w:r w:rsidR="001B31D0" w:rsidRPr="001B31D0">
        <w:t xml:space="preserve"> </w:t>
      </w:r>
      <w:r w:rsidRPr="00191F0C">
        <w:t xml:space="preserve">access </w:t>
      </w:r>
      <w:r w:rsidRPr="004D0A10">
        <w:t>credit (including low interest loans) to invest in agriculture</w:t>
      </w:r>
      <w:r w:rsidR="00697E82" w:rsidRPr="00670AA3">
        <w:t>.</w:t>
      </w:r>
    </w:p>
    <w:p w14:paraId="4A9C2CD5" w14:textId="2C1CF3EA" w:rsidR="00874B83" w:rsidRPr="00874B83" w:rsidRDefault="00697E82" w:rsidP="00A46BEB">
      <w:pPr>
        <w:pStyle w:val="BodyText"/>
      </w:pPr>
      <w:r>
        <w:t>Of</w:t>
      </w:r>
      <w:r w:rsidR="00874B83" w:rsidRPr="00874B83">
        <w:t xml:space="preserve"> the </w:t>
      </w:r>
      <w:r w:rsidRPr="00874B83">
        <w:t>150</w:t>
      </w:r>
      <w:r>
        <w:t xml:space="preserve"> </w:t>
      </w:r>
      <w:r w:rsidRPr="00874B83">
        <w:t>291</w:t>
      </w:r>
      <w:r>
        <w:t xml:space="preserve"> </w:t>
      </w:r>
      <w:r w:rsidR="00874B83" w:rsidRPr="00874B83">
        <w:t>households supported by LIFT in 2012, 17</w:t>
      </w:r>
      <w:r>
        <w:t xml:space="preserve"> </w:t>
      </w:r>
      <w:r w:rsidR="00874B83" w:rsidRPr="00874B83">
        <w:t xml:space="preserve">183 of these were headed by a </w:t>
      </w:r>
      <w:r>
        <w:t>woman</w:t>
      </w:r>
      <w:r w:rsidRPr="00874B83">
        <w:t xml:space="preserve"> </w:t>
      </w:r>
      <w:r w:rsidR="00874B83" w:rsidRPr="00874B83">
        <w:t xml:space="preserve">and 2344 </w:t>
      </w:r>
      <w:r w:rsidR="001B31D0">
        <w:t>included</w:t>
      </w:r>
      <w:r w:rsidR="001B31D0" w:rsidRPr="00874B83">
        <w:t xml:space="preserve"> </w:t>
      </w:r>
      <w:r w:rsidR="00874B83" w:rsidRPr="00874B83">
        <w:t xml:space="preserve">a person with disability. </w:t>
      </w:r>
    </w:p>
    <w:p w14:paraId="52B1AA09" w14:textId="0FF92B2E" w:rsidR="00874B83" w:rsidRPr="00874B83" w:rsidRDefault="00874B83" w:rsidP="00A46BEB">
      <w:pPr>
        <w:pStyle w:val="BodyText"/>
      </w:pPr>
      <w:r w:rsidRPr="00874B83">
        <w:lastRenderedPageBreak/>
        <w:t xml:space="preserve">Although LIFT’s results are positive against it logical framework, which is output focused, </w:t>
      </w:r>
      <w:r w:rsidR="00697E82">
        <w:t>the initiative</w:t>
      </w:r>
      <w:r w:rsidR="00697E82" w:rsidRPr="00874B83">
        <w:t xml:space="preserve"> </w:t>
      </w:r>
      <w:r w:rsidRPr="00874B83">
        <w:t xml:space="preserve">does not report well on its result outcomes, or the real </w:t>
      </w:r>
      <w:proofErr w:type="gramStart"/>
      <w:r w:rsidRPr="00874B83">
        <w:t>effect</w:t>
      </w:r>
      <w:proofErr w:type="gramEnd"/>
      <w:r w:rsidRPr="00874B83">
        <w:t xml:space="preserve"> its interventions are having. Australia and a number of other donors have advocated for stronger reporting that is outcome orientated</w:t>
      </w:r>
      <w:r w:rsidR="00697E82">
        <w:t>, as opposed to</w:t>
      </w:r>
      <w:r w:rsidRPr="00874B83">
        <w:t xml:space="preserve"> </w:t>
      </w:r>
      <w:r w:rsidR="008812B8">
        <w:t xml:space="preserve">LIFT’s </w:t>
      </w:r>
      <w:r w:rsidR="00697E82">
        <w:t>current</w:t>
      </w:r>
      <w:r w:rsidRPr="00874B83">
        <w:t xml:space="preserve"> </w:t>
      </w:r>
      <w:r w:rsidR="001B31D0" w:rsidRPr="00874B83">
        <w:t>requirements</w:t>
      </w:r>
      <w:r w:rsidR="008812B8">
        <w:t xml:space="preserve"> of</w:t>
      </w:r>
      <w:r w:rsidR="001B31D0">
        <w:t xml:space="preserve"> </w:t>
      </w:r>
      <w:r w:rsidR="008812B8" w:rsidRPr="00874B83">
        <w:t>its implementing</w:t>
      </w:r>
      <w:r w:rsidR="008812B8">
        <w:t xml:space="preserve"> partners, </w:t>
      </w:r>
      <w:r w:rsidR="001B31D0">
        <w:t xml:space="preserve">which are </w:t>
      </w:r>
      <w:r w:rsidR="00697E82">
        <w:t>output focus</w:t>
      </w:r>
      <w:r w:rsidR="00697E82" w:rsidRPr="00874B83">
        <w:t>ed</w:t>
      </w:r>
      <w:r w:rsidRPr="00874B83">
        <w:t>. LIFT has been responsive to donor requests but is slightly hindered because its implementing partners do not have monitoring and evaluation systems set up to produce outcome focused results. To address this</w:t>
      </w:r>
      <w:r w:rsidR="00697E82">
        <w:t>,</w:t>
      </w:r>
      <w:r w:rsidRPr="00874B83">
        <w:t xml:space="preserve"> LIFT is generating new information that will allow </w:t>
      </w:r>
      <w:r w:rsidR="00697E82" w:rsidRPr="00874B83">
        <w:t xml:space="preserve">outcomes </w:t>
      </w:r>
      <w:r w:rsidRPr="00874B83">
        <w:t xml:space="preserve">to </w:t>
      </w:r>
      <w:r w:rsidR="00697E82">
        <w:t xml:space="preserve">be </w:t>
      </w:r>
      <w:r w:rsidRPr="00874B83">
        <w:t>measure</w:t>
      </w:r>
      <w:r w:rsidR="00697E82">
        <w:t>d</w:t>
      </w:r>
      <w:r w:rsidRPr="00874B83">
        <w:t xml:space="preserve"> through, for example, a household baseline survey, generating qualitative information through reviews</w:t>
      </w:r>
      <w:r w:rsidR="00697E82">
        <w:t xml:space="preserve"> and </w:t>
      </w:r>
      <w:r w:rsidRPr="00874B83">
        <w:t>evaluations</w:t>
      </w:r>
      <w:r w:rsidR="00697E82">
        <w:t>,</w:t>
      </w:r>
      <w:r w:rsidRPr="00874B83">
        <w:t xml:space="preserve"> and requesting new data from implementing partners. </w:t>
      </w:r>
      <w:r w:rsidR="0016091F">
        <w:t>DFAT</w:t>
      </w:r>
      <w:r w:rsidR="00836AF0">
        <w:t xml:space="preserve"> </w:t>
      </w:r>
      <w:r w:rsidRPr="00874B83">
        <w:t xml:space="preserve">will continue to monitor the success of this approach. </w:t>
      </w:r>
    </w:p>
    <w:p w14:paraId="764B5451" w14:textId="64FA4DAA" w:rsidR="00697E82" w:rsidRDefault="00874B83" w:rsidP="00A46BEB">
      <w:pPr>
        <w:pStyle w:val="BodyText"/>
      </w:pPr>
      <w:r w:rsidRPr="00874B83">
        <w:t xml:space="preserve">LIFT has had difficulties with timely disbursement of funds and with program coherence. Steps have been taken to improve the issues surrounding this slow disbursement including </w:t>
      </w:r>
      <w:r w:rsidR="00697E82">
        <w:t>by helping</w:t>
      </w:r>
      <w:r w:rsidR="00697E82" w:rsidRPr="00874B83">
        <w:t xml:space="preserve"> </w:t>
      </w:r>
      <w:r w:rsidRPr="00874B83">
        <w:t xml:space="preserve">implementing partners to </w:t>
      </w:r>
      <w:r w:rsidR="00697E82">
        <w:t>start</w:t>
      </w:r>
      <w:r w:rsidR="00697E82" w:rsidRPr="00874B83">
        <w:t xml:space="preserve"> </w:t>
      </w:r>
      <w:r w:rsidRPr="00874B83">
        <w:t>activities quicker where there have been delays in implementation</w:t>
      </w:r>
      <w:r w:rsidR="00697E82">
        <w:t>,</w:t>
      </w:r>
      <w:r w:rsidR="00697E82" w:rsidRPr="00874B83">
        <w:t xml:space="preserve"> </w:t>
      </w:r>
      <w:r w:rsidRPr="00874B83">
        <w:t xml:space="preserve">and to develop future expenditure strategies, such as developing a program for former conflict areas in </w:t>
      </w:r>
      <w:r w:rsidR="003710CF">
        <w:t>Burma</w:t>
      </w:r>
      <w:r w:rsidRPr="00874B83">
        <w:t>. Australia deferred payment of $2.7 million from 2012</w:t>
      </w:r>
      <w:r w:rsidR="00697E82">
        <w:t>–</w:t>
      </w:r>
      <w:r w:rsidRPr="00874B83">
        <w:t>13 to 2013</w:t>
      </w:r>
      <w:r w:rsidR="00697E82">
        <w:t>–</w:t>
      </w:r>
      <w:r w:rsidRPr="00874B83">
        <w:t xml:space="preserve">14, and will continue to scrutinise expenditure to ensure that funding is being disbursed effectively and efficiently. </w:t>
      </w:r>
    </w:p>
    <w:p w14:paraId="796CFD99" w14:textId="7FA3C042" w:rsidR="00874B83" w:rsidRPr="00874B83" w:rsidRDefault="00874B83" w:rsidP="00A46BEB">
      <w:pPr>
        <w:pStyle w:val="BodyText"/>
      </w:pPr>
      <w:r w:rsidRPr="00874B83">
        <w:t xml:space="preserve">A </w:t>
      </w:r>
      <w:r w:rsidR="00697E82" w:rsidRPr="00874B83">
        <w:t xml:space="preserve">gender strategy </w:t>
      </w:r>
      <w:r w:rsidRPr="00874B83">
        <w:t xml:space="preserve">was finalised in August 2012, which aims to help implementing partners integrate a gender perspective into all stages of programing. LIFT has also provided a four-year grant to the Gender Equality Network, which will develop enabling systems, structures and practices that improve women’s economic rights and women’s livelihoods. Since </w:t>
      </w:r>
      <w:r w:rsidR="001B31D0">
        <w:t>the network</w:t>
      </w:r>
      <w:r w:rsidRPr="00874B83">
        <w:t xml:space="preserve"> </w:t>
      </w:r>
      <w:r w:rsidR="00697E82">
        <w:t xml:space="preserve">began, it </w:t>
      </w:r>
      <w:r w:rsidRPr="00874B83">
        <w:t xml:space="preserve">has </w:t>
      </w:r>
      <w:r w:rsidR="00697E82">
        <w:t xml:space="preserve">helped </w:t>
      </w:r>
      <w:r w:rsidRPr="00874B83">
        <w:t xml:space="preserve">the Myanmar Government’s Ministry of Social Welfare, Relief and Resettlement to adopt </w:t>
      </w:r>
      <w:r w:rsidR="00697E82">
        <w:t>a</w:t>
      </w:r>
      <w:r w:rsidR="00697E82" w:rsidRPr="00874B83">
        <w:t xml:space="preserve"> </w:t>
      </w:r>
      <w:r w:rsidRPr="00874B83">
        <w:t>National Strategic plan for the Advancement of Women 2012</w:t>
      </w:r>
      <w:r w:rsidR="00697E82">
        <w:t>–</w:t>
      </w:r>
      <w:r w:rsidRPr="00874B83">
        <w:t xml:space="preserve">2021, which is anticipated to be endorsed by the Myanmar National Committee for Women’s Affairs in 2013. </w:t>
      </w:r>
    </w:p>
    <w:p w14:paraId="5C997093" w14:textId="305C68C3" w:rsidR="00874B83" w:rsidRDefault="00697E82" w:rsidP="00A46BEB">
      <w:pPr>
        <w:pStyle w:val="BodyText"/>
      </w:pPr>
      <w:r>
        <w:t>I</w:t>
      </w:r>
      <w:r w:rsidR="00874B83" w:rsidRPr="00874B83">
        <w:t xml:space="preserve">n its current format, </w:t>
      </w:r>
      <w:r>
        <w:t>LIFT</w:t>
      </w:r>
      <w:r w:rsidRPr="00874B83">
        <w:t xml:space="preserve"> </w:t>
      </w:r>
      <w:r w:rsidR="00874B83" w:rsidRPr="00874B83">
        <w:t xml:space="preserve">is due to conclude in 2016. A key challenge for the </w:t>
      </w:r>
      <w:r>
        <w:t xml:space="preserve">initiative’s </w:t>
      </w:r>
      <w:r w:rsidR="00874B83" w:rsidRPr="00874B83">
        <w:t xml:space="preserve">future will be its ability to adapt to the new operational environment brought about by </w:t>
      </w:r>
      <w:r w:rsidR="003710CF">
        <w:t>Burma</w:t>
      </w:r>
      <w:r w:rsidR="00874B83" w:rsidRPr="00874B83">
        <w:t xml:space="preserve">’s reforms. In 2012 the </w:t>
      </w:r>
      <w:r>
        <w:t>g</w:t>
      </w:r>
      <w:r w:rsidRPr="00874B83">
        <w:t xml:space="preserve">overnment </w:t>
      </w:r>
      <w:r w:rsidR="00874B83" w:rsidRPr="00874B83">
        <w:t xml:space="preserve">took a greater interest in its activities and showed an increased willingness to engage. This, and broader developments in the peace process, means there are now greater opportunities for LIFT to expand its reach in </w:t>
      </w:r>
      <w:r w:rsidR="003710CF">
        <w:t>Burma</w:t>
      </w:r>
      <w:r w:rsidR="00874B83" w:rsidRPr="00874B83">
        <w:t>. Better targeting of the poorest of the poor may be required now that access to post-conflict areas is increasing.</w:t>
      </w:r>
      <w:r w:rsidR="0061615E">
        <w:t xml:space="preserve"> </w:t>
      </w:r>
      <w:r w:rsidR="00874B83" w:rsidRPr="00874B83">
        <w:t xml:space="preserve">If the decision is taken to move into these areas, it will be important to ensure LIFT recruits expertise in conflict-sensitive development. LIFT must respond to these opportunities in the way it engages with the </w:t>
      </w:r>
      <w:r>
        <w:t>g</w:t>
      </w:r>
      <w:r w:rsidRPr="00874B83">
        <w:t>overnment</w:t>
      </w:r>
      <w:r w:rsidR="00874B83" w:rsidRPr="00874B83">
        <w:t>, including exploring possibilities to strengthen government systems</w:t>
      </w:r>
      <w:r w:rsidR="0031715C">
        <w:t>,</w:t>
      </w:r>
      <w:r w:rsidR="00874B83" w:rsidRPr="00874B83">
        <w:t xml:space="preserve"> such as agricultural extension services, to ensure that the benefits of improved agricultural productivity are d</w:t>
      </w:r>
      <w:r w:rsidR="00874B83">
        <w:t>elivered as widely as possible.</w:t>
      </w:r>
    </w:p>
    <w:p w14:paraId="34307C94" w14:textId="642BCC71" w:rsidR="00874B83" w:rsidRPr="00874B83" w:rsidRDefault="00874B83" w:rsidP="00A46BEB">
      <w:pPr>
        <w:pStyle w:val="BodyText"/>
      </w:pPr>
      <w:r>
        <w:t xml:space="preserve">While </w:t>
      </w:r>
      <w:r w:rsidRPr="00874B83">
        <w:t xml:space="preserve">LIFT has been proactive in developing a strategy on engagement with the </w:t>
      </w:r>
      <w:r w:rsidR="00697E82" w:rsidRPr="00874B83">
        <w:t xml:space="preserve">Myanmar </w:t>
      </w:r>
      <w:r w:rsidRPr="00874B83">
        <w:t>Government</w:t>
      </w:r>
      <w:r>
        <w:t>,</w:t>
      </w:r>
      <w:r w:rsidRPr="00874B83">
        <w:t xml:space="preserve"> </w:t>
      </w:r>
      <w:r>
        <w:t>the question of</w:t>
      </w:r>
      <w:r w:rsidRPr="00874B83">
        <w:t xml:space="preserve"> where it would be best suited to engage with and involve the </w:t>
      </w:r>
      <w:r w:rsidR="00697E82">
        <w:t>g</w:t>
      </w:r>
      <w:r w:rsidR="00697E82" w:rsidRPr="00874B83">
        <w:t>overnment</w:t>
      </w:r>
      <w:r w:rsidR="00697E82">
        <w:t xml:space="preserve"> </w:t>
      </w:r>
      <w:r>
        <w:t>remains a challenge</w:t>
      </w:r>
      <w:r w:rsidRPr="00874B83">
        <w:t xml:space="preserve">. LIFT held a forum in December 2012 titled “Priorities in Agriculture Development of Myanmar” which received strong support from </w:t>
      </w:r>
      <w:r w:rsidR="00697E82">
        <w:t>g</w:t>
      </w:r>
      <w:r w:rsidR="00697E82" w:rsidRPr="00874B83">
        <w:t xml:space="preserve">overnment </w:t>
      </w:r>
      <w:r w:rsidRPr="00874B83">
        <w:t>(including a number of key ministers), and</w:t>
      </w:r>
      <w:r>
        <w:t xml:space="preserve"> was co-hosted and co-led by</w:t>
      </w:r>
      <w:r w:rsidRPr="00874B83">
        <w:t xml:space="preserve"> the Ministry of National Planning and Economic Development and the Ministr</w:t>
      </w:r>
      <w:r>
        <w:t>y of Agriculture and Irrigation</w:t>
      </w:r>
      <w:r w:rsidRPr="00874B83">
        <w:t>. This forum was seen as an important first step in engaging wit</w:t>
      </w:r>
      <w:r>
        <w:t xml:space="preserve">h the </w:t>
      </w:r>
      <w:r w:rsidR="00697E82">
        <w:t xml:space="preserve">government </w:t>
      </w:r>
      <w:r>
        <w:t xml:space="preserve">at this level. </w:t>
      </w:r>
      <w:r w:rsidRPr="00874B83">
        <w:t xml:space="preserve">Given </w:t>
      </w:r>
      <w:r w:rsidR="001B31D0">
        <w:t>its</w:t>
      </w:r>
      <w:r w:rsidR="001B31D0" w:rsidRPr="00874B83">
        <w:t xml:space="preserve"> </w:t>
      </w:r>
      <w:r w:rsidRPr="00874B83">
        <w:t xml:space="preserve">successes, the data it has </w:t>
      </w:r>
      <w:r w:rsidR="00697E82" w:rsidRPr="00874B83">
        <w:t>built</w:t>
      </w:r>
      <w:r w:rsidR="00697E82">
        <w:t>-</w:t>
      </w:r>
      <w:r w:rsidRPr="00874B83">
        <w:t xml:space="preserve">up and the partnerships it has developed, LIFT is well placed to adapt to the changing environment and challenges of </w:t>
      </w:r>
      <w:r w:rsidR="003710CF">
        <w:t>Burma</w:t>
      </w:r>
      <w:r w:rsidRPr="00874B83">
        <w:t xml:space="preserve">. Ongoing and close collaboration with </w:t>
      </w:r>
      <w:r w:rsidR="00697E82">
        <w:t xml:space="preserve">the </w:t>
      </w:r>
      <w:r w:rsidR="00697E82" w:rsidRPr="00874B83">
        <w:t>A</w:t>
      </w:r>
      <w:r w:rsidR="00697E82">
        <w:t xml:space="preserve">ustralian </w:t>
      </w:r>
      <w:r w:rsidRPr="00874B83">
        <w:t>C</w:t>
      </w:r>
      <w:r w:rsidR="00697E82">
        <w:t xml:space="preserve">entre for </w:t>
      </w:r>
      <w:r w:rsidRPr="00874B83">
        <w:t>I</w:t>
      </w:r>
      <w:r w:rsidR="00697E82">
        <w:t xml:space="preserve">nternational </w:t>
      </w:r>
      <w:r w:rsidRPr="00874B83">
        <w:t>A</w:t>
      </w:r>
      <w:r w:rsidR="00697E82">
        <w:t xml:space="preserve">griculture </w:t>
      </w:r>
      <w:r w:rsidR="00697E82" w:rsidRPr="00874B83">
        <w:t>R</w:t>
      </w:r>
      <w:r w:rsidR="00697E82">
        <w:t>esearch</w:t>
      </w:r>
      <w:r w:rsidRPr="00874B83">
        <w:t xml:space="preserve"> will also be important. It will also be critical for LIFT to move towards a consolidated, programmatic approach focused on results rather than outputs.</w:t>
      </w:r>
    </w:p>
    <w:p w14:paraId="731A97C3" w14:textId="58D7A81D" w:rsidR="00874B83" w:rsidRPr="00874B83" w:rsidRDefault="00874B83" w:rsidP="00A46BEB">
      <w:pPr>
        <w:pStyle w:val="BodyText"/>
      </w:pPr>
      <w:r w:rsidRPr="00874B83">
        <w:t>In 2012</w:t>
      </w:r>
      <w:r w:rsidR="00132181">
        <w:t>–</w:t>
      </w:r>
      <w:r w:rsidRPr="00874B83">
        <w:t xml:space="preserve">13 Australia contributed $2.7 million to </w:t>
      </w:r>
      <w:r w:rsidR="00132181">
        <w:t xml:space="preserve">the </w:t>
      </w:r>
      <w:r w:rsidRPr="00874B83">
        <w:t xml:space="preserve">CARE Australia </w:t>
      </w:r>
      <w:r w:rsidR="00132181">
        <w:t>p</w:t>
      </w:r>
      <w:r w:rsidR="00132181" w:rsidRPr="00874B83">
        <w:t>rogram</w:t>
      </w:r>
      <w:r w:rsidR="00132181">
        <w:t>,</w:t>
      </w:r>
      <w:r w:rsidR="00132181" w:rsidRPr="00874B83">
        <w:t xml:space="preserve"> </w:t>
      </w:r>
      <w:r w:rsidRPr="00874B83">
        <w:t xml:space="preserve">Strengthening Partnerships and Resilient Communities, in northern </w:t>
      </w:r>
      <w:proofErr w:type="spellStart"/>
      <w:r w:rsidRPr="00874B83">
        <w:t>Rakhine</w:t>
      </w:r>
      <w:proofErr w:type="spellEnd"/>
      <w:r w:rsidRPr="00874B83">
        <w:t xml:space="preserve"> State. </w:t>
      </w:r>
      <w:r w:rsidR="00761411">
        <w:t>The program’s</w:t>
      </w:r>
      <w:r w:rsidR="00761411" w:rsidRPr="00874B83">
        <w:t xml:space="preserve"> </w:t>
      </w:r>
      <w:r w:rsidRPr="00874B83">
        <w:t xml:space="preserve">full implementation was postponed following the outbreak of violence in </w:t>
      </w:r>
      <w:proofErr w:type="spellStart"/>
      <w:r w:rsidRPr="00874B83">
        <w:t>Rakhine</w:t>
      </w:r>
      <w:proofErr w:type="spellEnd"/>
      <w:r w:rsidRPr="00874B83">
        <w:t xml:space="preserve"> State in June </w:t>
      </w:r>
      <w:r w:rsidRPr="00874B83">
        <w:lastRenderedPageBreak/>
        <w:t>2012. Although the activity was delayed, the program was able to provide immediate humanitarian relief to the hundreds of thousands of people displaced by the conflict. However this has meant that there are fewer livelihoods results to report than originally expected for 2012</w:t>
      </w:r>
      <w:r w:rsidR="00132181">
        <w:t>–</w:t>
      </w:r>
      <w:r w:rsidRPr="00874B83">
        <w:t xml:space="preserve">13. CARE has maintained an active presence in </w:t>
      </w:r>
      <w:proofErr w:type="spellStart"/>
      <w:r w:rsidRPr="00874B83">
        <w:t>Rakhine</w:t>
      </w:r>
      <w:proofErr w:type="spellEnd"/>
      <w:r w:rsidRPr="00874B83">
        <w:t xml:space="preserve"> and will resume </w:t>
      </w:r>
      <w:r w:rsidR="00761411">
        <w:t>program</w:t>
      </w:r>
      <w:r w:rsidR="00761411" w:rsidRPr="00874B83">
        <w:t xml:space="preserve"> </w:t>
      </w:r>
      <w:r w:rsidRPr="00874B83">
        <w:t xml:space="preserve">activities in mid-2013. CARE has adapted well to the fluid situation in </w:t>
      </w:r>
      <w:proofErr w:type="spellStart"/>
      <w:r w:rsidRPr="00874B83">
        <w:t>Rakhine</w:t>
      </w:r>
      <w:proofErr w:type="spellEnd"/>
      <w:r w:rsidRPr="00874B83">
        <w:t>, as evidenced by a redesign following a review of its program to suit changed the changed conditions.</w:t>
      </w:r>
      <w:r w:rsidR="0061615E">
        <w:t xml:space="preserve"> </w:t>
      </w:r>
    </w:p>
    <w:p w14:paraId="68001E1F" w14:textId="1E80E084" w:rsidR="00992582" w:rsidRDefault="00874B83" w:rsidP="00A46BEB">
      <w:pPr>
        <w:pStyle w:val="BodyText"/>
      </w:pPr>
      <w:r w:rsidRPr="00874B83">
        <w:t xml:space="preserve">The </w:t>
      </w:r>
      <w:r w:rsidR="00132181" w:rsidRPr="00874B83">
        <w:t>A</w:t>
      </w:r>
      <w:r w:rsidR="00132181">
        <w:t xml:space="preserve">ustralian </w:t>
      </w:r>
      <w:r w:rsidR="00132181" w:rsidRPr="00874B83">
        <w:t>C</w:t>
      </w:r>
      <w:r w:rsidR="00132181">
        <w:t xml:space="preserve">entre for </w:t>
      </w:r>
      <w:r w:rsidR="00132181" w:rsidRPr="00874B83">
        <w:t>I</w:t>
      </w:r>
      <w:r w:rsidR="00132181">
        <w:t xml:space="preserve">nternational </w:t>
      </w:r>
      <w:r w:rsidR="00132181" w:rsidRPr="00874B83">
        <w:t>A</w:t>
      </w:r>
      <w:r w:rsidR="00132181">
        <w:t xml:space="preserve">griculture </w:t>
      </w:r>
      <w:r w:rsidR="00132181" w:rsidRPr="00874B83">
        <w:t>R</w:t>
      </w:r>
      <w:r w:rsidR="00132181">
        <w:t>esearch</w:t>
      </w:r>
      <w:r w:rsidR="00132181" w:rsidRPr="00874B83">
        <w:t xml:space="preserve"> </w:t>
      </w:r>
      <w:r w:rsidRPr="00874B83">
        <w:t>Multi-Disciplinary Research Program aims to improve food security in the Irrawaddy Delta and Central Dry Zone</w:t>
      </w:r>
      <w:r w:rsidR="00132181">
        <w:t>. It does this</w:t>
      </w:r>
      <w:r w:rsidRPr="00874B83">
        <w:t xml:space="preserve"> by building research knowledge and capacity to improve food production (legumes, livestock, fisheries and rice) by small-holder farmers, agricultural universities and government institutions. </w:t>
      </w:r>
      <w:r w:rsidR="00132181">
        <w:t>The centre</w:t>
      </w:r>
      <w:r w:rsidR="00132181" w:rsidRPr="00874B83">
        <w:t xml:space="preserve"> </w:t>
      </w:r>
      <w:r w:rsidRPr="00874B83">
        <w:t xml:space="preserve">did not have an in-country presence until very late </w:t>
      </w:r>
      <w:r w:rsidR="001B31D0" w:rsidRPr="00874B83">
        <w:t xml:space="preserve">in </w:t>
      </w:r>
      <w:r w:rsidRPr="00874B83">
        <w:t xml:space="preserve">2012 and program design missions were delayed due to challenges in securing visas for entry to </w:t>
      </w:r>
      <w:r w:rsidR="003710CF">
        <w:t>Burma</w:t>
      </w:r>
      <w:r w:rsidRPr="00874B83">
        <w:t xml:space="preserve">. The design phase of the </w:t>
      </w:r>
      <w:r w:rsidR="00132181">
        <w:t>p</w:t>
      </w:r>
      <w:r w:rsidR="00132181" w:rsidRPr="00874B83">
        <w:t xml:space="preserve">rogram </w:t>
      </w:r>
      <w:r w:rsidRPr="00874B83">
        <w:t>was delayed by 12 months and concluded in November 2012</w:t>
      </w:r>
      <w:r w:rsidR="00132181">
        <w:t xml:space="preserve">, so </w:t>
      </w:r>
      <w:r w:rsidRPr="00874B83">
        <w:t>there are no results to report for 2012</w:t>
      </w:r>
      <w:r w:rsidR="00132181">
        <w:t>–</w:t>
      </w:r>
      <w:r w:rsidRPr="00874B83">
        <w:t xml:space="preserve">13. </w:t>
      </w:r>
      <w:r w:rsidR="00132181">
        <w:t>The centre</w:t>
      </w:r>
      <w:r w:rsidR="00132181" w:rsidRPr="00874B83">
        <w:t xml:space="preserve"> </w:t>
      </w:r>
      <w:r w:rsidRPr="00874B83">
        <w:t xml:space="preserve">recruited an in country program manager in November 2012, and expects to finalise </w:t>
      </w:r>
      <w:r w:rsidR="00132181">
        <w:t>m</w:t>
      </w:r>
      <w:r w:rsidR="00132181" w:rsidRPr="00874B83">
        <w:t>emorand</w:t>
      </w:r>
      <w:r w:rsidR="00132181">
        <w:t>a</w:t>
      </w:r>
      <w:r w:rsidR="00132181" w:rsidRPr="00874B83">
        <w:t xml:space="preserve"> </w:t>
      </w:r>
      <w:r w:rsidRPr="00874B83">
        <w:t xml:space="preserve">of </w:t>
      </w:r>
      <w:r w:rsidR="00132181">
        <w:t>u</w:t>
      </w:r>
      <w:r w:rsidR="00132181" w:rsidRPr="00874B83">
        <w:t>nderstanding</w:t>
      </w:r>
      <w:r w:rsidRPr="00874B83">
        <w:t xml:space="preserve"> with relevant </w:t>
      </w:r>
      <w:r w:rsidR="00132181">
        <w:t>m</w:t>
      </w:r>
      <w:r w:rsidR="00132181" w:rsidRPr="00874B83">
        <w:t xml:space="preserve">inistries </w:t>
      </w:r>
      <w:r w:rsidRPr="00874B83">
        <w:t xml:space="preserve">to commence activities in 2013. </w:t>
      </w:r>
      <w:r w:rsidR="007A15DE">
        <w:t xml:space="preserve">The </w:t>
      </w:r>
      <w:r w:rsidR="0016091F">
        <w:t xml:space="preserve">Australian aid program </w:t>
      </w:r>
      <w:r w:rsidRPr="00874B83">
        <w:t xml:space="preserve">deferred payment of $3 million to </w:t>
      </w:r>
      <w:r w:rsidR="00132181">
        <w:t xml:space="preserve">the </w:t>
      </w:r>
      <w:r w:rsidR="00132181" w:rsidRPr="00874B83">
        <w:t>A</w:t>
      </w:r>
      <w:r w:rsidR="00132181">
        <w:t xml:space="preserve">ustralian </w:t>
      </w:r>
      <w:r w:rsidR="00132181" w:rsidRPr="00874B83">
        <w:t>C</w:t>
      </w:r>
      <w:r w:rsidR="00132181">
        <w:t xml:space="preserve">entre for </w:t>
      </w:r>
      <w:r w:rsidR="00132181" w:rsidRPr="00874B83">
        <w:t>I</w:t>
      </w:r>
      <w:r w:rsidR="00132181">
        <w:t xml:space="preserve">nternational </w:t>
      </w:r>
      <w:r w:rsidR="00132181" w:rsidRPr="00874B83">
        <w:t>A</w:t>
      </w:r>
      <w:r w:rsidR="00132181">
        <w:t xml:space="preserve">griculture </w:t>
      </w:r>
      <w:r w:rsidR="00132181" w:rsidRPr="00874B83">
        <w:t>R</w:t>
      </w:r>
      <w:r w:rsidR="00132181">
        <w:t>esearch</w:t>
      </w:r>
      <w:r w:rsidR="00132181" w:rsidRPr="00874B83">
        <w:t xml:space="preserve"> </w:t>
      </w:r>
      <w:r w:rsidRPr="00874B83">
        <w:t>in 2012</w:t>
      </w:r>
      <w:r w:rsidR="00132181">
        <w:t>–</w:t>
      </w:r>
      <w:r w:rsidRPr="00874B83">
        <w:t xml:space="preserve">13 </w:t>
      </w:r>
      <w:r w:rsidR="00132181">
        <w:t>as a result</w:t>
      </w:r>
      <w:r w:rsidRPr="00874B83">
        <w:t xml:space="preserve"> of the delay, and will continue to monitor progress closely.</w:t>
      </w:r>
    </w:p>
    <w:p w14:paraId="67908C96" w14:textId="2896703B" w:rsidR="00992582" w:rsidRPr="00A46BEB" w:rsidRDefault="00992582" w:rsidP="00A46BEB">
      <w:pPr>
        <w:pStyle w:val="Heading2"/>
      </w:pPr>
      <w:r w:rsidRPr="00A46BEB">
        <w:t>Objective 3</w:t>
      </w:r>
      <w:r w:rsidR="00132181" w:rsidRPr="00A46BEB">
        <w:t>:</w:t>
      </w:r>
      <w:r w:rsidRPr="00A46BEB">
        <w:t xml:space="preserve"> Addressing the needs of conflict and disaster-affected people</w:t>
      </w:r>
    </w:p>
    <w:p w14:paraId="2F6E43F7" w14:textId="2CD862C1" w:rsidR="00992582" w:rsidRDefault="00992582" w:rsidP="00A46BEB">
      <w:pPr>
        <w:pStyle w:val="BodyText"/>
      </w:pPr>
      <w:r w:rsidRPr="00992582">
        <w:t>The emerging peace process</w:t>
      </w:r>
      <w:r w:rsidR="00FB4A7E">
        <w:t xml:space="preserve"> in </w:t>
      </w:r>
      <w:r w:rsidR="003710CF">
        <w:t>Burma</w:t>
      </w:r>
      <w:r w:rsidRPr="00992582">
        <w:t xml:space="preserve"> and </w:t>
      </w:r>
      <w:r w:rsidR="00FB4A7E">
        <w:t xml:space="preserve">Australia’s </w:t>
      </w:r>
      <w:r w:rsidRPr="00992582">
        <w:t xml:space="preserve">corresponding commitment of support </w:t>
      </w:r>
      <w:r w:rsidR="00461935">
        <w:t xml:space="preserve">announced </w:t>
      </w:r>
      <w:r w:rsidRPr="00992582">
        <w:t xml:space="preserve">in June 2012, as well as ongoing humanitarian needs in </w:t>
      </w:r>
      <w:r w:rsidR="003710CF">
        <w:t>Burma</w:t>
      </w:r>
      <w:r w:rsidRPr="00992582">
        <w:t xml:space="preserve"> and on the Thai-</w:t>
      </w:r>
      <w:r w:rsidR="003710CF">
        <w:t>Burma</w:t>
      </w:r>
      <w:r w:rsidRPr="00992582">
        <w:t xml:space="preserve"> border</w:t>
      </w:r>
      <w:r w:rsidR="00FB4A7E">
        <w:t>,</w:t>
      </w:r>
      <w:r w:rsidRPr="00992582">
        <w:t xml:space="preserve"> has seen </w:t>
      </w:r>
      <w:r w:rsidR="00FB4A7E">
        <w:t>our peace and humanitarian portfolio</w:t>
      </w:r>
      <w:r w:rsidRPr="00992582">
        <w:t xml:space="preserve"> </w:t>
      </w:r>
      <w:r w:rsidR="00AE4BC7">
        <w:t xml:space="preserve">expand </w:t>
      </w:r>
      <w:r w:rsidR="00AE4BC7" w:rsidRPr="00992582">
        <w:t xml:space="preserve">rapidly. </w:t>
      </w:r>
      <w:r w:rsidRPr="00992582">
        <w:t xml:space="preserve">By early 2012 the Myanmar Government had signed ceasefire agreements with 10 of the 11 major ethnic groups, including the first ever with the Karen National Union after more than 60 years of conflict. </w:t>
      </w:r>
      <w:r w:rsidR="00AA1195" w:rsidRPr="00AA1195">
        <w:t xml:space="preserve">On 30 May 2013 the Myanmar Government signed a preliminary ceasefire agreement with the last major armed group, the </w:t>
      </w:r>
      <w:proofErr w:type="spellStart"/>
      <w:r w:rsidR="00AA1195" w:rsidRPr="00AA1195">
        <w:t>Kachin</w:t>
      </w:r>
      <w:proofErr w:type="spellEnd"/>
      <w:r w:rsidR="00AA1195" w:rsidRPr="00AA1195">
        <w:t xml:space="preserve"> Independence Organisation. This marks the first time since independence </w:t>
      </w:r>
      <w:proofErr w:type="gramStart"/>
      <w:r w:rsidR="00AA1195" w:rsidRPr="00AA1195">
        <w:t xml:space="preserve">that </w:t>
      </w:r>
      <w:r w:rsidR="00284DE4">
        <w:t xml:space="preserve"> the</w:t>
      </w:r>
      <w:proofErr w:type="gramEnd"/>
      <w:r w:rsidR="00284DE4">
        <w:t xml:space="preserve"> Government</w:t>
      </w:r>
      <w:r w:rsidR="00965791">
        <w:t xml:space="preserve"> </w:t>
      </w:r>
      <w:r w:rsidR="001F04F6" w:rsidRPr="0085525F">
        <w:t>is</w:t>
      </w:r>
      <w:r w:rsidR="00AA1195" w:rsidRPr="00AA1195">
        <w:t xml:space="preserve"> not in confl</w:t>
      </w:r>
      <w:r w:rsidR="00AA1195">
        <w:t xml:space="preserve">ict with </w:t>
      </w:r>
      <w:r w:rsidR="00284DE4">
        <w:t>armed</w:t>
      </w:r>
      <w:r w:rsidR="00AA1195">
        <w:t xml:space="preserve"> ethnic groups</w:t>
      </w:r>
      <w:r>
        <w:t>.</w:t>
      </w:r>
      <w:r w:rsidR="00AE4BC7">
        <w:t xml:space="preserve"> </w:t>
      </w:r>
      <w:r w:rsidRPr="00992582">
        <w:t xml:space="preserve">A lasting political settlement to </w:t>
      </w:r>
      <w:r w:rsidR="003710CF">
        <w:t>Burma</w:t>
      </w:r>
      <w:r w:rsidRPr="00992582">
        <w:t xml:space="preserve">’s long-running civil conflicts is critical to securing sustainable improvements in the lives of </w:t>
      </w:r>
      <w:r w:rsidR="001F04F6">
        <w:t>its</w:t>
      </w:r>
      <w:r w:rsidR="001F04F6" w:rsidRPr="00992582">
        <w:t xml:space="preserve"> </w:t>
      </w:r>
      <w:r w:rsidRPr="00992582">
        <w:t xml:space="preserve">people and to the success of the broader economic and political reform process underway. </w:t>
      </w:r>
      <w:r w:rsidR="00FB4A7E">
        <w:t>Australia’s efforts to address the needs of conflict and disaster affected people includes</w:t>
      </w:r>
      <w:r w:rsidRPr="00992582">
        <w:t xml:space="preserve"> support to </w:t>
      </w:r>
      <w:r w:rsidR="003710CF">
        <w:t>Burma</w:t>
      </w:r>
      <w:r w:rsidR="00FB4A7E">
        <w:t>’s</w:t>
      </w:r>
      <w:r w:rsidRPr="00992582">
        <w:t xml:space="preserve"> peace process</w:t>
      </w:r>
      <w:r w:rsidR="001F04F6">
        <w:t>,</w:t>
      </w:r>
      <w:r w:rsidR="001F04F6" w:rsidRPr="00992582">
        <w:t xml:space="preserve"> </w:t>
      </w:r>
      <w:r w:rsidRPr="00992582">
        <w:t xml:space="preserve">humanitarian assistance in </w:t>
      </w:r>
      <w:r w:rsidR="003710CF">
        <w:t>Burma</w:t>
      </w:r>
      <w:r w:rsidR="001F04F6">
        <w:t>,</w:t>
      </w:r>
      <w:r w:rsidR="001F04F6" w:rsidRPr="00992582">
        <w:t xml:space="preserve"> </w:t>
      </w:r>
      <w:r w:rsidRPr="00992582">
        <w:t>and humanitarian assistance fo</w:t>
      </w:r>
      <w:r>
        <w:t xml:space="preserve">r </w:t>
      </w:r>
      <w:r w:rsidR="003710CF">
        <w:t>Burmese</w:t>
      </w:r>
      <w:r>
        <w:t xml:space="preserve"> refugees in Thailand.</w:t>
      </w:r>
      <w:r w:rsidR="00C72EDD">
        <w:t xml:space="preserve"> Progress made against this objective has improved since the last reporting period and it is likely that it will be achieved.</w:t>
      </w:r>
    </w:p>
    <w:p w14:paraId="01829FF8" w14:textId="77777777" w:rsidR="00992582" w:rsidRDefault="00992582" w:rsidP="00A46BEB">
      <w:pPr>
        <w:pStyle w:val="Heading3"/>
      </w:pPr>
      <w:r w:rsidRPr="00992582">
        <w:t>Support to the peace process</w:t>
      </w:r>
    </w:p>
    <w:p w14:paraId="247861C6" w14:textId="7E927A2A" w:rsidR="00AA37FE" w:rsidRPr="00AA37FE" w:rsidRDefault="00AA37FE" w:rsidP="00A46BEB">
      <w:pPr>
        <w:pStyle w:val="BodyText"/>
      </w:pPr>
      <w:r w:rsidRPr="00AA37FE">
        <w:t xml:space="preserve">In October 2012 Australia funded the first ever pilot project of the </w:t>
      </w:r>
      <w:r w:rsidRPr="0085525F">
        <w:t>Myanmar</w:t>
      </w:r>
      <w:r w:rsidRPr="00AA37FE">
        <w:t xml:space="preserve"> Peace Support Initiative in </w:t>
      </w:r>
      <w:proofErr w:type="spellStart"/>
      <w:r w:rsidRPr="00AA37FE">
        <w:t>Kyaukkyi</w:t>
      </w:r>
      <w:proofErr w:type="spellEnd"/>
      <w:r w:rsidRPr="00AA37FE">
        <w:t xml:space="preserve"> Township, </w:t>
      </w:r>
      <w:proofErr w:type="spellStart"/>
      <w:r w:rsidRPr="00AA37FE">
        <w:t>Bago</w:t>
      </w:r>
      <w:proofErr w:type="spellEnd"/>
      <w:r w:rsidRPr="00AA37FE">
        <w:t xml:space="preserve"> Region. The pilot was delivered by a local organisation with support from Norwegian People’s Aid, and it allowed international access to an area that was previously inaccessible to assistance. The pilot was jointly agreed by the </w:t>
      </w:r>
      <w:r w:rsidRPr="00D71CFA">
        <w:t>Myanmar</w:t>
      </w:r>
      <w:r w:rsidRPr="00AA37FE">
        <w:t xml:space="preserve"> Government and the Karen National Union</w:t>
      </w:r>
      <w:r w:rsidR="001F04F6">
        <w:t>,</w:t>
      </w:r>
      <w:r w:rsidRPr="00AA37FE">
        <w:t xml:space="preserve"> and helped strengthen the ceasefire in the area. It delivered food and basic household items to 1500 people in the </w:t>
      </w:r>
      <w:proofErr w:type="spellStart"/>
      <w:r w:rsidRPr="00AA37FE">
        <w:t>Kyaukkyi</w:t>
      </w:r>
      <w:proofErr w:type="spellEnd"/>
      <w:r w:rsidRPr="00AA37FE">
        <w:t xml:space="preserve"> township (the first known time assistance was provided from within </w:t>
      </w:r>
      <w:r w:rsidR="00A226A5">
        <w:t>Burma</w:t>
      </w:r>
      <w:r w:rsidRPr="00AA37FE">
        <w:t xml:space="preserve"> rather than across the border from Thailand) and </w:t>
      </w:r>
      <w:r w:rsidR="001F04F6">
        <w:t>gave the</w:t>
      </w:r>
      <w:r w:rsidRPr="00AA37FE">
        <w:t xml:space="preserve"> </w:t>
      </w:r>
      <w:r w:rsidR="001F04F6" w:rsidRPr="00AA37FE">
        <w:t xml:space="preserve">local community </w:t>
      </w:r>
      <w:r w:rsidR="001F04F6">
        <w:t xml:space="preserve">an </w:t>
      </w:r>
      <w:r w:rsidRPr="00AA37FE">
        <w:t xml:space="preserve">opportunity to interact with the government and local armed elements (both military and non-state armed group) to address their concerns. The pilot attracted significant attention, including criticism from local and international groups about the model. </w:t>
      </w:r>
      <w:r w:rsidR="00AA1195" w:rsidRPr="00AA1195">
        <w:t xml:space="preserve">While formal monitoring and evaluation of the project could be improved, visits by </w:t>
      </w:r>
      <w:r w:rsidR="007A15DE">
        <w:t xml:space="preserve"> aid program </w:t>
      </w:r>
      <w:r w:rsidR="00AA1195" w:rsidRPr="00AA1195">
        <w:t xml:space="preserve">staff show that </w:t>
      </w:r>
      <w:r w:rsidR="00AA1195">
        <w:t>d</w:t>
      </w:r>
      <w:r w:rsidR="00AA1195" w:rsidRPr="00AA1195">
        <w:t xml:space="preserve">espite the reaction from outside groups, the community has been very positive. Options for further assistance in </w:t>
      </w:r>
      <w:proofErr w:type="spellStart"/>
      <w:r w:rsidR="00AA1195" w:rsidRPr="00AA1195">
        <w:t>Kyuakkyi</w:t>
      </w:r>
      <w:proofErr w:type="spellEnd"/>
      <w:r w:rsidR="00AA1195" w:rsidRPr="00AA1195">
        <w:t xml:space="preserve"> are being expl</w:t>
      </w:r>
      <w:r w:rsidR="00AA1195">
        <w:t>ored with partners</w:t>
      </w:r>
      <w:r w:rsidRPr="00AA37FE">
        <w:t>.</w:t>
      </w:r>
    </w:p>
    <w:p w14:paraId="25F9B52A" w14:textId="05754C94" w:rsidR="00992582" w:rsidRDefault="00AA37FE" w:rsidP="00A46BEB">
      <w:pPr>
        <w:pStyle w:val="BodyText"/>
      </w:pPr>
      <w:r w:rsidRPr="00AA37FE">
        <w:lastRenderedPageBreak/>
        <w:t xml:space="preserve">Australia has supported two </w:t>
      </w:r>
      <w:r w:rsidR="001F04F6">
        <w:t>non-government organisations</w:t>
      </w:r>
      <w:r w:rsidR="001F04F6" w:rsidRPr="00AA37FE">
        <w:t xml:space="preserve"> </w:t>
      </w:r>
      <w:r w:rsidRPr="00AA37FE">
        <w:t xml:space="preserve">to assist with ongoing negotiation and dialogue processes that help address the underlying causes of the conflicts. The Centre for Peace and Conflict Studies has helped strengthen understanding on both sides of the negotiations by facilitating visits to places like such as Mindanao in the Philippines, to examine models of conflict resolution and ceasefire monitoring that have been used in other contexts. It has also provided training to journalists about conflict-sensitive reporting and supported community consultations to help ensure that negotiations between the government and the </w:t>
      </w:r>
      <w:proofErr w:type="spellStart"/>
      <w:r w:rsidRPr="00AA37FE">
        <w:t>Karenni</w:t>
      </w:r>
      <w:proofErr w:type="spellEnd"/>
      <w:r w:rsidRPr="00AA37FE">
        <w:t xml:space="preserve"> National Progressive Party reflect the demands of communities.</w:t>
      </w:r>
    </w:p>
    <w:p w14:paraId="7D0297F8" w14:textId="77777777" w:rsidR="00992582" w:rsidRDefault="00992582" w:rsidP="00A46BEB">
      <w:pPr>
        <w:pStyle w:val="BodyText"/>
      </w:pPr>
      <w:r w:rsidRPr="00992582">
        <w:t xml:space="preserve">The Centre for Humanitarian Dialogue has provided advice, technical support and access to international expertise to support both sides to resolve obstacles in the ceasefire negotiations in </w:t>
      </w:r>
      <w:proofErr w:type="spellStart"/>
      <w:r w:rsidRPr="00992582">
        <w:t>Kachin</w:t>
      </w:r>
      <w:proofErr w:type="spellEnd"/>
      <w:r w:rsidRPr="00992582">
        <w:t xml:space="preserve"> and reconciliation efforts in </w:t>
      </w:r>
      <w:proofErr w:type="spellStart"/>
      <w:r w:rsidRPr="00992582">
        <w:t>Rakhine</w:t>
      </w:r>
      <w:proofErr w:type="spellEnd"/>
      <w:r w:rsidRPr="00992582">
        <w:t xml:space="preserve"> State. Support </w:t>
      </w:r>
      <w:r w:rsidR="00D74C3C">
        <w:t>for the</w:t>
      </w:r>
      <w:r w:rsidRPr="00992582">
        <w:t xml:space="preserve"> dialogue process will be important if the current ceasefire agreements are to be transformed into a national political dialogue and eventual</w:t>
      </w:r>
      <w:r w:rsidR="00D74C3C">
        <w:t xml:space="preserve"> </w:t>
      </w:r>
      <w:r w:rsidRPr="00992582">
        <w:t xml:space="preserve">political settlement that addresses the underlying causes of the conflicts. </w:t>
      </w:r>
    </w:p>
    <w:p w14:paraId="678D02E5" w14:textId="15CFB3D0" w:rsidR="00992582" w:rsidRDefault="00D74C3C" w:rsidP="00A46BEB">
      <w:pPr>
        <w:pStyle w:val="BodyText"/>
      </w:pPr>
      <w:r w:rsidRPr="00992582">
        <w:t xml:space="preserve">Australia has supported the establishment of the </w:t>
      </w:r>
      <w:r>
        <w:t xml:space="preserve">Myanmar Peace Centre, </w:t>
      </w:r>
      <w:r w:rsidR="00992582" w:rsidRPr="00992582">
        <w:t xml:space="preserve">headed by </w:t>
      </w:r>
      <w:r w:rsidR="00AA1195" w:rsidRPr="00AA1195">
        <w:t xml:space="preserve">Minister </w:t>
      </w:r>
      <w:r w:rsidR="00BD52AE" w:rsidRPr="00AA1195">
        <w:t>U</w:t>
      </w:r>
      <w:r w:rsidR="00BD52AE">
        <w:t> </w:t>
      </w:r>
      <w:r w:rsidR="00AA1195" w:rsidRPr="00AA1195">
        <w:t>Aung Min,</w:t>
      </w:r>
      <w:r w:rsidR="00AA1195">
        <w:t xml:space="preserve"> </w:t>
      </w:r>
      <w:r w:rsidR="00992582" w:rsidRPr="00992582">
        <w:t xml:space="preserve">the </w:t>
      </w:r>
      <w:r>
        <w:t>Myanmar G</w:t>
      </w:r>
      <w:r w:rsidR="00992582" w:rsidRPr="00992582">
        <w:t xml:space="preserve">overnment’s lead negotiator in the peace process. The </w:t>
      </w:r>
      <w:r w:rsidR="001F04F6">
        <w:t>c</w:t>
      </w:r>
      <w:r w:rsidR="001F04F6" w:rsidRPr="00992582">
        <w:t xml:space="preserve">entre </w:t>
      </w:r>
      <w:r w:rsidR="00992582" w:rsidRPr="00992582">
        <w:t>was established to ensure initial ceasefire agreements are upheld, begin discussion on the underlying political causes of the conflict and to coordinate international a</w:t>
      </w:r>
      <w:r>
        <w:t>ssistance to the peace process.</w:t>
      </w:r>
    </w:p>
    <w:p w14:paraId="676074EA" w14:textId="3154915A" w:rsidR="00992582" w:rsidRDefault="00A226A5" w:rsidP="00A46BEB">
      <w:pPr>
        <w:pStyle w:val="BodyText"/>
      </w:pPr>
      <w:r>
        <w:t>Burma</w:t>
      </w:r>
      <w:r w:rsidR="009F2335" w:rsidRPr="00992582">
        <w:t xml:space="preserve"> has one of the highest levels of landmine contamination in the world, resulting in 2861</w:t>
      </w:r>
      <w:r w:rsidR="00651592">
        <w:t xml:space="preserve"> </w:t>
      </w:r>
      <w:r w:rsidR="009F2335" w:rsidRPr="00992582">
        <w:t xml:space="preserve">recorded casualties between 1999 and 2010. </w:t>
      </w:r>
      <w:r w:rsidR="009F2335">
        <w:t xml:space="preserve">Information about </w:t>
      </w:r>
      <w:r w:rsidR="009F2335" w:rsidRPr="00992582">
        <w:t>landmine contamination in easter</w:t>
      </w:r>
      <w:r w:rsidR="009F2335">
        <w:t xml:space="preserve">n </w:t>
      </w:r>
      <w:r>
        <w:t>Burma</w:t>
      </w:r>
      <w:r w:rsidR="009F2335">
        <w:t xml:space="preserve"> is poor but i</w:t>
      </w:r>
      <w:r w:rsidR="009F2335" w:rsidRPr="00992582">
        <w:t xml:space="preserve">t is believed that 10 out of 14 of </w:t>
      </w:r>
      <w:r>
        <w:t>Burma</w:t>
      </w:r>
      <w:r w:rsidR="009F2335" w:rsidRPr="00992582">
        <w:t xml:space="preserve">’s </w:t>
      </w:r>
      <w:r w:rsidR="00284DE4">
        <w:t>states or regions</w:t>
      </w:r>
      <w:r w:rsidR="00284DE4" w:rsidRPr="00992582">
        <w:t xml:space="preserve"> </w:t>
      </w:r>
      <w:r w:rsidR="009F2335" w:rsidRPr="00992582">
        <w:t xml:space="preserve">are contaminated with mines, and an estimated </w:t>
      </w:r>
      <w:r w:rsidR="001F04F6">
        <w:t>five</w:t>
      </w:r>
      <w:r w:rsidR="001F04F6" w:rsidRPr="00992582">
        <w:t xml:space="preserve"> </w:t>
      </w:r>
      <w:r w:rsidR="009F2335" w:rsidRPr="00992582">
        <w:t>million people live in contaminated townships.</w:t>
      </w:r>
      <w:r w:rsidR="009F2335">
        <w:t xml:space="preserve"> </w:t>
      </w:r>
      <w:r w:rsidR="0053084A">
        <w:t xml:space="preserve">With </w:t>
      </w:r>
      <w:r w:rsidR="00992582" w:rsidRPr="00992582">
        <w:t>Australia’s support</w:t>
      </w:r>
      <w:r w:rsidR="009F2335">
        <w:t>, the</w:t>
      </w:r>
      <w:r w:rsidR="00992582" w:rsidRPr="00992582">
        <w:t xml:space="preserve"> Mines Advisory Group</w:t>
      </w:r>
      <w:r w:rsidR="0053084A">
        <w:t xml:space="preserve"> began</w:t>
      </w:r>
      <w:r w:rsidR="00992582" w:rsidRPr="00992582">
        <w:t xml:space="preserve"> min</w:t>
      </w:r>
      <w:r w:rsidR="0053084A">
        <w:t xml:space="preserve">e risk education in </w:t>
      </w:r>
      <w:proofErr w:type="spellStart"/>
      <w:r w:rsidR="0053084A">
        <w:t>Kayah</w:t>
      </w:r>
      <w:proofErr w:type="spellEnd"/>
      <w:r w:rsidR="0053084A">
        <w:t xml:space="preserve"> State</w:t>
      </w:r>
      <w:r w:rsidR="00992582" w:rsidRPr="00992582">
        <w:t xml:space="preserve"> in </w:t>
      </w:r>
      <w:r w:rsidR="00AA37FE">
        <w:t>June</w:t>
      </w:r>
      <w:r w:rsidR="00992582" w:rsidRPr="00992582">
        <w:t xml:space="preserve"> 2013. This program will help to raise awareness and understanding about landmines among at risk communities</w:t>
      </w:r>
      <w:r w:rsidR="0053084A">
        <w:t>,</w:t>
      </w:r>
      <w:r w:rsidR="00992582" w:rsidRPr="00992582">
        <w:t xml:space="preserve"> to make them safer until mine</w:t>
      </w:r>
      <w:r w:rsidR="009F2335">
        <w:t>s</w:t>
      </w:r>
      <w:r w:rsidR="00992582" w:rsidRPr="00992582">
        <w:t xml:space="preserve"> can be removed. Australia</w:t>
      </w:r>
      <w:r w:rsidR="001B31D0">
        <w:t>n</w:t>
      </w:r>
      <w:r w:rsidR="00992582" w:rsidRPr="00992582">
        <w:t xml:space="preserve"> support for the Norwegian Refugee Council to issue National Registration Cards to people in ethnic areas</w:t>
      </w:r>
      <w:r w:rsidR="009F2335">
        <w:t xml:space="preserve"> </w:t>
      </w:r>
      <w:r w:rsidR="00AA37FE">
        <w:t xml:space="preserve">also </w:t>
      </w:r>
      <w:r w:rsidR="009F2335">
        <w:t>started</w:t>
      </w:r>
      <w:r w:rsidR="00992582" w:rsidRPr="00992582">
        <w:t xml:space="preserve"> in June 2013. Providing </w:t>
      </w:r>
      <w:r w:rsidR="00761411">
        <w:t>these</w:t>
      </w:r>
      <w:r w:rsidR="00992582" w:rsidRPr="00992582">
        <w:t xml:space="preserve"> </w:t>
      </w:r>
      <w:r w:rsidR="00761411">
        <w:t>c</w:t>
      </w:r>
      <w:r w:rsidR="00992582" w:rsidRPr="00992582">
        <w:t xml:space="preserve">ards to people will enable them to access government services, create economic opportunities by allowing people to open bank accounts and register business, and </w:t>
      </w:r>
      <w:r w:rsidR="00992582">
        <w:t>to vote in future elections.</w:t>
      </w:r>
      <w:r w:rsidR="00AA1195">
        <w:t xml:space="preserve"> </w:t>
      </w:r>
      <w:r w:rsidR="00AA1195" w:rsidRPr="00AA1195">
        <w:t>The program has issued 70</w:t>
      </w:r>
      <w:r w:rsidR="001F04F6">
        <w:t xml:space="preserve"> </w:t>
      </w:r>
      <w:r w:rsidR="00AA1195" w:rsidRPr="00AA1195">
        <w:t xml:space="preserve">843 National Registration Cards to date with the support of other donors. Australia’s support will allow the program to expand into new areas including </w:t>
      </w:r>
      <w:proofErr w:type="spellStart"/>
      <w:r w:rsidR="00AA1195" w:rsidRPr="00AA1195">
        <w:t>Kyuakkyi</w:t>
      </w:r>
      <w:proofErr w:type="spellEnd"/>
      <w:r w:rsidR="00AA1195" w:rsidRPr="00AA1195">
        <w:t xml:space="preserve"> Township.</w:t>
      </w:r>
    </w:p>
    <w:p w14:paraId="06489A25" w14:textId="77777777" w:rsidR="00992582" w:rsidRDefault="005F1552" w:rsidP="00A46BEB">
      <w:pPr>
        <w:pStyle w:val="BodyText"/>
      </w:pPr>
      <w:r>
        <w:t>A</w:t>
      </w:r>
      <w:r w:rsidRPr="00992582">
        <w:t xml:space="preserve">s </w:t>
      </w:r>
      <w:r>
        <w:t>a</w:t>
      </w:r>
      <w:r w:rsidRPr="00992582">
        <w:t xml:space="preserve"> founding member of the Peace Donor Support Group</w:t>
      </w:r>
      <w:r>
        <w:t xml:space="preserve">, </w:t>
      </w:r>
      <w:r w:rsidR="00992582" w:rsidRPr="00992582">
        <w:t xml:space="preserve">Australia </w:t>
      </w:r>
      <w:r>
        <w:t>has advocated strongly for</w:t>
      </w:r>
      <w:r w:rsidR="00992582" w:rsidRPr="00992582">
        <w:t xml:space="preserve"> international support to the </w:t>
      </w:r>
      <w:r>
        <w:t xml:space="preserve">peace </w:t>
      </w:r>
      <w:r w:rsidR="00992582" w:rsidRPr="00992582">
        <w:t>process that balances the need to capitalise on opportunities quickly</w:t>
      </w:r>
      <w:r>
        <w:t>,</w:t>
      </w:r>
      <w:r w:rsidR="00992582" w:rsidRPr="00992582">
        <w:t xml:space="preserve"> with the need to understand local conflict dynamics to avoid unintentionally causing harm. Australia’s support to date has delivered some early results and established good partnerships and relationships for ongoing </w:t>
      </w:r>
      <w:r w:rsidR="00461935">
        <w:t>assistance</w:t>
      </w:r>
      <w:r w:rsidR="00992582" w:rsidRPr="00992582">
        <w:t xml:space="preserve">. </w:t>
      </w:r>
      <w:r>
        <w:t>T</w:t>
      </w:r>
      <w:r w:rsidR="00992582" w:rsidRPr="00992582">
        <w:t>he situation</w:t>
      </w:r>
      <w:r>
        <w:t>,</w:t>
      </w:r>
      <w:r w:rsidR="00992582" w:rsidRPr="00992582">
        <w:t xml:space="preserve"> </w:t>
      </w:r>
      <w:r>
        <w:t>h</w:t>
      </w:r>
      <w:r w:rsidRPr="00992582">
        <w:t>owever</w:t>
      </w:r>
      <w:r>
        <w:t xml:space="preserve">, </w:t>
      </w:r>
      <w:r w:rsidR="00992582" w:rsidRPr="00992582">
        <w:t xml:space="preserve">remains </w:t>
      </w:r>
      <w:r w:rsidR="00992582">
        <w:t>complex and fluid.</w:t>
      </w:r>
      <w:r w:rsidR="009A6B67">
        <w:t xml:space="preserve"> </w:t>
      </w:r>
      <w:r>
        <w:t>There are</w:t>
      </w:r>
      <w:r w:rsidR="00992582" w:rsidRPr="00992582">
        <w:t xml:space="preserve"> substantial information gaps about the conditions in ceasefire areas as well as the credibility and incentives of different stakeholders. Access to conflict-affected areas remains difficult and improvements ha</w:t>
      </w:r>
      <w:r>
        <w:t xml:space="preserve">ve been slow despite ceasefires, </w:t>
      </w:r>
      <w:r w:rsidR="00992582" w:rsidRPr="00992582">
        <w:t>limiting</w:t>
      </w:r>
      <w:r w:rsidR="009A6B67">
        <w:t xml:space="preserve"> the number of</w:t>
      </w:r>
      <w:r w:rsidR="00992582" w:rsidRPr="00992582">
        <w:t xml:space="preserve"> partners who can deliver programs </w:t>
      </w:r>
      <w:r w:rsidR="00461935">
        <w:t>to these sites</w:t>
      </w:r>
      <w:r w:rsidR="00992582" w:rsidRPr="00992582">
        <w:t xml:space="preserve">. A lack of trust on all sides is also restricting partners who have the necessary relationships to deliver programs in support of the peace process. </w:t>
      </w:r>
    </w:p>
    <w:p w14:paraId="13308AA2" w14:textId="31CA7FE8" w:rsidR="00992582" w:rsidRDefault="00992582" w:rsidP="00A46BEB">
      <w:pPr>
        <w:pStyle w:val="BodyText"/>
      </w:pPr>
      <w:r w:rsidRPr="00992582">
        <w:t xml:space="preserve">Reaching a resolution to </w:t>
      </w:r>
      <w:r w:rsidR="00A226A5">
        <w:t>Burma</w:t>
      </w:r>
      <w:r w:rsidRPr="00992582">
        <w:t xml:space="preserve">’s long-running conflicts will be a generational endeavour and the international community has only a supporting, though important, role. The process is increasingly dependent on progress towards political dialogue between the </w:t>
      </w:r>
      <w:r w:rsidR="001F04F6">
        <w:t>g</w:t>
      </w:r>
      <w:r w:rsidR="001F04F6" w:rsidRPr="00992582">
        <w:t xml:space="preserve">overnment </w:t>
      </w:r>
      <w:r w:rsidRPr="00992582">
        <w:t>and ethnic groups. The peace process will need to be sustained through significant criticism and setbacks at a time of immense political and economic change. While the prospect of peace is better now than at any point in recent history, the situation is difficult</w:t>
      </w:r>
      <w:r w:rsidR="001F04F6">
        <w:t>––</w:t>
      </w:r>
      <w:r w:rsidRPr="00992582">
        <w:t xml:space="preserve">Australian support carries substantial risks and </w:t>
      </w:r>
      <w:r w:rsidR="00DF78AF">
        <w:t xml:space="preserve">it </w:t>
      </w:r>
      <w:r w:rsidR="0022338F">
        <w:t>may</w:t>
      </w:r>
      <w:r w:rsidRPr="00992582">
        <w:t xml:space="preserve"> be difficult to demonstrate the impact of our investments. </w:t>
      </w:r>
      <w:r w:rsidRPr="00992582">
        <w:lastRenderedPageBreak/>
        <w:t>Despite this, the costs of not engaging are higher still</w:t>
      </w:r>
      <w:r w:rsidR="001F04F6">
        <w:t>,</w:t>
      </w:r>
      <w:r w:rsidRPr="00992582">
        <w:t xml:space="preserve"> and </w:t>
      </w:r>
      <w:r w:rsidR="00A226A5">
        <w:t>Burma</w:t>
      </w:r>
      <w:r w:rsidRPr="00992582">
        <w:t>’s transition to a democratic and prosperous country cannot be achieved without a national peace.</w:t>
      </w:r>
    </w:p>
    <w:p w14:paraId="55122C9D" w14:textId="4099AA91" w:rsidR="00992582" w:rsidRPr="00992582" w:rsidRDefault="00992582" w:rsidP="00A46BEB">
      <w:pPr>
        <w:pStyle w:val="Heading3"/>
      </w:pPr>
      <w:r w:rsidRPr="00992582">
        <w:t xml:space="preserve">Humanitarian assistance in </w:t>
      </w:r>
      <w:r w:rsidR="00A226A5">
        <w:t>Burma</w:t>
      </w:r>
      <w:r w:rsidRPr="00992582">
        <w:t xml:space="preserve"> </w:t>
      </w:r>
    </w:p>
    <w:p w14:paraId="1B050C7E" w14:textId="509447D1" w:rsidR="00DE2080" w:rsidRDefault="00992582" w:rsidP="00A46BEB">
      <w:pPr>
        <w:pStyle w:val="BodyText"/>
      </w:pPr>
      <w:r w:rsidRPr="00992582">
        <w:t xml:space="preserve">Efforts to support the peace process have been complemented by humanitarian assistance to people affected by ongoing conflict in </w:t>
      </w:r>
      <w:proofErr w:type="spellStart"/>
      <w:r w:rsidRPr="00992582">
        <w:t>Rakhine</w:t>
      </w:r>
      <w:proofErr w:type="spellEnd"/>
      <w:r w:rsidRPr="00992582">
        <w:t xml:space="preserve"> and </w:t>
      </w:r>
      <w:proofErr w:type="spellStart"/>
      <w:r w:rsidRPr="00992582">
        <w:t>Kachin</w:t>
      </w:r>
      <w:proofErr w:type="spellEnd"/>
      <w:r w:rsidRPr="00992582">
        <w:t xml:space="preserve"> states. Communal violence between Buddhist and Muslim communities in </w:t>
      </w:r>
      <w:proofErr w:type="spellStart"/>
      <w:r w:rsidRPr="00992582">
        <w:t>Rakhine</w:t>
      </w:r>
      <w:proofErr w:type="spellEnd"/>
      <w:r w:rsidRPr="00992582">
        <w:t xml:space="preserve"> State in June</w:t>
      </w:r>
      <w:r w:rsidR="00A46BEB">
        <w:t xml:space="preserve"> and October 2012 has left over </w:t>
      </w:r>
      <w:r w:rsidRPr="00992582">
        <w:t>140</w:t>
      </w:r>
      <w:r w:rsidR="00DE2080">
        <w:t xml:space="preserve"> </w:t>
      </w:r>
      <w:r w:rsidRPr="00992582">
        <w:t>000 people displaced. In response to the</w:t>
      </w:r>
      <w:r w:rsidR="00072E3F">
        <w:t>ir</w:t>
      </w:r>
      <w:r w:rsidRPr="00992582">
        <w:t xml:space="preserve"> urgent needs</w:t>
      </w:r>
      <w:r w:rsidR="00DE2080">
        <w:t>,</w:t>
      </w:r>
      <w:r w:rsidRPr="00992582">
        <w:t xml:space="preserve"> Australia has provided over $</w:t>
      </w:r>
      <w:r w:rsidR="003C2DC1">
        <w:t>5.7</w:t>
      </w:r>
      <w:r w:rsidRPr="00992582">
        <w:t>9</w:t>
      </w:r>
      <w:r w:rsidR="00072E3F">
        <w:t> </w:t>
      </w:r>
      <w:r w:rsidRPr="00992582">
        <w:t xml:space="preserve">million to help </w:t>
      </w:r>
      <w:r w:rsidR="009A6B67" w:rsidRPr="00992582">
        <w:t>affected</w:t>
      </w:r>
      <w:r w:rsidR="009A6B67">
        <w:t xml:space="preserve"> </w:t>
      </w:r>
      <w:r w:rsidRPr="00992582">
        <w:t>peo</w:t>
      </w:r>
      <w:r w:rsidR="00072E3F">
        <w:t>ple</w:t>
      </w:r>
      <w:r w:rsidR="00072E3F" w:rsidRPr="00992582">
        <w:t xml:space="preserve">. </w:t>
      </w:r>
      <w:r w:rsidR="00BD7A02">
        <w:t>Our</w:t>
      </w:r>
      <w:r w:rsidR="00072E3F">
        <w:t xml:space="preserve"> assistance </w:t>
      </w:r>
      <w:r w:rsidR="00BD7A02">
        <w:t>to</w:t>
      </w:r>
      <w:r w:rsidR="00BD7A02" w:rsidRPr="00992582">
        <w:t xml:space="preserve"> </w:t>
      </w:r>
      <w:proofErr w:type="spellStart"/>
      <w:r w:rsidR="00BD7A02" w:rsidRPr="00992582">
        <w:t>Rakhine</w:t>
      </w:r>
      <w:proofErr w:type="spellEnd"/>
      <w:r w:rsidR="00BD7A02">
        <w:t xml:space="preserve"> </w:t>
      </w:r>
      <w:r w:rsidR="00072E3F">
        <w:t>has</w:t>
      </w:r>
      <w:r w:rsidR="00DE2080" w:rsidRPr="00DE2080">
        <w:t xml:space="preserve"> </w:t>
      </w:r>
      <w:r w:rsidR="00DE2080" w:rsidRPr="00224244">
        <w:t>provided</w:t>
      </w:r>
      <w:r w:rsidR="00072E3F">
        <w:t>:</w:t>
      </w:r>
    </w:p>
    <w:p w14:paraId="699C3533" w14:textId="6816A4B7" w:rsidR="00DE2080" w:rsidRPr="00497DDE" w:rsidRDefault="00992582" w:rsidP="00A46BEB">
      <w:pPr>
        <w:pStyle w:val="ListBullet"/>
      </w:pPr>
      <w:r w:rsidRPr="004D0A10">
        <w:t>food to more than 100</w:t>
      </w:r>
      <w:r w:rsidR="00DE2080" w:rsidRPr="003D6AEF">
        <w:t xml:space="preserve"> </w:t>
      </w:r>
      <w:r w:rsidRPr="003D6AEF">
        <w:t>000 displaced people</w:t>
      </w:r>
    </w:p>
    <w:p w14:paraId="71B0B7A4" w14:textId="0FC9EBA1" w:rsidR="00DE2080" w:rsidRPr="00310261" w:rsidRDefault="00992582" w:rsidP="00A46BEB">
      <w:pPr>
        <w:pStyle w:val="ListBullet"/>
      </w:pPr>
      <w:r w:rsidRPr="00310261">
        <w:t>tents and other emergency shelter materials to people who have fled their homes</w:t>
      </w:r>
    </w:p>
    <w:p w14:paraId="3FC569C3" w14:textId="0AC7C1C0" w:rsidR="00DE2080" w:rsidRPr="00310261" w:rsidRDefault="00992582" w:rsidP="00A46BEB">
      <w:pPr>
        <w:pStyle w:val="ListBullet"/>
      </w:pPr>
      <w:r w:rsidRPr="00310261">
        <w:t>blankets, clothes, mosquito nets and other essentials for up to 14</w:t>
      </w:r>
      <w:r w:rsidR="00DE2080" w:rsidRPr="00310261">
        <w:t xml:space="preserve"> </w:t>
      </w:r>
      <w:r w:rsidRPr="00310261">
        <w:t>000 people living in temporary shelters</w:t>
      </w:r>
    </w:p>
    <w:p w14:paraId="5CBA413F" w14:textId="2292B10F" w:rsidR="00DE2080" w:rsidRPr="00310261" w:rsidRDefault="00992582" w:rsidP="00A46BEB">
      <w:pPr>
        <w:pStyle w:val="ListBullet"/>
      </w:pPr>
      <w:proofErr w:type="gramStart"/>
      <w:r w:rsidRPr="00310261">
        <w:t>protection</w:t>
      </w:r>
      <w:proofErr w:type="gramEnd"/>
      <w:r w:rsidRPr="00310261">
        <w:t xml:space="preserve"> for vulnerable people, including around 7000 children, who have been separated from their families.</w:t>
      </w:r>
      <w:r w:rsidR="00072E3F" w:rsidRPr="00310261">
        <w:t xml:space="preserve"> </w:t>
      </w:r>
    </w:p>
    <w:p w14:paraId="68124749" w14:textId="1DC4B12E" w:rsidR="00072E3F" w:rsidRDefault="00072E3F" w:rsidP="00A46BEB">
      <w:pPr>
        <w:pStyle w:val="BodyText"/>
      </w:pPr>
      <w:r w:rsidRPr="00992582">
        <w:t>Tensions between the two communities</w:t>
      </w:r>
      <w:r>
        <w:t xml:space="preserve"> and d</w:t>
      </w:r>
      <w:r w:rsidRPr="00992582">
        <w:t>eteriorat</w:t>
      </w:r>
      <w:r>
        <w:t>ing</w:t>
      </w:r>
      <w:r w:rsidRPr="00992582">
        <w:t xml:space="preserve"> conditions </w:t>
      </w:r>
      <w:r>
        <w:t>due to t</w:t>
      </w:r>
      <w:r w:rsidR="00992582" w:rsidRPr="00992582">
        <w:t xml:space="preserve">he </w:t>
      </w:r>
      <w:r w:rsidR="00A5189F">
        <w:t xml:space="preserve">periodic </w:t>
      </w:r>
      <w:r w:rsidR="0022338F">
        <w:t>monsoon</w:t>
      </w:r>
      <w:r w:rsidR="00992582" w:rsidRPr="00992582">
        <w:t xml:space="preserve"> season </w:t>
      </w:r>
      <w:r>
        <w:t>make</w:t>
      </w:r>
      <w:r w:rsidR="00992582" w:rsidRPr="00992582">
        <w:t xml:space="preserve"> </w:t>
      </w:r>
      <w:r w:rsidR="009A6B67">
        <w:t>meeting</w:t>
      </w:r>
      <w:r w:rsidR="00992582" w:rsidRPr="00992582">
        <w:t xml:space="preserve"> people’s basic needs a challenge. </w:t>
      </w:r>
      <w:r w:rsidR="004A4090">
        <w:t>F</w:t>
      </w:r>
      <w:r w:rsidR="00992582" w:rsidRPr="00992582">
        <w:t>urther violence is only being prevented by a heavy security presence and the force</w:t>
      </w:r>
      <w:r w:rsidR="009A6B67">
        <w:t>d</w:t>
      </w:r>
      <w:r w:rsidR="00992582" w:rsidRPr="00992582">
        <w:t xml:space="preserve"> segregation of the communities</w:t>
      </w:r>
      <w:r w:rsidR="0022338F">
        <w:t xml:space="preserve">, </w:t>
      </w:r>
      <w:r w:rsidR="0022338F" w:rsidRPr="0022338F">
        <w:t xml:space="preserve">though there are regular flare ups of </w:t>
      </w:r>
      <w:r w:rsidR="006D15E9" w:rsidRPr="0022338F">
        <w:t>conflict on</w:t>
      </w:r>
      <w:r w:rsidR="00A5189F">
        <w:t xml:space="preserve"> </w:t>
      </w:r>
      <w:r w:rsidR="0022338F" w:rsidRPr="0022338F">
        <w:t>a smaller scale</w:t>
      </w:r>
      <w:r w:rsidR="00992582" w:rsidRPr="00992582">
        <w:t>. Finding a long-term solution that supports reconci</w:t>
      </w:r>
      <w:r w:rsidR="007F321A">
        <w:t>liation between the communities</w:t>
      </w:r>
      <w:r w:rsidR="00992582" w:rsidRPr="00992582">
        <w:t xml:space="preserve"> </w:t>
      </w:r>
      <w:r w:rsidR="009A6B67">
        <w:t>remains</w:t>
      </w:r>
      <w:r w:rsidR="00992582" w:rsidRPr="00992582">
        <w:t xml:space="preserve"> a key challenge for the </w:t>
      </w:r>
      <w:r w:rsidR="00DE2080">
        <w:t>g</w:t>
      </w:r>
      <w:r w:rsidR="00DE2080" w:rsidRPr="00992582">
        <w:t>overnm</w:t>
      </w:r>
      <w:r w:rsidR="00DE2080">
        <w:t xml:space="preserve">ent </w:t>
      </w:r>
      <w:r>
        <w:t>and international community</w:t>
      </w:r>
      <w:r w:rsidR="00992582" w:rsidRPr="00992582">
        <w:t>.</w:t>
      </w:r>
    </w:p>
    <w:p w14:paraId="437A397B" w14:textId="2714E1D3" w:rsidR="00DE2080" w:rsidRDefault="00992582" w:rsidP="00A46BEB">
      <w:pPr>
        <w:pStyle w:val="BodyText"/>
      </w:pPr>
      <w:r w:rsidRPr="00992582">
        <w:t xml:space="preserve">Armed conflict between the </w:t>
      </w:r>
      <w:r w:rsidR="00DE2080">
        <w:t>Myanmar</w:t>
      </w:r>
      <w:r w:rsidR="00DE2080" w:rsidRPr="00992582">
        <w:t xml:space="preserve"> </w:t>
      </w:r>
      <w:r w:rsidRPr="00992582">
        <w:t>Government</w:t>
      </w:r>
      <w:r w:rsidR="004A5BF5">
        <w:t xml:space="preserve"> </w:t>
      </w:r>
      <w:r w:rsidRPr="00992582">
        <w:t xml:space="preserve">and the </w:t>
      </w:r>
      <w:proofErr w:type="spellStart"/>
      <w:r w:rsidRPr="00992582">
        <w:t>Kachin</w:t>
      </w:r>
      <w:proofErr w:type="spellEnd"/>
      <w:r w:rsidRPr="00992582">
        <w:t xml:space="preserve"> Independence Organisation</w:t>
      </w:r>
      <w:r w:rsidR="00AA1195">
        <w:t xml:space="preserve"> </w:t>
      </w:r>
      <w:r w:rsidR="00AA1195" w:rsidRPr="00AA1195">
        <w:t>before the 30 May ceasefire agreement</w:t>
      </w:r>
      <w:r w:rsidRPr="00992582">
        <w:t xml:space="preserve"> displace</w:t>
      </w:r>
      <w:r w:rsidR="00DE2080">
        <w:t xml:space="preserve">d </w:t>
      </w:r>
      <w:r w:rsidRPr="00992582">
        <w:t xml:space="preserve">over </w:t>
      </w:r>
      <w:r w:rsidR="00AA1195">
        <w:t>100</w:t>
      </w:r>
      <w:r w:rsidR="00DE2080">
        <w:t xml:space="preserve"> </w:t>
      </w:r>
      <w:r w:rsidRPr="00992582">
        <w:t xml:space="preserve">000 people in </w:t>
      </w:r>
      <w:proofErr w:type="spellStart"/>
      <w:r w:rsidRPr="00992582">
        <w:t>Kachin</w:t>
      </w:r>
      <w:proofErr w:type="spellEnd"/>
      <w:r w:rsidRPr="00992582">
        <w:t xml:space="preserve"> and northern Shan </w:t>
      </w:r>
      <w:r w:rsidR="00072E3F">
        <w:t>S</w:t>
      </w:r>
      <w:r w:rsidRPr="00992582">
        <w:t>tate</w:t>
      </w:r>
      <w:r w:rsidR="00072E3F">
        <w:t>s</w:t>
      </w:r>
      <w:r w:rsidRPr="00992582">
        <w:t xml:space="preserve">. </w:t>
      </w:r>
      <w:r w:rsidR="00072E3F" w:rsidRPr="00992582">
        <w:t>International organisations have been allowed only occasional access</w:t>
      </w:r>
      <w:r w:rsidR="00072E3F">
        <w:t xml:space="preserve"> to </w:t>
      </w:r>
      <w:r w:rsidR="00072E3F" w:rsidRPr="00992582">
        <w:t>areas no</w:t>
      </w:r>
      <w:r w:rsidR="00072E3F">
        <w:t xml:space="preserve">t </w:t>
      </w:r>
      <w:r w:rsidR="00072E3F" w:rsidRPr="00992582">
        <w:t xml:space="preserve">controlled </w:t>
      </w:r>
      <w:r w:rsidR="00072E3F">
        <w:t xml:space="preserve">by the </w:t>
      </w:r>
      <w:r w:rsidR="00072E3F" w:rsidRPr="00992582">
        <w:t>government</w:t>
      </w:r>
      <w:r w:rsidR="00072E3F">
        <w:t>, making it</w:t>
      </w:r>
      <w:r w:rsidRPr="00992582">
        <w:t xml:space="preserve"> difficul</w:t>
      </w:r>
      <w:r w:rsidR="00072E3F">
        <w:t>t to provide assistance</w:t>
      </w:r>
      <w:r w:rsidRPr="00992582">
        <w:t xml:space="preserve">. Australia has provided $1.35 million to help people affected by the conflict through Oxfam Australia and </w:t>
      </w:r>
      <w:r w:rsidR="00DE2080">
        <w:t>its</w:t>
      </w:r>
      <w:r w:rsidR="00DE2080" w:rsidRPr="00992582">
        <w:t xml:space="preserve"> </w:t>
      </w:r>
      <w:r w:rsidRPr="00992582">
        <w:t xml:space="preserve">local partners. This assistance </w:t>
      </w:r>
      <w:r w:rsidR="00AA1195">
        <w:t>is</w:t>
      </w:r>
      <w:r w:rsidRPr="00992582">
        <w:t xml:space="preserve"> provid</w:t>
      </w:r>
      <w:r w:rsidR="00AA1195">
        <w:t>ing</w:t>
      </w:r>
      <w:r w:rsidRPr="00992582">
        <w:t xml:space="preserve"> access to clean water and sanitation to people displaced by the conflict by:</w:t>
      </w:r>
    </w:p>
    <w:p w14:paraId="50CFA031" w14:textId="7D34A205" w:rsidR="00DE2080" w:rsidRPr="00497DDE" w:rsidRDefault="00992582" w:rsidP="00A46BEB">
      <w:pPr>
        <w:pStyle w:val="ListBullet"/>
      </w:pPr>
      <w:r w:rsidRPr="00191F0C">
        <w:t>delivering water</w:t>
      </w:r>
      <w:r w:rsidRPr="004D0A10">
        <w:t xml:space="preserve"> buckets and soap to more than 15</w:t>
      </w:r>
      <w:r w:rsidR="00DE2080" w:rsidRPr="004D0A10">
        <w:t xml:space="preserve"> </w:t>
      </w:r>
      <w:r w:rsidRPr="003D6AEF">
        <w:t>000 people</w:t>
      </w:r>
    </w:p>
    <w:p w14:paraId="768680C1" w14:textId="01908288" w:rsidR="00DE2080" w:rsidRDefault="00992582" w:rsidP="00A46BEB">
      <w:pPr>
        <w:pStyle w:val="ListBullet"/>
      </w:pPr>
      <w:r w:rsidRPr="00497DDE">
        <w:t>providing small cash grants to purchase food and other essentials to more than 11</w:t>
      </w:r>
      <w:r w:rsidR="00DE2080" w:rsidRPr="00310261">
        <w:t xml:space="preserve"> </w:t>
      </w:r>
      <w:r w:rsidRPr="00310261">
        <w:t xml:space="preserve">000 people </w:t>
      </w:r>
    </w:p>
    <w:p w14:paraId="2B9ED825" w14:textId="1FEC5ACC" w:rsidR="00992582" w:rsidRPr="004D0A10" w:rsidRDefault="00992582" w:rsidP="00A46BEB">
      <w:pPr>
        <w:pStyle w:val="ListBullet"/>
      </w:pPr>
      <w:proofErr w:type="gramStart"/>
      <w:r w:rsidRPr="001B31D0">
        <w:t>supplying</w:t>
      </w:r>
      <w:proofErr w:type="gramEnd"/>
      <w:r w:rsidRPr="001B31D0">
        <w:t xml:space="preserve"> rice and nutritional supplements to around 7</w:t>
      </w:r>
      <w:r w:rsidRPr="004D0A10">
        <w:t>000 people.</w:t>
      </w:r>
    </w:p>
    <w:p w14:paraId="53EC1EC4" w14:textId="62315ADC" w:rsidR="00992582" w:rsidRPr="00992582" w:rsidRDefault="00992582" w:rsidP="00A46BEB">
      <w:pPr>
        <w:pStyle w:val="Heading3"/>
      </w:pPr>
      <w:r w:rsidRPr="00992582">
        <w:t>Humanitarian assistance for displaced people on the Thai-</w:t>
      </w:r>
      <w:r w:rsidR="00A226A5">
        <w:t>Burma</w:t>
      </w:r>
      <w:r w:rsidRPr="00992582">
        <w:t xml:space="preserve"> border</w:t>
      </w:r>
    </w:p>
    <w:p w14:paraId="570B732A" w14:textId="3AC417E0" w:rsidR="00992582" w:rsidRDefault="00992582" w:rsidP="00A46BEB">
      <w:pPr>
        <w:pStyle w:val="BodyText"/>
      </w:pPr>
      <w:r w:rsidRPr="00992582">
        <w:t xml:space="preserve">The final element of Australia’s support for disaster and conflict-affected people focuses on </w:t>
      </w:r>
      <w:r w:rsidR="00072E3F">
        <w:t>more than</w:t>
      </w:r>
      <w:r w:rsidR="00072E3F" w:rsidRPr="00992582">
        <w:t xml:space="preserve"> 130</w:t>
      </w:r>
      <w:r w:rsidR="00DE2080">
        <w:t xml:space="preserve"> </w:t>
      </w:r>
      <w:r w:rsidR="00072E3F" w:rsidRPr="00992582">
        <w:t xml:space="preserve">000 </w:t>
      </w:r>
      <w:r w:rsidR="00A226A5">
        <w:t>Burma</w:t>
      </w:r>
      <w:r w:rsidR="00284DE4">
        <w:t>’s</w:t>
      </w:r>
      <w:r w:rsidR="00072E3F" w:rsidRPr="00992582">
        <w:t xml:space="preserve"> refugees </w:t>
      </w:r>
      <w:r w:rsidRPr="00992582">
        <w:t xml:space="preserve">living in </w:t>
      </w:r>
      <w:r w:rsidR="009A6B67">
        <w:t>nine</w:t>
      </w:r>
      <w:r w:rsidRPr="00992582">
        <w:t xml:space="preserve"> camps along the Thai-</w:t>
      </w:r>
      <w:r w:rsidR="00A226A5">
        <w:t>Burma</w:t>
      </w:r>
      <w:r w:rsidRPr="00992582">
        <w:t xml:space="preserve"> border. The refugees have been</w:t>
      </w:r>
      <w:r w:rsidR="009A6B67">
        <w:t xml:space="preserve"> living the</w:t>
      </w:r>
      <w:r w:rsidR="00761411">
        <w:t>re</w:t>
      </w:r>
      <w:r w:rsidR="009A6B67">
        <w:t xml:space="preserve"> since 1984,</w:t>
      </w:r>
      <w:r w:rsidRPr="00992582">
        <w:t xml:space="preserve"> making this one of the most protracted refugee situations in the world. They are largely dependent on international assistance to meet the</w:t>
      </w:r>
      <w:r w:rsidR="009A6B67">
        <w:t>ir</w:t>
      </w:r>
      <w:r w:rsidRPr="00992582">
        <w:t xml:space="preserve"> needs due to the closed nature of the camps. The context in southeast </w:t>
      </w:r>
      <w:r w:rsidR="00A226A5">
        <w:t>Burma</w:t>
      </w:r>
      <w:r w:rsidRPr="00992582">
        <w:t xml:space="preserve"> has changed significantly with the </w:t>
      </w:r>
      <w:r w:rsidR="0053084A">
        <w:t>signing of ceasefire agreements</w:t>
      </w:r>
      <w:r w:rsidR="009A6B67">
        <w:t>.</w:t>
      </w:r>
      <w:r w:rsidR="00072E3F">
        <w:t xml:space="preserve"> </w:t>
      </w:r>
      <w:r w:rsidRPr="00992582">
        <w:t xml:space="preserve">The </w:t>
      </w:r>
      <w:r w:rsidR="009A6B67">
        <w:t>voluntary</w:t>
      </w:r>
      <w:r w:rsidRPr="00992582">
        <w:t xml:space="preserve"> return of refugees from </w:t>
      </w:r>
      <w:r w:rsidR="00A226A5">
        <w:t>Burma</w:t>
      </w:r>
      <w:r w:rsidRPr="00992582">
        <w:t xml:space="preserve"> in Thailand is now looking more likely than at any time in recent history. However, all key stakeholders agree that the conditions are </w:t>
      </w:r>
      <w:r w:rsidR="009A6B67">
        <w:t>not yet right to promote return</w:t>
      </w:r>
      <w:r w:rsidRPr="00992582">
        <w:t xml:space="preserve">. Progress in the peace process will </w:t>
      </w:r>
      <w:r w:rsidR="0053084A">
        <w:t xml:space="preserve">determine </w:t>
      </w:r>
      <w:r w:rsidRPr="00992582">
        <w:t xml:space="preserve">whether refugees will be able to return home to </w:t>
      </w:r>
      <w:r w:rsidR="00A226A5">
        <w:t>Burma</w:t>
      </w:r>
      <w:r w:rsidRPr="00992582">
        <w:t xml:space="preserve">. The return of refugees without adequate preparation also presents a significant threat to peace in southeast </w:t>
      </w:r>
      <w:r w:rsidR="00A226A5">
        <w:t>Burma</w:t>
      </w:r>
      <w:r w:rsidRPr="00992582">
        <w:t xml:space="preserve"> as it will likely involve competition for land, power and jobs between those who stayed</w:t>
      </w:r>
      <w:r w:rsidR="00A5189F">
        <w:t xml:space="preserve">, </w:t>
      </w:r>
      <w:r w:rsidRPr="00992582">
        <w:t xml:space="preserve">returning refugees and </w:t>
      </w:r>
      <w:r w:rsidR="00390BD5">
        <w:t>internally displaced people</w:t>
      </w:r>
      <w:r w:rsidRPr="00992582">
        <w:t>.</w:t>
      </w:r>
    </w:p>
    <w:p w14:paraId="6565A9EC" w14:textId="0FD4D02F" w:rsidR="00DE2080" w:rsidRDefault="00744DE8" w:rsidP="00A46BEB">
      <w:pPr>
        <w:pStyle w:val="BodyText"/>
      </w:pPr>
      <w:r>
        <w:t>In 2012</w:t>
      </w:r>
      <w:r w:rsidR="00390BD5" w:rsidRPr="00992582">
        <w:t xml:space="preserve"> Australia’s support to </w:t>
      </w:r>
      <w:r w:rsidRPr="00992582">
        <w:t>the Thai-</w:t>
      </w:r>
      <w:r w:rsidR="00A226A5">
        <w:t>Burma</w:t>
      </w:r>
      <w:r w:rsidRPr="00992582">
        <w:t xml:space="preserve"> border</w:t>
      </w:r>
      <w:r>
        <w:t xml:space="preserve"> </w:t>
      </w:r>
      <w:r w:rsidR="00390BD5" w:rsidRPr="00992582">
        <w:t>has</w:t>
      </w:r>
      <w:r>
        <w:t xml:space="preserve">: </w:t>
      </w:r>
    </w:p>
    <w:p w14:paraId="5AD14CE6" w14:textId="0716AFEB" w:rsidR="00DE2080" w:rsidRPr="00310261" w:rsidRDefault="00390BD5" w:rsidP="00A46BEB">
      <w:pPr>
        <w:pStyle w:val="ListBullet"/>
      </w:pPr>
      <w:r w:rsidRPr="001B31D0">
        <w:lastRenderedPageBreak/>
        <w:t>delivered food, shelter and other essential items such as blankets and clothes to 8</w:t>
      </w:r>
      <w:r w:rsidRPr="004D0A10">
        <w:t>820 refugees through The Border Consortium</w:t>
      </w:r>
    </w:p>
    <w:p w14:paraId="2FDE13A2" w14:textId="793CC089" w:rsidR="00DE2080" w:rsidRPr="00310261" w:rsidRDefault="00390BD5" w:rsidP="00A46BEB">
      <w:pPr>
        <w:pStyle w:val="ListBullet"/>
      </w:pPr>
      <w:r w:rsidRPr="00310261">
        <w:t>supported access to a comprehensive health, water and sanitation services for 24</w:t>
      </w:r>
      <w:r w:rsidR="00DE2080" w:rsidRPr="00310261">
        <w:t xml:space="preserve"> </w:t>
      </w:r>
      <w:r w:rsidRPr="00310261">
        <w:t>866 refugees through</w:t>
      </w:r>
      <w:r w:rsidR="00DE2080" w:rsidRPr="00310261">
        <w:t xml:space="preserve"> the</w:t>
      </w:r>
      <w:r w:rsidRPr="00310261">
        <w:t xml:space="preserve"> International Rescue Committee</w:t>
      </w:r>
    </w:p>
    <w:p w14:paraId="26753089" w14:textId="2729258A" w:rsidR="00DE2080" w:rsidRPr="00191F0C" w:rsidRDefault="00390BD5" w:rsidP="00A46BEB">
      <w:pPr>
        <w:pStyle w:val="ListBullet"/>
      </w:pPr>
      <w:r w:rsidRPr="00310261">
        <w:t xml:space="preserve">provided vocational training courses for 1865 refugees to promote livelihood </w:t>
      </w:r>
      <w:r w:rsidR="00744DE8" w:rsidRPr="00310261">
        <w:t xml:space="preserve">opportunities </w:t>
      </w:r>
      <w:r w:rsidR="00DE2080" w:rsidRPr="00310261">
        <w:t>through</w:t>
      </w:r>
      <w:r w:rsidR="00351074">
        <w:t xml:space="preserve"> </w:t>
      </w:r>
      <w:r w:rsidR="00DE2080">
        <w:t xml:space="preserve">the </w:t>
      </w:r>
      <w:r w:rsidR="00DE2080" w:rsidRPr="00310261">
        <w:rPr>
          <w:iCs/>
        </w:rPr>
        <w:t>Adventist Development and Relief Agency</w:t>
      </w:r>
    </w:p>
    <w:p w14:paraId="3455E17C" w14:textId="72434C73" w:rsidR="00DE2080" w:rsidRPr="00310261" w:rsidRDefault="00390BD5" w:rsidP="00A46BEB">
      <w:pPr>
        <w:pStyle w:val="ListBullet"/>
      </w:pPr>
      <w:proofErr w:type="gramStart"/>
      <w:r w:rsidRPr="00310261">
        <w:t>provided</w:t>
      </w:r>
      <w:proofErr w:type="gramEnd"/>
      <w:r w:rsidRPr="00310261">
        <w:t xml:space="preserve"> primary health care services for 19</w:t>
      </w:r>
      <w:r w:rsidR="00DE2080" w:rsidRPr="00310261">
        <w:t xml:space="preserve"> </w:t>
      </w:r>
      <w:r w:rsidRPr="00310261">
        <w:t xml:space="preserve">578 displaced </w:t>
      </w:r>
      <w:r w:rsidR="00A226A5">
        <w:t>Burmese</w:t>
      </w:r>
      <w:r w:rsidRPr="00310261">
        <w:t xml:space="preserve"> people in Thailand through the Mae Tao Clinic.</w:t>
      </w:r>
      <w:r w:rsidR="004A4090" w:rsidRPr="00310261">
        <w:t xml:space="preserve"> </w:t>
      </w:r>
    </w:p>
    <w:p w14:paraId="65C29A93" w14:textId="24BFE66C" w:rsidR="00992582" w:rsidRPr="00992582" w:rsidRDefault="00992582" w:rsidP="00A46BEB">
      <w:pPr>
        <w:pStyle w:val="BodyText"/>
      </w:pPr>
      <w:r w:rsidRPr="00992582">
        <w:t xml:space="preserve">An independent evaluation </w:t>
      </w:r>
      <w:r w:rsidR="00390BD5">
        <w:t xml:space="preserve">in </w:t>
      </w:r>
      <w:r w:rsidRPr="00992582">
        <w:t xml:space="preserve">August 2012 found that </w:t>
      </w:r>
      <w:r w:rsidR="002D6A9C">
        <w:t>Australia</w:t>
      </w:r>
      <w:r w:rsidR="000C3DE8">
        <w:t>n government</w:t>
      </w:r>
      <w:r w:rsidR="002D6A9C">
        <w:t xml:space="preserve"> </w:t>
      </w:r>
      <w:r w:rsidRPr="00992582">
        <w:t>assistance to the camps is appropriate to needs and provides es</w:t>
      </w:r>
      <w:r w:rsidR="00910DDE">
        <w:t>sential humanitarian assistance</w:t>
      </w:r>
      <w:r w:rsidRPr="00992582">
        <w:t xml:space="preserve">. The evaluation recommended that future programs focus on supporting durable solutions and </w:t>
      </w:r>
      <w:r w:rsidR="0053084A">
        <w:t>more closely align</w:t>
      </w:r>
      <w:r w:rsidRPr="00992582">
        <w:t xml:space="preserve"> with development programs inside </w:t>
      </w:r>
      <w:r w:rsidR="00A226A5">
        <w:t>Burma</w:t>
      </w:r>
      <w:r w:rsidRPr="00992582">
        <w:t xml:space="preserve">, particularly as these programs expand into the conflict-affected areas. A new </w:t>
      </w:r>
      <w:r w:rsidR="0054134D">
        <w:t xml:space="preserve">multi-year </w:t>
      </w:r>
      <w:r w:rsidRPr="00992582">
        <w:t xml:space="preserve">program of assistance </w:t>
      </w:r>
      <w:r w:rsidR="0054134D">
        <w:t xml:space="preserve">that maintains current levels of funding support </w:t>
      </w:r>
      <w:r w:rsidRPr="00992582">
        <w:t>has been designed incorporating these recommendations</w:t>
      </w:r>
      <w:r w:rsidR="00DE2080">
        <w:t>. This</w:t>
      </w:r>
      <w:r w:rsidRPr="00992582">
        <w:t xml:space="preserve"> </w:t>
      </w:r>
      <w:r w:rsidR="0053084A">
        <w:t>will</w:t>
      </w:r>
      <w:r w:rsidRPr="00992582">
        <w:t xml:space="preserve"> star</w:t>
      </w:r>
      <w:r w:rsidR="00744DE8">
        <w:t>t in the next reporting period.</w:t>
      </w:r>
    </w:p>
    <w:p w14:paraId="75B0DF3A" w14:textId="77777777" w:rsidR="003877B7" w:rsidRPr="00A46BEB" w:rsidRDefault="003877B7" w:rsidP="00A46BEB">
      <w:pPr>
        <w:pStyle w:val="Heading2"/>
      </w:pPr>
      <w:r w:rsidRPr="00A46BEB">
        <w:t xml:space="preserve">Objective 4: </w:t>
      </w:r>
      <w:r w:rsidR="00BD7A02" w:rsidRPr="00A46BEB">
        <w:t>Supporting reform and improved governance</w:t>
      </w:r>
    </w:p>
    <w:p w14:paraId="1D70AE81" w14:textId="42AB8112" w:rsidR="005C1DCA" w:rsidRPr="0085525F" w:rsidRDefault="00C66A8A" w:rsidP="00A46BEB">
      <w:pPr>
        <w:pStyle w:val="BodyText"/>
      </w:pPr>
      <w:r>
        <w:t>Ongoing reform</w:t>
      </w:r>
      <w:r w:rsidR="005C1DCA" w:rsidRPr="005C1DCA">
        <w:t xml:space="preserve"> </w:t>
      </w:r>
      <w:r w:rsidR="005C1DCA">
        <w:t>ha</w:t>
      </w:r>
      <w:r>
        <w:t>s</w:t>
      </w:r>
      <w:r w:rsidR="005C1DCA">
        <w:t xml:space="preserve"> </w:t>
      </w:r>
      <w:r w:rsidR="005C1DCA" w:rsidRPr="005C1DCA">
        <w:t>present</w:t>
      </w:r>
      <w:r w:rsidR="005C1DCA">
        <w:t>ed development partners with</w:t>
      </w:r>
      <w:r w:rsidR="005C1DCA" w:rsidRPr="005C1DCA">
        <w:t xml:space="preserve"> an unprecedented opportunity to </w:t>
      </w:r>
      <w:r w:rsidR="005C1DCA">
        <w:t xml:space="preserve">assist </w:t>
      </w:r>
      <w:r w:rsidR="00A226A5">
        <w:t>Burma</w:t>
      </w:r>
      <w:r w:rsidR="005C1DCA">
        <w:t xml:space="preserve"> </w:t>
      </w:r>
      <w:r w:rsidR="00EF346E">
        <w:t xml:space="preserve">to </w:t>
      </w:r>
      <w:r w:rsidR="005C1DCA" w:rsidRPr="005C1DCA">
        <w:t xml:space="preserve">secure lasting peace and improve the lives of millions of people. </w:t>
      </w:r>
      <w:r w:rsidR="005C1DCA">
        <w:t>In response to this opportunity and t</w:t>
      </w:r>
      <w:r w:rsidR="005C1DCA" w:rsidRPr="005C1DCA">
        <w:t>he fast pace of change</w:t>
      </w:r>
      <w:r w:rsidR="00341A80">
        <w:t>,</w:t>
      </w:r>
      <w:r w:rsidR="005C1DCA" w:rsidRPr="005C1DCA">
        <w:t xml:space="preserve"> </w:t>
      </w:r>
      <w:r w:rsidR="005C1DCA">
        <w:t xml:space="preserve">Australia’s </w:t>
      </w:r>
      <w:r w:rsidR="005C1DCA" w:rsidRPr="005C1DCA">
        <w:t xml:space="preserve">interim aid program strategy </w:t>
      </w:r>
      <w:r w:rsidR="005C1DCA">
        <w:t>ma</w:t>
      </w:r>
      <w:r w:rsidR="00C80254">
        <w:t>kes</w:t>
      </w:r>
      <w:r w:rsidR="005C1DCA">
        <w:t xml:space="preserve"> provision</w:t>
      </w:r>
      <w:r w:rsidR="00341A80">
        <w:t xml:space="preserve"> for </w:t>
      </w:r>
      <w:r w:rsidR="00910DDE">
        <w:t>the program</w:t>
      </w:r>
      <w:r w:rsidR="00341A80">
        <w:t xml:space="preserve"> to </w:t>
      </w:r>
      <w:r w:rsidR="00C80254">
        <w:t>deliver</w:t>
      </w:r>
      <w:r w:rsidR="00341A80">
        <w:t xml:space="preserve"> flexible and responsive support for </w:t>
      </w:r>
      <w:r w:rsidR="00946D5C">
        <w:t>priority reforms</w:t>
      </w:r>
      <w:r w:rsidR="005C1DCA" w:rsidRPr="005C1DCA">
        <w:t xml:space="preserve">. </w:t>
      </w:r>
      <w:r w:rsidR="00C857C9">
        <w:t>B</w:t>
      </w:r>
      <w:r w:rsidR="00341A80">
        <w:t>y</w:t>
      </w:r>
      <w:r w:rsidR="00D446EC">
        <w:t xml:space="preserve"> responding to requests for support from reformers and</w:t>
      </w:r>
      <w:r w:rsidR="00341A80">
        <w:t xml:space="preserve"> </w:t>
      </w:r>
      <w:r w:rsidR="00341A80" w:rsidRPr="005C1DCA">
        <w:t>support</w:t>
      </w:r>
      <w:r w:rsidR="00341A80">
        <w:t>ing</w:t>
      </w:r>
      <w:r w:rsidR="00D446EC">
        <w:t xml:space="preserve"> high-impact activities</w:t>
      </w:r>
      <w:r w:rsidR="00341A80" w:rsidRPr="005C1DCA">
        <w:t xml:space="preserve"> that strengthen the peace process, democratisation and good governance</w:t>
      </w:r>
      <w:r w:rsidR="00C80254">
        <w:t xml:space="preserve">, </w:t>
      </w:r>
      <w:r w:rsidR="00910DDE">
        <w:t>Australia</w:t>
      </w:r>
      <w:r w:rsidR="00C80254">
        <w:t xml:space="preserve"> can </w:t>
      </w:r>
      <w:r w:rsidR="00D446EC">
        <w:t xml:space="preserve">help </w:t>
      </w:r>
      <w:r w:rsidR="00D446EC" w:rsidRPr="005C1DCA">
        <w:t xml:space="preserve">sustain </w:t>
      </w:r>
      <w:r w:rsidR="00A226A5">
        <w:t>Burma</w:t>
      </w:r>
      <w:r w:rsidR="00D446EC">
        <w:t xml:space="preserve">’s </w:t>
      </w:r>
      <w:r w:rsidR="00D446EC" w:rsidRPr="005C1DCA">
        <w:t>reform</w:t>
      </w:r>
      <w:r w:rsidR="00D446EC">
        <w:t xml:space="preserve"> momentum</w:t>
      </w:r>
      <w:r w:rsidR="00014D70">
        <w:t xml:space="preserve">. </w:t>
      </w:r>
      <w:r w:rsidR="00946D5C">
        <w:t xml:space="preserve">At the same time, Australia’s broader aid program is </w:t>
      </w:r>
      <w:r w:rsidR="005C1DCA" w:rsidRPr="005C1DCA">
        <w:t>increas</w:t>
      </w:r>
      <w:r w:rsidR="00946D5C">
        <w:t>ing its</w:t>
      </w:r>
      <w:r w:rsidR="005C1DCA" w:rsidRPr="005C1DCA">
        <w:t xml:space="preserve"> focus on building the capacity </w:t>
      </w:r>
      <w:r w:rsidR="005C1DCA" w:rsidRPr="0085525F">
        <w:t xml:space="preserve">of </w:t>
      </w:r>
      <w:r w:rsidR="00BA3545">
        <w:t xml:space="preserve">Burma’s </w:t>
      </w:r>
      <w:r w:rsidR="005C1DCA" w:rsidRPr="0085525F">
        <w:t>institutions to develop policies and deliver services, to ensure that improvements are sustai</w:t>
      </w:r>
      <w:r w:rsidR="00341A80" w:rsidRPr="0085525F">
        <w:t>nable and reforms are embedded.</w:t>
      </w:r>
    </w:p>
    <w:p w14:paraId="4D0521E4" w14:textId="4883640F" w:rsidR="002076C2" w:rsidRPr="0085525F" w:rsidRDefault="00A226A5" w:rsidP="00A46BEB">
      <w:pPr>
        <w:pStyle w:val="BodyText"/>
      </w:pPr>
      <w:r w:rsidRPr="0085525F">
        <w:t>Burma</w:t>
      </w:r>
      <w:r w:rsidR="00CA0164" w:rsidRPr="0085525F">
        <w:t xml:space="preserve">’s reform era has just begun and Australia’s governance program </w:t>
      </w:r>
      <w:r w:rsidR="00DE2080" w:rsidRPr="0085525F">
        <w:t xml:space="preserve">is </w:t>
      </w:r>
      <w:r w:rsidR="00CA0164" w:rsidRPr="0085525F">
        <w:t>not yet mature enough to state with confidence that our objective will be achieved</w:t>
      </w:r>
      <w:r w:rsidR="00946D5C" w:rsidRPr="0085525F">
        <w:t xml:space="preserve">. </w:t>
      </w:r>
      <w:r w:rsidR="00CA0164" w:rsidRPr="0085525F">
        <w:t>Notwithstanding this</w:t>
      </w:r>
      <w:r w:rsidR="00DE2080" w:rsidRPr="0085525F">
        <w:t>,</w:t>
      </w:r>
      <w:r w:rsidR="00CA0164" w:rsidRPr="0085525F">
        <w:t xml:space="preserve"> progress to date against this new objective is positive. </w:t>
      </w:r>
    </w:p>
    <w:p w14:paraId="32822523" w14:textId="67DAD43F" w:rsidR="00910DDE" w:rsidRDefault="00946D5C" w:rsidP="00A46BEB">
      <w:pPr>
        <w:pStyle w:val="BodyText"/>
      </w:pPr>
      <w:r w:rsidRPr="0085525F">
        <w:t xml:space="preserve">In January 2013 the </w:t>
      </w:r>
      <w:r w:rsidR="00DE2080" w:rsidRPr="0085525F">
        <w:t xml:space="preserve">memorandum </w:t>
      </w:r>
      <w:r w:rsidR="00014D70" w:rsidRPr="0085525F">
        <w:t xml:space="preserve">of </w:t>
      </w:r>
      <w:r w:rsidR="00DE2080" w:rsidRPr="0085525F">
        <w:t xml:space="preserve">understanding on development cooperation </w:t>
      </w:r>
      <w:r w:rsidRPr="0085525F">
        <w:t xml:space="preserve">between Australia and </w:t>
      </w:r>
      <w:r w:rsidR="00284DE4">
        <w:t>the Myanmar Government</w:t>
      </w:r>
      <w:r w:rsidRPr="0085525F">
        <w:t xml:space="preserve"> was </w:t>
      </w:r>
      <w:r w:rsidR="00014D70" w:rsidRPr="0085525F">
        <w:t>signed</w:t>
      </w:r>
      <w:r w:rsidRPr="0085525F">
        <w:t>.</w:t>
      </w:r>
      <w:r w:rsidR="00DE2080" w:rsidRPr="0085525F">
        <w:t xml:space="preserve"> </w:t>
      </w:r>
      <w:r w:rsidR="00910DDE" w:rsidRPr="0085525F">
        <w:t>This document provides for h</w:t>
      </w:r>
      <w:r w:rsidRPr="0085525F">
        <w:t xml:space="preserve">igh-level consultations between </w:t>
      </w:r>
      <w:r w:rsidR="00014D70" w:rsidRPr="0085525F">
        <w:t>Australia</w:t>
      </w:r>
      <w:r w:rsidRPr="0085525F">
        <w:t>n</w:t>
      </w:r>
      <w:r w:rsidR="00014D70" w:rsidRPr="0085525F">
        <w:t xml:space="preserve"> and Myanmar</w:t>
      </w:r>
      <w:r w:rsidR="00BA3545">
        <w:t xml:space="preserve"> </w:t>
      </w:r>
      <w:proofErr w:type="gramStart"/>
      <w:r w:rsidR="00BA3545">
        <w:t xml:space="preserve">Government </w:t>
      </w:r>
      <w:r w:rsidR="00014D70" w:rsidRPr="0085525F">
        <w:t xml:space="preserve"> senior</w:t>
      </w:r>
      <w:proofErr w:type="gramEnd"/>
      <w:r w:rsidR="00014D70" w:rsidRPr="00014D70">
        <w:t xml:space="preserve"> officials </w:t>
      </w:r>
      <w:r>
        <w:t xml:space="preserve">to </w:t>
      </w:r>
      <w:r w:rsidR="00014D70" w:rsidRPr="00014D70">
        <w:t xml:space="preserve">discuss </w:t>
      </w:r>
      <w:r w:rsidR="00C66A8A">
        <w:t>Australia’s aid program</w:t>
      </w:r>
      <w:r w:rsidR="00910DDE">
        <w:t xml:space="preserve">, the first of which are </w:t>
      </w:r>
      <w:r>
        <w:t>tentatively scheduled for late</w:t>
      </w:r>
      <w:r w:rsidR="002076C2">
        <w:t xml:space="preserve"> </w:t>
      </w:r>
      <w:r>
        <w:t>July</w:t>
      </w:r>
      <w:r w:rsidR="00910DDE">
        <w:t xml:space="preserve"> 2013</w:t>
      </w:r>
      <w:r>
        <w:t>.</w:t>
      </w:r>
      <w:r w:rsidR="00C24BA1">
        <w:t xml:space="preserve"> Australia has responded to a number of requests for support from the </w:t>
      </w:r>
      <w:r w:rsidR="002076C2">
        <w:t xml:space="preserve">Myanmar </w:t>
      </w:r>
      <w:r w:rsidR="00C24BA1">
        <w:t xml:space="preserve">Government, including organising a study tour of Australia’s mining industry and governance arrangements for </w:t>
      </w:r>
      <w:r w:rsidR="002076C2">
        <w:t>ministers</w:t>
      </w:r>
      <w:r w:rsidR="00C24BA1">
        <w:t xml:space="preserve">, senior officials and representatives from community organisations, following the Mining for Development and </w:t>
      </w:r>
      <w:r w:rsidR="002076C2">
        <w:t xml:space="preserve">Extractive Industries Transparency Initiative </w:t>
      </w:r>
      <w:r w:rsidR="00C24BA1">
        <w:t>conferences in May 2013.</w:t>
      </w:r>
      <w:r w:rsidR="00910DDE">
        <w:t xml:space="preserve"> Australia has also supported the </w:t>
      </w:r>
      <w:r w:rsidR="002076C2">
        <w:t>government</w:t>
      </w:r>
      <w:r w:rsidR="00910DDE">
        <w:t>’s leadership of the aid effectiveness agenda, particularly donor coordination.</w:t>
      </w:r>
      <w:r w:rsidR="00C24BA1">
        <w:t xml:space="preserve"> </w:t>
      </w:r>
      <w:r w:rsidR="00910DDE">
        <w:t>In partnership with the A</w:t>
      </w:r>
      <w:r w:rsidR="002076C2">
        <w:t xml:space="preserve">sian </w:t>
      </w:r>
      <w:r w:rsidR="00910DDE">
        <w:t>D</w:t>
      </w:r>
      <w:r w:rsidR="002076C2">
        <w:t xml:space="preserve">evelopment </w:t>
      </w:r>
      <w:r w:rsidR="00910DDE">
        <w:t>B</w:t>
      </w:r>
      <w:r w:rsidR="002076C2">
        <w:t>ank,</w:t>
      </w:r>
      <w:r w:rsidR="00910DDE">
        <w:t xml:space="preserve"> we funded a senior adviser in the Myanmar Ministry of National Planning and Economic Development and facilitated a visit by officials from the </w:t>
      </w:r>
      <w:r w:rsidR="002076C2">
        <w:t xml:space="preserve">ministry </w:t>
      </w:r>
      <w:r w:rsidR="00910DDE">
        <w:t>to Vietnam to learn from the experience of their counterparts.</w:t>
      </w:r>
    </w:p>
    <w:p w14:paraId="7729D0C0" w14:textId="75837828" w:rsidR="00014D70" w:rsidRPr="00310261" w:rsidRDefault="0022338F" w:rsidP="00A46BEB">
      <w:pPr>
        <w:pStyle w:val="BodyText"/>
        <w:rPr>
          <w:lang w:val="en-US"/>
        </w:rPr>
      </w:pPr>
      <w:r w:rsidRPr="0022338F">
        <w:t xml:space="preserve">The first phase of </w:t>
      </w:r>
      <w:r w:rsidRPr="0085525F">
        <w:t>the Myanmar</w:t>
      </w:r>
      <w:r w:rsidR="00351074">
        <w:t>–</w:t>
      </w:r>
      <w:r w:rsidRPr="0022338F">
        <w:t xml:space="preserve">Australia Partnership for Reform announced during President Thein </w:t>
      </w:r>
      <w:proofErr w:type="spellStart"/>
      <w:r w:rsidRPr="0022338F">
        <w:t>Sein’s</w:t>
      </w:r>
      <w:proofErr w:type="spellEnd"/>
      <w:r w:rsidRPr="0022338F">
        <w:t xml:space="preserve"> visit to Australia in March 2013 provides a mechanism for us to continue to deliver support for </w:t>
      </w:r>
      <w:r w:rsidR="00A226A5">
        <w:t>Burma</w:t>
      </w:r>
      <w:r w:rsidRPr="0022338F">
        <w:t xml:space="preserve">’s reform priorities over the next two years. For example, this support will include funding for </w:t>
      </w:r>
      <w:r w:rsidR="00A226A5">
        <w:t>Burma</w:t>
      </w:r>
      <w:r w:rsidRPr="0022338F">
        <w:t xml:space="preserve">’s first census since 1983, which will be critical to develop an understanding of the development needs of its people and to </w:t>
      </w:r>
      <w:r w:rsidR="00C857C9">
        <w:t xml:space="preserve">ensure accurate voter registration data ahead of </w:t>
      </w:r>
      <w:r w:rsidRPr="0022338F">
        <w:t>elections in 2015.</w:t>
      </w:r>
      <w:r w:rsidR="004A6835">
        <w:t xml:space="preserve"> Our funding for the census </w:t>
      </w:r>
      <w:r w:rsidR="006127A6">
        <w:t>ensures we can</w:t>
      </w:r>
      <w:r w:rsidR="004A6835">
        <w:t xml:space="preserve"> advocate that the process is inclusive of ethnic minorities and people </w:t>
      </w:r>
      <w:r w:rsidR="006127A6">
        <w:t>with</w:t>
      </w:r>
      <w:r w:rsidR="004A6835">
        <w:t xml:space="preserve"> disability.</w:t>
      </w:r>
      <w:r w:rsidRPr="0022338F">
        <w:t xml:space="preserve"> The </w:t>
      </w:r>
      <w:r w:rsidRPr="0022338F">
        <w:lastRenderedPageBreak/>
        <w:t xml:space="preserve">initial two year phase of the </w:t>
      </w:r>
      <w:r w:rsidR="006127A6">
        <w:t>p</w:t>
      </w:r>
      <w:r w:rsidR="006127A6" w:rsidRPr="0022338F">
        <w:t xml:space="preserve">artnership </w:t>
      </w:r>
      <w:r w:rsidRPr="0022338F">
        <w:t xml:space="preserve">will allow Australia to develop the necessary relationships and understanding to inform a longer-term program of support. This will include support </w:t>
      </w:r>
      <w:r w:rsidR="00C857C9">
        <w:t xml:space="preserve">for </w:t>
      </w:r>
      <w:r w:rsidRPr="0022338F">
        <w:t xml:space="preserve">development partners such as the </w:t>
      </w:r>
      <w:r w:rsidR="006127A6" w:rsidRPr="006127A6">
        <w:rPr>
          <w:lang w:val="en-US"/>
        </w:rPr>
        <w:t xml:space="preserve">United Nations Development </w:t>
      </w:r>
      <w:proofErr w:type="spellStart"/>
      <w:r w:rsidR="006127A6" w:rsidRPr="006127A6">
        <w:rPr>
          <w:lang w:val="en-US"/>
        </w:rPr>
        <w:t>Programme</w:t>
      </w:r>
      <w:proofErr w:type="spellEnd"/>
      <w:r w:rsidRPr="0022338F">
        <w:t xml:space="preserve">, which are establishing major initiatives in support of improved governance in </w:t>
      </w:r>
      <w:r w:rsidR="00A226A5">
        <w:t>Burma</w:t>
      </w:r>
      <w:r w:rsidRPr="0022338F">
        <w:t>. As programs get underway, we expect increased results in the next reporting period.</w:t>
      </w:r>
    </w:p>
    <w:p w14:paraId="47430E87" w14:textId="4FA57A8F" w:rsidR="00C66A8A" w:rsidRDefault="007F321A" w:rsidP="00A46BEB">
      <w:pPr>
        <w:pStyle w:val="BodyText"/>
      </w:pPr>
      <w:r>
        <w:t xml:space="preserve">Australia’s approach to supporting reform in </w:t>
      </w:r>
      <w:r w:rsidR="00A226A5">
        <w:t>Burma</w:t>
      </w:r>
      <w:r>
        <w:t xml:space="preserve"> is not without its risks. A program that is responsive to requests for support is open to incoherence and fragmentation, whereby a number of disparate, small value activities</w:t>
      </w:r>
      <w:r w:rsidR="00351074">
        <w:t>––</w:t>
      </w:r>
      <w:r>
        <w:t>while building goodwill</w:t>
      </w:r>
      <w:r w:rsidR="00351074">
        <w:t>––</w:t>
      </w:r>
      <w:r>
        <w:t xml:space="preserve">do not deliver significant or lasting development impact. </w:t>
      </w:r>
      <w:r w:rsidR="00C66A8A">
        <w:t xml:space="preserve">Similarly, in the lead up to the 2015 elections, there may be political imperatives within the </w:t>
      </w:r>
      <w:r w:rsidR="006127A6">
        <w:t xml:space="preserve">Myanmar </w:t>
      </w:r>
      <w:r w:rsidR="00C66A8A">
        <w:t xml:space="preserve">Government to focus on </w:t>
      </w:r>
      <w:r w:rsidR="006127A6">
        <w:t>short-</w:t>
      </w:r>
      <w:r w:rsidR="00C66A8A">
        <w:t>term development outcomes at the expense of longer term, system-wide reform. Ensuring that activities align with broader programs</w:t>
      </w:r>
      <w:r w:rsidR="00351074">
        <w:t>,</w:t>
      </w:r>
      <w:r w:rsidR="00C66A8A">
        <w:t xml:space="preserve"> or are likely to build momentum for reform in critical areas</w:t>
      </w:r>
      <w:r w:rsidR="00351074">
        <w:t>,</w:t>
      </w:r>
      <w:r w:rsidR="00C66A8A">
        <w:t xml:space="preserve"> will be key to managing these</w:t>
      </w:r>
      <w:r>
        <w:t xml:space="preserve"> risk</w:t>
      </w:r>
      <w:r w:rsidR="00C66A8A">
        <w:t xml:space="preserve">s. </w:t>
      </w:r>
    </w:p>
    <w:p w14:paraId="46DC09A0" w14:textId="1F0F8970" w:rsidR="00946D5C" w:rsidRDefault="00C66A8A" w:rsidP="00A46BEB">
      <w:pPr>
        <w:pStyle w:val="BodyText"/>
      </w:pPr>
      <w:r>
        <w:t xml:space="preserve">One indicator to measure the success of this objective is that all </w:t>
      </w:r>
      <w:r w:rsidR="00014D70" w:rsidRPr="00014D70">
        <w:t xml:space="preserve">initiatives </w:t>
      </w:r>
      <w:r w:rsidR="00F578D4">
        <w:t>to which</w:t>
      </w:r>
      <w:r>
        <w:t xml:space="preserve"> Australia provides more than $</w:t>
      </w:r>
      <w:r w:rsidR="00014D70" w:rsidRPr="00014D70">
        <w:t xml:space="preserve">3 million </w:t>
      </w:r>
      <w:r w:rsidR="006127A6">
        <w:t>a</w:t>
      </w:r>
      <w:r w:rsidR="006127A6" w:rsidRPr="00014D70">
        <w:t xml:space="preserve"> </w:t>
      </w:r>
      <w:r w:rsidR="00014D70" w:rsidRPr="00014D70">
        <w:t xml:space="preserve">year in </w:t>
      </w:r>
      <w:r w:rsidR="00F578D4">
        <w:t>funding</w:t>
      </w:r>
      <w:r w:rsidR="00014D70" w:rsidRPr="00014D70">
        <w:t xml:space="preserve"> </w:t>
      </w:r>
      <w:r w:rsidR="00F578D4">
        <w:t>have</w:t>
      </w:r>
      <w:r w:rsidR="00014D70" w:rsidRPr="00014D70">
        <w:t xml:space="preserve"> representation</w:t>
      </w:r>
      <w:r w:rsidR="00F578D4">
        <w:t xml:space="preserve"> </w:t>
      </w:r>
      <w:r w:rsidR="00BA3545">
        <w:t xml:space="preserve">from Burma </w:t>
      </w:r>
      <w:r w:rsidR="00F578D4">
        <w:t xml:space="preserve">in the governance arrangements. This representation could, for example, include officials from counterpart </w:t>
      </w:r>
      <w:r w:rsidR="006127A6">
        <w:t xml:space="preserve">ministries </w:t>
      </w:r>
      <w:r w:rsidR="00F578D4">
        <w:t xml:space="preserve">in the </w:t>
      </w:r>
      <w:r w:rsidR="006127A6">
        <w:t xml:space="preserve">Myanmar </w:t>
      </w:r>
      <w:r w:rsidR="00F578D4">
        <w:t xml:space="preserve">Government or from local community-based organisations. Delivering on this target by 2014 is not entirely with Australia’s control, as most of our support is delivered through multi-donor mechanisms and any changes in governance arrangements will require the support of a range of development partners. Notwithstanding this, we consider this objective is worth pursuing in support of increased </w:t>
      </w:r>
      <w:r w:rsidR="00BA3545">
        <w:t xml:space="preserve">local </w:t>
      </w:r>
      <w:r w:rsidR="00F578D4">
        <w:t>ownership of the country’s development agenda.</w:t>
      </w:r>
    </w:p>
    <w:p w14:paraId="3C943EA9" w14:textId="29B3A41D" w:rsidR="005C1DCA" w:rsidRPr="00C80254" w:rsidRDefault="005C1DCA" w:rsidP="00A46BEB">
      <w:pPr>
        <w:pStyle w:val="BodyText"/>
      </w:pPr>
      <w:r w:rsidRPr="005C1DCA">
        <w:t xml:space="preserve">Through our core programs we will continue to improve governance within the education, health and livelihoods sectors. Support for delivering better services is a key priority of the Australian aid program’s global governance strategy. Crucial to building the Myanmar Government’s capacity to take a greater role in service delivery will be improving its internal financial management systems. </w:t>
      </w:r>
      <w:r w:rsidR="00581F38">
        <w:t xml:space="preserve">DFAT </w:t>
      </w:r>
      <w:r w:rsidR="006423AE">
        <w:t>is supporting</w:t>
      </w:r>
      <w:r w:rsidR="006423AE" w:rsidRPr="005C1DCA">
        <w:t xml:space="preserve"> </w:t>
      </w:r>
      <w:r w:rsidRPr="005C1DCA">
        <w:t xml:space="preserve">a World Bank-led </w:t>
      </w:r>
      <w:r w:rsidR="006127A6">
        <w:t>p</w:t>
      </w:r>
      <w:r w:rsidR="006127A6" w:rsidRPr="005C1DCA">
        <w:t xml:space="preserve">ublic </w:t>
      </w:r>
      <w:r w:rsidR="006127A6">
        <w:t>e</w:t>
      </w:r>
      <w:r w:rsidR="006127A6" w:rsidRPr="005C1DCA">
        <w:t xml:space="preserve">xpenditure </w:t>
      </w:r>
      <w:r w:rsidR="006127A6">
        <w:t>r</w:t>
      </w:r>
      <w:r w:rsidR="006127A6" w:rsidRPr="005C1DCA">
        <w:t>eview</w:t>
      </w:r>
      <w:r w:rsidR="006423AE">
        <w:t xml:space="preserve">, the first phase of which will assess </w:t>
      </w:r>
      <w:r w:rsidR="00A226A5">
        <w:t>Burma</w:t>
      </w:r>
      <w:r w:rsidR="006423AE">
        <w:t>’s macro-fiscal context</w:t>
      </w:r>
      <w:r w:rsidR="006127A6">
        <w:t xml:space="preserve">, </w:t>
      </w:r>
      <w:r w:rsidR="006423AE">
        <w:t>broad revenue and expenditure patterns</w:t>
      </w:r>
      <w:r w:rsidR="006127A6">
        <w:t xml:space="preserve">, </w:t>
      </w:r>
      <w:r w:rsidR="006423AE">
        <w:t>fiscal decentralisation</w:t>
      </w:r>
      <w:r w:rsidR="006127A6">
        <w:t xml:space="preserve">, </w:t>
      </w:r>
      <w:r w:rsidR="006423AE">
        <w:t xml:space="preserve">and financing and expenditure patterns in the education, health and energy sectors. </w:t>
      </w:r>
      <w:r w:rsidR="006423AE" w:rsidRPr="005C1DCA">
        <w:t>Australia’s support for joint analytical programs</w:t>
      </w:r>
      <w:r w:rsidR="006423AE">
        <w:t xml:space="preserve"> such as </w:t>
      </w:r>
      <w:r w:rsidR="006127A6">
        <w:t xml:space="preserve">this review </w:t>
      </w:r>
      <w:r w:rsidRPr="005C1DCA">
        <w:t>complement</w:t>
      </w:r>
      <w:r w:rsidR="006127A6">
        <w:t>s</w:t>
      </w:r>
      <w:r w:rsidRPr="005C1DCA">
        <w:t xml:space="preserve"> our advocacy for increased government spending in service delivery. It is important that increased trade, investment and economic growth deliver improved opportunities for the people of </w:t>
      </w:r>
      <w:r w:rsidR="00A226A5">
        <w:t>Burma</w:t>
      </w:r>
      <w:r w:rsidRPr="005C1DCA">
        <w:t xml:space="preserve"> and complement our aid to e</w:t>
      </w:r>
      <w:r w:rsidR="0038132C">
        <w:t>nsure it has a lasting impact.</w:t>
      </w:r>
    </w:p>
    <w:p w14:paraId="1E34A959" w14:textId="77777777" w:rsidR="00180B19" w:rsidRPr="00A46BEB" w:rsidRDefault="00180B19" w:rsidP="005E0F24">
      <w:pPr>
        <w:pStyle w:val="Heading1"/>
      </w:pPr>
      <w:r w:rsidRPr="00A46BEB">
        <w:t>Quality at Implementation ratings</w:t>
      </w:r>
    </w:p>
    <w:p w14:paraId="65517E8A" w14:textId="30CCBAE0" w:rsidR="00C927C0" w:rsidRPr="004E4976" w:rsidRDefault="00C927C0" w:rsidP="00A46BEB">
      <w:pPr>
        <w:pStyle w:val="BodyText"/>
        <w:rPr>
          <w:lang w:eastAsia="en-US"/>
        </w:rPr>
      </w:pPr>
      <w:r w:rsidRPr="004E4976">
        <w:rPr>
          <w:lang w:eastAsia="en-US"/>
        </w:rPr>
        <w:t>Quality at Implementation (Q</w:t>
      </w:r>
      <w:r w:rsidR="003F1300">
        <w:rPr>
          <w:lang w:eastAsia="en-US"/>
        </w:rPr>
        <w:t>A</w:t>
      </w:r>
      <w:r w:rsidRPr="004E4976">
        <w:rPr>
          <w:lang w:eastAsia="en-US"/>
        </w:rPr>
        <w:t>I) reporting is an annual self-assessment undertaken by program managers. This year, Q</w:t>
      </w:r>
      <w:r w:rsidR="003F1300">
        <w:rPr>
          <w:lang w:eastAsia="en-US"/>
        </w:rPr>
        <w:t>A</w:t>
      </w:r>
      <w:r w:rsidRPr="004E4976">
        <w:rPr>
          <w:lang w:eastAsia="en-US"/>
        </w:rPr>
        <w:t xml:space="preserve">I reports were completed for the 10 monitorable activities in the </w:t>
      </w:r>
      <w:r w:rsidR="006127A6">
        <w:rPr>
          <w:lang w:eastAsia="en-US"/>
        </w:rPr>
        <w:t>p</w:t>
      </w:r>
      <w:r w:rsidR="006127A6" w:rsidRPr="004E4976">
        <w:rPr>
          <w:lang w:eastAsia="en-US"/>
        </w:rPr>
        <w:t>rogram</w:t>
      </w:r>
      <w:r w:rsidRPr="004E4976">
        <w:rPr>
          <w:lang w:eastAsia="en-US"/>
        </w:rPr>
        <w:t>.</w:t>
      </w:r>
    </w:p>
    <w:p w14:paraId="2EC73D71" w14:textId="6BABBA3C" w:rsidR="00C927C0" w:rsidRPr="004E4976" w:rsidRDefault="00C927C0" w:rsidP="00A46BEB">
      <w:pPr>
        <w:pStyle w:val="BodyText"/>
        <w:rPr>
          <w:lang w:eastAsia="en-US"/>
        </w:rPr>
      </w:pPr>
      <w:r w:rsidRPr="004E4976">
        <w:rPr>
          <w:lang w:eastAsia="en-US"/>
        </w:rPr>
        <w:t xml:space="preserve">All activities rated </w:t>
      </w:r>
      <w:r w:rsidRPr="004E4976">
        <w:rPr>
          <w:i/>
          <w:lang w:eastAsia="en-US"/>
        </w:rPr>
        <w:t>relevance</w:t>
      </w:r>
      <w:r w:rsidR="006127A6">
        <w:rPr>
          <w:i/>
          <w:lang w:eastAsia="en-US"/>
        </w:rPr>
        <w:t xml:space="preserve"> – </w:t>
      </w:r>
      <w:r w:rsidR="003C2DC1" w:rsidRPr="004E4976">
        <w:rPr>
          <w:i/>
          <w:lang w:eastAsia="en-US"/>
        </w:rPr>
        <w:t>is this the right thing to do</w:t>
      </w:r>
      <w:r w:rsidRPr="004E4976">
        <w:rPr>
          <w:i/>
          <w:lang w:eastAsia="en-US"/>
        </w:rPr>
        <w:t xml:space="preserve"> </w:t>
      </w:r>
      <w:r w:rsidR="00C857C9" w:rsidRPr="004E4976">
        <w:rPr>
          <w:lang w:eastAsia="en-US"/>
        </w:rPr>
        <w:t>s</w:t>
      </w:r>
      <w:r w:rsidRPr="004E4976">
        <w:rPr>
          <w:lang w:eastAsia="en-US"/>
        </w:rPr>
        <w:t xml:space="preserve">atisfactorily </w:t>
      </w:r>
      <w:r w:rsidR="006127A6" w:rsidRPr="004E4976">
        <w:rPr>
          <w:lang w:eastAsia="en-US"/>
        </w:rPr>
        <w:t xml:space="preserve">again this year </w:t>
      </w:r>
      <w:r w:rsidRPr="004E4976">
        <w:rPr>
          <w:lang w:eastAsia="en-US"/>
        </w:rPr>
        <w:t>(</w:t>
      </w:r>
      <w:r w:rsidR="00C857C9" w:rsidRPr="004E4976">
        <w:rPr>
          <w:lang w:eastAsia="en-US"/>
        </w:rPr>
        <w:t xml:space="preserve">a rating of </w:t>
      </w:r>
      <w:r w:rsidRPr="004E4976">
        <w:rPr>
          <w:lang w:eastAsia="en-US"/>
        </w:rPr>
        <w:t xml:space="preserve">at least 4), signalling that the initiatives remain highly appropriate for meeting the high priority development goals in </w:t>
      </w:r>
      <w:r w:rsidR="00A226A5">
        <w:rPr>
          <w:lang w:eastAsia="en-US"/>
        </w:rPr>
        <w:t>Burma</w:t>
      </w:r>
      <w:r w:rsidRPr="004E4976">
        <w:rPr>
          <w:lang w:eastAsia="en-US"/>
        </w:rPr>
        <w:t>.</w:t>
      </w:r>
    </w:p>
    <w:p w14:paraId="34B5D130" w14:textId="04534D4A" w:rsidR="00C927C0" w:rsidRPr="004E4976" w:rsidRDefault="00C927C0" w:rsidP="00A46BEB">
      <w:pPr>
        <w:pStyle w:val="BodyText"/>
        <w:rPr>
          <w:lang w:eastAsia="en-US"/>
        </w:rPr>
      </w:pPr>
      <w:r w:rsidRPr="004E4976">
        <w:rPr>
          <w:lang w:eastAsia="en-US"/>
        </w:rPr>
        <w:t xml:space="preserve">In terms of </w:t>
      </w:r>
      <w:r w:rsidRPr="004E4976">
        <w:rPr>
          <w:i/>
          <w:lang w:eastAsia="en-US"/>
        </w:rPr>
        <w:t xml:space="preserve">effectiveness – are we making the progress we expected at this point in time, </w:t>
      </w:r>
      <w:r w:rsidRPr="004E4976">
        <w:rPr>
          <w:lang w:eastAsia="en-US"/>
        </w:rPr>
        <w:t xml:space="preserve">seven of the </w:t>
      </w:r>
      <w:r w:rsidR="000A7230">
        <w:rPr>
          <w:lang w:eastAsia="en-US"/>
        </w:rPr>
        <w:t>10</w:t>
      </w:r>
      <w:r w:rsidR="000A7230" w:rsidRPr="004E4976">
        <w:rPr>
          <w:lang w:eastAsia="en-US"/>
        </w:rPr>
        <w:t xml:space="preserve"> </w:t>
      </w:r>
      <w:r w:rsidRPr="004E4976">
        <w:rPr>
          <w:lang w:eastAsia="en-US"/>
        </w:rPr>
        <w:t>initiatives rated satisfactory achievement of outcomes, including the Joint U</w:t>
      </w:r>
      <w:r w:rsidR="00EF346E">
        <w:rPr>
          <w:lang w:eastAsia="en-US"/>
        </w:rPr>
        <w:t xml:space="preserve">nited </w:t>
      </w:r>
      <w:r w:rsidRPr="004E4976">
        <w:rPr>
          <w:lang w:eastAsia="en-US"/>
        </w:rPr>
        <w:t>N</w:t>
      </w:r>
      <w:r w:rsidR="00EF346E">
        <w:rPr>
          <w:lang w:eastAsia="en-US"/>
        </w:rPr>
        <w:t>ations</w:t>
      </w:r>
      <w:r w:rsidRPr="004E4976">
        <w:rPr>
          <w:lang w:eastAsia="en-US"/>
        </w:rPr>
        <w:t xml:space="preserve"> Maternal Newborn and Child Health program</w:t>
      </w:r>
      <w:r w:rsidR="006127A6">
        <w:rPr>
          <w:lang w:eastAsia="en-US"/>
        </w:rPr>
        <w:t>,</w:t>
      </w:r>
      <w:r w:rsidRPr="004E4976">
        <w:rPr>
          <w:lang w:eastAsia="en-US"/>
        </w:rPr>
        <w:t xml:space="preserve"> which was considered unsatisfactory last year. Unsatisfactory achievement of outcomes was noted for the </w:t>
      </w:r>
      <w:r w:rsidR="006127A6">
        <w:rPr>
          <w:lang w:eastAsia="en-US"/>
        </w:rPr>
        <w:t>Australian Centre for International Agricultural Research</w:t>
      </w:r>
      <w:r w:rsidR="006127A6" w:rsidRPr="004E4976">
        <w:rPr>
          <w:lang w:eastAsia="en-US"/>
        </w:rPr>
        <w:t xml:space="preserve"> </w:t>
      </w:r>
      <w:r w:rsidRPr="004E4976">
        <w:rPr>
          <w:lang w:eastAsia="en-US"/>
        </w:rPr>
        <w:t>Multidisciplinary Research Program Burma, Three Millennium Development Goals Fund and Malaria resistance support via 3MDG Fund.</w:t>
      </w:r>
    </w:p>
    <w:p w14:paraId="75D0A754" w14:textId="3E54512A" w:rsidR="00C927C0" w:rsidRPr="004E4976" w:rsidRDefault="00C927C0" w:rsidP="00A46BEB">
      <w:pPr>
        <w:pStyle w:val="BodyText"/>
        <w:rPr>
          <w:lang w:eastAsia="en-US"/>
        </w:rPr>
      </w:pPr>
      <w:r w:rsidRPr="004E4976">
        <w:rPr>
          <w:lang w:eastAsia="en-US"/>
        </w:rPr>
        <w:lastRenderedPageBreak/>
        <w:t>Satisfactory ratings for e</w:t>
      </w:r>
      <w:r w:rsidRPr="004E4976">
        <w:rPr>
          <w:i/>
          <w:lang w:eastAsia="en-US"/>
        </w:rPr>
        <w:t xml:space="preserve">fficiency – is the initiative making appropriate use of Australia’s and other partners’ time and resources to achieve objectives </w:t>
      </w:r>
      <w:r w:rsidRPr="004E4976">
        <w:rPr>
          <w:lang w:eastAsia="en-US"/>
        </w:rPr>
        <w:t xml:space="preserve">were given to eight initiatives. Efficiency for </w:t>
      </w:r>
      <w:r w:rsidR="006127A6">
        <w:rPr>
          <w:lang w:eastAsia="en-US"/>
        </w:rPr>
        <w:t xml:space="preserve">the Periodic Fund for Humanitarian Assistance in Burma </w:t>
      </w:r>
      <w:r w:rsidRPr="004E4976">
        <w:rPr>
          <w:lang w:eastAsia="en-US"/>
        </w:rPr>
        <w:t xml:space="preserve">was rated as unsatisfactory again this year. </w:t>
      </w:r>
      <w:r w:rsidR="006127A6">
        <w:rPr>
          <w:lang w:eastAsia="en-US"/>
        </w:rPr>
        <w:t>The Australian Centre for International Agricultural Research</w:t>
      </w:r>
      <w:r w:rsidR="006127A6" w:rsidRPr="004E4976">
        <w:rPr>
          <w:lang w:eastAsia="en-US"/>
        </w:rPr>
        <w:t xml:space="preserve"> </w:t>
      </w:r>
      <w:r w:rsidRPr="004E4976">
        <w:rPr>
          <w:lang w:eastAsia="en-US"/>
        </w:rPr>
        <w:t>Multidisciplinary Research Program Burma was also considered unsatisfactory in terms of efficiency.</w:t>
      </w:r>
    </w:p>
    <w:p w14:paraId="61CDE482" w14:textId="69EEFDA0" w:rsidR="00C927C0" w:rsidRPr="004E4976" w:rsidRDefault="00C927C0" w:rsidP="00A46BEB">
      <w:pPr>
        <w:pStyle w:val="BodyText"/>
        <w:rPr>
          <w:lang w:eastAsia="en-US"/>
        </w:rPr>
      </w:pPr>
      <w:r w:rsidRPr="00310261">
        <w:rPr>
          <w:lang w:eastAsia="en-US"/>
        </w:rPr>
        <w:t>Gender equality</w:t>
      </w:r>
      <w:r w:rsidRPr="0004740E">
        <w:rPr>
          <w:lang w:eastAsia="en-US"/>
        </w:rPr>
        <w:t xml:space="preserve"> ratings improved this year.</w:t>
      </w:r>
      <w:r w:rsidRPr="0004740E">
        <w:rPr>
          <w:i/>
          <w:lang w:eastAsia="en-US"/>
        </w:rPr>
        <w:t xml:space="preserve"> </w:t>
      </w:r>
      <w:r w:rsidRPr="0004740E">
        <w:rPr>
          <w:lang w:eastAsia="en-US"/>
        </w:rPr>
        <w:t xml:space="preserve">Four of the seven initiatives with satisfactory ratings for </w:t>
      </w:r>
      <w:r w:rsidR="0004740E" w:rsidRPr="00310261">
        <w:rPr>
          <w:lang w:eastAsia="en-US"/>
        </w:rPr>
        <w:t xml:space="preserve">gender </w:t>
      </w:r>
      <w:r w:rsidRPr="00310261">
        <w:rPr>
          <w:lang w:eastAsia="en-US"/>
        </w:rPr>
        <w:t>equality</w:t>
      </w:r>
      <w:r w:rsidRPr="0004740E">
        <w:rPr>
          <w:i/>
          <w:lang w:eastAsia="en-US"/>
        </w:rPr>
        <w:t xml:space="preserve"> </w:t>
      </w:r>
      <w:r w:rsidRPr="0004740E">
        <w:rPr>
          <w:lang w:eastAsia="en-US"/>
        </w:rPr>
        <w:t xml:space="preserve">improved from last year’s unsatisfactory position. However, improvements to overcoming the vulnerability of women and girls to poverty were not found within LIFT and </w:t>
      </w:r>
      <w:r w:rsidR="0004740E" w:rsidRPr="0004740E">
        <w:rPr>
          <w:lang w:eastAsia="en-US"/>
        </w:rPr>
        <w:t xml:space="preserve">the </w:t>
      </w:r>
      <w:r w:rsidRPr="0004740E">
        <w:rPr>
          <w:lang w:eastAsia="en-US"/>
        </w:rPr>
        <w:t xml:space="preserve">two new initiatives: </w:t>
      </w:r>
      <w:r w:rsidR="0004740E" w:rsidRPr="0004740E">
        <w:rPr>
          <w:lang w:eastAsia="en-US"/>
        </w:rPr>
        <w:t xml:space="preserve">Australian Centre for International Agricultural Research </w:t>
      </w:r>
      <w:r w:rsidRPr="0004740E">
        <w:rPr>
          <w:lang w:eastAsia="en-US"/>
        </w:rPr>
        <w:t>Multidisciplinary Research Program Burma and Three Disease</w:t>
      </w:r>
      <w:r w:rsidR="0004740E" w:rsidRPr="0004740E">
        <w:rPr>
          <w:lang w:eastAsia="en-US"/>
        </w:rPr>
        <w:t>s</w:t>
      </w:r>
      <w:r w:rsidRPr="0004740E">
        <w:rPr>
          <w:lang w:eastAsia="en-US"/>
        </w:rPr>
        <w:t xml:space="preserve"> Fund.</w:t>
      </w:r>
    </w:p>
    <w:p w14:paraId="2B681757" w14:textId="36147780" w:rsidR="00C927C0" w:rsidRPr="004E4976" w:rsidRDefault="003A1961" w:rsidP="00A46BEB">
      <w:pPr>
        <w:pStyle w:val="BodyText"/>
        <w:rPr>
          <w:lang w:eastAsia="en-US"/>
        </w:rPr>
      </w:pPr>
      <w:r w:rsidRPr="00310261">
        <w:rPr>
          <w:iCs/>
          <w:lang w:eastAsia="en-US"/>
        </w:rPr>
        <w:t>Gender equality</w:t>
      </w:r>
      <w:r w:rsidRPr="004E4976">
        <w:rPr>
          <w:lang w:eastAsia="en-US"/>
        </w:rPr>
        <w:t xml:space="preserve"> ratings improved.</w:t>
      </w:r>
      <w:r w:rsidRPr="004E4976">
        <w:rPr>
          <w:i/>
          <w:iCs/>
          <w:lang w:eastAsia="en-US"/>
        </w:rPr>
        <w:t xml:space="preserve"> </w:t>
      </w:r>
      <w:r w:rsidRPr="004E4976">
        <w:rPr>
          <w:lang w:eastAsia="en-US"/>
        </w:rPr>
        <w:t>Four initiatives received satisfactory ratings</w:t>
      </w:r>
      <w:r w:rsidRPr="004E4976">
        <w:rPr>
          <w:iCs/>
          <w:lang w:eastAsia="en-US"/>
        </w:rPr>
        <w:t>,</w:t>
      </w:r>
      <w:r w:rsidRPr="004E4976">
        <w:rPr>
          <w:i/>
          <w:iCs/>
          <w:lang w:eastAsia="en-US"/>
        </w:rPr>
        <w:t xml:space="preserve"> </w:t>
      </w:r>
      <w:r w:rsidRPr="004E4976">
        <w:rPr>
          <w:lang w:eastAsia="en-US"/>
        </w:rPr>
        <w:t>three of which improved</w:t>
      </w:r>
      <w:r w:rsidR="0004740E">
        <w:rPr>
          <w:lang w:eastAsia="en-US"/>
        </w:rPr>
        <w:t xml:space="preserve"> after receiving</w:t>
      </w:r>
      <w:r w:rsidR="0004740E" w:rsidRPr="004E4976">
        <w:rPr>
          <w:lang w:eastAsia="en-US"/>
        </w:rPr>
        <w:t xml:space="preserve"> </w:t>
      </w:r>
      <w:r w:rsidRPr="004E4976">
        <w:rPr>
          <w:lang w:eastAsia="en-US"/>
        </w:rPr>
        <w:t xml:space="preserve">less than satisfactory </w:t>
      </w:r>
      <w:r w:rsidR="0004740E">
        <w:rPr>
          <w:lang w:eastAsia="en-US"/>
        </w:rPr>
        <w:t xml:space="preserve">ratings </w:t>
      </w:r>
      <w:r w:rsidRPr="004E4976">
        <w:rPr>
          <w:lang w:eastAsia="en-US"/>
        </w:rPr>
        <w:t>last year (</w:t>
      </w:r>
      <w:r w:rsidR="0004740E">
        <w:rPr>
          <w:lang w:eastAsia="en-US"/>
        </w:rPr>
        <w:t xml:space="preserve">the </w:t>
      </w:r>
      <w:r w:rsidR="0004740E" w:rsidRPr="0004740E">
        <w:rPr>
          <w:lang w:eastAsia="en-US"/>
        </w:rPr>
        <w:t>Joint Initiative on Mat</w:t>
      </w:r>
      <w:r w:rsidR="0004740E">
        <w:rPr>
          <w:lang w:eastAsia="en-US"/>
        </w:rPr>
        <w:t>ernal, Newborn and Child Health</w:t>
      </w:r>
      <w:r w:rsidRPr="004E4976">
        <w:rPr>
          <w:lang w:eastAsia="en-US"/>
        </w:rPr>
        <w:t xml:space="preserve">, </w:t>
      </w:r>
      <w:r w:rsidR="0004740E">
        <w:rPr>
          <w:lang w:eastAsia="en-US"/>
        </w:rPr>
        <w:t xml:space="preserve">the </w:t>
      </w:r>
      <w:r w:rsidR="0004740E" w:rsidRPr="0004740E">
        <w:rPr>
          <w:lang w:eastAsia="en-US"/>
        </w:rPr>
        <w:t>Joint U</w:t>
      </w:r>
      <w:r w:rsidR="0004740E">
        <w:rPr>
          <w:lang w:eastAsia="en-US"/>
        </w:rPr>
        <w:t xml:space="preserve">nited </w:t>
      </w:r>
      <w:r w:rsidR="0004740E" w:rsidRPr="0004740E">
        <w:rPr>
          <w:lang w:eastAsia="en-US"/>
        </w:rPr>
        <w:t>N</w:t>
      </w:r>
      <w:r w:rsidR="0004740E">
        <w:rPr>
          <w:lang w:eastAsia="en-US"/>
        </w:rPr>
        <w:t>ations</w:t>
      </w:r>
      <w:r w:rsidR="0004740E" w:rsidRPr="0004740E">
        <w:rPr>
          <w:lang w:eastAsia="en-US"/>
        </w:rPr>
        <w:t xml:space="preserve"> Maternal, Newborn and Child Health</w:t>
      </w:r>
      <w:r w:rsidRPr="004E4976">
        <w:rPr>
          <w:lang w:eastAsia="en-US"/>
        </w:rPr>
        <w:t xml:space="preserve"> </w:t>
      </w:r>
      <w:r w:rsidR="0004740E">
        <w:rPr>
          <w:lang w:eastAsia="en-US"/>
        </w:rPr>
        <w:t xml:space="preserve">Program, </w:t>
      </w:r>
      <w:r w:rsidRPr="004E4976">
        <w:rPr>
          <w:lang w:eastAsia="en-US"/>
        </w:rPr>
        <w:t>and the Thai-</w:t>
      </w:r>
      <w:r w:rsidR="00A226A5">
        <w:rPr>
          <w:lang w:eastAsia="en-US"/>
        </w:rPr>
        <w:t>Burma</w:t>
      </w:r>
      <w:r w:rsidRPr="004E4976">
        <w:rPr>
          <w:lang w:eastAsia="en-US"/>
        </w:rPr>
        <w:t xml:space="preserve"> Border Programs). </w:t>
      </w:r>
      <w:r w:rsidR="00D22340">
        <w:rPr>
          <w:lang w:eastAsia="en-US"/>
        </w:rPr>
        <w:t>M</w:t>
      </w:r>
      <w:r w:rsidR="00D22340" w:rsidRPr="004E4976">
        <w:rPr>
          <w:lang w:eastAsia="en-US"/>
        </w:rPr>
        <w:t xml:space="preserve">alaria resistance support </w:t>
      </w:r>
      <w:r w:rsidRPr="004E4976">
        <w:rPr>
          <w:lang w:eastAsia="en-US"/>
        </w:rPr>
        <w:t xml:space="preserve">maintained a very high </w:t>
      </w:r>
      <w:r w:rsidRPr="00310261">
        <w:rPr>
          <w:iCs/>
          <w:lang w:eastAsia="en-US"/>
        </w:rPr>
        <w:t>gender equality</w:t>
      </w:r>
      <w:r w:rsidRPr="004E4976">
        <w:rPr>
          <w:lang w:eastAsia="en-US"/>
        </w:rPr>
        <w:t xml:space="preserve"> rating</w:t>
      </w:r>
      <w:r w:rsidR="00D22340">
        <w:rPr>
          <w:lang w:eastAsia="en-US"/>
        </w:rPr>
        <w:t>,</w:t>
      </w:r>
      <w:r w:rsidRPr="004E4976">
        <w:rPr>
          <w:lang w:eastAsia="en-US"/>
        </w:rPr>
        <w:t xml:space="preserve"> while</w:t>
      </w:r>
      <w:r w:rsidR="00D22340">
        <w:rPr>
          <w:lang w:eastAsia="en-US"/>
        </w:rPr>
        <w:t xml:space="preserve"> </w:t>
      </w:r>
      <w:r w:rsidR="00D22340" w:rsidRPr="004E4976">
        <w:rPr>
          <w:lang w:eastAsia="en-US"/>
        </w:rPr>
        <w:t>LIFT</w:t>
      </w:r>
      <w:r w:rsidR="00D22340" w:rsidRPr="004E4976" w:rsidDel="00D22340">
        <w:rPr>
          <w:lang w:eastAsia="en-US"/>
        </w:rPr>
        <w:t xml:space="preserve"> </w:t>
      </w:r>
      <w:r w:rsidRPr="004E4976">
        <w:rPr>
          <w:lang w:eastAsia="en-US"/>
        </w:rPr>
        <w:t>maintained a less than satisfactory rating.</w:t>
      </w:r>
      <w:r w:rsidR="0061615E">
        <w:rPr>
          <w:lang w:eastAsia="en-US"/>
        </w:rPr>
        <w:t xml:space="preserve"> </w:t>
      </w:r>
      <w:r w:rsidRPr="004E4976">
        <w:rPr>
          <w:lang w:eastAsia="en-US"/>
        </w:rPr>
        <w:t xml:space="preserve">LIFT has developed targeted, remedial actions to improve gender considerations over the next 12 months. </w:t>
      </w:r>
      <w:r w:rsidR="0004740E">
        <w:rPr>
          <w:lang w:eastAsia="en-US"/>
        </w:rPr>
        <w:t xml:space="preserve">The </w:t>
      </w:r>
      <w:r w:rsidR="0004740E" w:rsidRPr="00C02C82">
        <w:rPr>
          <w:lang w:eastAsia="en-US"/>
        </w:rPr>
        <w:t>Three Diseases Fund</w:t>
      </w:r>
      <w:r w:rsidR="0004740E" w:rsidRPr="004E4976">
        <w:rPr>
          <w:lang w:eastAsia="en-US"/>
        </w:rPr>
        <w:t xml:space="preserve"> </w:t>
      </w:r>
      <w:r w:rsidRPr="004E4976">
        <w:rPr>
          <w:lang w:eastAsia="en-US"/>
        </w:rPr>
        <w:t>final QAI</w:t>
      </w:r>
      <w:r w:rsidR="0004740E">
        <w:rPr>
          <w:lang w:eastAsia="en-US"/>
        </w:rPr>
        <w:t xml:space="preserve"> rating for</w:t>
      </w:r>
      <w:r w:rsidRPr="004E4976">
        <w:rPr>
          <w:lang w:eastAsia="en-US"/>
        </w:rPr>
        <w:t xml:space="preserve"> </w:t>
      </w:r>
      <w:r w:rsidRPr="00310261">
        <w:rPr>
          <w:iCs/>
          <w:lang w:eastAsia="en-US"/>
        </w:rPr>
        <w:t>gender equality</w:t>
      </w:r>
      <w:r w:rsidRPr="004E4976">
        <w:rPr>
          <w:lang w:eastAsia="en-US"/>
        </w:rPr>
        <w:t xml:space="preserve"> fell from satisfactory to less than satisfactory. To ensure the second phase of </w:t>
      </w:r>
      <w:r w:rsidR="0004740E" w:rsidRPr="00C02C82">
        <w:rPr>
          <w:lang w:eastAsia="en-US"/>
        </w:rPr>
        <w:t>Three Diseases Fund</w:t>
      </w:r>
      <w:r w:rsidR="0004740E" w:rsidRPr="004E4976" w:rsidDel="0004740E">
        <w:rPr>
          <w:lang w:eastAsia="en-US"/>
        </w:rPr>
        <w:t xml:space="preserve"> </w:t>
      </w:r>
      <w:r w:rsidRPr="004E4976">
        <w:rPr>
          <w:lang w:eastAsia="en-US"/>
        </w:rPr>
        <w:t>has stronger gender considerations, critical lessons learned were identified and have been considered in implement</w:t>
      </w:r>
      <w:r w:rsidR="0004740E">
        <w:rPr>
          <w:lang w:eastAsia="en-US"/>
        </w:rPr>
        <w:t xml:space="preserve">ing </w:t>
      </w:r>
      <w:r w:rsidRPr="004E4976">
        <w:rPr>
          <w:lang w:eastAsia="en-US"/>
        </w:rPr>
        <w:t xml:space="preserve">its successor, </w:t>
      </w:r>
      <w:r w:rsidR="0004740E">
        <w:rPr>
          <w:lang w:eastAsia="en-US"/>
        </w:rPr>
        <w:t>Three Millennium Development Goal Fund</w:t>
      </w:r>
      <w:r w:rsidRPr="004E4976">
        <w:rPr>
          <w:lang w:eastAsia="en-US"/>
        </w:rPr>
        <w:t>. Two new initiatives rated above satisfactory</w:t>
      </w:r>
      <w:r w:rsidR="00BF2544">
        <w:rPr>
          <w:lang w:eastAsia="en-US"/>
        </w:rPr>
        <w:t>––the</w:t>
      </w:r>
      <w:r w:rsidRPr="004E4976">
        <w:rPr>
          <w:lang w:eastAsia="en-US"/>
        </w:rPr>
        <w:t xml:space="preserve"> Basic Education Portfolio and </w:t>
      </w:r>
      <w:r w:rsidR="0004740E">
        <w:rPr>
          <w:lang w:eastAsia="en-US"/>
        </w:rPr>
        <w:t>Three Millennium Development Goal Fund</w:t>
      </w:r>
      <w:r w:rsidR="00BF2544">
        <w:rPr>
          <w:lang w:eastAsia="en-US"/>
        </w:rPr>
        <w:t>. A</w:t>
      </w:r>
      <w:r w:rsidRPr="004E4976">
        <w:rPr>
          <w:lang w:eastAsia="en-US"/>
        </w:rPr>
        <w:t>nother new initiative</w:t>
      </w:r>
      <w:r w:rsidR="00BF2544">
        <w:rPr>
          <w:lang w:eastAsia="en-US"/>
        </w:rPr>
        <w:t xml:space="preserve">––the </w:t>
      </w:r>
      <w:r w:rsidR="0004740E" w:rsidRPr="00C02C82">
        <w:rPr>
          <w:lang w:eastAsia="en-US"/>
        </w:rPr>
        <w:t xml:space="preserve">Australian Centre for International Agricultural Research </w:t>
      </w:r>
      <w:r w:rsidRPr="004E4976">
        <w:rPr>
          <w:lang w:eastAsia="en-US"/>
        </w:rPr>
        <w:t>Multi-disciplinary Research Program</w:t>
      </w:r>
      <w:r w:rsidR="00BF2544">
        <w:rPr>
          <w:lang w:eastAsia="en-US"/>
        </w:rPr>
        <w:t>––</w:t>
      </w:r>
      <w:r w:rsidR="00BF2544" w:rsidRPr="004E4976">
        <w:rPr>
          <w:lang w:eastAsia="en-US"/>
        </w:rPr>
        <w:t>rated less than satisfactory</w:t>
      </w:r>
    </w:p>
    <w:p w14:paraId="5EA232FA" w14:textId="77777777" w:rsidR="00C927C0" w:rsidRPr="004E4976" w:rsidRDefault="00C927C0" w:rsidP="00A46BEB">
      <w:pPr>
        <w:pStyle w:val="BodyText"/>
        <w:rPr>
          <w:lang w:eastAsia="en-US"/>
        </w:rPr>
      </w:pPr>
      <w:r w:rsidRPr="004E4976">
        <w:rPr>
          <w:lang w:eastAsia="en-US"/>
        </w:rPr>
        <w:t xml:space="preserve">The accessibility and reliability of </w:t>
      </w:r>
      <w:r w:rsidRPr="00310261">
        <w:rPr>
          <w:lang w:eastAsia="en-US"/>
        </w:rPr>
        <w:t>monitoring and evaluation systems</w:t>
      </w:r>
      <w:r w:rsidRPr="004E4976">
        <w:rPr>
          <w:lang w:eastAsia="en-US"/>
        </w:rPr>
        <w:t xml:space="preserve"> continued to improve again this year with satisfactory systems in place for all initiatives. Similarly, </w:t>
      </w:r>
      <w:r w:rsidRPr="00310261">
        <w:rPr>
          <w:lang w:eastAsia="en-US"/>
        </w:rPr>
        <w:t>sustainability</w:t>
      </w:r>
      <w:r w:rsidRPr="004E4976">
        <w:rPr>
          <w:i/>
          <w:lang w:eastAsia="en-US"/>
        </w:rPr>
        <w:t xml:space="preserve"> </w:t>
      </w:r>
      <w:r w:rsidRPr="004E4976">
        <w:rPr>
          <w:lang w:eastAsia="en-US"/>
        </w:rPr>
        <w:t>improved with nine initiatives considered to be well-positioned to ensure that benefits will endure after Australia’s involvement ceases.</w:t>
      </w:r>
    </w:p>
    <w:p w14:paraId="5139B86A" w14:textId="77777777" w:rsidR="00180B19" w:rsidRPr="004E4976" w:rsidRDefault="00C927C0" w:rsidP="00A46BEB">
      <w:pPr>
        <w:pStyle w:val="BodyText"/>
        <w:rPr>
          <w:lang w:eastAsia="en-US"/>
        </w:rPr>
      </w:pPr>
      <w:r w:rsidRPr="004E4976">
        <w:rPr>
          <w:lang w:eastAsia="en-US"/>
        </w:rPr>
        <w:t>Three of the 10 activities were given satisfactory ratings across all six quality assessment criteria</w:t>
      </w:r>
      <w:r w:rsidR="004A7B1C" w:rsidRPr="004E4976">
        <w:rPr>
          <w:lang w:eastAsia="en-US"/>
        </w:rPr>
        <w:t>, compared with three of eight in the last reporting period</w:t>
      </w:r>
      <w:r w:rsidRPr="004E4976">
        <w:rPr>
          <w:lang w:eastAsia="en-US"/>
        </w:rPr>
        <w:t>.</w:t>
      </w:r>
    </w:p>
    <w:p w14:paraId="2E64A8A7" w14:textId="0240ABF3" w:rsidR="00180B19" w:rsidRPr="005E0F24" w:rsidRDefault="00180B19" w:rsidP="005E0F24">
      <w:pPr>
        <w:pStyle w:val="Heading1"/>
      </w:pPr>
      <w:r w:rsidRPr="005E0F24">
        <w:t xml:space="preserve">Management </w:t>
      </w:r>
      <w:r w:rsidR="0004740E" w:rsidRPr="005E0F24">
        <w:t>consequences</w:t>
      </w:r>
    </w:p>
    <w:p w14:paraId="66A6E8F4" w14:textId="5DE398C8" w:rsidR="00C927C0" w:rsidRPr="004E4976" w:rsidRDefault="007A15DE" w:rsidP="005E0F24">
      <w:pPr>
        <w:pStyle w:val="BodyText"/>
        <w:rPr>
          <w:lang w:eastAsia="en-US"/>
        </w:rPr>
      </w:pPr>
      <w:r>
        <w:rPr>
          <w:lang w:eastAsia="en-US"/>
        </w:rPr>
        <w:t xml:space="preserve">The </w:t>
      </w:r>
      <w:r w:rsidR="00B2159E">
        <w:rPr>
          <w:lang w:eastAsia="en-US"/>
        </w:rPr>
        <w:t>Australia</w:t>
      </w:r>
      <w:r>
        <w:rPr>
          <w:lang w:eastAsia="en-US"/>
        </w:rPr>
        <w:t>n aid program</w:t>
      </w:r>
      <w:r w:rsidR="00B2159E">
        <w:rPr>
          <w:lang w:eastAsia="en-US"/>
        </w:rPr>
        <w:t xml:space="preserve"> </w:t>
      </w:r>
      <w:r w:rsidR="003C2DC1" w:rsidRPr="004E4976">
        <w:rPr>
          <w:lang w:eastAsia="en-US"/>
        </w:rPr>
        <w:t xml:space="preserve">has responded effectively over the </w:t>
      </w:r>
      <w:r w:rsidR="00BF2544">
        <w:rPr>
          <w:lang w:eastAsia="en-US"/>
        </w:rPr>
        <w:t>year</w:t>
      </w:r>
      <w:r w:rsidR="003C2DC1" w:rsidRPr="004E4976">
        <w:rPr>
          <w:lang w:eastAsia="en-US"/>
        </w:rPr>
        <w:t xml:space="preserve"> to the management challenges arising from the new operating context in </w:t>
      </w:r>
      <w:r w:rsidR="00A226A5">
        <w:rPr>
          <w:lang w:eastAsia="en-US"/>
        </w:rPr>
        <w:t>Burma</w:t>
      </w:r>
      <w:r w:rsidR="005D27B0" w:rsidRPr="004E4976">
        <w:rPr>
          <w:lang w:eastAsia="en-US"/>
        </w:rPr>
        <w:t xml:space="preserve">, addressing all the consequences raised in the last </w:t>
      </w:r>
      <w:r w:rsidR="00EF346E" w:rsidRPr="004E4976">
        <w:rPr>
          <w:lang w:eastAsia="en-US"/>
        </w:rPr>
        <w:t>annual program performance repor</w:t>
      </w:r>
      <w:r w:rsidR="005D27B0" w:rsidRPr="004E4976">
        <w:rPr>
          <w:lang w:eastAsia="en-US"/>
        </w:rPr>
        <w:t>t</w:t>
      </w:r>
      <w:r w:rsidR="0023734C">
        <w:rPr>
          <w:rStyle w:val="FootnoteReference"/>
          <w:lang w:eastAsia="en-US"/>
        </w:rPr>
        <w:footnoteReference w:id="12"/>
      </w:r>
      <w:r w:rsidR="005D27B0" w:rsidRPr="004E4976">
        <w:rPr>
          <w:lang w:eastAsia="en-US"/>
        </w:rPr>
        <w:t xml:space="preserve"> (Annex A)</w:t>
      </w:r>
      <w:r w:rsidR="003C2DC1" w:rsidRPr="004E4976">
        <w:rPr>
          <w:lang w:eastAsia="en-US"/>
        </w:rPr>
        <w:t xml:space="preserve">. Resourcing at </w:t>
      </w:r>
      <w:r w:rsidR="00A226A5">
        <w:rPr>
          <w:lang w:eastAsia="en-US"/>
        </w:rPr>
        <w:t>Rangoon</w:t>
      </w:r>
      <w:r w:rsidR="003C2DC1" w:rsidRPr="004E4976">
        <w:rPr>
          <w:lang w:eastAsia="en-US"/>
        </w:rPr>
        <w:t xml:space="preserve"> Post has been increased from three A-based and </w:t>
      </w:r>
      <w:r w:rsidR="00B12372" w:rsidRPr="004E4976">
        <w:rPr>
          <w:lang w:eastAsia="en-US"/>
        </w:rPr>
        <w:t>seven </w:t>
      </w:r>
      <w:r w:rsidR="003C2DC1" w:rsidRPr="004E4976">
        <w:rPr>
          <w:lang w:eastAsia="en-US"/>
        </w:rPr>
        <w:t>O</w:t>
      </w:r>
      <w:r w:rsidR="0004740E">
        <w:rPr>
          <w:lang w:eastAsia="en-US"/>
        </w:rPr>
        <w:t>-</w:t>
      </w:r>
      <w:r w:rsidR="003C2DC1" w:rsidRPr="004E4976">
        <w:rPr>
          <w:lang w:eastAsia="en-US"/>
        </w:rPr>
        <w:t xml:space="preserve">based personnel to six A-based and </w:t>
      </w:r>
      <w:r w:rsidR="00076FE7" w:rsidRPr="004E4976">
        <w:rPr>
          <w:lang w:eastAsia="en-US"/>
        </w:rPr>
        <w:t>15</w:t>
      </w:r>
      <w:r w:rsidR="003C2DC1" w:rsidRPr="004E4976">
        <w:rPr>
          <w:lang w:eastAsia="en-US"/>
        </w:rPr>
        <w:t xml:space="preserve"> O-based</w:t>
      </w:r>
      <w:r w:rsidR="0004740E">
        <w:rPr>
          <w:lang w:eastAsia="en-US"/>
        </w:rPr>
        <w:t xml:space="preserve"> staff</w:t>
      </w:r>
      <w:r w:rsidR="003C2DC1" w:rsidRPr="004E4976">
        <w:rPr>
          <w:lang w:eastAsia="en-US"/>
        </w:rPr>
        <w:t>, to</w:t>
      </w:r>
      <w:bookmarkStart w:id="0" w:name="_GoBack"/>
      <w:bookmarkEnd w:id="0"/>
      <w:r w:rsidR="003C2DC1" w:rsidRPr="004E4976">
        <w:rPr>
          <w:lang w:eastAsia="en-US"/>
        </w:rPr>
        <w:t xml:space="preserve"> allow for increased engagement with the </w:t>
      </w:r>
      <w:r w:rsidR="0004740E">
        <w:rPr>
          <w:lang w:eastAsia="en-US"/>
        </w:rPr>
        <w:t>g</w:t>
      </w:r>
      <w:r w:rsidR="0004740E" w:rsidRPr="004E4976">
        <w:rPr>
          <w:lang w:eastAsia="en-US"/>
        </w:rPr>
        <w:t xml:space="preserve">overnment </w:t>
      </w:r>
      <w:r w:rsidR="003C2DC1" w:rsidRPr="004E4976">
        <w:rPr>
          <w:lang w:eastAsia="en-US"/>
        </w:rPr>
        <w:t>and development partners</w:t>
      </w:r>
      <w:r w:rsidR="0004740E">
        <w:rPr>
          <w:lang w:eastAsia="en-US"/>
        </w:rPr>
        <w:t>,</w:t>
      </w:r>
      <w:r w:rsidR="003C2DC1" w:rsidRPr="004E4976">
        <w:rPr>
          <w:lang w:eastAsia="en-US"/>
        </w:rPr>
        <w:t xml:space="preserve"> and new programs of support for governance and peace.</w:t>
      </w:r>
      <w:r w:rsidR="000C3DE8">
        <w:rPr>
          <w:lang w:eastAsia="en-US"/>
        </w:rPr>
        <w:t xml:space="preserve"> </w:t>
      </w:r>
      <w:r w:rsidR="006A319B">
        <w:rPr>
          <w:lang w:eastAsia="en-US"/>
        </w:rPr>
        <w:t>DFAT</w:t>
      </w:r>
      <w:r w:rsidR="00A34D1E">
        <w:rPr>
          <w:lang w:eastAsia="en-US"/>
        </w:rPr>
        <w:t xml:space="preserve"> </w:t>
      </w:r>
      <w:r w:rsidR="003C2DC1" w:rsidRPr="004E4976">
        <w:rPr>
          <w:lang w:eastAsia="en-US"/>
        </w:rPr>
        <w:t>has also, with its U</w:t>
      </w:r>
      <w:r w:rsidR="0004740E">
        <w:rPr>
          <w:lang w:eastAsia="en-US"/>
        </w:rPr>
        <w:t xml:space="preserve">nited </w:t>
      </w:r>
      <w:r w:rsidR="003C2DC1" w:rsidRPr="004E4976">
        <w:rPr>
          <w:lang w:eastAsia="en-US"/>
        </w:rPr>
        <w:t>K</w:t>
      </w:r>
      <w:r w:rsidR="0004740E">
        <w:rPr>
          <w:lang w:eastAsia="en-US"/>
        </w:rPr>
        <w:t>ingdom</w:t>
      </w:r>
      <w:r w:rsidR="003C2DC1" w:rsidRPr="004E4976">
        <w:rPr>
          <w:lang w:eastAsia="en-US"/>
        </w:rPr>
        <w:t xml:space="preserve"> </w:t>
      </w:r>
      <w:r w:rsidR="00284DE4">
        <w:rPr>
          <w:lang w:eastAsia="en-US"/>
        </w:rPr>
        <w:t xml:space="preserve">aid </w:t>
      </w:r>
      <w:r w:rsidR="003C2DC1" w:rsidRPr="004E4976">
        <w:rPr>
          <w:lang w:eastAsia="en-US"/>
        </w:rPr>
        <w:t xml:space="preserve">counterpart, opened a joint liaison office Nay </w:t>
      </w:r>
      <w:proofErr w:type="spellStart"/>
      <w:r w:rsidR="003C2DC1" w:rsidRPr="004E4976">
        <w:rPr>
          <w:lang w:eastAsia="en-US"/>
        </w:rPr>
        <w:t>Pyi</w:t>
      </w:r>
      <w:proofErr w:type="spellEnd"/>
      <w:r w:rsidR="003C2DC1" w:rsidRPr="004E4976">
        <w:rPr>
          <w:lang w:eastAsia="en-US"/>
        </w:rPr>
        <w:t xml:space="preserve"> Taw to allow more effective engagement with government. Strengthened management oversight of the </w:t>
      </w:r>
      <w:r w:rsidR="00A226A5">
        <w:rPr>
          <w:lang w:eastAsia="en-US"/>
        </w:rPr>
        <w:t>Burma</w:t>
      </w:r>
      <w:r w:rsidR="003C2DC1" w:rsidRPr="004E4976">
        <w:rPr>
          <w:lang w:eastAsia="en-US"/>
        </w:rPr>
        <w:t xml:space="preserve"> program and </w:t>
      </w:r>
      <w:r w:rsidR="005D27B0" w:rsidRPr="004E4976">
        <w:rPr>
          <w:lang w:eastAsia="en-US"/>
        </w:rPr>
        <w:t xml:space="preserve">the deployment </w:t>
      </w:r>
      <w:r w:rsidR="00CB1A63" w:rsidRPr="004E4976">
        <w:rPr>
          <w:lang w:eastAsia="en-US"/>
        </w:rPr>
        <w:t xml:space="preserve">of </w:t>
      </w:r>
      <w:r w:rsidR="005D27B0" w:rsidRPr="004E4976">
        <w:rPr>
          <w:lang w:eastAsia="en-US"/>
        </w:rPr>
        <w:t>expertise from</w:t>
      </w:r>
      <w:r w:rsidR="003C2DC1" w:rsidRPr="004E4976">
        <w:rPr>
          <w:lang w:eastAsia="en-US"/>
        </w:rPr>
        <w:t xml:space="preserve"> </w:t>
      </w:r>
      <w:r w:rsidR="00306D3E">
        <w:rPr>
          <w:lang w:eastAsia="en-US"/>
        </w:rPr>
        <w:t>the department</w:t>
      </w:r>
      <w:r w:rsidR="00306D3E" w:rsidRPr="004E4976">
        <w:rPr>
          <w:lang w:eastAsia="en-US"/>
        </w:rPr>
        <w:t xml:space="preserve">’s </w:t>
      </w:r>
      <w:r w:rsidR="003C2DC1" w:rsidRPr="004E4976">
        <w:rPr>
          <w:lang w:eastAsia="en-US"/>
        </w:rPr>
        <w:t>Hanoi hub have</w:t>
      </w:r>
      <w:r w:rsidR="005D27B0" w:rsidRPr="004E4976">
        <w:rPr>
          <w:lang w:eastAsia="en-US"/>
        </w:rPr>
        <w:t xml:space="preserve"> contributed to this outcome.</w:t>
      </w:r>
    </w:p>
    <w:p w14:paraId="412D904A" w14:textId="01950654" w:rsidR="00EE5DF6" w:rsidRPr="004E4976" w:rsidRDefault="00EE5DF6" w:rsidP="005E0F24">
      <w:pPr>
        <w:pStyle w:val="BodyText"/>
        <w:rPr>
          <w:lang w:eastAsia="en-US"/>
        </w:rPr>
      </w:pPr>
      <w:r w:rsidRPr="004E4976">
        <w:rPr>
          <w:lang w:eastAsia="en-US"/>
        </w:rPr>
        <w:t>Priorities for 2103</w:t>
      </w:r>
      <w:r w:rsidR="0004740E">
        <w:rPr>
          <w:lang w:eastAsia="en-US"/>
        </w:rPr>
        <w:t>–</w:t>
      </w:r>
      <w:r w:rsidRPr="004E4976">
        <w:rPr>
          <w:lang w:eastAsia="en-US"/>
        </w:rPr>
        <w:t>14</w:t>
      </w:r>
      <w:r w:rsidR="009F4CA3" w:rsidRPr="004E4976">
        <w:rPr>
          <w:lang w:eastAsia="en-US"/>
        </w:rPr>
        <w:t xml:space="preserve"> include</w:t>
      </w:r>
      <w:r w:rsidRPr="004E4976">
        <w:rPr>
          <w:lang w:eastAsia="en-US"/>
        </w:rPr>
        <w:t>:</w:t>
      </w:r>
    </w:p>
    <w:p w14:paraId="3F297B0C" w14:textId="77777777" w:rsidR="00A408DC" w:rsidRPr="00A408DC" w:rsidRDefault="00A408DC" w:rsidP="005E0F24">
      <w:pPr>
        <w:pStyle w:val="Heading3"/>
      </w:pPr>
      <w:r w:rsidRPr="00A408DC">
        <w:lastRenderedPageBreak/>
        <w:t>Strateg</w:t>
      </w:r>
      <w:r w:rsidR="00B96958">
        <w:t>y</w:t>
      </w:r>
    </w:p>
    <w:p w14:paraId="35623ECC" w14:textId="7AF98C30" w:rsidR="0013350E" w:rsidRPr="0085525F" w:rsidRDefault="0013350E" w:rsidP="005E0F24">
      <w:pPr>
        <w:pStyle w:val="ListBullet"/>
        <w:rPr>
          <w:lang w:eastAsia="en-US"/>
        </w:rPr>
      </w:pPr>
      <w:r w:rsidRPr="004E4976">
        <w:rPr>
          <w:lang w:eastAsia="en-US"/>
        </w:rPr>
        <w:t xml:space="preserve">Convene the inaugural </w:t>
      </w:r>
      <w:r w:rsidRPr="0085525F">
        <w:rPr>
          <w:lang w:eastAsia="en-US"/>
        </w:rPr>
        <w:t>Australia</w:t>
      </w:r>
      <w:r w:rsidR="00EF346E" w:rsidRPr="0085525F">
        <w:rPr>
          <w:lang w:eastAsia="en-US"/>
        </w:rPr>
        <w:t>–</w:t>
      </w:r>
      <w:r w:rsidR="00284DE4">
        <w:rPr>
          <w:lang w:eastAsia="en-US"/>
        </w:rPr>
        <w:t xml:space="preserve">Myanmar </w:t>
      </w:r>
      <w:r w:rsidRPr="0085525F">
        <w:rPr>
          <w:lang w:eastAsia="en-US"/>
        </w:rPr>
        <w:t xml:space="preserve">High Level Consultations with the Ministry of National Planning and Economic Development </w:t>
      </w:r>
      <w:r w:rsidR="00A408DC" w:rsidRPr="0085525F">
        <w:rPr>
          <w:lang w:eastAsia="en-US"/>
        </w:rPr>
        <w:t>in the second half of 2013</w:t>
      </w:r>
      <w:r w:rsidRPr="0085525F">
        <w:rPr>
          <w:lang w:eastAsia="en-US"/>
        </w:rPr>
        <w:t xml:space="preserve">. </w:t>
      </w:r>
    </w:p>
    <w:p w14:paraId="150FDDDF" w14:textId="63C794D5" w:rsidR="00A408DC" w:rsidRPr="0085525F" w:rsidRDefault="00A408DC" w:rsidP="005E0F24">
      <w:pPr>
        <w:pStyle w:val="ListBullet"/>
        <w:rPr>
          <w:lang w:eastAsia="en-US"/>
        </w:rPr>
      </w:pPr>
      <w:r w:rsidRPr="0085525F">
        <w:rPr>
          <w:lang w:eastAsia="en-US"/>
        </w:rPr>
        <w:t xml:space="preserve">Commence development of the next </w:t>
      </w:r>
      <w:r w:rsidR="003331E2" w:rsidRPr="0085525F">
        <w:rPr>
          <w:lang w:eastAsia="en-US"/>
        </w:rPr>
        <w:t xml:space="preserve">country situational analysis </w:t>
      </w:r>
      <w:r w:rsidRPr="0085525F">
        <w:rPr>
          <w:lang w:eastAsia="en-US"/>
        </w:rPr>
        <w:t xml:space="preserve">in late 2013, including a range of supporting research, to feed into a new </w:t>
      </w:r>
      <w:r w:rsidR="003331E2" w:rsidRPr="0085525F">
        <w:rPr>
          <w:lang w:eastAsia="en-US"/>
        </w:rPr>
        <w:t xml:space="preserve">country strategy </w:t>
      </w:r>
      <w:r w:rsidRPr="0085525F">
        <w:rPr>
          <w:lang w:eastAsia="en-US"/>
        </w:rPr>
        <w:t>that will underpin the program’s direction in 2015 and beyond.</w:t>
      </w:r>
    </w:p>
    <w:p w14:paraId="1CBF6B9C" w14:textId="5283F74F" w:rsidR="00A408DC" w:rsidRPr="00310261" w:rsidRDefault="00A408DC" w:rsidP="005E0F24">
      <w:pPr>
        <w:pStyle w:val="ListBullet"/>
        <w:rPr>
          <w:lang w:eastAsia="en-US"/>
        </w:rPr>
      </w:pPr>
      <w:r w:rsidRPr="0085525F">
        <w:rPr>
          <w:lang w:eastAsia="en-US"/>
        </w:rPr>
        <w:t xml:space="preserve">Develop and implement a </w:t>
      </w:r>
      <w:r w:rsidR="003331E2" w:rsidRPr="0085525F">
        <w:rPr>
          <w:lang w:eastAsia="en-US"/>
        </w:rPr>
        <w:t xml:space="preserve">performance assessment framework </w:t>
      </w:r>
      <w:r w:rsidRPr="0085525F">
        <w:rPr>
          <w:lang w:eastAsia="en-US"/>
        </w:rPr>
        <w:t xml:space="preserve">based on the current </w:t>
      </w:r>
      <w:r w:rsidR="003331E2" w:rsidRPr="0085525F">
        <w:t>Aid Pro</w:t>
      </w:r>
      <w:r w:rsidR="003331E2" w:rsidRPr="00310261">
        <w:t>gram Strategy 2012–2014</w:t>
      </w:r>
      <w:r w:rsidR="003331E2" w:rsidRPr="003331E2">
        <w:rPr>
          <w:lang w:eastAsia="en-US"/>
        </w:rPr>
        <w:t xml:space="preserve"> </w:t>
      </w:r>
      <w:r w:rsidRPr="004D0A10">
        <w:rPr>
          <w:lang w:eastAsia="en-US"/>
        </w:rPr>
        <w:t>but retaining relevance for key sectoral investments in the next strategy developed by end 2014.</w:t>
      </w:r>
    </w:p>
    <w:p w14:paraId="769010F7" w14:textId="4E7EE66F" w:rsidR="0013350E" w:rsidRPr="003331E2" w:rsidRDefault="00A408DC" w:rsidP="005E0F24">
      <w:pPr>
        <w:pStyle w:val="Heading3"/>
      </w:pPr>
      <w:r w:rsidRPr="003331E2">
        <w:t>Program</w:t>
      </w:r>
    </w:p>
    <w:p w14:paraId="0FE7D702" w14:textId="6F693EFE" w:rsidR="00411847" w:rsidRPr="00411847" w:rsidRDefault="00411847" w:rsidP="005E0F24">
      <w:pPr>
        <w:pStyle w:val="ListBullet"/>
        <w:rPr>
          <w:lang w:eastAsia="en-US"/>
        </w:rPr>
      </w:pPr>
      <w:r w:rsidRPr="00411847">
        <w:rPr>
          <w:lang w:eastAsia="en-US"/>
        </w:rPr>
        <w:t xml:space="preserve">Maintain our advocacy for responsible donor behaviour, leading by example on the application of the Nay </w:t>
      </w:r>
      <w:proofErr w:type="spellStart"/>
      <w:r w:rsidRPr="00411847">
        <w:rPr>
          <w:lang w:eastAsia="en-US"/>
        </w:rPr>
        <w:t>Pyi</w:t>
      </w:r>
      <w:proofErr w:type="spellEnd"/>
      <w:r w:rsidRPr="00411847">
        <w:rPr>
          <w:lang w:eastAsia="en-US"/>
        </w:rPr>
        <w:t xml:space="preserve"> Taw Accord and supporting the </w:t>
      </w:r>
      <w:r w:rsidR="003331E2">
        <w:rPr>
          <w:lang w:eastAsia="en-US"/>
        </w:rPr>
        <w:t>g</w:t>
      </w:r>
      <w:r w:rsidR="003331E2" w:rsidRPr="00411847">
        <w:rPr>
          <w:lang w:eastAsia="en-US"/>
        </w:rPr>
        <w:t xml:space="preserve">overnment’s </w:t>
      </w:r>
      <w:r w:rsidRPr="00411847">
        <w:rPr>
          <w:lang w:eastAsia="en-US"/>
        </w:rPr>
        <w:t>coordination capacity, while assuming a more manageable involvement in the daily mechanics.</w:t>
      </w:r>
    </w:p>
    <w:p w14:paraId="4C302431" w14:textId="77777777" w:rsidR="008249E3" w:rsidRPr="004E4976" w:rsidRDefault="008249E3" w:rsidP="005E0F24">
      <w:pPr>
        <w:pStyle w:val="ListBullet"/>
        <w:rPr>
          <w:lang w:eastAsia="en-US"/>
        </w:rPr>
      </w:pPr>
      <w:r w:rsidRPr="004E4976">
        <w:rPr>
          <w:lang w:eastAsia="en-US"/>
        </w:rPr>
        <w:t xml:space="preserve">Assess capacity to make a difference in key sectors and consider reducing involvement in those where our partners are </w:t>
      </w:r>
      <w:r w:rsidR="00411847">
        <w:rPr>
          <w:lang w:eastAsia="en-US"/>
        </w:rPr>
        <w:t>able</w:t>
      </w:r>
      <w:r w:rsidRPr="004E4976">
        <w:rPr>
          <w:lang w:eastAsia="en-US"/>
        </w:rPr>
        <w:t xml:space="preserve"> to represent </w:t>
      </w:r>
      <w:r w:rsidR="00411847">
        <w:rPr>
          <w:lang w:eastAsia="en-US"/>
        </w:rPr>
        <w:t>our</w:t>
      </w:r>
      <w:r w:rsidRPr="004E4976">
        <w:rPr>
          <w:lang w:eastAsia="en-US"/>
        </w:rPr>
        <w:t xml:space="preserve"> interests or new donors are emerging. </w:t>
      </w:r>
    </w:p>
    <w:p w14:paraId="6DE95C0A" w14:textId="77777777" w:rsidR="00A408DC" w:rsidRPr="00A408DC" w:rsidRDefault="00A408DC" w:rsidP="005E0F24">
      <w:pPr>
        <w:pStyle w:val="ListBullet"/>
        <w:rPr>
          <w:lang w:eastAsia="en-US"/>
        </w:rPr>
      </w:pPr>
      <w:r w:rsidRPr="00A408DC">
        <w:rPr>
          <w:lang w:eastAsia="en-US"/>
        </w:rPr>
        <w:t>Consolidate existing inve</w:t>
      </w:r>
      <w:r w:rsidR="00770112">
        <w:rPr>
          <w:lang w:eastAsia="en-US"/>
        </w:rPr>
        <w:t xml:space="preserve">stments in health and education, </w:t>
      </w:r>
      <w:r w:rsidRPr="00A408DC">
        <w:rPr>
          <w:lang w:eastAsia="en-US"/>
        </w:rPr>
        <w:t>maintain ou</w:t>
      </w:r>
      <w:r>
        <w:rPr>
          <w:lang w:eastAsia="en-US"/>
        </w:rPr>
        <w:t>r donor leadership in education</w:t>
      </w:r>
      <w:r w:rsidR="00770112">
        <w:rPr>
          <w:lang w:eastAsia="en-US"/>
        </w:rPr>
        <w:t xml:space="preserve"> and improve gender integration and the quality of gender data.</w:t>
      </w:r>
    </w:p>
    <w:p w14:paraId="2C7CEF95" w14:textId="77777777" w:rsidR="008249E3" w:rsidRPr="004E4976" w:rsidRDefault="008249E3" w:rsidP="005E0F24">
      <w:pPr>
        <w:pStyle w:val="ListBullet"/>
        <w:rPr>
          <w:lang w:eastAsia="en-US"/>
        </w:rPr>
      </w:pPr>
      <w:r w:rsidRPr="004E4976">
        <w:rPr>
          <w:lang w:eastAsia="en-US"/>
        </w:rPr>
        <w:t xml:space="preserve">Manage the increasing risk of activity proliferation and program fragmentation and the potential this has to reduce aid effectiveness. </w:t>
      </w:r>
    </w:p>
    <w:p w14:paraId="4FFFFC06" w14:textId="33A292F5" w:rsidR="00A408DC" w:rsidRPr="008249E3" w:rsidRDefault="0013350E" w:rsidP="005E0F24">
      <w:pPr>
        <w:pStyle w:val="ListBullet"/>
        <w:rPr>
          <w:lang w:eastAsia="en-US"/>
        </w:rPr>
      </w:pPr>
      <w:r w:rsidRPr="004E4976">
        <w:rPr>
          <w:lang w:eastAsia="en-US"/>
        </w:rPr>
        <w:t>Complete the Governance Delivery Strategy and finalise the draft Education Engagement Strategy</w:t>
      </w:r>
      <w:r w:rsidR="008249E3">
        <w:rPr>
          <w:lang w:eastAsia="en-US"/>
        </w:rPr>
        <w:t>, which</w:t>
      </w:r>
      <w:r w:rsidRPr="004E4976">
        <w:rPr>
          <w:lang w:eastAsia="en-US"/>
        </w:rPr>
        <w:t xml:space="preserve"> will lay the foundations for fut</w:t>
      </w:r>
      <w:r w:rsidR="008249E3">
        <w:rPr>
          <w:lang w:eastAsia="en-US"/>
        </w:rPr>
        <w:t>ure engagement in these sectors</w:t>
      </w:r>
      <w:r w:rsidRPr="004E4976">
        <w:rPr>
          <w:lang w:eastAsia="en-US"/>
        </w:rPr>
        <w:t xml:space="preserve"> and </w:t>
      </w:r>
      <w:r w:rsidR="008249E3">
        <w:rPr>
          <w:lang w:eastAsia="en-US"/>
        </w:rPr>
        <w:t xml:space="preserve">help inform the next </w:t>
      </w:r>
      <w:r w:rsidR="003331E2" w:rsidRPr="004E4976">
        <w:rPr>
          <w:lang w:eastAsia="en-US"/>
        </w:rPr>
        <w:t>country situational analysis</w:t>
      </w:r>
      <w:r w:rsidRPr="004E4976">
        <w:rPr>
          <w:lang w:eastAsia="en-US"/>
        </w:rPr>
        <w:t>.</w:t>
      </w:r>
    </w:p>
    <w:p w14:paraId="2A74444E" w14:textId="77777777" w:rsidR="0013350E" w:rsidRPr="00A408DC" w:rsidRDefault="00A408DC" w:rsidP="005E0F24">
      <w:pPr>
        <w:pStyle w:val="ListBullet"/>
        <w:rPr>
          <w:lang w:eastAsia="en-US"/>
        </w:rPr>
      </w:pPr>
      <w:r w:rsidRPr="004E4976">
        <w:rPr>
          <w:lang w:eastAsia="en-US"/>
        </w:rPr>
        <w:t>Sustain advocacy on key issues that impact on the peace process to complement service delivery programs and expand the reach of existing investments where practical.</w:t>
      </w:r>
    </w:p>
    <w:p w14:paraId="496D1ACF" w14:textId="77777777" w:rsidR="00A408DC" w:rsidRPr="00A408DC" w:rsidRDefault="00A408DC" w:rsidP="005E0F24">
      <w:pPr>
        <w:pStyle w:val="Heading3"/>
      </w:pPr>
      <w:r w:rsidRPr="00A408DC">
        <w:t>Management</w:t>
      </w:r>
    </w:p>
    <w:p w14:paraId="79AA530F" w14:textId="77777777" w:rsidR="00BF063F" w:rsidRPr="004E4976" w:rsidRDefault="00AA4F75" w:rsidP="005E0F24">
      <w:pPr>
        <w:pStyle w:val="ListBullet"/>
        <w:rPr>
          <w:lang w:eastAsia="en-US"/>
        </w:rPr>
      </w:pPr>
      <w:r w:rsidRPr="004E4976">
        <w:rPr>
          <w:lang w:eastAsia="en-US"/>
        </w:rPr>
        <w:t>S</w:t>
      </w:r>
      <w:r w:rsidR="00EE5DF6" w:rsidRPr="004E4976">
        <w:rPr>
          <w:lang w:eastAsia="en-US"/>
        </w:rPr>
        <w:t>ecure s</w:t>
      </w:r>
      <w:r w:rsidR="00BF063F" w:rsidRPr="004E4976">
        <w:rPr>
          <w:lang w:eastAsia="en-US"/>
        </w:rPr>
        <w:t>upport from senior management to ensure an adequate allocation of resources to deliver the newly established governance program, and to minimise excessive fragmentation due to pressure from domestic and other interests.</w:t>
      </w:r>
    </w:p>
    <w:p w14:paraId="16415AD1" w14:textId="77777777" w:rsidR="00AA43B4" w:rsidRDefault="00EE5D4A" w:rsidP="005E0F24">
      <w:pPr>
        <w:pStyle w:val="ListBullet"/>
        <w:rPr>
          <w:lang w:eastAsia="en-US"/>
        </w:rPr>
      </w:pPr>
      <w:r w:rsidRPr="004E4976">
        <w:rPr>
          <w:lang w:eastAsia="en-US"/>
        </w:rPr>
        <w:t>Continue devolving program resources to reflect increasing responsibility for program management at Post, ensuring t</w:t>
      </w:r>
      <w:r w:rsidR="0013350E" w:rsidRPr="004E4976">
        <w:rPr>
          <w:lang w:eastAsia="en-US"/>
        </w:rPr>
        <w:t>ransfer of roles only take</w:t>
      </w:r>
      <w:r w:rsidRPr="004E4976">
        <w:rPr>
          <w:lang w:eastAsia="en-US"/>
        </w:rPr>
        <w:t xml:space="preserve"> place when th</w:t>
      </w:r>
      <w:r w:rsidR="005C590A" w:rsidRPr="004E4976">
        <w:rPr>
          <w:lang w:eastAsia="en-US"/>
        </w:rPr>
        <w:t>e</w:t>
      </w:r>
      <w:r w:rsidRPr="004E4976">
        <w:rPr>
          <w:lang w:eastAsia="en-US"/>
        </w:rPr>
        <w:t xml:space="preserve"> necessary systems and support are in place. </w:t>
      </w:r>
    </w:p>
    <w:p w14:paraId="2DE727F9" w14:textId="77777777" w:rsidR="00406544" w:rsidRDefault="00406544">
      <w:pPr>
        <w:spacing w:after="200" w:line="276" w:lineRule="auto"/>
        <w:rPr>
          <w:rFonts w:ascii="Arial" w:eastAsia="Times New Roman" w:hAnsi="Arial" w:cs="Arial"/>
          <w:color w:val="7E6D5F"/>
          <w:szCs w:val="19"/>
        </w:rPr>
      </w:pPr>
      <w:r>
        <w:br w:type="page"/>
      </w:r>
    </w:p>
    <w:p w14:paraId="6445BAD9" w14:textId="16253ECE" w:rsidR="00BE65E4" w:rsidRPr="005E0F24" w:rsidRDefault="00BE65E4" w:rsidP="005E0F24">
      <w:pPr>
        <w:pStyle w:val="Caption"/>
      </w:pPr>
      <w:r w:rsidRPr="005E0F24">
        <w:lastRenderedPageBreak/>
        <w:t xml:space="preserve">Table </w:t>
      </w:r>
      <w:r w:rsidR="00C460E0" w:rsidRPr="005E0F24">
        <w:fldChar w:fldCharType="begin"/>
      </w:r>
      <w:r w:rsidR="005B7C71" w:rsidRPr="005E0F24">
        <w:instrText xml:space="preserve"> SEQ Table \* ARABIC </w:instrText>
      </w:r>
      <w:r w:rsidR="00C460E0" w:rsidRPr="005E0F24">
        <w:fldChar w:fldCharType="separate"/>
      </w:r>
      <w:r w:rsidR="00852852">
        <w:rPr>
          <w:noProof/>
        </w:rPr>
        <w:t>2</w:t>
      </w:r>
      <w:r w:rsidR="00C460E0" w:rsidRPr="005E0F24">
        <w:fldChar w:fldCharType="end"/>
      </w:r>
      <w:r w:rsidR="003331E2" w:rsidRPr="005E0F24">
        <w:t>:</w:t>
      </w:r>
      <w:r w:rsidRPr="005E0F24">
        <w:t xml:space="preserve"> Risks associated with the program and management actions</w:t>
      </w:r>
    </w:p>
    <w:tbl>
      <w:tblPr>
        <w:tblStyle w:val="APPR"/>
        <w:tblW w:w="5000" w:type="pct"/>
        <w:tblLook w:val="0600" w:firstRow="0" w:lastRow="0" w:firstColumn="0" w:lastColumn="0" w:noHBand="1" w:noVBand="1"/>
      </w:tblPr>
      <w:tblGrid>
        <w:gridCol w:w="4434"/>
        <w:gridCol w:w="4172"/>
      </w:tblGrid>
      <w:tr w:rsidR="00180B19" w:rsidRPr="00180B19" w14:paraId="586DB1F0" w14:textId="77777777" w:rsidTr="0027783F">
        <w:trPr>
          <w:cantSplit/>
        </w:trPr>
        <w:tc>
          <w:tcPr>
            <w:tcW w:w="4363" w:type="dxa"/>
            <w:hideMark/>
          </w:tcPr>
          <w:p w14:paraId="621DF624" w14:textId="77777777" w:rsidR="00180B19" w:rsidRPr="004C4A3E" w:rsidRDefault="00180B19" w:rsidP="004C4A3E">
            <w:pPr>
              <w:pStyle w:val="TableTextColumnHeading"/>
            </w:pPr>
            <w:r w:rsidRPr="004C4A3E">
              <w:t>Most significant risks</w:t>
            </w:r>
          </w:p>
        </w:tc>
        <w:tc>
          <w:tcPr>
            <w:tcW w:w="4103" w:type="dxa"/>
          </w:tcPr>
          <w:p w14:paraId="32789EB7" w14:textId="51AD53CD" w:rsidR="00180B19" w:rsidRPr="004C4A3E" w:rsidRDefault="00180B19">
            <w:pPr>
              <w:pStyle w:val="TableTextColumnHeading"/>
            </w:pPr>
            <w:r w:rsidRPr="004C4A3E">
              <w:t xml:space="preserve">Management </w:t>
            </w:r>
            <w:r w:rsidR="00742264">
              <w:t>r</w:t>
            </w:r>
            <w:r w:rsidR="00742264" w:rsidRPr="004C4A3E">
              <w:t xml:space="preserve">esponse </w:t>
            </w:r>
            <w:r w:rsidRPr="004C4A3E">
              <w:t xml:space="preserve">– What? Who? How? When? </w:t>
            </w:r>
          </w:p>
        </w:tc>
      </w:tr>
      <w:tr w:rsidR="00180B19" w:rsidRPr="00180B19" w14:paraId="7094C732" w14:textId="77777777" w:rsidTr="0027783F">
        <w:trPr>
          <w:cantSplit/>
          <w:tblHeader w:val="0"/>
        </w:trPr>
        <w:tc>
          <w:tcPr>
            <w:tcW w:w="4363" w:type="dxa"/>
            <w:hideMark/>
          </w:tcPr>
          <w:p w14:paraId="03502DC4" w14:textId="2D22427E" w:rsidR="00180B19" w:rsidRPr="004C4A3E" w:rsidRDefault="00F87E67" w:rsidP="00651B72">
            <w:pPr>
              <w:pStyle w:val="TableTextEntries"/>
            </w:pPr>
            <w:r w:rsidRPr="00F87E67">
              <w:t>The influx of donors, along with increased money and programs, undermines coordination and the effectiveness of our aid</w:t>
            </w:r>
            <w:r w:rsidR="00742264">
              <w:t>.</w:t>
            </w:r>
          </w:p>
        </w:tc>
        <w:tc>
          <w:tcPr>
            <w:tcW w:w="4103" w:type="dxa"/>
          </w:tcPr>
          <w:p w14:paraId="35F8690F" w14:textId="20FCF318" w:rsidR="004E4976" w:rsidRDefault="004E4976" w:rsidP="00151ECF">
            <w:pPr>
              <w:pStyle w:val="TableTextEntries"/>
            </w:pPr>
            <w:r>
              <w:t>Post</w:t>
            </w:r>
            <w:r w:rsidRPr="004E4976">
              <w:t xml:space="preserve"> will build on established relationships and mechanisms for donor coordination, and will advocate for </w:t>
            </w:r>
            <w:r w:rsidR="00284DE4">
              <w:t>Myanmar</w:t>
            </w:r>
            <w:r w:rsidR="00761B7E">
              <w:t xml:space="preserve"> Government</w:t>
            </w:r>
            <w:r w:rsidRPr="004E4976">
              <w:t xml:space="preserve"> leadership on aid coord</w:t>
            </w:r>
            <w:r>
              <w:t>ination where possible.</w:t>
            </w:r>
          </w:p>
          <w:p w14:paraId="15E3286A" w14:textId="523209D4" w:rsidR="004E4976" w:rsidRDefault="0016091F" w:rsidP="004E4976">
            <w:pPr>
              <w:pStyle w:val="TableTextEntries"/>
            </w:pPr>
            <w:r>
              <w:t>DFAT</w:t>
            </w:r>
            <w:r w:rsidR="00693844">
              <w:t xml:space="preserve"> </w:t>
            </w:r>
            <w:r w:rsidR="004E4976">
              <w:t>will promote</w:t>
            </w:r>
            <w:r w:rsidR="004E4976" w:rsidRPr="004E4976">
              <w:t xml:space="preserve"> the collaborative development of Myanmar Government plans to ensure that appropriate priorities are widely shared.</w:t>
            </w:r>
          </w:p>
          <w:p w14:paraId="46922B52" w14:textId="64AFFB15" w:rsidR="00180B19" w:rsidRPr="004C4A3E" w:rsidRDefault="00071214" w:rsidP="004E4976">
            <w:pPr>
              <w:pStyle w:val="TableTextEntries"/>
            </w:pPr>
            <w:r>
              <w:t xml:space="preserve">DFAT </w:t>
            </w:r>
            <w:r w:rsidR="004E4976" w:rsidRPr="004E4976">
              <w:t xml:space="preserve">will focus </w:t>
            </w:r>
            <w:r w:rsidR="004E4976">
              <w:t>its</w:t>
            </w:r>
            <w:r w:rsidR="004E4976" w:rsidRPr="004E4976">
              <w:t xml:space="preserve"> assistance on areas where </w:t>
            </w:r>
            <w:r w:rsidR="004E4976">
              <w:t>it</w:t>
            </w:r>
            <w:r w:rsidR="004E4976" w:rsidRPr="004E4976">
              <w:t xml:space="preserve"> ha</w:t>
            </w:r>
            <w:r w:rsidR="004E4976">
              <w:t>s</w:t>
            </w:r>
            <w:r w:rsidR="004E4976" w:rsidRPr="004E4976">
              <w:t xml:space="preserve"> a comparative advantage and encourage development partners to do the same.</w:t>
            </w:r>
          </w:p>
        </w:tc>
      </w:tr>
      <w:tr w:rsidR="00180B19" w:rsidRPr="00180B19" w14:paraId="0107CCFD" w14:textId="77777777" w:rsidTr="0027783F">
        <w:trPr>
          <w:cantSplit/>
          <w:tblHeader w:val="0"/>
        </w:trPr>
        <w:tc>
          <w:tcPr>
            <w:tcW w:w="4363" w:type="dxa"/>
          </w:tcPr>
          <w:p w14:paraId="16AAC446" w14:textId="165DB8EA" w:rsidR="00180B19" w:rsidRPr="004C4A3E" w:rsidRDefault="00F87E67" w:rsidP="004C4A3E">
            <w:pPr>
              <w:pStyle w:val="TableTextEntries"/>
            </w:pPr>
            <w:r w:rsidRPr="00F87E67">
              <w:t>Donor support overwhelms local systems</w:t>
            </w:r>
            <w:r w:rsidR="00742264">
              <w:t>.</w:t>
            </w:r>
          </w:p>
        </w:tc>
        <w:tc>
          <w:tcPr>
            <w:tcW w:w="4103" w:type="dxa"/>
          </w:tcPr>
          <w:p w14:paraId="303875B1" w14:textId="0FD05CEF" w:rsidR="00180B19" w:rsidRPr="0085525F" w:rsidRDefault="00071214" w:rsidP="00A226A5">
            <w:pPr>
              <w:pStyle w:val="TableTextEntries"/>
            </w:pPr>
            <w:r w:rsidRPr="0085525F">
              <w:t xml:space="preserve">DFAT </w:t>
            </w:r>
            <w:r w:rsidR="00151ECF" w:rsidRPr="0085525F">
              <w:t xml:space="preserve">will ensure that building the capacity of </w:t>
            </w:r>
            <w:r w:rsidR="00A226A5" w:rsidRPr="0085525F">
              <w:t>Burmese</w:t>
            </w:r>
            <w:r w:rsidR="00151ECF" w:rsidRPr="0085525F">
              <w:t xml:space="preserve"> institutions is central to its aid interventions, particularly through support for government institutions to deliver better services to the people.</w:t>
            </w:r>
          </w:p>
        </w:tc>
      </w:tr>
      <w:tr w:rsidR="00180B19" w:rsidRPr="00180B19" w14:paraId="448F8704" w14:textId="77777777" w:rsidTr="0027783F">
        <w:trPr>
          <w:cantSplit/>
          <w:tblHeader w:val="0"/>
        </w:trPr>
        <w:tc>
          <w:tcPr>
            <w:tcW w:w="4363" w:type="dxa"/>
          </w:tcPr>
          <w:p w14:paraId="234FB68A" w14:textId="248B9405" w:rsidR="00180B19" w:rsidRPr="004C4A3E" w:rsidRDefault="00F87E67" w:rsidP="004C4A3E">
            <w:pPr>
              <w:pStyle w:val="TableTextEntries"/>
            </w:pPr>
            <w:r w:rsidRPr="00F87E67">
              <w:t>The reform agenda stalls or regresses</w:t>
            </w:r>
            <w:r w:rsidR="00742264">
              <w:t>.</w:t>
            </w:r>
          </w:p>
        </w:tc>
        <w:tc>
          <w:tcPr>
            <w:tcW w:w="4103" w:type="dxa"/>
          </w:tcPr>
          <w:p w14:paraId="441AA18D" w14:textId="4789E5BC" w:rsidR="00180B19" w:rsidRPr="0085525F" w:rsidRDefault="000902A3" w:rsidP="00151ECF">
            <w:pPr>
              <w:pStyle w:val="TableTextEntries"/>
            </w:pPr>
            <w:r w:rsidRPr="0085525F">
              <w:t>Post will work closely with development partners</w:t>
            </w:r>
            <w:r w:rsidR="004E4976" w:rsidRPr="0085525F">
              <w:t>,</w:t>
            </w:r>
            <w:r w:rsidRPr="0085525F">
              <w:t xml:space="preserve"> </w:t>
            </w:r>
            <w:r w:rsidR="00151ECF" w:rsidRPr="0085525F">
              <w:t>including civil society organisations</w:t>
            </w:r>
            <w:r w:rsidR="004E4976" w:rsidRPr="0085525F">
              <w:t>,</w:t>
            </w:r>
            <w:r w:rsidR="00151ECF" w:rsidRPr="0085525F">
              <w:t xml:space="preserve"> through</w:t>
            </w:r>
            <w:r w:rsidRPr="0085525F">
              <w:t xml:space="preserve"> joint </w:t>
            </w:r>
            <w:r w:rsidR="00151ECF" w:rsidRPr="0085525F">
              <w:t xml:space="preserve">assessment of </w:t>
            </w:r>
            <w:r w:rsidR="00A226A5" w:rsidRPr="0085525F">
              <w:t>Burma</w:t>
            </w:r>
            <w:r w:rsidR="00151ECF" w:rsidRPr="0085525F">
              <w:t xml:space="preserve">’s reform progress and advocacy for further reforms as </w:t>
            </w:r>
            <w:r w:rsidR="004E4976" w:rsidRPr="0085525F">
              <w:t>required</w:t>
            </w:r>
            <w:r w:rsidR="00151ECF" w:rsidRPr="0085525F">
              <w:t>.</w:t>
            </w:r>
          </w:p>
          <w:p w14:paraId="4CB48643" w14:textId="4929D988" w:rsidR="00151ECF" w:rsidRPr="0085525F" w:rsidRDefault="0016091F" w:rsidP="0016091F">
            <w:pPr>
              <w:pStyle w:val="TableTextEntries"/>
            </w:pPr>
            <w:r w:rsidRPr="0085525F">
              <w:t>DFAT</w:t>
            </w:r>
            <w:r w:rsidR="00836AF0" w:rsidRPr="0085525F">
              <w:t xml:space="preserve"> </w:t>
            </w:r>
            <w:r w:rsidR="00151ECF" w:rsidRPr="0085525F">
              <w:t xml:space="preserve">will respond flexibly and pragmatically to requests for support from the </w:t>
            </w:r>
            <w:r w:rsidR="00742264" w:rsidRPr="0085525F">
              <w:t xml:space="preserve">Myanmar </w:t>
            </w:r>
            <w:r w:rsidR="00151ECF" w:rsidRPr="0085525F">
              <w:t>Government to maintain reform momentum and promote a culture of</w:t>
            </w:r>
            <w:r w:rsidR="004E4976" w:rsidRPr="0085525F">
              <w:t xml:space="preserve"> reform </w:t>
            </w:r>
            <w:r w:rsidR="00151ECF" w:rsidRPr="0085525F">
              <w:t>success.</w:t>
            </w:r>
          </w:p>
        </w:tc>
      </w:tr>
      <w:tr w:rsidR="00180B19" w:rsidRPr="00180B19" w14:paraId="2B620067" w14:textId="77777777" w:rsidTr="0027783F">
        <w:trPr>
          <w:cantSplit/>
          <w:tblHeader w:val="0"/>
        </w:trPr>
        <w:tc>
          <w:tcPr>
            <w:tcW w:w="4363" w:type="dxa"/>
          </w:tcPr>
          <w:p w14:paraId="513B73A7" w14:textId="24223EEC" w:rsidR="00180B19" w:rsidRPr="004C4A3E" w:rsidRDefault="00F87E67">
            <w:pPr>
              <w:pStyle w:val="TableTextEntries"/>
            </w:pPr>
            <w:r>
              <w:t xml:space="preserve">The </w:t>
            </w:r>
            <w:r w:rsidR="00742264">
              <w:t xml:space="preserve">Myanmar </w:t>
            </w:r>
            <w:r>
              <w:t>Government</w:t>
            </w:r>
            <w:r w:rsidR="00742264">
              <w:t>’s</w:t>
            </w:r>
            <w:r>
              <w:t xml:space="preserve"> desire for quick wins in development undermines the effectiveness and sustainability of the aid program, or leads to criticism </w:t>
            </w:r>
            <w:r w:rsidR="00151ECF">
              <w:t xml:space="preserve">of Australia </w:t>
            </w:r>
            <w:r>
              <w:t>due to perceived delays in</w:t>
            </w:r>
            <w:r w:rsidR="00151ECF">
              <w:t xml:space="preserve"> delivering</w:t>
            </w:r>
            <w:r>
              <w:t xml:space="preserve"> demonstrable results</w:t>
            </w:r>
            <w:r w:rsidR="00742264">
              <w:t>.</w:t>
            </w:r>
          </w:p>
        </w:tc>
        <w:tc>
          <w:tcPr>
            <w:tcW w:w="4103" w:type="dxa"/>
          </w:tcPr>
          <w:p w14:paraId="70D0A748" w14:textId="658B1E7B" w:rsidR="00F87E67" w:rsidRPr="0085525F" w:rsidRDefault="00071214" w:rsidP="00F87E67">
            <w:pPr>
              <w:pStyle w:val="TableTextEntries"/>
            </w:pPr>
            <w:r w:rsidRPr="0085525F">
              <w:t xml:space="preserve">DFAT </w:t>
            </w:r>
            <w:r w:rsidR="00F87E67" w:rsidRPr="0085525F">
              <w:t>will continue to engage with government in a responsive and pragmatic manner on its priorities.</w:t>
            </w:r>
          </w:p>
          <w:p w14:paraId="0FAE584A" w14:textId="251D39FD" w:rsidR="00F87E67" w:rsidRPr="0085525F" w:rsidRDefault="00071214" w:rsidP="00F87E67">
            <w:pPr>
              <w:pStyle w:val="TableTextEntries"/>
            </w:pPr>
            <w:r w:rsidRPr="0085525F">
              <w:t xml:space="preserve">DFAT </w:t>
            </w:r>
            <w:r w:rsidR="00F87E67" w:rsidRPr="0085525F">
              <w:t>will advocate for</w:t>
            </w:r>
            <w:r w:rsidR="000902A3" w:rsidRPr="0085525F">
              <w:t xml:space="preserve"> appropriate sequencing of reforms and</w:t>
            </w:r>
            <w:r w:rsidR="00F87E67" w:rsidRPr="0085525F">
              <w:t xml:space="preserve"> realistic </w:t>
            </w:r>
            <w:r w:rsidR="000902A3" w:rsidRPr="0085525F">
              <w:t>objectives at the sectoral level and through the high-level consultations</w:t>
            </w:r>
            <w:r w:rsidR="00F87E67" w:rsidRPr="0085525F">
              <w:t>.</w:t>
            </w:r>
          </w:p>
          <w:p w14:paraId="2E7DCE59" w14:textId="50D4A6B8" w:rsidR="00180B19" w:rsidRPr="0085525F" w:rsidRDefault="00F87E67" w:rsidP="000902A3">
            <w:pPr>
              <w:pStyle w:val="TableTextEntries"/>
            </w:pPr>
            <w:r w:rsidRPr="0085525F">
              <w:t>Post will lead on careful and frequent ministerial-level and public communicat</w:t>
            </w:r>
            <w:r w:rsidR="000902A3" w:rsidRPr="0085525F">
              <w:t>ion of progress and challenges</w:t>
            </w:r>
            <w:r w:rsidRPr="0085525F">
              <w:t>.</w:t>
            </w:r>
          </w:p>
        </w:tc>
      </w:tr>
      <w:tr w:rsidR="00180B19" w:rsidRPr="00180B19" w14:paraId="78F64534" w14:textId="77777777" w:rsidTr="0027783F">
        <w:trPr>
          <w:cantSplit/>
          <w:tblHeader w:val="0"/>
        </w:trPr>
        <w:tc>
          <w:tcPr>
            <w:tcW w:w="4363" w:type="dxa"/>
          </w:tcPr>
          <w:p w14:paraId="69B6419D" w14:textId="22C5E33D" w:rsidR="00180B19" w:rsidRPr="004C4A3E" w:rsidRDefault="00151ECF" w:rsidP="004E4976">
            <w:pPr>
              <w:pStyle w:val="TableTextEntries"/>
            </w:pPr>
            <w:r w:rsidRPr="00F87E67">
              <w:t>The growth</w:t>
            </w:r>
            <w:r w:rsidR="004E4976">
              <w:t xml:space="preserve"> in</w:t>
            </w:r>
            <w:r w:rsidR="00742264">
              <w:t>,</w:t>
            </w:r>
            <w:r w:rsidR="004E4976">
              <w:t xml:space="preserve"> or fragmentation of</w:t>
            </w:r>
            <w:r w:rsidR="00742264">
              <w:t>,</w:t>
            </w:r>
            <w:r w:rsidRPr="00F87E67">
              <w:t xml:space="preserve"> Australia’s aid program imposes excessive administrative costs</w:t>
            </w:r>
            <w:r w:rsidR="00742264">
              <w:t>.</w:t>
            </w:r>
          </w:p>
        </w:tc>
        <w:tc>
          <w:tcPr>
            <w:tcW w:w="4103" w:type="dxa"/>
          </w:tcPr>
          <w:p w14:paraId="100007D8" w14:textId="44C5AB4B" w:rsidR="00865090" w:rsidRPr="0085525F" w:rsidRDefault="0016091F" w:rsidP="00865090">
            <w:pPr>
              <w:pStyle w:val="TableTextEntries"/>
            </w:pPr>
            <w:r w:rsidRPr="0085525F">
              <w:t>DFAT</w:t>
            </w:r>
            <w:r w:rsidR="00071214" w:rsidRPr="0085525F">
              <w:t xml:space="preserve"> </w:t>
            </w:r>
            <w:r w:rsidR="004E4976" w:rsidRPr="0085525F">
              <w:t xml:space="preserve">will maintain a disciplined approach to program management, supporting fewer, larger programs in our key sectors to contain </w:t>
            </w:r>
            <w:r w:rsidR="00865090" w:rsidRPr="0085525F">
              <w:t>administrative costs.</w:t>
            </w:r>
          </w:p>
          <w:p w14:paraId="6C399AD8" w14:textId="0B1CAB1D" w:rsidR="00180B19" w:rsidRPr="0085525F" w:rsidRDefault="00C4235C" w:rsidP="0016091F">
            <w:pPr>
              <w:pStyle w:val="TableTextEntries"/>
            </w:pPr>
            <w:r w:rsidRPr="0085525F">
              <w:t>In the Myanmar</w:t>
            </w:r>
            <w:r w:rsidR="00742264" w:rsidRPr="0085525F">
              <w:t>–</w:t>
            </w:r>
            <w:r w:rsidRPr="0085525F">
              <w:t xml:space="preserve">Australia Partnership for Reform, which is most at risk of fragmentation, </w:t>
            </w:r>
            <w:r w:rsidR="0016091F" w:rsidRPr="0085525F">
              <w:t>DFAT</w:t>
            </w:r>
            <w:r w:rsidRPr="0085525F">
              <w:t xml:space="preserve"> will carefully assess requests for support against criteria such as comparative advantage, value for money and impact to ensure that activities deliver development results.</w:t>
            </w:r>
          </w:p>
        </w:tc>
      </w:tr>
    </w:tbl>
    <w:p w14:paraId="386626D6" w14:textId="77777777" w:rsidR="00406544" w:rsidRDefault="00406544" w:rsidP="00FE4491">
      <w:pPr>
        <w:pStyle w:val="Heading1"/>
      </w:pPr>
    </w:p>
    <w:p w14:paraId="30172C22" w14:textId="77777777" w:rsidR="00406544" w:rsidRDefault="00406544">
      <w:pPr>
        <w:spacing w:after="200" w:line="276" w:lineRule="auto"/>
        <w:rPr>
          <w:rFonts w:ascii="Franklin Gothic Demi" w:eastAsia="Times New Roman" w:hAnsi="Franklin Gothic Demi" w:cs="Arial"/>
          <w:color w:val="AD495D"/>
          <w:kern w:val="28"/>
          <w:sz w:val="28"/>
          <w:szCs w:val="28"/>
        </w:rPr>
      </w:pPr>
      <w:r>
        <w:br w:type="page"/>
      </w:r>
    </w:p>
    <w:p w14:paraId="4D0D5677" w14:textId="41ECAF8B" w:rsidR="00FE4491" w:rsidRPr="00FE4491" w:rsidRDefault="00C65930" w:rsidP="00FE4491">
      <w:pPr>
        <w:pStyle w:val="Heading1"/>
      </w:pPr>
      <w:r>
        <w:lastRenderedPageBreak/>
        <w:t>Annex A</w:t>
      </w:r>
      <w:r w:rsidR="00FE4491" w:rsidRPr="00FE4491">
        <w:t xml:space="preserve"> </w:t>
      </w:r>
    </w:p>
    <w:p w14:paraId="13BAF397" w14:textId="77777777" w:rsidR="00FE4491" w:rsidRPr="005E0F24" w:rsidRDefault="00FE4491" w:rsidP="005E0F24">
      <w:pPr>
        <w:pStyle w:val="Heading2"/>
      </w:pPr>
      <w:r w:rsidRPr="005E0F24">
        <w:t>Progress in addressing 2011 management consequences</w:t>
      </w:r>
    </w:p>
    <w:tbl>
      <w:tblPr>
        <w:tblStyle w:val="APPR"/>
        <w:tblW w:w="5000" w:type="pct"/>
        <w:tblLayout w:type="fixed"/>
        <w:tblLook w:val="0000" w:firstRow="0" w:lastRow="0" w:firstColumn="0" w:lastColumn="0" w:noHBand="0" w:noVBand="0"/>
      </w:tblPr>
      <w:tblGrid>
        <w:gridCol w:w="3793"/>
        <w:gridCol w:w="1047"/>
        <w:gridCol w:w="3766"/>
      </w:tblGrid>
      <w:tr w:rsidR="00FE4491" w:rsidRPr="00180B19" w14:paraId="0D3B4980" w14:textId="77777777" w:rsidTr="00E43655">
        <w:trPr>
          <w:cnfStyle w:val="000000010000" w:firstRow="0" w:lastRow="0" w:firstColumn="0" w:lastColumn="0" w:oddVBand="0" w:evenVBand="0" w:oddHBand="0" w:evenHBand="1" w:firstRowFirstColumn="0" w:firstRowLastColumn="0" w:lastRowFirstColumn="0" w:lastRowLastColumn="0"/>
        </w:trPr>
        <w:tc>
          <w:tcPr>
            <w:tcW w:w="2208" w:type="pct"/>
          </w:tcPr>
          <w:p w14:paraId="061FB1F7" w14:textId="08B711EC" w:rsidR="00FE4491" w:rsidRPr="005E0F24" w:rsidRDefault="00FE4491" w:rsidP="00E43655">
            <w:pPr>
              <w:pStyle w:val="TableHeading1"/>
              <w:rPr>
                <w:b/>
              </w:rPr>
            </w:pPr>
            <w:r w:rsidRPr="005E0F24">
              <w:rPr>
                <w:b/>
              </w:rPr>
              <w:t xml:space="preserve">Management consequences </w:t>
            </w:r>
            <w:r w:rsidR="004E4F35" w:rsidRPr="005E0F24">
              <w:rPr>
                <w:b/>
              </w:rPr>
              <w:t xml:space="preserve">identified </w:t>
            </w:r>
            <w:r w:rsidRPr="005E0F24">
              <w:rPr>
                <w:b/>
              </w:rPr>
              <w:t>in 2011 APPR</w:t>
            </w:r>
          </w:p>
        </w:tc>
        <w:tc>
          <w:tcPr>
            <w:tcW w:w="600" w:type="pct"/>
          </w:tcPr>
          <w:p w14:paraId="08FAF67F" w14:textId="77777777" w:rsidR="00FE4491" w:rsidRPr="005E0F24" w:rsidRDefault="00FE4491" w:rsidP="00E43655">
            <w:pPr>
              <w:pStyle w:val="TableHeading1"/>
              <w:rPr>
                <w:b/>
              </w:rPr>
            </w:pPr>
            <w:r w:rsidRPr="005E0F24">
              <w:rPr>
                <w:b/>
              </w:rPr>
              <w:t>Rating</w:t>
            </w:r>
          </w:p>
        </w:tc>
        <w:tc>
          <w:tcPr>
            <w:tcW w:w="2394" w:type="pct"/>
          </w:tcPr>
          <w:p w14:paraId="1ECF2E98" w14:textId="72373D88" w:rsidR="00FE4491" w:rsidRPr="005E0F24" w:rsidRDefault="00FE4491" w:rsidP="00E43655">
            <w:pPr>
              <w:pStyle w:val="TableHeading1"/>
              <w:rPr>
                <w:b/>
              </w:rPr>
            </w:pPr>
            <w:r w:rsidRPr="005E0F24">
              <w:rPr>
                <w:b/>
              </w:rPr>
              <w:t>Progress made in 2012</w:t>
            </w:r>
            <w:r w:rsidR="00742264" w:rsidRPr="005E0F24">
              <w:rPr>
                <w:b/>
              </w:rPr>
              <w:t>–</w:t>
            </w:r>
            <w:r w:rsidRPr="005E0F24">
              <w:rPr>
                <w:b/>
              </w:rPr>
              <w:t>13</w:t>
            </w:r>
          </w:p>
        </w:tc>
      </w:tr>
      <w:tr w:rsidR="00FE4491" w:rsidRPr="00180B19" w14:paraId="6F752527" w14:textId="77777777" w:rsidTr="00E43655">
        <w:trPr>
          <w:cnfStyle w:val="000000010000" w:firstRow="0" w:lastRow="0" w:firstColumn="0" w:lastColumn="0" w:oddVBand="0" w:evenVBand="0" w:oddHBand="0" w:evenHBand="1" w:firstRowFirstColumn="0" w:firstRowLastColumn="0" w:lastRowFirstColumn="0" w:lastRowLastColumn="0"/>
        </w:trPr>
        <w:tc>
          <w:tcPr>
            <w:tcW w:w="2208" w:type="pct"/>
          </w:tcPr>
          <w:p w14:paraId="367F6388" w14:textId="65DD344D" w:rsidR="00FE4491" w:rsidRPr="005E0F24" w:rsidRDefault="006B180C" w:rsidP="00E43655">
            <w:pPr>
              <w:pStyle w:val="TableTextEntries"/>
            </w:pPr>
            <w:r w:rsidRPr="005E0F24">
              <w:t>Achieve consensus around principles for good donor behaviour in Burma</w:t>
            </w:r>
            <w:r w:rsidR="00742264" w:rsidRPr="005E0F24">
              <w:t>.</w:t>
            </w:r>
          </w:p>
        </w:tc>
        <w:tc>
          <w:tcPr>
            <w:tcW w:w="600" w:type="pct"/>
            <w:shd w:val="clear" w:color="auto" w:fill="92D050"/>
          </w:tcPr>
          <w:p w14:paraId="501A1C71" w14:textId="77777777" w:rsidR="00FE4491" w:rsidRPr="005E0F24" w:rsidRDefault="00443639" w:rsidP="00E43655">
            <w:pPr>
              <w:pStyle w:val="TableTextEntries"/>
            </w:pPr>
            <w:r w:rsidRPr="005E0F24">
              <w:t>Green</w:t>
            </w:r>
          </w:p>
        </w:tc>
        <w:tc>
          <w:tcPr>
            <w:tcW w:w="2394" w:type="pct"/>
          </w:tcPr>
          <w:p w14:paraId="14C1F232" w14:textId="63F28A54" w:rsidR="00FE4491" w:rsidRPr="005E0F24" w:rsidRDefault="006B180C" w:rsidP="00E43655">
            <w:pPr>
              <w:pStyle w:val="TableTextEntries"/>
            </w:pPr>
            <w:r w:rsidRPr="005E0F24">
              <w:t xml:space="preserve">Nay </w:t>
            </w:r>
            <w:proofErr w:type="spellStart"/>
            <w:r w:rsidRPr="005E0F24">
              <w:t>Pyi</w:t>
            </w:r>
            <w:proofErr w:type="spellEnd"/>
            <w:r w:rsidRPr="005E0F24">
              <w:t xml:space="preserve"> Taw Accord on Development Effectiveness agree</w:t>
            </w:r>
            <w:r w:rsidR="00814ACD" w:rsidRPr="005E0F24">
              <w:t>d</w:t>
            </w:r>
            <w:r w:rsidRPr="005E0F24">
              <w:t xml:space="preserve"> between </w:t>
            </w:r>
            <w:r w:rsidR="00814ACD" w:rsidRPr="005E0F24">
              <w:t xml:space="preserve">the </w:t>
            </w:r>
            <w:r w:rsidR="00742264" w:rsidRPr="005E0F24">
              <w:t xml:space="preserve">Myanmar </w:t>
            </w:r>
            <w:r w:rsidRPr="005E0F24">
              <w:t xml:space="preserve">Government and </w:t>
            </w:r>
            <w:r w:rsidR="00814ACD" w:rsidRPr="005E0F24">
              <w:t>development partners</w:t>
            </w:r>
            <w:r w:rsidRPr="005E0F24">
              <w:t xml:space="preserve"> in January 2013</w:t>
            </w:r>
            <w:r w:rsidR="00742264" w:rsidRPr="005E0F24">
              <w:t>.</w:t>
            </w:r>
          </w:p>
        </w:tc>
      </w:tr>
      <w:tr w:rsidR="00FE4491" w:rsidRPr="00180B19" w14:paraId="1BA2FD37" w14:textId="77777777" w:rsidTr="00E43655">
        <w:trPr>
          <w:cnfStyle w:val="000000010000" w:firstRow="0" w:lastRow="0" w:firstColumn="0" w:lastColumn="0" w:oddVBand="0" w:evenVBand="0" w:oddHBand="0" w:evenHBand="1" w:firstRowFirstColumn="0" w:firstRowLastColumn="0" w:lastRowFirstColumn="0" w:lastRowLastColumn="0"/>
        </w:trPr>
        <w:tc>
          <w:tcPr>
            <w:tcW w:w="2208" w:type="pct"/>
          </w:tcPr>
          <w:p w14:paraId="7C1F43D2" w14:textId="722C53B9" w:rsidR="00FE4491" w:rsidRPr="005E0F24" w:rsidRDefault="006B180C" w:rsidP="00E43655">
            <w:pPr>
              <w:pStyle w:val="TableTextEntries"/>
            </w:pPr>
            <w:r w:rsidRPr="005E0F24">
              <w:t xml:space="preserve">Finalisation of </w:t>
            </w:r>
            <w:r w:rsidR="00A226A5">
              <w:t>Burma</w:t>
            </w:r>
            <w:r w:rsidRPr="005E0F24">
              <w:t xml:space="preserve"> country strategy</w:t>
            </w:r>
            <w:r w:rsidR="00742264" w:rsidRPr="005E0F24">
              <w:t>.</w:t>
            </w:r>
          </w:p>
        </w:tc>
        <w:tc>
          <w:tcPr>
            <w:tcW w:w="600" w:type="pct"/>
            <w:shd w:val="clear" w:color="auto" w:fill="92D050"/>
          </w:tcPr>
          <w:p w14:paraId="5679DCD4" w14:textId="77777777" w:rsidR="00FE4491" w:rsidRPr="005E0F24" w:rsidRDefault="00443639" w:rsidP="00E43655">
            <w:pPr>
              <w:pStyle w:val="TableTextEntries"/>
            </w:pPr>
            <w:r w:rsidRPr="005E0F24">
              <w:t>Green</w:t>
            </w:r>
            <w:r w:rsidR="00C460E0" w:rsidRPr="005E0F24">
              <w:fldChar w:fldCharType="begin"/>
            </w:r>
            <w:r w:rsidR="00FE4491" w:rsidRPr="005E0F24">
              <w:instrText xml:space="preserve"> AUTOTEXTLIST  \s "Rating bullet"\t "Right click to choose a rating" \* MERGEFORMAT </w:instrText>
            </w:r>
            <w:r w:rsidR="00C460E0" w:rsidRPr="005E0F24">
              <w:fldChar w:fldCharType="end"/>
            </w:r>
          </w:p>
        </w:tc>
        <w:tc>
          <w:tcPr>
            <w:tcW w:w="2394" w:type="pct"/>
          </w:tcPr>
          <w:p w14:paraId="1C198F81" w14:textId="0C5C2148" w:rsidR="00FE4491" w:rsidRPr="005E0F24" w:rsidRDefault="006B180C" w:rsidP="00E43655">
            <w:pPr>
              <w:pStyle w:val="TableTextEntries"/>
            </w:pPr>
            <w:r w:rsidRPr="005E0F24">
              <w:t>Completed</w:t>
            </w:r>
            <w:r w:rsidR="00814ACD" w:rsidRPr="005E0F24">
              <w:t xml:space="preserve"> December 2012</w:t>
            </w:r>
            <w:r w:rsidR="00742264" w:rsidRPr="005E0F24">
              <w:t>.</w:t>
            </w:r>
          </w:p>
        </w:tc>
      </w:tr>
      <w:tr w:rsidR="00FE4491" w:rsidRPr="00180B19" w14:paraId="279889F4" w14:textId="77777777" w:rsidTr="00E43655">
        <w:trPr>
          <w:cnfStyle w:val="000000010000" w:firstRow="0" w:lastRow="0" w:firstColumn="0" w:lastColumn="0" w:oddVBand="0" w:evenVBand="0" w:oddHBand="0" w:evenHBand="1" w:firstRowFirstColumn="0" w:firstRowLastColumn="0" w:lastRowFirstColumn="0" w:lastRowLastColumn="0"/>
        </w:trPr>
        <w:tc>
          <w:tcPr>
            <w:tcW w:w="2208" w:type="pct"/>
          </w:tcPr>
          <w:p w14:paraId="56D8E70B" w14:textId="30A3AFCF" w:rsidR="00FE4491" w:rsidRPr="005E0F24" w:rsidRDefault="006B180C" w:rsidP="00E43655">
            <w:pPr>
              <w:pStyle w:val="TableTextEntries"/>
            </w:pPr>
            <w:r w:rsidRPr="005E0F24">
              <w:t>Resist program fragmentation</w:t>
            </w:r>
            <w:r w:rsidR="00742264" w:rsidRPr="005E0F24">
              <w:t>.</w:t>
            </w:r>
          </w:p>
        </w:tc>
        <w:tc>
          <w:tcPr>
            <w:tcW w:w="600" w:type="pct"/>
            <w:shd w:val="clear" w:color="auto" w:fill="FFC000"/>
          </w:tcPr>
          <w:p w14:paraId="5A247673" w14:textId="77777777" w:rsidR="00FE4491" w:rsidRPr="005E0F24" w:rsidRDefault="000E7031" w:rsidP="00E43655">
            <w:pPr>
              <w:pStyle w:val="TableTextEntries"/>
            </w:pPr>
            <w:r w:rsidRPr="005E0F24">
              <w:t>Amber</w:t>
            </w:r>
          </w:p>
        </w:tc>
        <w:tc>
          <w:tcPr>
            <w:tcW w:w="2394" w:type="pct"/>
          </w:tcPr>
          <w:p w14:paraId="43E0F15E" w14:textId="2994D3AC" w:rsidR="00FE4491" w:rsidRPr="005E0F24" w:rsidRDefault="00814ACD" w:rsidP="00E43655">
            <w:pPr>
              <w:pStyle w:val="TableTextEntries"/>
            </w:pPr>
            <w:r w:rsidRPr="005E0F24">
              <w:t xml:space="preserve">The </w:t>
            </w:r>
            <w:r w:rsidR="00A226A5">
              <w:t>Burma</w:t>
            </w:r>
            <w:r w:rsidRPr="005E0F24">
              <w:t xml:space="preserve"> program has maintained its focus on the core education, health and livelihoods sectors. </w:t>
            </w:r>
            <w:r w:rsidR="000E7031" w:rsidRPr="005E0F24">
              <w:t xml:space="preserve">However, the </w:t>
            </w:r>
            <w:r w:rsidRPr="005E0F24">
              <w:t>introduction in the interim country strategy of a new objective to support reform will increase the risk of fragmentation in the future, requiring ongoing performance monitoring</w:t>
            </w:r>
            <w:r w:rsidR="000E7031" w:rsidRPr="005E0F24">
              <w:t>.</w:t>
            </w:r>
          </w:p>
        </w:tc>
      </w:tr>
      <w:tr w:rsidR="006B180C" w:rsidRPr="00180B19" w14:paraId="1EEDAF16" w14:textId="77777777" w:rsidTr="00E43655">
        <w:trPr>
          <w:cnfStyle w:val="000000010000" w:firstRow="0" w:lastRow="0" w:firstColumn="0" w:lastColumn="0" w:oddVBand="0" w:evenVBand="0" w:oddHBand="0" w:evenHBand="1" w:firstRowFirstColumn="0" w:firstRowLastColumn="0" w:lastRowFirstColumn="0" w:lastRowLastColumn="0"/>
        </w:trPr>
        <w:tc>
          <w:tcPr>
            <w:tcW w:w="2208" w:type="pct"/>
          </w:tcPr>
          <w:p w14:paraId="21F11136" w14:textId="129C5EA3" w:rsidR="006B180C" w:rsidRPr="005E0F24" w:rsidRDefault="006B180C" w:rsidP="00E43655">
            <w:pPr>
              <w:pStyle w:val="TableTextEntries"/>
            </w:pPr>
            <w:r w:rsidRPr="005E0F24">
              <w:t>Undertake gender stocktake</w:t>
            </w:r>
            <w:r w:rsidR="00742264" w:rsidRPr="005E0F24">
              <w:t>.</w:t>
            </w:r>
          </w:p>
        </w:tc>
        <w:tc>
          <w:tcPr>
            <w:tcW w:w="600" w:type="pct"/>
            <w:shd w:val="clear" w:color="auto" w:fill="92D050"/>
          </w:tcPr>
          <w:p w14:paraId="382E079B" w14:textId="77777777" w:rsidR="006B180C" w:rsidRPr="005E0F24" w:rsidRDefault="006B180C" w:rsidP="00E43655">
            <w:pPr>
              <w:pStyle w:val="TableTextEntries"/>
            </w:pPr>
            <w:r w:rsidRPr="005E0F24">
              <w:t>Green</w:t>
            </w:r>
          </w:p>
        </w:tc>
        <w:tc>
          <w:tcPr>
            <w:tcW w:w="2394" w:type="pct"/>
          </w:tcPr>
          <w:p w14:paraId="58E6879E" w14:textId="4F098A13" w:rsidR="006B180C" w:rsidRPr="005E0F24" w:rsidRDefault="006B180C" w:rsidP="00E43655">
            <w:pPr>
              <w:pStyle w:val="TableTextEntries"/>
            </w:pPr>
            <w:r w:rsidRPr="005E0F24">
              <w:t xml:space="preserve">Completed </w:t>
            </w:r>
            <w:r w:rsidR="00814ACD" w:rsidRPr="005E0F24">
              <w:t>December 2012</w:t>
            </w:r>
            <w:r w:rsidR="00742264" w:rsidRPr="005E0F24">
              <w:t>.</w:t>
            </w:r>
          </w:p>
        </w:tc>
      </w:tr>
      <w:tr w:rsidR="00FE4491" w:rsidRPr="00180B19" w14:paraId="0C232291" w14:textId="77777777" w:rsidTr="00E43655">
        <w:trPr>
          <w:cnfStyle w:val="000000010000" w:firstRow="0" w:lastRow="0" w:firstColumn="0" w:lastColumn="0" w:oddVBand="0" w:evenVBand="0" w:oddHBand="0" w:evenHBand="1" w:firstRowFirstColumn="0" w:firstRowLastColumn="0" w:lastRowFirstColumn="0" w:lastRowLastColumn="0"/>
        </w:trPr>
        <w:tc>
          <w:tcPr>
            <w:tcW w:w="2208" w:type="pct"/>
          </w:tcPr>
          <w:p w14:paraId="1F62AE0B" w14:textId="13E73CCE" w:rsidR="00FE4491" w:rsidRPr="005E0F24" w:rsidRDefault="006B180C" w:rsidP="00E43655">
            <w:pPr>
              <w:pStyle w:val="TableTextEntries"/>
            </w:pPr>
            <w:r w:rsidRPr="005E0F24">
              <w:t>Seeking a bilateral aid agreement</w:t>
            </w:r>
            <w:r w:rsidR="00742264" w:rsidRPr="005E0F24">
              <w:t>.</w:t>
            </w:r>
          </w:p>
        </w:tc>
        <w:tc>
          <w:tcPr>
            <w:tcW w:w="600" w:type="pct"/>
            <w:shd w:val="clear" w:color="auto" w:fill="92D050"/>
          </w:tcPr>
          <w:p w14:paraId="27BBA7AD" w14:textId="0C4CC5F2" w:rsidR="00FE4491" w:rsidRPr="005E0F24" w:rsidRDefault="006B180C" w:rsidP="00E43655">
            <w:pPr>
              <w:pStyle w:val="TableTextEntries"/>
            </w:pPr>
            <w:r w:rsidRPr="005E0F24">
              <w:t>Green</w:t>
            </w:r>
          </w:p>
        </w:tc>
        <w:tc>
          <w:tcPr>
            <w:tcW w:w="2394" w:type="pct"/>
          </w:tcPr>
          <w:p w14:paraId="651C5CDB" w14:textId="3C02E3A7" w:rsidR="00FE4491" w:rsidRPr="005E0F24" w:rsidRDefault="00FF1416" w:rsidP="00E43655">
            <w:pPr>
              <w:pStyle w:val="TableTextEntries"/>
            </w:pPr>
            <w:r w:rsidRPr="005E0F24">
              <w:t>Signed</w:t>
            </w:r>
            <w:r w:rsidR="00814ACD" w:rsidRPr="005E0F24">
              <w:t xml:space="preserve"> January 2013</w:t>
            </w:r>
            <w:r w:rsidR="00742264" w:rsidRPr="005E0F24">
              <w:t>.</w:t>
            </w:r>
          </w:p>
        </w:tc>
      </w:tr>
    </w:tbl>
    <w:p w14:paraId="79A10ECD" w14:textId="77777777" w:rsidR="00FE4491" w:rsidRPr="00FE4491" w:rsidRDefault="00FE4491" w:rsidP="00FE4491">
      <w:pPr>
        <w:pStyle w:val="Note"/>
      </w:pPr>
      <w:r w:rsidRPr="00FE4491">
        <w:t xml:space="preserve">Note: </w:t>
      </w:r>
    </w:p>
    <w:p w14:paraId="32C1CCF4" w14:textId="77777777" w:rsidR="00FE4491" w:rsidRPr="00FE4491" w:rsidRDefault="00FE4491" w:rsidP="00FE4491">
      <w:pPr>
        <w:pStyle w:val="Note"/>
      </w:pPr>
      <w:r w:rsidRPr="00FE4491">
        <w:rPr>
          <w:color w:val="92D050"/>
        </w:rPr>
        <w:sym w:font="Webdings" w:char="F067"/>
      </w:r>
      <w:r w:rsidRPr="00FE4491">
        <w:t> </w:t>
      </w:r>
      <w:r w:rsidRPr="00FE4491">
        <w:t xml:space="preserve"> </w:t>
      </w:r>
      <w:proofErr w:type="gramStart"/>
      <w:r w:rsidR="00443639">
        <w:t>Green</w:t>
      </w:r>
      <w:r>
        <w:t>.</w:t>
      </w:r>
      <w:proofErr w:type="gramEnd"/>
      <w:r>
        <w:rPr>
          <w:rFonts w:ascii="Times New Roman" w:hAnsi="Times New Roman"/>
        </w:rPr>
        <w:t xml:space="preserve"> </w:t>
      </w:r>
      <w:r w:rsidRPr="00EC3C88">
        <w:t>Progress is as expected for this point in time and it is likely that the objective will be achieved. Standard program management practices are sufficient.</w:t>
      </w:r>
    </w:p>
    <w:p w14:paraId="4FE0777E" w14:textId="77777777" w:rsidR="00FE4491" w:rsidRDefault="00FE4491" w:rsidP="00FE4491">
      <w:pPr>
        <w:pStyle w:val="Note"/>
      </w:pPr>
      <w:r w:rsidRPr="00FE4491">
        <w:rPr>
          <w:color w:val="F79646" w:themeColor="accent6"/>
        </w:rPr>
        <w:sym w:font="Webdings" w:char="F067"/>
      </w:r>
      <w:r w:rsidRPr="00FE4491">
        <w:t> </w:t>
      </w:r>
      <w:r w:rsidRPr="00FE4491">
        <w:t xml:space="preserve"> </w:t>
      </w:r>
      <w:r w:rsidRPr="00C93493">
        <w:t xml:space="preserve">Amber. </w:t>
      </w:r>
      <w:r w:rsidRPr="00EC3C88">
        <w:t>Progress is somewhat less than expected for this point in time and restorative action will be necessary if the objective is to be achieved. Close performance monitoring is recommended.</w:t>
      </w:r>
    </w:p>
    <w:p w14:paraId="71550838" w14:textId="77777777" w:rsidR="00BB1C24" w:rsidRDefault="00FE4491" w:rsidP="00FE4491">
      <w:pPr>
        <w:pStyle w:val="Note"/>
      </w:pPr>
      <w:r w:rsidRPr="00FE4491">
        <w:rPr>
          <w:color w:val="FF0000"/>
        </w:rPr>
        <w:sym w:font="Webdings" w:char="F067"/>
      </w:r>
      <w:r w:rsidRPr="00FE4491">
        <w:t> </w:t>
      </w:r>
      <w:r w:rsidRPr="00FE4491">
        <w:t xml:space="preserve"> </w:t>
      </w:r>
      <w:proofErr w:type="gramStart"/>
      <w:r>
        <w:t>Red.</w:t>
      </w:r>
      <w:proofErr w:type="gramEnd"/>
      <w:r w:rsidRPr="009B77CB">
        <w:rPr>
          <w:rFonts w:ascii="Times New Roman" w:hAnsi="Times New Roman"/>
        </w:rPr>
        <w:t xml:space="preserve"> </w:t>
      </w:r>
      <w:r w:rsidRPr="00714039">
        <w:t xml:space="preserve">Progress is significantly less than expected for this point in time and the objective is not likely to be met given available resources and </w:t>
      </w:r>
      <w:r w:rsidRPr="00502435">
        <w:t>priorities. Recasting the objective may be required.</w:t>
      </w:r>
    </w:p>
    <w:p w14:paraId="24606E86" w14:textId="77777777" w:rsidR="00E43655" w:rsidRDefault="00E43655">
      <w:pPr>
        <w:spacing w:after="200" w:line="276" w:lineRule="auto"/>
      </w:pPr>
      <w:r>
        <w:br w:type="page"/>
      </w:r>
    </w:p>
    <w:p w14:paraId="56624B86" w14:textId="2F106E33" w:rsidR="00FE4491" w:rsidRPr="005E0F24" w:rsidRDefault="00FE4491" w:rsidP="005E0F24">
      <w:pPr>
        <w:pStyle w:val="Heading1"/>
      </w:pPr>
      <w:r w:rsidRPr="005E0F24">
        <w:lastRenderedPageBreak/>
        <w:t>Annex B</w:t>
      </w:r>
    </w:p>
    <w:p w14:paraId="13F83431" w14:textId="77777777" w:rsidR="00FE4491" w:rsidRPr="005E0F24" w:rsidRDefault="00FE4491" w:rsidP="0009565B">
      <w:pPr>
        <w:pStyle w:val="Caption"/>
      </w:pPr>
      <w:r w:rsidRPr="005E0F24">
        <w:t>Quality at Implementation ratings</w:t>
      </w:r>
    </w:p>
    <w:tbl>
      <w:tblPr>
        <w:tblStyle w:val="APPR"/>
        <w:tblW w:w="5000" w:type="pct"/>
        <w:tblLayout w:type="fixed"/>
        <w:tblLook w:val="04A0" w:firstRow="1" w:lastRow="0" w:firstColumn="1" w:lastColumn="0" w:noHBand="0" w:noVBand="1"/>
      </w:tblPr>
      <w:tblGrid>
        <w:gridCol w:w="3278"/>
        <w:gridCol w:w="1414"/>
        <w:gridCol w:w="954"/>
        <w:gridCol w:w="491"/>
        <w:gridCol w:w="491"/>
        <w:gridCol w:w="491"/>
        <w:gridCol w:w="491"/>
        <w:gridCol w:w="491"/>
        <w:gridCol w:w="505"/>
      </w:tblGrid>
      <w:tr w:rsidR="005E0F24" w14:paraId="002B6A47" w14:textId="77777777" w:rsidTr="00AA6C47">
        <w:trPr>
          <w:cnfStyle w:val="100000000000" w:firstRow="1" w:lastRow="0" w:firstColumn="0" w:lastColumn="0" w:oddVBand="0" w:evenVBand="0" w:oddHBand="0" w:evenHBand="0" w:firstRowFirstColumn="0" w:firstRowLastColumn="0" w:lastRowFirstColumn="0" w:lastRowLastColumn="0"/>
          <w:trHeight w:val="2041"/>
        </w:trPr>
        <w:tc>
          <w:tcPr>
            <w:tcW w:w="1400" w:type="pct"/>
            <w:tcBorders>
              <w:top w:val="none" w:sz="0" w:space="0" w:color="auto"/>
              <w:bottom w:val="none" w:sz="0" w:space="0" w:color="auto"/>
            </w:tcBorders>
          </w:tcPr>
          <w:p w14:paraId="06AA55BA" w14:textId="76A7EA00" w:rsidR="005E0F24" w:rsidRDefault="005E0F24" w:rsidP="005E0F24">
            <w:pPr>
              <w:pStyle w:val="TableHeading1"/>
              <w:rPr>
                <w:sz w:val="16"/>
                <w:szCs w:val="16"/>
              </w:rPr>
            </w:pPr>
            <w:r w:rsidRPr="00FE4491">
              <w:rPr>
                <w:noProof/>
                <w:lang w:eastAsia="en-AU"/>
              </w:rPr>
              <w:drawing>
                <wp:anchor distT="0" distB="0" distL="114300" distR="114300" simplePos="0" relativeHeight="251670528" behindDoc="0" locked="0" layoutInCell="1" allowOverlap="1" wp14:anchorId="22C90726" wp14:editId="15240E1B">
                  <wp:simplePos x="0" y="0"/>
                  <wp:positionH relativeFrom="column">
                    <wp:posOffset>0</wp:posOffset>
                  </wp:positionH>
                  <wp:positionV relativeFrom="paragraph">
                    <wp:posOffset>0</wp:posOffset>
                  </wp:positionV>
                  <wp:extent cx="1857375" cy="228600"/>
                  <wp:effectExtent l="0" t="0" r="9525" b="0"/>
                  <wp:wrapNone/>
                  <wp:docPr id="21" name="Picture 2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anchor>
              </w:drawing>
            </w:r>
            <w:r w:rsidRPr="00FE4491">
              <w:t>Initiative name</w:t>
            </w:r>
          </w:p>
        </w:tc>
        <w:tc>
          <w:tcPr>
            <w:tcW w:w="600" w:type="pct"/>
            <w:tcBorders>
              <w:top w:val="none" w:sz="0" w:space="0" w:color="auto"/>
              <w:bottom w:val="none" w:sz="0" w:space="0" w:color="auto"/>
            </w:tcBorders>
          </w:tcPr>
          <w:p w14:paraId="4FA76AE7" w14:textId="233DD85C" w:rsidR="005E0F24" w:rsidRDefault="005E0F24" w:rsidP="005E0F24">
            <w:pPr>
              <w:pStyle w:val="TableHeading1"/>
            </w:pPr>
            <w:r w:rsidRPr="00FE4491">
              <w:t>Approved budget and duration</w:t>
            </w:r>
          </w:p>
        </w:tc>
        <w:tc>
          <w:tcPr>
            <w:tcW w:w="400" w:type="pct"/>
            <w:tcBorders>
              <w:top w:val="none" w:sz="0" w:space="0" w:color="auto"/>
              <w:bottom w:val="none" w:sz="0" w:space="0" w:color="auto"/>
            </w:tcBorders>
            <w:textDirection w:val="btLr"/>
          </w:tcPr>
          <w:p w14:paraId="64BD11CF" w14:textId="16A1FDE4" w:rsidR="005E0F24" w:rsidRPr="00E46903" w:rsidRDefault="005E0F24" w:rsidP="005E0F24">
            <w:pPr>
              <w:pStyle w:val="TableHeading1"/>
              <w:jc w:val="right"/>
            </w:pPr>
            <w:proofErr w:type="spellStart"/>
            <w:r w:rsidRPr="00FE4491">
              <w:t>QaI</w:t>
            </w:r>
            <w:proofErr w:type="spellEnd"/>
            <w:r w:rsidRPr="00FE4491">
              <w:t xml:space="preserve"> year</w:t>
            </w:r>
          </w:p>
        </w:tc>
        <w:tc>
          <w:tcPr>
            <w:tcW w:w="200" w:type="pct"/>
            <w:tcBorders>
              <w:top w:val="none" w:sz="0" w:space="0" w:color="auto"/>
              <w:bottom w:val="none" w:sz="0" w:space="0" w:color="auto"/>
            </w:tcBorders>
            <w:noWrap/>
            <w:textDirection w:val="btLr"/>
          </w:tcPr>
          <w:p w14:paraId="44610FA3" w14:textId="5F95DDB5" w:rsidR="005E0F24" w:rsidRPr="00E46903" w:rsidRDefault="005E0F24" w:rsidP="005E0F24">
            <w:pPr>
              <w:pStyle w:val="TableHeading1"/>
              <w:jc w:val="right"/>
              <w:rPr>
                <w:rFonts w:ascii="Franklin Gothic Book" w:hAnsi="Franklin Gothic Book" w:cs="Arial"/>
                <w:bCs/>
                <w:color w:val="000000"/>
              </w:rPr>
            </w:pPr>
            <w:r w:rsidRPr="00FE4491">
              <w:t>Relevance</w:t>
            </w:r>
          </w:p>
        </w:tc>
        <w:tc>
          <w:tcPr>
            <w:tcW w:w="200" w:type="pct"/>
            <w:tcBorders>
              <w:top w:val="none" w:sz="0" w:space="0" w:color="auto"/>
              <w:bottom w:val="none" w:sz="0" w:space="0" w:color="auto"/>
            </w:tcBorders>
            <w:noWrap/>
            <w:textDirection w:val="btLr"/>
          </w:tcPr>
          <w:p w14:paraId="5AA1A719" w14:textId="13674658" w:rsidR="005E0F24" w:rsidRPr="00E46903" w:rsidRDefault="005E0F24" w:rsidP="005E0F24">
            <w:pPr>
              <w:pStyle w:val="TableHeading1"/>
              <w:jc w:val="right"/>
              <w:rPr>
                <w:rFonts w:ascii="Franklin Gothic Book" w:hAnsi="Franklin Gothic Book" w:cs="Arial"/>
                <w:bCs/>
                <w:color w:val="000000"/>
              </w:rPr>
            </w:pPr>
            <w:r w:rsidRPr="00FE4491">
              <w:t>Effectiveness</w:t>
            </w:r>
          </w:p>
        </w:tc>
        <w:tc>
          <w:tcPr>
            <w:tcW w:w="200" w:type="pct"/>
            <w:tcBorders>
              <w:top w:val="none" w:sz="0" w:space="0" w:color="auto"/>
              <w:bottom w:val="none" w:sz="0" w:space="0" w:color="auto"/>
            </w:tcBorders>
            <w:noWrap/>
            <w:textDirection w:val="btLr"/>
          </w:tcPr>
          <w:p w14:paraId="06943D7B" w14:textId="7C024C6C" w:rsidR="005E0F24" w:rsidRPr="00E46903" w:rsidRDefault="005E0F24" w:rsidP="005E0F24">
            <w:pPr>
              <w:pStyle w:val="TableHeading1"/>
              <w:jc w:val="right"/>
              <w:rPr>
                <w:rFonts w:ascii="Franklin Gothic Book" w:hAnsi="Franklin Gothic Book" w:cs="Arial"/>
                <w:bCs/>
                <w:color w:val="000000"/>
              </w:rPr>
            </w:pPr>
            <w:r w:rsidRPr="00FE4491">
              <w:t>Efficiency</w:t>
            </w:r>
          </w:p>
        </w:tc>
        <w:tc>
          <w:tcPr>
            <w:tcW w:w="200" w:type="pct"/>
            <w:tcBorders>
              <w:top w:val="none" w:sz="0" w:space="0" w:color="auto"/>
              <w:bottom w:val="none" w:sz="0" w:space="0" w:color="auto"/>
            </w:tcBorders>
            <w:noWrap/>
            <w:textDirection w:val="btLr"/>
          </w:tcPr>
          <w:p w14:paraId="00075188" w14:textId="7F3ABCBF" w:rsidR="005E0F24" w:rsidRPr="00E46903" w:rsidRDefault="005E0F24" w:rsidP="005E0F24">
            <w:pPr>
              <w:pStyle w:val="TableHeading1"/>
              <w:jc w:val="right"/>
              <w:rPr>
                <w:rFonts w:ascii="Franklin Gothic Book" w:hAnsi="Franklin Gothic Book" w:cs="Arial"/>
                <w:bCs/>
                <w:color w:val="000000"/>
              </w:rPr>
            </w:pPr>
            <w:r w:rsidRPr="00FE4491">
              <w:t xml:space="preserve">Monitoring and </w:t>
            </w:r>
            <w:r>
              <w:t>e</w:t>
            </w:r>
            <w:r w:rsidRPr="00FE4491">
              <w:t>valuation</w:t>
            </w:r>
          </w:p>
        </w:tc>
        <w:tc>
          <w:tcPr>
            <w:tcW w:w="200" w:type="pct"/>
            <w:tcBorders>
              <w:top w:val="none" w:sz="0" w:space="0" w:color="auto"/>
              <w:bottom w:val="none" w:sz="0" w:space="0" w:color="auto"/>
            </w:tcBorders>
            <w:noWrap/>
            <w:textDirection w:val="btLr"/>
          </w:tcPr>
          <w:p w14:paraId="33CF8A93" w14:textId="0B67F2C9" w:rsidR="005E0F24" w:rsidRPr="00E46903" w:rsidRDefault="005E0F24" w:rsidP="005E0F24">
            <w:pPr>
              <w:pStyle w:val="TableHeading1"/>
              <w:jc w:val="right"/>
              <w:rPr>
                <w:rFonts w:ascii="Franklin Gothic Book" w:hAnsi="Franklin Gothic Book" w:cs="Arial"/>
                <w:bCs/>
                <w:color w:val="000000"/>
              </w:rPr>
            </w:pPr>
            <w:r w:rsidRPr="00FE4491">
              <w:t>Sustainability</w:t>
            </w:r>
          </w:p>
        </w:tc>
        <w:tc>
          <w:tcPr>
            <w:tcW w:w="200" w:type="pct"/>
            <w:tcBorders>
              <w:top w:val="none" w:sz="0" w:space="0" w:color="auto"/>
              <w:bottom w:val="none" w:sz="0" w:space="0" w:color="auto"/>
            </w:tcBorders>
            <w:noWrap/>
            <w:textDirection w:val="btLr"/>
          </w:tcPr>
          <w:p w14:paraId="3C03FDC6" w14:textId="2DD9C530" w:rsidR="005E0F24" w:rsidRPr="00E46903" w:rsidRDefault="005E0F24" w:rsidP="005E0F24">
            <w:pPr>
              <w:pStyle w:val="TableHeading1"/>
              <w:jc w:val="right"/>
              <w:rPr>
                <w:rFonts w:ascii="Franklin Gothic Book" w:hAnsi="Franklin Gothic Book" w:cs="Arial"/>
                <w:bCs/>
                <w:color w:val="000000"/>
              </w:rPr>
            </w:pPr>
            <w:r w:rsidRPr="00FE4491">
              <w:t>Gender equality</w:t>
            </w:r>
          </w:p>
        </w:tc>
      </w:tr>
      <w:tr w:rsidR="00AA6C47" w:rsidRPr="00E43655" w14:paraId="29CECF2A" w14:textId="77777777" w:rsidTr="00AA6C47">
        <w:trPr>
          <w:cnfStyle w:val="100000000000" w:firstRow="1" w:lastRow="0" w:firstColumn="0" w:lastColumn="0" w:oddVBand="0" w:evenVBand="0" w:oddHBand="0" w:evenHBand="0" w:firstRowFirstColumn="0" w:firstRowLastColumn="0" w:lastRowFirstColumn="0" w:lastRowLastColumn="0"/>
          <w:trHeight w:val="284"/>
        </w:trPr>
        <w:tc>
          <w:tcPr>
            <w:tcW w:w="1400" w:type="pct"/>
            <w:vMerge w:val="restart"/>
            <w:hideMark/>
          </w:tcPr>
          <w:p w14:paraId="35250AA3" w14:textId="3DD4AA5B" w:rsidR="00E65570" w:rsidRPr="00AA6C47" w:rsidRDefault="00742264" w:rsidP="00E43655">
            <w:pPr>
              <w:pStyle w:val="TableTextEntries"/>
              <w:rPr>
                <w:b w:val="0"/>
              </w:rPr>
            </w:pPr>
            <w:r w:rsidRPr="00AA6C47">
              <w:rPr>
                <w:b w:val="0"/>
              </w:rPr>
              <w:t xml:space="preserve">Australian Centre for International Agricultural Research </w:t>
            </w:r>
            <w:r w:rsidR="00E65570" w:rsidRPr="00AA6C47">
              <w:rPr>
                <w:b w:val="0"/>
              </w:rPr>
              <w:t>Multidisciplinary Research Program Burma</w:t>
            </w:r>
          </w:p>
        </w:tc>
        <w:tc>
          <w:tcPr>
            <w:tcW w:w="600" w:type="pct"/>
            <w:vMerge w:val="restart"/>
          </w:tcPr>
          <w:p w14:paraId="6915DD96" w14:textId="77777777" w:rsidR="00E65570" w:rsidRPr="00E43655" w:rsidRDefault="00E65570" w:rsidP="00E43655">
            <w:pPr>
              <w:pStyle w:val="TableTextEntries"/>
              <w:rPr>
                <w:b w:val="0"/>
              </w:rPr>
            </w:pPr>
            <w:r w:rsidRPr="00E43655">
              <w:rPr>
                <w:b w:val="0"/>
              </w:rPr>
              <w:t>$12.0 million Feb 11</w:t>
            </w:r>
            <w:r w:rsidRPr="00E43655">
              <w:rPr>
                <w:b w:val="0"/>
              </w:rPr>
              <w:noBreakHyphen/>
              <w:t>Jun 15</w:t>
            </w:r>
          </w:p>
        </w:tc>
        <w:tc>
          <w:tcPr>
            <w:tcW w:w="400" w:type="pct"/>
            <w:hideMark/>
          </w:tcPr>
          <w:p w14:paraId="06E2C38C" w14:textId="22982B0B" w:rsidR="00E65570" w:rsidRPr="00E43655" w:rsidRDefault="00E65570" w:rsidP="00E43655">
            <w:pPr>
              <w:pStyle w:val="TableTextEntries"/>
              <w:rPr>
                <w:b w:val="0"/>
              </w:rPr>
            </w:pPr>
            <w:r w:rsidRPr="00E43655">
              <w:rPr>
                <w:b w:val="0"/>
              </w:rPr>
              <w:t>2012</w:t>
            </w:r>
            <w:r w:rsidR="00742264" w:rsidRPr="00E43655">
              <w:rPr>
                <w:b w:val="0"/>
              </w:rPr>
              <w:t>–</w:t>
            </w:r>
            <w:r w:rsidRPr="00E43655">
              <w:rPr>
                <w:b w:val="0"/>
              </w:rPr>
              <w:t>13</w:t>
            </w:r>
          </w:p>
        </w:tc>
        <w:tc>
          <w:tcPr>
            <w:tcW w:w="200" w:type="pct"/>
            <w:shd w:val="clear" w:color="auto" w:fill="92D050"/>
            <w:noWrap/>
            <w:hideMark/>
          </w:tcPr>
          <w:p w14:paraId="44749598"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FF0000"/>
            <w:noWrap/>
            <w:hideMark/>
          </w:tcPr>
          <w:p w14:paraId="479BC9DA"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2</w:t>
            </w:r>
          </w:p>
        </w:tc>
        <w:tc>
          <w:tcPr>
            <w:tcW w:w="200" w:type="pct"/>
            <w:shd w:val="clear" w:color="auto" w:fill="FF0000"/>
            <w:noWrap/>
            <w:hideMark/>
          </w:tcPr>
          <w:p w14:paraId="3E9B7DAC"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2</w:t>
            </w:r>
          </w:p>
        </w:tc>
        <w:tc>
          <w:tcPr>
            <w:tcW w:w="200" w:type="pct"/>
            <w:shd w:val="clear" w:color="auto" w:fill="FFFF00"/>
            <w:noWrap/>
            <w:hideMark/>
          </w:tcPr>
          <w:p w14:paraId="6E310247"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FFF00"/>
            <w:noWrap/>
            <w:hideMark/>
          </w:tcPr>
          <w:p w14:paraId="693152FB"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79646" w:themeFill="accent6"/>
            <w:noWrap/>
            <w:hideMark/>
          </w:tcPr>
          <w:p w14:paraId="24494452"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3</w:t>
            </w:r>
          </w:p>
        </w:tc>
      </w:tr>
      <w:tr w:rsidR="00E65570" w:rsidRPr="00E43655" w14:paraId="737E48A0" w14:textId="77777777" w:rsidTr="00AA6C47">
        <w:trPr>
          <w:cnfStyle w:val="100000000000" w:firstRow="1" w:lastRow="0" w:firstColumn="0" w:lastColumn="0" w:oddVBand="0" w:evenVBand="0" w:oddHBand="0" w:evenHBand="0" w:firstRowFirstColumn="0" w:firstRowLastColumn="0" w:lastRowFirstColumn="0" w:lastRowLastColumn="0"/>
          <w:trHeight w:val="284"/>
        </w:trPr>
        <w:tc>
          <w:tcPr>
            <w:tcW w:w="1400" w:type="pct"/>
            <w:vMerge/>
            <w:tcBorders>
              <w:top w:val="none" w:sz="0" w:space="0" w:color="auto"/>
              <w:bottom w:val="none" w:sz="0" w:space="0" w:color="auto"/>
            </w:tcBorders>
            <w:hideMark/>
          </w:tcPr>
          <w:p w14:paraId="7DEE3BC5" w14:textId="77777777" w:rsidR="00E65570" w:rsidRPr="00AA6C47" w:rsidRDefault="00E65570" w:rsidP="00E43655">
            <w:pPr>
              <w:pStyle w:val="TableTextEntries"/>
              <w:rPr>
                <w:b w:val="0"/>
              </w:rPr>
            </w:pPr>
          </w:p>
        </w:tc>
        <w:tc>
          <w:tcPr>
            <w:tcW w:w="600" w:type="pct"/>
            <w:vMerge/>
            <w:tcBorders>
              <w:top w:val="none" w:sz="0" w:space="0" w:color="auto"/>
              <w:bottom w:val="none" w:sz="0" w:space="0" w:color="auto"/>
            </w:tcBorders>
          </w:tcPr>
          <w:p w14:paraId="3777F9A4" w14:textId="77777777" w:rsidR="00E65570" w:rsidRPr="00E43655" w:rsidRDefault="00E65570" w:rsidP="00E43655">
            <w:pPr>
              <w:pStyle w:val="TableTextEntries"/>
              <w:rPr>
                <w:b w:val="0"/>
              </w:rPr>
            </w:pPr>
          </w:p>
        </w:tc>
        <w:tc>
          <w:tcPr>
            <w:tcW w:w="400" w:type="pct"/>
            <w:tcBorders>
              <w:top w:val="none" w:sz="0" w:space="0" w:color="auto"/>
              <w:bottom w:val="none" w:sz="0" w:space="0" w:color="auto"/>
            </w:tcBorders>
            <w:hideMark/>
          </w:tcPr>
          <w:p w14:paraId="10B0D2D6" w14:textId="77777777" w:rsidR="00E65570" w:rsidRPr="00E43655" w:rsidRDefault="00E65570" w:rsidP="00E43655">
            <w:pPr>
              <w:pStyle w:val="TableTextEntries"/>
              <w:rPr>
                <w:b w:val="0"/>
              </w:rPr>
            </w:pPr>
            <w:r w:rsidRPr="00E43655">
              <w:rPr>
                <w:b w:val="0"/>
              </w:rPr>
              <w:t>2011</w:t>
            </w:r>
          </w:p>
        </w:tc>
        <w:tc>
          <w:tcPr>
            <w:tcW w:w="200" w:type="pct"/>
            <w:gridSpan w:val="6"/>
            <w:tcBorders>
              <w:top w:val="none" w:sz="0" w:space="0" w:color="auto"/>
              <w:bottom w:val="none" w:sz="0" w:space="0" w:color="auto"/>
            </w:tcBorders>
            <w:noWrap/>
            <w:hideMark/>
          </w:tcPr>
          <w:p w14:paraId="6A950F71" w14:textId="77777777" w:rsidR="00E65570" w:rsidRPr="00E43655" w:rsidRDefault="00E65570" w:rsidP="00E43655">
            <w:pPr>
              <w:pStyle w:val="TableTextEntries"/>
              <w:rPr>
                <w:rFonts w:cs="Arial"/>
                <w:b w:val="0"/>
                <w:bCs/>
                <w:color w:val="000000"/>
              </w:rPr>
            </w:pPr>
            <w:r w:rsidRPr="00E43655">
              <w:rPr>
                <w:rFonts w:cs="Arial"/>
                <w:b w:val="0"/>
                <w:bCs/>
                <w:color w:val="000000"/>
              </w:rPr>
              <w:t>EXEMPT</w:t>
            </w:r>
          </w:p>
        </w:tc>
      </w:tr>
      <w:tr w:rsidR="00E65570" w:rsidRPr="00E43655" w14:paraId="2A154541" w14:textId="77777777" w:rsidTr="00AA6C47">
        <w:trPr>
          <w:cnfStyle w:val="100000000000" w:firstRow="1" w:lastRow="0" w:firstColumn="0" w:lastColumn="0" w:oddVBand="0" w:evenVBand="0" w:oddHBand="0" w:evenHBand="0" w:firstRowFirstColumn="0" w:firstRowLastColumn="0" w:lastRowFirstColumn="0" w:lastRowLastColumn="0"/>
          <w:trHeight w:val="284"/>
        </w:trPr>
        <w:tc>
          <w:tcPr>
            <w:tcW w:w="1400" w:type="pct"/>
            <w:vMerge w:val="restart"/>
            <w:tcBorders>
              <w:top w:val="none" w:sz="0" w:space="0" w:color="auto"/>
              <w:bottom w:val="none" w:sz="0" w:space="0" w:color="auto"/>
            </w:tcBorders>
            <w:hideMark/>
          </w:tcPr>
          <w:p w14:paraId="4EB51584" w14:textId="77777777" w:rsidR="00E65570" w:rsidRPr="00AA6C47" w:rsidRDefault="00E65570" w:rsidP="00E43655">
            <w:pPr>
              <w:pStyle w:val="TableTextEntries"/>
              <w:rPr>
                <w:b w:val="0"/>
              </w:rPr>
            </w:pPr>
            <w:r w:rsidRPr="00AA6C47">
              <w:rPr>
                <w:b w:val="0"/>
              </w:rPr>
              <w:t>CARE SPARC</w:t>
            </w:r>
          </w:p>
        </w:tc>
        <w:tc>
          <w:tcPr>
            <w:tcW w:w="600" w:type="pct"/>
            <w:vMerge w:val="restart"/>
            <w:tcBorders>
              <w:top w:val="none" w:sz="0" w:space="0" w:color="auto"/>
              <w:bottom w:val="none" w:sz="0" w:space="0" w:color="auto"/>
            </w:tcBorders>
          </w:tcPr>
          <w:p w14:paraId="1407384E" w14:textId="77777777" w:rsidR="00E65570" w:rsidRPr="00E43655" w:rsidRDefault="00E65570" w:rsidP="00E43655">
            <w:pPr>
              <w:pStyle w:val="TableTextEntries"/>
              <w:rPr>
                <w:b w:val="0"/>
              </w:rPr>
            </w:pPr>
            <w:r w:rsidRPr="00E43655">
              <w:rPr>
                <w:b w:val="0"/>
              </w:rPr>
              <w:t>$8.0 million Nov 10</w:t>
            </w:r>
            <w:r w:rsidRPr="00E43655">
              <w:rPr>
                <w:b w:val="0"/>
              </w:rPr>
              <w:noBreakHyphen/>
              <w:t>Feb 16</w:t>
            </w:r>
          </w:p>
        </w:tc>
        <w:tc>
          <w:tcPr>
            <w:tcW w:w="400" w:type="pct"/>
            <w:tcBorders>
              <w:top w:val="none" w:sz="0" w:space="0" w:color="auto"/>
              <w:bottom w:val="none" w:sz="0" w:space="0" w:color="auto"/>
            </w:tcBorders>
            <w:hideMark/>
          </w:tcPr>
          <w:p w14:paraId="7407C985" w14:textId="42B8117F" w:rsidR="00E65570" w:rsidRPr="00E43655" w:rsidRDefault="00E65570" w:rsidP="00E43655">
            <w:pPr>
              <w:pStyle w:val="TableTextEntries"/>
              <w:rPr>
                <w:b w:val="0"/>
              </w:rPr>
            </w:pPr>
            <w:r w:rsidRPr="00E43655">
              <w:rPr>
                <w:b w:val="0"/>
              </w:rPr>
              <w:t>2012</w:t>
            </w:r>
            <w:r w:rsidR="00742264" w:rsidRPr="00E43655">
              <w:rPr>
                <w:b w:val="0"/>
              </w:rPr>
              <w:t>–</w:t>
            </w:r>
            <w:r w:rsidRPr="00E43655">
              <w:rPr>
                <w:b w:val="0"/>
              </w:rPr>
              <w:t>13</w:t>
            </w:r>
          </w:p>
        </w:tc>
        <w:tc>
          <w:tcPr>
            <w:tcW w:w="200" w:type="pct"/>
            <w:gridSpan w:val="6"/>
            <w:tcBorders>
              <w:top w:val="none" w:sz="0" w:space="0" w:color="auto"/>
              <w:bottom w:val="none" w:sz="0" w:space="0" w:color="auto"/>
            </w:tcBorders>
            <w:noWrap/>
            <w:hideMark/>
          </w:tcPr>
          <w:p w14:paraId="69CAF491" w14:textId="77777777" w:rsidR="00E65570" w:rsidRPr="00E43655" w:rsidRDefault="00E65570" w:rsidP="00E43655">
            <w:pPr>
              <w:pStyle w:val="TableTextEntries"/>
              <w:rPr>
                <w:rFonts w:cs="Arial"/>
                <w:b w:val="0"/>
                <w:bCs/>
                <w:color w:val="000000"/>
              </w:rPr>
            </w:pPr>
            <w:r w:rsidRPr="00E43655">
              <w:rPr>
                <w:rFonts w:cs="Arial"/>
                <w:b w:val="0"/>
                <w:bCs/>
                <w:color w:val="000000"/>
              </w:rPr>
              <w:t>EXEMPT</w:t>
            </w:r>
          </w:p>
        </w:tc>
      </w:tr>
      <w:tr w:rsidR="00E65570" w:rsidRPr="00E43655" w14:paraId="6A22A54D" w14:textId="77777777" w:rsidTr="00AA6C47">
        <w:trPr>
          <w:cnfStyle w:val="100000000000" w:firstRow="1" w:lastRow="0" w:firstColumn="0" w:lastColumn="0" w:oddVBand="0" w:evenVBand="0" w:oddHBand="0" w:evenHBand="0" w:firstRowFirstColumn="0" w:firstRowLastColumn="0" w:lastRowFirstColumn="0" w:lastRowLastColumn="0"/>
          <w:trHeight w:val="284"/>
        </w:trPr>
        <w:tc>
          <w:tcPr>
            <w:tcW w:w="1400" w:type="pct"/>
            <w:vMerge/>
            <w:tcBorders>
              <w:top w:val="none" w:sz="0" w:space="0" w:color="auto"/>
              <w:bottom w:val="none" w:sz="0" w:space="0" w:color="auto"/>
            </w:tcBorders>
            <w:hideMark/>
          </w:tcPr>
          <w:p w14:paraId="0D0E9BA5" w14:textId="77777777" w:rsidR="00E65570" w:rsidRPr="00AA6C47" w:rsidRDefault="00E65570" w:rsidP="00E43655">
            <w:pPr>
              <w:pStyle w:val="TableTextEntries"/>
              <w:rPr>
                <w:b w:val="0"/>
              </w:rPr>
            </w:pPr>
          </w:p>
        </w:tc>
        <w:tc>
          <w:tcPr>
            <w:tcW w:w="600" w:type="pct"/>
            <w:vMerge/>
            <w:tcBorders>
              <w:top w:val="none" w:sz="0" w:space="0" w:color="auto"/>
              <w:bottom w:val="none" w:sz="0" w:space="0" w:color="auto"/>
            </w:tcBorders>
          </w:tcPr>
          <w:p w14:paraId="0475B1EE" w14:textId="77777777" w:rsidR="00E65570" w:rsidRPr="00E43655" w:rsidRDefault="00E65570" w:rsidP="00E43655">
            <w:pPr>
              <w:pStyle w:val="TableTextEntries"/>
              <w:rPr>
                <w:b w:val="0"/>
              </w:rPr>
            </w:pPr>
          </w:p>
        </w:tc>
        <w:tc>
          <w:tcPr>
            <w:tcW w:w="400" w:type="pct"/>
            <w:tcBorders>
              <w:top w:val="none" w:sz="0" w:space="0" w:color="auto"/>
              <w:bottom w:val="none" w:sz="0" w:space="0" w:color="auto"/>
            </w:tcBorders>
            <w:hideMark/>
          </w:tcPr>
          <w:p w14:paraId="3237B8A6" w14:textId="77777777" w:rsidR="00E65570" w:rsidRPr="00E43655" w:rsidRDefault="00E65570" w:rsidP="00E43655">
            <w:pPr>
              <w:pStyle w:val="TableTextEntries"/>
              <w:rPr>
                <w:b w:val="0"/>
              </w:rPr>
            </w:pPr>
            <w:r w:rsidRPr="00E43655">
              <w:rPr>
                <w:b w:val="0"/>
              </w:rPr>
              <w:t>2011</w:t>
            </w:r>
          </w:p>
        </w:tc>
        <w:tc>
          <w:tcPr>
            <w:tcW w:w="200" w:type="pct"/>
            <w:gridSpan w:val="6"/>
            <w:tcBorders>
              <w:top w:val="none" w:sz="0" w:space="0" w:color="auto"/>
              <w:bottom w:val="none" w:sz="0" w:space="0" w:color="auto"/>
            </w:tcBorders>
            <w:noWrap/>
            <w:hideMark/>
          </w:tcPr>
          <w:p w14:paraId="1EB39332" w14:textId="77777777" w:rsidR="00E65570" w:rsidRPr="00E43655" w:rsidRDefault="00E65570" w:rsidP="00E43655">
            <w:pPr>
              <w:pStyle w:val="TableTextEntries"/>
              <w:rPr>
                <w:rFonts w:cs="Arial"/>
                <w:b w:val="0"/>
                <w:bCs/>
                <w:color w:val="000000"/>
              </w:rPr>
            </w:pPr>
            <w:r w:rsidRPr="00E43655">
              <w:rPr>
                <w:rFonts w:cs="Arial"/>
                <w:b w:val="0"/>
                <w:bCs/>
                <w:color w:val="000000"/>
              </w:rPr>
              <w:t>EXEMPT</w:t>
            </w:r>
          </w:p>
        </w:tc>
      </w:tr>
      <w:tr w:rsidR="00AA6C47" w:rsidRPr="00E43655" w14:paraId="79FD5423" w14:textId="77777777" w:rsidTr="00AA6C47">
        <w:trPr>
          <w:cnfStyle w:val="100000000000" w:firstRow="1" w:lastRow="0" w:firstColumn="0" w:lastColumn="0" w:oddVBand="0" w:evenVBand="0" w:oddHBand="0" w:evenHBand="0" w:firstRowFirstColumn="0" w:firstRowLastColumn="0" w:lastRowFirstColumn="0" w:lastRowLastColumn="0"/>
          <w:trHeight w:val="284"/>
        </w:trPr>
        <w:tc>
          <w:tcPr>
            <w:tcW w:w="1400" w:type="pct"/>
            <w:vMerge w:val="restart"/>
            <w:hideMark/>
          </w:tcPr>
          <w:p w14:paraId="4E2C6765" w14:textId="77777777" w:rsidR="00E65570" w:rsidRPr="00AA6C47" w:rsidRDefault="00E65570" w:rsidP="00E43655">
            <w:pPr>
              <w:pStyle w:val="TableTextEntries"/>
              <w:rPr>
                <w:b w:val="0"/>
              </w:rPr>
            </w:pPr>
            <w:r w:rsidRPr="00AA6C47">
              <w:rPr>
                <w:b w:val="0"/>
              </w:rPr>
              <w:t>Burma Basic Education</w:t>
            </w:r>
          </w:p>
        </w:tc>
        <w:tc>
          <w:tcPr>
            <w:tcW w:w="600" w:type="pct"/>
            <w:vMerge w:val="restart"/>
          </w:tcPr>
          <w:p w14:paraId="1887612A" w14:textId="77777777" w:rsidR="00E65570" w:rsidRPr="00E43655" w:rsidRDefault="00E65570" w:rsidP="00E43655">
            <w:pPr>
              <w:pStyle w:val="TableTextEntries"/>
              <w:rPr>
                <w:b w:val="0"/>
              </w:rPr>
            </w:pPr>
            <w:r w:rsidRPr="00E43655">
              <w:rPr>
                <w:b w:val="0"/>
              </w:rPr>
              <w:t>$66.7 million Feb 12-Jun 16</w:t>
            </w:r>
          </w:p>
        </w:tc>
        <w:tc>
          <w:tcPr>
            <w:tcW w:w="400" w:type="pct"/>
            <w:hideMark/>
          </w:tcPr>
          <w:p w14:paraId="1CA74913" w14:textId="2A842070" w:rsidR="00E65570" w:rsidRPr="00E43655" w:rsidRDefault="00E65570" w:rsidP="00E43655">
            <w:pPr>
              <w:pStyle w:val="TableTextEntries"/>
              <w:rPr>
                <w:b w:val="0"/>
              </w:rPr>
            </w:pPr>
            <w:r w:rsidRPr="00E43655">
              <w:rPr>
                <w:b w:val="0"/>
              </w:rPr>
              <w:t>2012</w:t>
            </w:r>
            <w:r w:rsidR="00742264" w:rsidRPr="00E43655">
              <w:rPr>
                <w:b w:val="0"/>
              </w:rPr>
              <w:t>–</w:t>
            </w:r>
            <w:r w:rsidRPr="00E43655">
              <w:rPr>
                <w:b w:val="0"/>
              </w:rPr>
              <w:t>13</w:t>
            </w:r>
          </w:p>
        </w:tc>
        <w:tc>
          <w:tcPr>
            <w:tcW w:w="200" w:type="pct"/>
            <w:shd w:val="clear" w:color="auto" w:fill="92D050"/>
            <w:noWrap/>
            <w:hideMark/>
          </w:tcPr>
          <w:p w14:paraId="58AB15F3"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FFFF00"/>
            <w:noWrap/>
            <w:hideMark/>
          </w:tcPr>
          <w:p w14:paraId="3675E006"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FFF00"/>
            <w:noWrap/>
            <w:hideMark/>
          </w:tcPr>
          <w:p w14:paraId="63200A5D"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FFF00"/>
            <w:noWrap/>
            <w:hideMark/>
          </w:tcPr>
          <w:p w14:paraId="5F3A76DD"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FFF00"/>
            <w:noWrap/>
            <w:hideMark/>
          </w:tcPr>
          <w:p w14:paraId="60EED765"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92D050"/>
            <w:noWrap/>
            <w:hideMark/>
          </w:tcPr>
          <w:p w14:paraId="45CA3919"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r>
      <w:tr w:rsidR="00AA6C47" w:rsidRPr="00E43655" w14:paraId="650848EC" w14:textId="77777777" w:rsidTr="00AA6C47">
        <w:trPr>
          <w:cnfStyle w:val="100000000000" w:firstRow="1" w:lastRow="0" w:firstColumn="0" w:lastColumn="0" w:oddVBand="0" w:evenVBand="0" w:oddHBand="0" w:evenHBand="0" w:firstRowFirstColumn="0" w:firstRowLastColumn="0" w:lastRowFirstColumn="0" w:lastRowLastColumn="0"/>
          <w:trHeight w:val="284"/>
        </w:trPr>
        <w:tc>
          <w:tcPr>
            <w:tcW w:w="1400" w:type="pct"/>
            <w:vMerge/>
            <w:hideMark/>
          </w:tcPr>
          <w:p w14:paraId="0691BDAD" w14:textId="77777777" w:rsidR="00E65570" w:rsidRPr="00AA6C47" w:rsidRDefault="00E65570" w:rsidP="00E43655">
            <w:pPr>
              <w:pStyle w:val="TableTextEntries"/>
              <w:rPr>
                <w:b w:val="0"/>
              </w:rPr>
            </w:pPr>
          </w:p>
        </w:tc>
        <w:tc>
          <w:tcPr>
            <w:tcW w:w="600" w:type="pct"/>
            <w:vMerge/>
          </w:tcPr>
          <w:p w14:paraId="20264C2C" w14:textId="77777777" w:rsidR="00E65570" w:rsidRPr="00E43655" w:rsidRDefault="00E65570" w:rsidP="00E43655">
            <w:pPr>
              <w:pStyle w:val="TableTextEntries"/>
              <w:rPr>
                <w:b w:val="0"/>
              </w:rPr>
            </w:pPr>
          </w:p>
        </w:tc>
        <w:tc>
          <w:tcPr>
            <w:tcW w:w="400" w:type="pct"/>
            <w:hideMark/>
          </w:tcPr>
          <w:p w14:paraId="784501E8" w14:textId="77777777" w:rsidR="00E65570" w:rsidRPr="00E43655" w:rsidRDefault="00E65570" w:rsidP="00E43655">
            <w:pPr>
              <w:pStyle w:val="TableTextEntries"/>
              <w:rPr>
                <w:b w:val="0"/>
              </w:rPr>
            </w:pPr>
            <w:r w:rsidRPr="00E43655">
              <w:rPr>
                <w:b w:val="0"/>
              </w:rPr>
              <w:t>2012 QAE</w:t>
            </w:r>
          </w:p>
        </w:tc>
        <w:tc>
          <w:tcPr>
            <w:tcW w:w="200" w:type="pct"/>
            <w:shd w:val="clear" w:color="auto" w:fill="92D050"/>
            <w:noWrap/>
            <w:hideMark/>
          </w:tcPr>
          <w:p w14:paraId="0A671DE4"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92D050"/>
            <w:noWrap/>
            <w:hideMark/>
          </w:tcPr>
          <w:p w14:paraId="30F26A01"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FFFF00"/>
            <w:noWrap/>
            <w:hideMark/>
          </w:tcPr>
          <w:p w14:paraId="5ED9685A"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FFF00"/>
            <w:noWrap/>
            <w:hideMark/>
          </w:tcPr>
          <w:p w14:paraId="5585232E"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FFF00"/>
            <w:noWrap/>
            <w:hideMark/>
          </w:tcPr>
          <w:p w14:paraId="6FA3776C"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FFF00"/>
            <w:noWrap/>
            <w:hideMark/>
          </w:tcPr>
          <w:p w14:paraId="6D2950A9"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r>
      <w:tr w:rsidR="00E65570" w:rsidRPr="00E43655" w14:paraId="72AE5253" w14:textId="77777777" w:rsidTr="00AA6C47">
        <w:trPr>
          <w:cnfStyle w:val="100000000000" w:firstRow="1" w:lastRow="0" w:firstColumn="0" w:lastColumn="0" w:oddVBand="0" w:evenVBand="0" w:oddHBand="0" w:evenHBand="0" w:firstRowFirstColumn="0" w:firstRowLastColumn="0" w:lastRowFirstColumn="0" w:lastRowLastColumn="0"/>
          <w:trHeight w:val="284"/>
        </w:trPr>
        <w:tc>
          <w:tcPr>
            <w:tcW w:w="1400" w:type="pct"/>
            <w:vMerge w:val="restart"/>
            <w:tcBorders>
              <w:top w:val="none" w:sz="0" w:space="0" w:color="auto"/>
              <w:bottom w:val="none" w:sz="0" w:space="0" w:color="auto"/>
            </w:tcBorders>
            <w:hideMark/>
          </w:tcPr>
          <w:p w14:paraId="09E2645F" w14:textId="77777777" w:rsidR="00E65570" w:rsidRPr="00AA6C47" w:rsidRDefault="00E65570" w:rsidP="00E43655">
            <w:pPr>
              <w:pStyle w:val="TableTextEntries"/>
              <w:rPr>
                <w:b w:val="0"/>
              </w:rPr>
            </w:pPr>
            <w:r w:rsidRPr="00AA6C47">
              <w:rPr>
                <w:b w:val="0"/>
              </w:rPr>
              <w:t xml:space="preserve">Humanitarian and </w:t>
            </w:r>
            <w:proofErr w:type="spellStart"/>
            <w:r w:rsidRPr="00AA6C47">
              <w:rPr>
                <w:b w:val="0"/>
              </w:rPr>
              <w:t>Peacebuilding</w:t>
            </w:r>
            <w:proofErr w:type="spellEnd"/>
            <w:r w:rsidRPr="00AA6C47">
              <w:rPr>
                <w:b w:val="0"/>
              </w:rPr>
              <w:t xml:space="preserve"> Support in Myanmar</w:t>
            </w:r>
          </w:p>
        </w:tc>
        <w:tc>
          <w:tcPr>
            <w:tcW w:w="600" w:type="pct"/>
            <w:vMerge w:val="restart"/>
            <w:tcBorders>
              <w:top w:val="none" w:sz="0" w:space="0" w:color="auto"/>
              <w:bottom w:val="none" w:sz="0" w:space="0" w:color="auto"/>
            </w:tcBorders>
          </w:tcPr>
          <w:p w14:paraId="4D3153CC" w14:textId="77777777" w:rsidR="00E65570" w:rsidRPr="00E43655" w:rsidRDefault="00E65570" w:rsidP="00E43655">
            <w:pPr>
              <w:pStyle w:val="TableTextEntries"/>
              <w:rPr>
                <w:b w:val="0"/>
              </w:rPr>
            </w:pPr>
            <w:r w:rsidRPr="00E43655">
              <w:rPr>
                <w:b w:val="0"/>
              </w:rPr>
              <w:t>$21.3 million Oct 12-Jun 15</w:t>
            </w:r>
          </w:p>
        </w:tc>
        <w:tc>
          <w:tcPr>
            <w:tcW w:w="400" w:type="pct"/>
            <w:tcBorders>
              <w:top w:val="none" w:sz="0" w:space="0" w:color="auto"/>
              <w:bottom w:val="none" w:sz="0" w:space="0" w:color="auto"/>
            </w:tcBorders>
            <w:hideMark/>
          </w:tcPr>
          <w:p w14:paraId="7868974B" w14:textId="29DD205C" w:rsidR="00E65570" w:rsidRPr="00E43655" w:rsidRDefault="00E65570" w:rsidP="00E43655">
            <w:pPr>
              <w:pStyle w:val="TableTextEntries"/>
              <w:rPr>
                <w:b w:val="0"/>
              </w:rPr>
            </w:pPr>
            <w:r w:rsidRPr="00E43655">
              <w:rPr>
                <w:b w:val="0"/>
              </w:rPr>
              <w:t>2012</w:t>
            </w:r>
            <w:r w:rsidR="00742264" w:rsidRPr="00E43655">
              <w:rPr>
                <w:b w:val="0"/>
              </w:rPr>
              <w:t>–</w:t>
            </w:r>
            <w:r w:rsidRPr="00E43655">
              <w:rPr>
                <w:b w:val="0"/>
              </w:rPr>
              <w:t>13</w:t>
            </w:r>
          </w:p>
        </w:tc>
        <w:tc>
          <w:tcPr>
            <w:tcW w:w="200" w:type="pct"/>
            <w:gridSpan w:val="6"/>
            <w:tcBorders>
              <w:top w:val="none" w:sz="0" w:space="0" w:color="auto"/>
              <w:bottom w:val="none" w:sz="0" w:space="0" w:color="auto"/>
            </w:tcBorders>
            <w:noWrap/>
            <w:hideMark/>
          </w:tcPr>
          <w:p w14:paraId="5F80FE72" w14:textId="77777777" w:rsidR="00E65570" w:rsidRPr="00E43655" w:rsidRDefault="00E65570" w:rsidP="00E43655">
            <w:pPr>
              <w:pStyle w:val="TableTextEntries"/>
              <w:rPr>
                <w:rFonts w:cs="Arial"/>
                <w:b w:val="0"/>
                <w:bCs/>
                <w:color w:val="000000"/>
              </w:rPr>
            </w:pPr>
            <w:r w:rsidRPr="00E43655">
              <w:rPr>
                <w:rFonts w:cs="Arial"/>
                <w:b w:val="0"/>
                <w:bCs/>
                <w:color w:val="000000"/>
              </w:rPr>
              <w:t>EXEMPT</w:t>
            </w:r>
          </w:p>
        </w:tc>
      </w:tr>
      <w:tr w:rsidR="00E65570" w:rsidRPr="00E43655" w14:paraId="6C830648" w14:textId="77777777" w:rsidTr="00AA6C47">
        <w:trPr>
          <w:cnfStyle w:val="100000000000" w:firstRow="1" w:lastRow="0" w:firstColumn="0" w:lastColumn="0" w:oddVBand="0" w:evenVBand="0" w:oddHBand="0" w:evenHBand="0" w:firstRowFirstColumn="0" w:firstRowLastColumn="0" w:lastRowFirstColumn="0" w:lastRowLastColumn="0"/>
          <w:trHeight w:val="284"/>
        </w:trPr>
        <w:tc>
          <w:tcPr>
            <w:tcW w:w="1400" w:type="pct"/>
            <w:vMerge/>
            <w:tcBorders>
              <w:top w:val="none" w:sz="0" w:space="0" w:color="auto"/>
              <w:bottom w:val="none" w:sz="0" w:space="0" w:color="auto"/>
            </w:tcBorders>
            <w:hideMark/>
          </w:tcPr>
          <w:p w14:paraId="24991E1C" w14:textId="77777777" w:rsidR="00E65570" w:rsidRPr="00AA6C47" w:rsidRDefault="00E65570" w:rsidP="00E43655">
            <w:pPr>
              <w:pStyle w:val="TableTextEntries"/>
              <w:rPr>
                <w:b w:val="0"/>
              </w:rPr>
            </w:pPr>
          </w:p>
        </w:tc>
        <w:tc>
          <w:tcPr>
            <w:tcW w:w="600" w:type="pct"/>
            <w:vMerge/>
            <w:tcBorders>
              <w:top w:val="none" w:sz="0" w:space="0" w:color="auto"/>
              <w:bottom w:val="none" w:sz="0" w:space="0" w:color="auto"/>
            </w:tcBorders>
          </w:tcPr>
          <w:p w14:paraId="2124D7A3" w14:textId="77777777" w:rsidR="00E65570" w:rsidRPr="00E43655" w:rsidRDefault="00E65570" w:rsidP="00E43655">
            <w:pPr>
              <w:pStyle w:val="TableTextEntries"/>
              <w:rPr>
                <w:b w:val="0"/>
              </w:rPr>
            </w:pPr>
          </w:p>
        </w:tc>
        <w:tc>
          <w:tcPr>
            <w:tcW w:w="400" w:type="pct"/>
            <w:tcBorders>
              <w:top w:val="none" w:sz="0" w:space="0" w:color="auto"/>
              <w:bottom w:val="none" w:sz="0" w:space="0" w:color="auto"/>
            </w:tcBorders>
            <w:hideMark/>
          </w:tcPr>
          <w:p w14:paraId="1D715C49" w14:textId="77777777" w:rsidR="00E65570" w:rsidRPr="00E43655" w:rsidRDefault="00E65570" w:rsidP="00E43655">
            <w:pPr>
              <w:pStyle w:val="TableTextEntries"/>
              <w:rPr>
                <w:b w:val="0"/>
              </w:rPr>
            </w:pPr>
            <w:r w:rsidRPr="00E43655">
              <w:rPr>
                <w:b w:val="0"/>
              </w:rPr>
              <w:t>2011</w:t>
            </w:r>
          </w:p>
        </w:tc>
        <w:tc>
          <w:tcPr>
            <w:tcW w:w="200" w:type="pct"/>
            <w:gridSpan w:val="6"/>
            <w:tcBorders>
              <w:top w:val="none" w:sz="0" w:space="0" w:color="auto"/>
              <w:bottom w:val="none" w:sz="0" w:space="0" w:color="auto"/>
            </w:tcBorders>
            <w:noWrap/>
            <w:hideMark/>
          </w:tcPr>
          <w:p w14:paraId="20EE2EB8" w14:textId="77777777" w:rsidR="00E65570" w:rsidRPr="00E43655" w:rsidRDefault="00E65570" w:rsidP="00E43655">
            <w:pPr>
              <w:pStyle w:val="TableTextEntries"/>
              <w:rPr>
                <w:rFonts w:cs="Arial"/>
                <w:b w:val="0"/>
                <w:bCs/>
                <w:color w:val="000000"/>
              </w:rPr>
            </w:pPr>
            <w:r w:rsidRPr="00E43655">
              <w:rPr>
                <w:rFonts w:cs="Arial"/>
                <w:b w:val="0"/>
                <w:bCs/>
                <w:color w:val="000000"/>
              </w:rPr>
              <w:t>EXEMPT</w:t>
            </w:r>
          </w:p>
        </w:tc>
      </w:tr>
      <w:tr w:rsidR="00E65570" w:rsidRPr="00E43655" w14:paraId="645B4191" w14:textId="77777777" w:rsidTr="00AA6C47">
        <w:trPr>
          <w:cnfStyle w:val="100000000000" w:firstRow="1" w:lastRow="0" w:firstColumn="0" w:lastColumn="0" w:oddVBand="0" w:evenVBand="0" w:oddHBand="0" w:evenHBand="0" w:firstRowFirstColumn="0" w:firstRowLastColumn="0" w:lastRowFirstColumn="0" w:lastRowLastColumn="0"/>
          <w:trHeight w:val="284"/>
        </w:trPr>
        <w:tc>
          <w:tcPr>
            <w:tcW w:w="1400" w:type="pct"/>
            <w:vMerge w:val="restart"/>
            <w:tcBorders>
              <w:top w:val="none" w:sz="0" w:space="0" w:color="auto"/>
              <w:bottom w:val="none" w:sz="0" w:space="0" w:color="auto"/>
            </w:tcBorders>
            <w:hideMark/>
          </w:tcPr>
          <w:p w14:paraId="7994F642" w14:textId="77777777" w:rsidR="00E65570" w:rsidRPr="00AA6C47" w:rsidRDefault="00E65570" w:rsidP="00E43655">
            <w:pPr>
              <w:pStyle w:val="TableTextEntries"/>
              <w:rPr>
                <w:b w:val="0"/>
              </w:rPr>
            </w:pPr>
            <w:r w:rsidRPr="00AA6C47">
              <w:rPr>
                <w:b w:val="0"/>
              </w:rPr>
              <w:t xml:space="preserve">Assisting Myanmar's Conflict-Affected &amp; Displaced </w:t>
            </w:r>
          </w:p>
        </w:tc>
        <w:tc>
          <w:tcPr>
            <w:tcW w:w="600" w:type="pct"/>
            <w:vMerge w:val="restart"/>
            <w:tcBorders>
              <w:top w:val="none" w:sz="0" w:space="0" w:color="auto"/>
              <w:bottom w:val="none" w:sz="0" w:space="0" w:color="auto"/>
            </w:tcBorders>
          </w:tcPr>
          <w:p w14:paraId="62B836CA" w14:textId="77777777" w:rsidR="00E65570" w:rsidRPr="00E43655" w:rsidRDefault="00E65570" w:rsidP="00E43655">
            <w:pPr>
              <w:pStyle w:val="TableTextEntries"/>
              <w:rPr>
                <w:b w:val="0"/>
              </w:rPr>
            </w:pPr>
            <w:r w:rsidRPr="00E43655">
              <w:rPr>
                <w:b w:val="0"/>
              </w:rPr>
              <w:t xml:space="preserve">$27.0 million </w:t>
            </w:r>
            <w:r w:rsidR="00F763A5" w:rsidRPr="00E43655">
              <w:rPr>
                <w:b w:val="0"/>
              </w:rPr>
              <w:t>Apr 13-Jun 16</w:t>
            </w:r>
          </w:p>
        </w:tc>
        <w:tc>
          <w:tcPr>
            <w:tcW w:w="400" w:type="pct"/>
            <w:tcBorders>
              <w:top w:val="none" w:sz="0" w:space="0" w:color="auto"/>
              <w:bottom w:val="none" w:sz="0" w:space="0" w:color="auto"/>
            </w:tcBorders>
            <w:hideMark/>
          </w:tcPr>
          <w:p w14:paraId="501AC41D" w14:textId="232F41B1" w:rsidR="00E65570" w:rsidRPr="00E43655" w:rsidRDefault="00E65570" w:rsidP="00E43655">
            <w:pPr>
              <w:pStyle w:val="TableTextEntries"/>
              <w:rPr>
                <w:b w:val="0"/>
              </w:rPr>
            </w:pPr>
            <w:r w:rsidRPr="00E43655">
              <w:rPr>
                <w:b w:val="0"/>
              </w:rPr>
              <w:t>2012</w:t>
            </w:r>
            <w:r w:rsidR="00742264" w:rsidRPr="00E43655">
              <w:rPr>
                <w:b w:val="0"/>
              </w:rPr>
              <w:t>–</w:t>
            </w:r>
            <w:r w:rsidRPr="00E43655">
              <w:rPr>
                <w:b w:val="0"/>
              </w:rPr>
              <w:t>13</w:t>
            </w:r>
          </w:p>
        </w:tc>
        <w:tc>
          <w:tcPr>
            <w:tcW w:w="200" w:type="pct"/>
            <w:gridSpan w:val="6"/>
            <w:tcBorders>
              <w:top w:val="none" w:sz="0" w:space="0" w:color="auto"/>
              <w:bottom w:val="none" w:sz="0" w:space="0" w:color="auto"/>
            </w:tcBorders>
            <w:noWrap/>
            <w:hideMark/>
          </w:tcPr>
          <w:p w14:paraId="2DE2797B" w14:textId="77777777" w:rsidR="00E65570" w:rsidRPr="00E43655" w:rsidRDefault="00E65570" w:rsidP="00E43655">
            <w:pPr>
              <w:pStyle w:val="TableTextEntries"/>
              <w:rPr>
                <w:rFonts w:cs="Arial"/>
                <w:b w:val="0"/>
                <w:bCs/>
                <w:color w:val="000000"/>
              </w:rPr>
            </w:pPr>
            <w:r w:rsidRPr="00E43655">
              <w:rPr>
                <w:rFonts w:cs="Arial"/>
                <w:b w:val="0"/>
                <w:bCs/>
                <w:color w:val="000000"/>
              </w:rPr>
              <w:t>EXEMPT</w:t>
            </w:r>
          </w:p>
        </w:tc>
      </w:tr>
      <w:tr w:rsidR="00E65570" w:rsidRPr="00E43655" w14:paraId="63A86F01" w14:textId="77777777" w:rsidTr="00AA6C47">
        <w:trPr>
          <w:cnfStyle w:val="100000000000" w:firstRow="1" w:lastRow="0" w:firstColumn="0" w:lastColumn="0" w:oddVBand="0" w:evenVBand="0" w:oddHBand="0" w:evenHBand="0" w:firstRowFirstColumn="0" w:firstRowLastColumn="0" w:lastRowFirstColumn="0" w:lastRowLastColumn="0"/>
          <w:trHeight w:val="284"/>
        </w:trPr>
        <w:tc>
          <w:tcPr>
            <w:tcW w:w="1400" w:type="pct"/>
            <w:vMerge/>
            <w:tcBorders>
              <w:top w:val="none" w:sz="0" w:space="0" w:color="auto"/>
              <w:bottom w:val="none" w:sz="0" w:space="0" w:color="auto"/>
            </w:tcBorders>
            <w:hideMark/>
          </w:tcPr>
          <w:p w14:paraId="1BEF485F" w14:textId="77777777" w:rsidR="00E65570" w:rsidRPr="00AA6C47" w:rsidRDefault="00E65570" w:rsidP="00E43655">
            <w:pPr>
              <w:pStyle w:val="TableTextEntries"/>
              <w:rPr>
                <w:b w:val="0"/>
              </w:rPr>
            </w:pPr>
          </w:p>
        </w:tc>
        <w:tc>
          <w:tcPr>
            <w:tcW w:w="600" w:type="pct"/>
            <w:vMerge/>
            <w:tcBorders>
              <w:top w:val="none" w:sz="0" w:space="0" w:color="auto"/>
              <w:bottom w:val="none" w:sz="0" w:space="0" w:color="auto"/>
            </w:tcBorders>
          </w:tcPr>
          <w:p w14:paraId="45B81F2E" w14:textId="77777777" w:rsidR="00E65570" w:rsidRPr="00E43655" w:rsidRDefault="00E65570" w:rsidP="00E43655">
            <w:pPr>
              <w:pStyle w:val="TableTextEntries"/>
              <w:rPr>
                <w:b w:val="0"/>
              </w:rPr>
            </w:pPr>
          </w:p>
        </w:tc>
        <w:tc>
          <w:tcPr>
            <w:tcW w:w="400" w:type="pct"/>
            <w:tcBorders>
              <w:top w:val="none" w:sz="0" w:space="0" w:color="auto"/>
              <w:bottom w:val="none" w:sz="0" w:space="0" w:color="auto"/>
            </w:tcBorders>
            <w:hideMark/>
          </w:tcPr>
          <w:p w14:paraId="43910A2B" w14:textId="77777777" w:rsidR="00E65570" w:rsidRPr="00E43655" w:rsidRDefault="00E65570" w:rsidP="00E43655">
            <w:pPr>
              <w:pStyle w:val="TableTextEntries"/>
              <w:rPr>
                <w:b w:val="0"/>
              </w:rPr>
            </w:pPr>
            <w:r w:rsidRPr="00E43655">
              <w:rPr>
                <w:b w:val="0"/>
              </w:rPr>
              <w:t>2011</w:t>
            </w:r>
          </w:p>
        </w:tc>
        <w:tc>
          <w:tcPr>
            <w:tcW w:w="200" w:type="pct"/>
            <w:gridSpan w:val="6"/>
            <w:tcBorders>
              <w:top w:val="none" w:sz="0" w:space="0" w:color="auto"/>
              <w:bottom w:val="none" w:sz="0" w:space="0" w:color="auto"/>
            </w:tcBorders>
            <w:noWrap/>
            <w:hideMark/>
          </w:tcPr>
          <w:p w14:paraId="2E3FE106" w14:textId="77777777" w:rsidR="00E65570" w:rsidRPr="00E43655" w:rsidRDefault="00E65570" w:rsidP="00E43655">
            <w:pPr>
              <w:pStyle w:val="TableTextEntries"/>
              <w:rPr>
                <w:rFonts w:cs="Arial"/>
                <w:b w:val="0"/>
                <w:bCs/>
                <w:color w:val="000000"/>
              </w:rPr>
            </w:pPr>
            <w:r w:rsidRPr="00E43655">
              <w:rPr>
                <w:rFonts w:cs="Arial"/>
                <w:b w:val="0"/>
                <w:bCs/>
                <w:color w:val="000000"/>
              </w:rPr>
              <w:t>EXEMPT</w:t>
            </w:r>
          </w:p>
        </w:tc>
      </w:tr>
      <w:tr w:rsidR="00AA6C47" w:rsidRPr="00E43655" w14:paraId="56E05B1D" w14:textId="77777777" w:rsidTr="00AA6C47">
        <w:trPr>
          <w:cnfStyle w:val="100000000000" w:firstRow="1" w:lastRow="0" w:firstColumn="0" w:lastColumn="0" w:oddVBand="0" w:evenVBand="0" w:oddHBand="0" w:evenHBand="0" w:firstRowFirstColumn="0" w:firstRowLastColumn="0" w:lastRowFirstColumn="0" w:lastRowLastColumn="0"/>
          <w:trHeight w:val="284"/>
        </w:trPr>
        <w:tc>
          <w:tcPr>
            <w:tcW w:w="1400" w:type="pct"/>
            <w:vMerge w:val="restart"/>
            <w:hideMark/>
          </w:tcPr>
          <w:p w14:paraId="4FB772AC" w14:textId="71005D98" w:rsidR="00677527" w:rsidRPr="00AA6C47" w:rsidRDefault="00677527" w:rsidP="00E43655">
            <w:pPr>
              <w:pStyle w:val="TableTextEntries"/>
              <w:rPr>
                <w:b w:val="0"/>
              </w:rPr>
            </w:pPr>
            <w:r w:rsidRPr="00AA6C47">
              <w:rPr>
                <w:b w:val="0"/>
              </w:rPr>
              <w:t>P</w:t>
            </w:r>
            <w:r w:rsidR="00742264" w:rsidRPr="00AA6C47">
              <w:rPr>
                <w:b w:val="0"/>
              </w:rPr>
              <w:t xml:space="preserve">eriodic </w:t>
            </w:r>
            <w:r w:rsidRPr="00AA6C47">
              <w:rPr>
                <w:b w:val="0"/>
              </w:rPr>
              <w:t>F</w:t>
            </w:r>
            <w:r w:rsidR="00742264" w:rsidRPr="00AA6C47">
              <w:rPr>
                <w:b w:val="0"/>
              </w:rPr>
              <w:t xml:space="preserve">und for </w:t>
            </w:r>
            <w:r w:rsidRPr="00AA6C47">
              <w:rPr>
                <w:b w:val="0"/>
              </w:rPr>
              <w:t>H</w:t>
            </w:r>
            <w:r w:rsidR="00742264" w:rsidRPr="00AA6C47">
              <w:rPr>
                <w:b w:val="0"/>
              </w:rPr>
              <w:t xml:space="preserve">umanitarian </w:t>
            </w:r>
            <w:r w:rsidRPr="00AA6C47">
              <w:rPr>
                <w:b w:val="0"/>
              </w:rPr>
              <w:t>A</w:t>
            </w:r>
            <w:r w:rsidR="00742264" w:rsidRPr="00AA6C47">
              <w:rPr>
                <w:b w:val="0"/>
              </w:rPr>
              <w:t xml:space="preserve">ssistance in </w:t>
            </w:r>
            <w:r w:rsidRPr="00AA6C47">
              <w:rPr>
                <w:b w:val="0"/>
              </w:rPr>
              <w:t>B</w:t>
            </w:r>
            <w:r w:rsidR="00742264" w:rsidRPr="00AA6C47">
              <w:rPr>
                <w:b w:val="0"/>
              </w:rPr>
              <w:t>urma</w:t>
            </w:r>
          </w:p>
        </w:tc>
        <w:tc>
          <w:tcPr>
            <w:tcW w:w="600" w:type="pct"/>
            <w:vMerge w:val="restart"/>
          </w:tcPr>
          <w:p w14:paraId="4BB70D3F" w14:textId="77777777" w:rsidR="00677527" w:rsidRPr="00E43655" w:rsidRDefault="00677527" w:rsidP="00E43655">
            <w:pPr>
              <w:pStyle w:val="TableTextEntries"/>
              <w:rPr>
                <w:b w:val="0"/>
              </w:rPr>
            </w:pPr>
            <w:r w:rsidRPr="00E43655">
              <w:rPr>
                <w:b w:val="0"/>
              </w:rPr>
              <w:t>$11.4 million Apr 05-Jun 14</w:t>
            </w:r>
          </w:p>
        </w:tc>
        <w:tc>
          <w:tcPr>
            <w:tcW w:w="400" w:type="pct"/>
            <w:hideMark/>
          </w:tcPr>
          <w:p w14:paraId="4883FEC8" w14:textId="66F7D5BA" w:rsidR="00677527" w:rsidRPr="00E43655" w:rsidRDefault="00677527" w:rsidP="00E43655">
            <w:pPr>
              <w:pStyle w:val="TableTextEntries"/>
              <w:rPr>
                <w:b w:val="0"/>
              </w:rPr>
            </w:pPr>
            <w:r w:rsidRPr="00E43655">
              <w:rPr>
                <w:b w:val="0"/>
              </w:rPr>
              <w:t>2012</w:t>
            </w:r>
            <w:r w:rsidR="00742264" w:rsidRPr="00E43655">
              <w:rPr>
                <w:b w:val="0"/>
              </w:rPr>
              <w:t>–</w:t>
            </w:r>
            <w:r w:rsidRPr="00E43655">
              <w:rPr>
                <w:b w:val="0"/>
              </w:rPr>
              <w:t>13</w:t>
            </w:r>
          </w:p>
        </w:tc>
        <w:tc>
          <w:tcPr>
            <w:tcW w:w="200" w:type="pct"/>
            <w:shd w:val="clear" w:color="auto" w:fill="FFFF00"/>
            <w:noWrap/>
            <w:hideMark/>
          </w:tcPr>
          <w:p w14:paraId="0AD210C8" w14:textId="77777777" w:rsidR="00677527" w:rsidRPr="00E43655" w:rsidRDefault="00677527"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92D050"/>
          </w:tcPr>
          <w:p w14:paraId="37DA7F21" w14:textId="77777777" w:rsidR="00677527" w:rsidRPr="00E43655" w:rsidRDefault="00677527"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92D050"/>
          </w:tcPr>
          <w:p w14:paraId="544BF0D9" w14:textId="77777777" w:rsidR="00677527" w:rsidRPr="00E43655" w:rsidRDefault="00677527"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FFFF00"/>
          </w:tcPr>
          <w:p w14:paraId="0063A933" w14:textId="77777777" w:rsidR="00677527" w:rsidRPr="00E43655" w:rsidRDefault="00677527"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79646" w:themeFill="accent6"/>
          </w:tcPr>
          <w:p w14:paraId="0A5EC061" w14:textId="77777777" w:rsidR="00677527" w:rsidRPr="00E43655" w:rsidRDefault="00677527" w:rsidP="00E43655">
            <w:pPr>
              <w:pStyle w:val="TableTextEntries"/>
              <w:jc w:val="center"/>
              <w:rPr>
                <w:rFonts w:cs="Arial"/>
                <w:b w:val="0"/>
                <w:bCs/>
                <w:color w:val="000000"/>
              </w:rPr>
            </w:pPr>
            <w:r w:rsidRPr="00E43655">
              <w:rPr>
                <w:rFonts w:cs="Arial"/>
                <w:b w:val="0"/>
                <w:bCs/>
                <w:color w:val="000000"/>
              </w:rPr>
              <w:t>3</w:t>
            </w:r>
          </w:p>
        </w:tc>
        <w:tc>
          <w:tcPr>
            <w:tcW w:w="200" w:type="pct"/>
            <w:shd w:val="clear" w:color="auto" w:fill="92D050"/>
          </w:tcPr>
          <w:p w14:paraId="7006FB37" w14:textId="77777777" w:rsidR="00677527" w:rsidRPr="00E43655" w:rsidRDefault="00677527" w:rsidP="00E43655">
            <w:pPr>
              <w:pStyle w:val="TableTextEntries"/>
              <w:jc w:val="center"/>
              <w:rPr>
                <w:rFonts w:cs="Arial"/>
                <w:b w:val="0"/>
                <w:bCs/>
                <w:color w:val="000000"/>
              </w:rPr>
            </w:pPr>
            <w:r w:rsidRPr="00E43655">
              <w:rPr>
                <w:rFonts w:cs="Arial"/>
                <w:b w:val="0"/>
                <w:bCs/>
                <w:color w:val="000000"/>
              </w:rPr>
              <w:t>5</w:t>
            </w:r>
          </w:p>
        </w:tc>
      </w:tr>
      <w:tr w:rsidR="00AA6C47" w:rsidRPr="00E43655" w14:paraId="6E03D7FE" w14:textId="77777777" w:rsidTr="00AA6C47">
        <w:trPr>
          <w:cnfStyle w:val="100000000000" w:firstRow="1" w:lastRow="0" w:firstColumn="0" w:lastColumn="0" w:oddVBand="0" w:evenVBand="0" w:oddHBand="0" w:evenHBand="0" w:firstRowFirstColumn="0" w:firstRowLastColumn="0" w:lastRowFirstColumn="0" w:lastRowLastColumn="0"/>
          <w:trHeight w:val="284"/>
        </w:trPr>
        <w:tc>
          <w:tcPr>
            <w:tcW w:w="1400" w:type="pct"/>
            <w:vMerge/>
            <w:hideMark/>
          </w:tcPr>
          <w:p w14:paraId="7814590C" w14:textId="77777777" w:rsidR="00E65570" w:rsidRPr="00AA6C47" w:rsidRDefault="00E65570" w:rsidP="00E43655">
            <w:pPr>
              <w:pStyle w:val="TableTextEntries"/>
              <w:rPr>
                <w:b w:val="0"/>
              </w:rPr>
            </w:pPr>
          </w:p>
        </w:tc>
        <w:tc>
          <w:tcPr>
            <w:tcW w:w="600" w:type="pct"/>
            <w:vMerge/>
          </w:tcPr>
          <w:p w14:paraId="3FA928AE" w14:textId="77777777" w:rsidR="00E65570" w:rsidRPr="00E43655" w:rsidRDefault="00E65570" w:rsidP="00E43655">
            <w:pPr>
              <w:pStyle w:val="TableTextEntries"/>
              <w:rPr>
                <w:b w:val="0"/>
              </w:rPr>
            </w:pPr>
          </w:p>
        </w:tc>
        <w:tc>
          <w:tcPr>
            <w:tcW w:w="400" w:type="pct"/>
            <w:hideMark/>
          </w:tcPr>
          <w:p w14:paraId="578A76D9" w14:textId="77777777" w:rsidR="00E65570" w:rsidRPr="00E43655" w:rsidRDefault="00E65570" w:rsidP="00E43655">
            <w:pPr>
              <w:pStyle w:val="TableTextEntries"/>
              <w:rPr>
                <w:b w:val="0"/>
              </w:rPr>
            </w:pPr>
            <w:r w:rsidRPr="00E43655">
              <w:rPr>
                <w:b w:val="0"/>
              </w:rPr>
              <w:t>2011</w:t>
            </w:r>
          </w:p>
        </w:tc>
        <w:tc>
          <w:tcPr>
            <w:tcW w:w="200" w:type="pct"/>
            <w:shd w:val="clear" w:color="auto" w:fill="FFFF00"/>
            <w:noWrap/>
            <w:hideMark/>
          </w:tcPr>
          <w:p w14:paraId="75FE424A"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FFF00"/>
            <w:noWrap/>
            <w:hideMark/>
          </w:tcPr>
          <w:p w14:paraId="3641FA75"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79646" w:themeFill="accent6"/>
            <w:noWrap/>
            <w:hideMark/>
          </w:tcPr>
          <w:p w14:paraId="1C3231CC"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3</w:t>
            </w:r>
          </w:p>
        </w:tc>
        <w:tc>
          <w:tcPr>
            <w:tcW w:w="200" w:type="pct"/>
            <w:shd w:val="clear" w:color="auto" w:fill="F79646" w:themeFill="accent6"/>
            <w:noWrap/>
            <w:hideMark/>
          </w:tcPr>
          <w:p w14:paraId="4CAD2A0A"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3</w:t>
            </w:r>
          </w:p>
        </w:tc>
        <w:tc>
          <w:tcPr>
            <w:tcW w:w="200" w:type="pct"/>
            <w:shd w:val="clear" w:color="auto" w:fill="F79646" w:themeFill="accent6"/>
            <w:noWrap/>
            <w:hideMark/>
          </w:tcPr>
          <w:p w14:paraId="2A328DB0"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3</w:t>
            </w:r>
          </w:p>
        </w:tc>
        <w:tc>
          <w:tcPr>
            <w:tcW w:w="200" w:type="pct"/>
            <w:shd w:val="clear" w:color="auto" w:fill="FFFF00"/>
            <w:noWrap/>
            <w:hideMark/>
          </w:tcPr>
          <w:p w14:paraId="70725A6C"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r>
      <w:tr w:rsidR="00AA6C47" w:rsidRPr="00E43655" w14:paraId="06AAF547" w14:textId="77777777" w:rsidTr="00AA6C47">
        <w:trPr>
          <w:cnfStyle w:val="100000000000" w:firstRow="1" w:lastRow="0" w:firstColumn="0" w:lastColumn="0" w:oddVBand="0" w:evenVBand="0" w:oddHBand="0" w:evenHBand="0" w:firstRowFirstColumn="0" w:firstRowLastColumn="0" w:lastRowFirstColumn="0" w:lastRowLastColumn="0"/>
          <w:trHeight w:val="284"/>
        </w:trPr>
        <w:tc>
          <w:tcPr>
            <w:tcW w:w="1400" w:type="pct"/>
            <w:vMerge w:val="restart"/>
            <w:hideMark/>
          </w:tcPr>
          <w:p w14:paraId="248227BB" w14:textId="77777777" w:rsidR="00E65570" w:rsidRPr="00AA6C47" w:rsidRDefault="00E65570" w:rsidP="00E43655">
            <w:pPr>
              <w:pStyle w:val="TableTextEntries"/>
              <w:rPr>
                <w:b w:val="0"/>
              </w:rPr>
            </w:pPr>
            <w:r w:rsidRPr="00AA6C47">
              <w:rPr>
                <w:b w:val="0"/>
              </w:rPr>
              <w:t>Three Diseases Fund 2</w:t>
            </w:r>
          </w:p>
        </w:tc>
        <w:tc>
          <w:tcPr>
            <w:tcW w:w="600" w:type="pct"/>
            <w:vMerge w:val="restart"/>
          </w:tcPr>
          <w:p w14:paraId="303AFF89" w14:textId="77777777" w:rsidR="00E65570" w:rsidRPr="00E43655" w:rsidRDefault="00F763A5" w:rsidP="00E43655">
            <w:pPr>
              <w:pStyle w:val="TableTextEntries"/>
              <w:rPr>
                <w:b w:val="0"/>
              </w:rPr>
            </w:pPr>
            <w:r w:rsidRPr="00E43655">
              <w:rPr>
                <w:b w:val="0"/>
              </w:rPr>
              <w:t>$13.1 million Nov 06-Jun 13</w:t>
            </w:r>
          </w:p>
        </w:tc>
        <w:tc>
          <w:tcPr>
            <w:tcW w:w="400" w:type="pct"/>
            <w:hideMark/>
          </w:tcPr>
          <w:p w14:paraId="6269F300" w14:textId="4CCF23C6" w:rsidR="00E65570" w:rsidRPr="00E43655" w:rsidRDefault="00E65570" w:rsidP="00E43655">
            <w:pPr>
              <w:pStyle w:val="TableTextEntries"/>
              <w:rPr>
                <w:b w:val="0"/>
              </w:rPr>
            </w:pPr>
            <w:r w:rsidRPr="00E43655">
              <w:rPr>
                <w:b w:val="0"/>
              </w:rPr>
              <w:t>2012</w:t>
            </w:r>
            <w:r w:rsidR="00742264" w:rsidRPr="00E43655">
              <w:rPr>
                <w:b w:val="0"/>
              </w:rPr>
              <w:t>–</w:t>
            </w:r>
            <w:r w:rsidRPr="00E43655">
              <w:rPr>
                <w:b w:val="0"/>
              </w:rPr>
              <w:t>13</w:t>
            </w:r>
          </w:p>
        </w:tc>
        <w:tc>
          <w:tcPr>
            <w:tcW w:w="200" w:type="pct"/>
            <w:shd w:val="clear" w:color="auto" w:fill="92D050"/>
            <w:noWrap/>
            <w:hideMark/>
          </w:tcPr>
          <w:p w14:paraId="159C24BD"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92D050"/>
            <w:noWrap/>
            <w:hideMark/>
          </w:tcPr>
          <w:p w14:paraId="223A230E"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92D050"/>
            <w:noWrap/>
            <w:hideMark/>
          </w:tcPr>
          <w:p w14:paraId="2B5F9300"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FFFF00"/>
            <w:noWrap/>
            <w:hideMark/>
          </w:tcPr>
          <w:p w14:paraId="0C972259"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92D050"/>
            <w:noWrap/>
            <w:hideMark/>
          </w:tcPr>
          <w:p w14:paraId="1D0D5E6A"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F79646" w:themeFill="accent6"/>
            <w:noWrap/>
            <w:hideMark/>
          </w:tcPr>
          <w:p w14:paraId="24EBD72F"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3</w:t>
            </w:r>
          </w:p>
        </w:tc>
      </w:tr>
      <w:tr w:rsidR="00E65570" w:rsidRPr="00E43655" w14:paraId="4FED9BEC" w14:textId="77777777" w:rsidTr="00AA6C47">
        <w:trPr>
          <w:cnfStyle w:val="100000000000" w:firstRow="1" w:lastRow="0" w:firstColumn="0" w:lastColumn="0" w:oddVBand="0" w:evenVBand="0" w:oddHBand="0" w:evenHBand="0" w:firstRowFirstColumn="0" w:firstRowLastColumn="0" w:lastRowFirstColumn="0" w:lastRowLastColumn="0"/>
          <w:trHeight w:val="284"/>
        </w:trPr>
        <w:tc>
          <w:tcPr>
            <w:tcW w:w="1400" w:type="pct"/>
            <w:vMerge/>
            <w:tcBorders>
              <w:top w:val="none" w:sz="0" w:space="0" w:color="auto"/>
              <w:bottom w:val="none" w:sz="0" w:space="0" w:color="auto"/>
            </w:tcBorders>
            <w:hideMark/>
          </w:tcPr>
          <w:p w14:paraId="6790580B" w14:textId="77777777" w:rsidR="00E65570" w:rsidRPr="00AA6C47" w:rsidRDefault="00E65570" w:rsidP="00E43655">
            <w:pPr>
              <w:pStyle w:val="TableTextEntries"/>
              <w:rPr>
                <w:b w:val="0"/>
              </w:rPr>
            </w:pPr>
          </w:p>
        </w:tc>
        <w:tc>
          <w:tcPr>
            <w:tcW w:w="600" w:type="pct"/>
            <w:vMerge/>
            <w:tcBorders>
              <w:top w:val="none" w:sz="0" w:space="0" w:color="auto"/>
              <w:bottom w:val="none" w:sz="0" w:space="0" w:color="auto"/>
            </w:tcBorders>
          </w:tcPr>
          <w:p w14:paraId="278E8121" w14:textId="77777777" w:rsidR="00E65570" w:rsidRPr="00E43655" w:rsidRDefault="00E65570" w:rsidP="00E43655">
            <w:pPr>
              <w:pStyle w:val="TableTextEntries"/>
              <w:rPr>
                <w:b w:val="0"/>
              </w:rPr>
            </w:pPr>
          </w:p>
        </w:tc>
        <w:tc>
          <w:tcPr>
            <w:tcW w:w="400" w:type="pct"/>
            <w:tcBorders>
              <w:top w:val="none" w:sz="0" w:space="0" w:color="auto"/>
              <w:bottom w:val="none" w:sz="0" w:space="0" w:color="auto"/>
            </w:tcBorders>
            <w:hideMark/>
          </w:tcPr>
          <w:p w14:paraId="20FC8E61" w14:textId="77777777" w:rsidR="00E65570" w:rsidRPr="00E43655" w:rsidRDefault="00E65570" w:rsidP="00E43655">
            <w:pPr>
              <w:pStyle w:val="TableTextEntries"/>
              <w:rPr>
                <w:b w:val="0"/>
              </w:rPr>
            </w:pPr>
            <w:r w:rsidRPr="00E43655">
              <w:rPr>
                <w:b w:val="0"/>
              </w:rPr>
              <w:t>2011</w:t>
            </w:r>
          </w:p>
        </w:tc>
        <w:tc>
          <w:tcPr>
            <w:tcW w:w="200" w:type="pct"/>
            <w:gridSpan w:val="6"/>
            <w:tcBorders>
              <w:top w:val="none" w:sz="0" w:space="0" w:color="auto"/>
              <w:bottom w:val="none" w:sz="0" w:space="0" w:color="auto"/>
            </w:tcBorders>
            <w:noWrap/>
            <w:hideMark/>
          </w:tcPr>
          <w:p w14:paraId="13EEEC58" w14:textId="77777777" w:rsidR="00E65570" w:rsidRPr="00E43655" w:rsidRDefault="00E65570" w:rsidP="0009565B">
            <w:pPr>
              <w:pStyle w:val="TableTextEntries"/>
              <w:rPr>
                <w:rFonts w:cs="Arial"/>
                <w:b w:val="0"/>
                <w:bCs/>
                <w:color w:val="000000"/>
              </w:rPr>
            </w:pPr>
            <w:r w:rsidRPr="00E43655">
              <w:rPr>
                <w:rFonts w:cs="Arial"/>
                <w:b w:val="0"/>
                <w:bCs/>
                <w:color w:val="000000"/>
              </w:rPr>
              <w:t>EXEMPT</w:t>
            </w:r>
          </w:p>
        </w:tc>
      </w:tr>
      <w:tr w:rsidR="00AA6C47" w:rsidRPr="00E43655" w14:paraId="25CD2F68" w14:textId="77777777" w:rsidTr="00AA6C47">
        <w:trPr>
          <w:cnfStyle w:val="100000000000" w:firstRow="1" w:lastRow="0" w:firstColumn="0" w:lastColumn="0" w:oddVBand="0" w:evenVBand="0" w:oddHBand="0" w:evenHBand="0" w:firstRowFirstColumn="0" w:firstRowLastColumn="0" w:lastRowFirstColumn="0" w:lastRowLastColumn="0"/>
          <w:trHeight w:val="284"/>
        </w:trPr>
        <w:tc>
          <w:tcPr>
            <w:tcW w:w="1400" w:type="pct"/>
            <w:vMerge w:val="restart"/>
            <w:hideMark/>
          </w:tcPr>
          <w:p w14:paraId="69839029" w14:textId="77777777" w:rsidR="00E65570" w:rsidRPr="00AA6C47" w:rsidRDefault="00E65570" w:rsidP="00E43655">
            <w:pPr>
              <w:pStyle w:val="TableTextEntries"/>
              <w:rPr>
                <w:b w:val="0"/>
              </w:rPr>
            </w:pPr>
            <w:r w:rsidRPr="00AA6C47">
              <w:rPr>
                <w:b w:val="0"/>
              </w:rPr>
              <w:t>Livelihoods and Food Security Trust Fund</w:t>
            </w:r>
          </w:p>
        </w:tc>
        <w:tc>
          <w:tcPr>
            <w:tcW w:w="600" w:type="pct"/>
            <w:vMerge w:val="restart"/>
          </w:tcPr>
          <w:p w14:paraId="773E7684" w14:textId="77777777" w:rsidR="00E65570" w:rsidRPr="00E43655" w:rsidRDefault="00F763A5" w:rsidP="00E43655">
            <w:pPr>
              <w:pStyle w:val="TableTextEntries"/>
              <w:rPr>
                <w:b w:val="0"/>
              </w:rPr>
            </w:pPr>
            <w:r w:rsidRPr="00E43655">
              <w:rPr>
                <w:b w:val="0"/>
              </w:rPr>
              <w:t>$19.0 million Dec 09</w:t>
            </w:r>
            <w:r w:rsidRPr="00E43655">
              <w:rPr>
                <w:b w:val="0"/>
              </w:rPr>
              <w:noBreakHyphen/>
              <w:t>Jun 15</w:t>
            </w:r>
          </w:p>
        </w:tc>
        <w:tc>
          <w:tcPr>
            <w:tcW w:w="400" w:type="pct"/>
            <w:hideMark/>
          </w:tcPr>
          <w:p w14:paraId="3255AF4C" w14:textId="419C4FA7" w:rsidR="00E65570" w:rsidRPr="00E43655" w:rsidRDefault="00E65570" w:rsidP="00E43655">
            <w:pPr>
              <w:pStyle w:val="TableTextEntries"/>
              <w:rPr>
                <w:b w:val="0"/>
              </w:rPr>
            </w:pPr>
            <w:r w:rsidRPr="00E43655">
              <w:rPr>
                <w:b w:val="0"/>
              </w:rPr>
              <w:t>2012</w:t>
            </w:r>
            <w:r w:rsidR="00742264" w:rsidRPr="00E43655">
              <w:rPr>
                <w:b w:val="0"/>
              </w:rPr>
              <w:t>–</w:t>
            </w:r>
            <w:r w:rsidRPr="00E43655">
              <w:rPr>
                <w:b w:val="0"/>
              </w:rPr>
              <w:t>13</w:t>
            </w:r>
          </w:p>
        </w:tc>
        <w:tc>
          <w:tcPr>
            <w:tcW w:w="200" w:type="pct"/>
            <w:shd w:val="clear" w:color="auto" w:fill="92D050"/>
            <w:noWrap/>
            <w:hideMark/>
          </w:tcPr>
          <w:p w14:paraId="1C32CE81"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FFFF00"/>
            <w:noWrap/>
            <w:hideMark/>
          </w:tcPr>
          <w:p w14:paraId="6428E0CF"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92D050"/>
            <w:noWrap/>
            <w:hideMark/>
          </w:tcPr>
          <w:p w14:paraId="0F455D03"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92D050"/>
            <w:noWrap/>
            <w:hideMark/>
          </w:tcPr>
          <w:p w14:paraId="730E0092"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FFFF00"/>
            <w:noWrap/>
            <w:hideMark/>
          </w:tcPr>
          <w:p w14:paraId="7B38E1FD"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79646" w:themeFill="accent6"/>
            <w:noWrap/>
            <w:hideMark/>
          </w:tcPr>
          <w:p w14:paraId="504297FA"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3</w:t>
            </w:r>
          </w:p>
        </w:tc>
      </w:tr>
      <w:tr w:rsidR="00AA6C47" w:rsidRPr="00E43655" w14:paraId="5E27D43D" w14:textId="77777777" w:rsidTr="00AA6C47">
        <w:trPr>
          <w:cnfStyle w:val="100000000000" w:firstRow="1" w:lastRow="0" w:firstColumn="0" w:lastColumn="0" w:oddVBand="0" w:evenVBand="0" w:oddHBand="0" w:evenHBand="0" w:firstRowFirstColumn="0" w:firstRowLastColumn="0" w:lastRowFirstColumn="0" w:lastRowLastColumn="0"/>
          <w:trHeight w:val="284"/>
        </w:trPr>
        <w:tc>
          <w:tcPr>
            <w:tcW w:w="1400" w:type="pct"/>
            <w:vMerge/>
            <w:hideMark/>
          </w:tcPr>
          <w:p w14:paraId="4BA07D9A" w14:textId="77777777" w:rsidR="00E65570" w:rsidRPr="00AA6C47" w:rsidRDefault="00E65570" w:rsidP="00E43655">
            <w:pPr>
              <w:pStyle w:val="TableTextEntries"/>
              <w:rPr>
                <w:b w:val="0"/>
              </w:rPr>
            </w:pPr>
          </w:p>
        </w:tc>
        <w:tc>
          <w:tcPr>
            <w:tcW w:w="600" w:type="pct"/>
            <w:vMerge/>
          </w:tcPr>
          <w:p w14:paraId="66FF4819" w14:textId="77777777" w:rsidR="00E65570" w:rsidRPr="00E43655" w:rsidRDefault="00E65570" w:rsidP="00E43655">
            <w:pPr>
              <w:pStyle w:val="TableTextEntries"/>
              <w:rPr>
                <w:b w:val="0"/>
              </w:rPr>
            </w:pPr>
          </w:p>
        </w:tc>
        <w:tc>
          <w:tcPr>
            <w:tcW w:w="400" w:type="pct"/>
            <w:hideMark/>
          </w:tcPr>
          <w:p w14:paraId="6A7DC809" w14:textId="77777777" w:rsidR="00E65570" w:rsidRPr="00E43655" w:rsidRDefault="00E65570" w:rsidP="00E43655">
            <w:pPr>
              <w:pStyle w:val="TableTextEntries"/>
              <w:rPr>
                <w:b w:val="0"/>
              </w:rPr>
            </w:pPr>
            <w:r w:rsidRPr="00E43655">
              <w:rPr>
                <w:b w:val="0"/>
              </w:rPr>
              <w:t>2011</w:t>
            </w:r>
          </w:p>
        </w:tc>
        <w:tc>
          <w:tcPr>
            <w:tcW w:w="200" w:type="pct"/>
            <w:shd w:val="clear" w:color="auto" w:fill="92D050"/>
            <w:noWrap/>
            <w:hideMark/>
          </w:tcPr>
          <w:p w14:paraId="7670031E"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FFFF00"/>
            <w:noWrap/>
            <w:hideMark/>
          </w:tcPr>
          <w:p w14:paraId="42348DC9"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92D050"/>
            <w:noWrap/>
            <w:hideMark/>
          </w:tcPr>
          <w:p w14:paraId="75302378"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92D050"/>
            <w:noWrap/>
            <w:hideMark/>
          </w:tcPr>
          <w:p w14:paraId="52CDAF6C"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FFFF00"/>
            <w:noWrap/>
            <w:hideMark/>
          </w:tcPr>
          <w:p w14:paraId="37CFB3C0"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79646" w:themeFill="accent6"/>
            <w:noWrap/>
            <w:hideMark/>
          </w:tcPr>
          <w:p w14:paraId="362FADB5"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3</w:t>
            </w:r>
          </w:p>
        </w:tc>
      </w:tr>
      <w:tr w:rsidR="00AA6C47" w:rsidRPr="00E43655" w14:paraId="588B7943" w14:textId="77777777" w:rsidTr="00AA6C47">
        <w:trPr>
          <w:cnfStyle w:val="100000000000" w:firstRow="1" w:lastRow="0" w:firstColumn="0" w:lastColumn="0" w:oddVBand="0" w:evenVBand="0" w:oddHBand="0" w:evenHBand="0" w:firstRowFirstColumn="0" w:firstRowLastColumn="0" w:lastRowFirstColumn="0" w:lastRowLastColumn="0"/>
          <w:trHeight w:val="284"/>
        </w:trPr>
        <w:tc>
          <w:tcPr>
            <w:tcW w:w="1400" w:type="pct"/>
            <w:vMerge w:val="restart"/>
            <w:hideMark/>
          </w:tcPr>
          <w:p w14:paraId="3906200C" w14:textId="77777777" w:rsidR="00E65570" w:rsidRPr="00AA6C47" w:rsidRDefault="00E65570" w:rsidP="00E43655">
            <w:pPr>
              <w:pStyle w:val="TableTextEntries"/>
              <w:rPr>
                <w:b w:val="0"/>
              </w:rPr>
            </w:pPr>
            <w:r w:rsidRPr="00AA6C47">
              <w:rPr>
                <w:b w:val="0"/>
              </w:rPr>
              <w:t>Improving Access to Maternal and Child Healthcare</w:t>
            </w:r>
          </w:p>
        </w:tc>
        <w:tc>
          <w:tcPr>
            <w:tcW w:w="600" w:type="pct"/>
            <w:vMerge w:val="restart"/>
          </w:tcPr>
          <w:p w14:paraId="3B0837D0" w14:textId="77777777" w:rsidR="00E65570" w:rsidRPr="00E43655" w:rsidRDefault="00F763A5" w:rsidP="00E43655">
            <w:pPr>
              <w:pStyle w:val="TableTextEntries"/>
              <w:rPr>
                <w:b w:val="0"/>
              </w:rPr>
            </w:pPr>
            <w:r w:rsidRPr="00E43655">
              <w:rPr>
                <w:b w:val="0"/>
              </w:rPr>
              <w:t>$3.5 million Feb 10</w:t>
            </w:r>
            <w:r w:rsidRPr="00E43655">
              <w:rPr>
                <w:b w:val="0"/>
              </w:rPr>
              <w:noBreakHyphen/>
              <w:t>Jun 13</w:t>
            </w:r>
          </w:p>
        </w:tc>
        <w:tc>
          <w:tcPr>
            <w:tcW w:w="400" w:type="pct"/>
            <w:hideMark/>
          </w:tcPr>
          <w:p w14:paraId="4551FD08" w14:textId="24A882A6" w:rsidR="00E65570" w:rsidRPr="00E43655" w:rsidRDefault="00E65570" w:rsidP="00E43655">
            <w:pPr>
              <w:pStyle w:val="TableTextEntries"/>
              <w:rPr>
                <w:b w:val="0"/>
              </w:rPr>
            </w:pPr>
            <w:r w:rsidRPr="00E43655">
              <w:rPr>
                <w:b w:val="0"/>
              </w:rPr>
              <w:t>2012</w:t>
            </w:r>
            <w:r w:rsidR="00742264" w:rsidRPr="00E43655">
              <w:rPr>
                <w:b w:val="0"/>
              </w:rPr>
              <w:t>–</w:t>
            </w:r>
            <w:r w:rsidRPr="00E43655">
              <w:rPr>
                <w:b w:val="0"/>
              </w:rPr>
              <w:t>13</w:t>
            </w:r>
          </w:p>
        </w:tc>
        <w:tc>
          <w:tcPr>
            <w:tcW w:w="200" w:type="pct"/>
            <w:shd w:val="clear" w:color="auto" w:fill="92D050"/>
            <w:noWrap/>
            <w:hideMark/>
          </w:tcPr>
          <w:p w14:paraId="7564E6E8"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92D050"/>
            <w:noWrap/>
            <w:hideMark/>
          </w:tcPr>
          <w:p w14:paraId="3AFB4BAA"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FFFF00"/>
            <w:noWrap/>
            <w:hideMark/>
          </w:tcPr>
          <w:p w14:paraId="55929C7D"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FFF00"/>
            <w:noWrap/>
            <w:hideMark/>
          </w:tcPr>
          <w:p w14:paraId="748A382E"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92D050"/>
            <w:noWrap/>
            <w:hideMark/>
          </w:tcPr>
          <w:p w14:paraId="759A3591"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92D050"/>
            <w:noWrap/>
            <w:hideMark/>
          </w:tcPr>
          <w:p w14:paraId="3805FB6E"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r>
      <w:tr w:rsidR="00AA6C47" w:rsidRPr="00E43655" w14:paraId="39874842" w14:textId="77777777" w:rsidTr="00AA6C47">
        <w:trPr>
          <w:cnfStyle w:val="100000000000" w:firstRow="1" w:lastRow="0" w:firstColumn="0" w:lastColumn="0" w:oddVBand="0" w:evenVBand="0" w:oddHBand="0" w:evenHBand="0" w:firstRowFirstColumn="0" w:firstRowLastColumn="0" w:lastRowFirstColumn="0" w:lastRowLastColumn="0"/>
          <w:trHeight w:val="284"/>
        </w:trPr>
        <w:tc>
          <w:tcPr>
            <w:tcW w:w="1400" w:type="pct"/>
            <w:vMerge/>
            <w:hideMark/>
          </w:tcPr>
          <w:p w14:paraId="79B7D20F" w14:textId="77777777" w:rsidR="00E65570" w:rsidRPr="00AA6C47" w:rsidRDefault="00E65570" w:rsidP="00E43655">
            <w:pPr>
              <w:pStyle w:val="TableTextEntries"/>
              <w:rPr>
                <w:b w:val="0"/>
              </w:rPr>
            </w:pPr>
          </w:p>
        </w:tc>
        <w:tc>
          <w:tcPr>
            <w:tcW w:w="600" w:type="pct"/>
            <w:vMerge/>
          </w:tcPr>
          <w:p w14:paraId="1C0277AC" w14:textId="77777777" w:rsidR="00E65570" w:rsidRPr="00E43655" w:rsidRDefault="00E65570" w:rsidP="00E43655">
            <w:pPr>
              <w:pStyle w:val="TableTextEntries"/>
              <w:rPr>
                <w:b w:val="0"/>
              </w:rPr>
            </w:pPr>
          </w:p>
        </w:tc>
        <w:tc>
          <w:tcPr>
            <w:tcW w:w="400" w:type="pct"/>
            <w:hideMark/>
          </w:tcPr>
          <w:p w14:paraId="25B5BC74" w14:textId="77777777" w:rsidR="00E65570" w:rsidRPr="00E43655" w:rsidRDefault="00E65570" w:rsidP="00E43655">
            <w:pPr>
              <w:pStyle w:val="TableTextEntries"/>
              <w:rPr>
                <w:b w:val="0"/>
              </w:rPr>
            </w:pPr>
            <w:r w:rsidRPr="00E43655">
              <w:rPr>
                <w:b w:val="0"/>
              </w:rPr>
              <w:t>2011</w:t>
            </w:r>
          </w:p>
        </w:tc>
        <w:tc>
          <w:tcPr>
            <w:tcW w:w="200" w:type="pct"/>
            <w:shd w:val="clear" w:color="auto" w:fill="92D050"/>
            <w:noWrap/>
            <w:hideMark/>
          </w:tcPr>
          <w:p w14:paraId="480B861B"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FFFF00"/>
            <w:noWrap/>
            <w:hideMark/>
          </w:tcPr>
          <w:p w14:paraId="7D249D16"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FFF00"/>
            <w:noWrap/>
            <w:hideMark/>
          </w:tcPr>
          <w:p w14:paraId="00AB48B0"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79646" w:themeFill="accent6"/>
            <w:noWrap/>
            <w:hideMark/>
          </w:tcPr>
          <w:p w14:paraId="4610266F"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3</w:t>
            </w:r>
          </w:p>
        </w:tc>
        <w:tc>
          <w:tcPr>
            <w:tcW w:w="200" w:type="pct"/>
            <w:shd w:val="clear" w:color="auto" w:fill="FF0000"/>
            <w:noWrap/>
            <w:hideMark/>
          </w:tcPr>
          <w:p w14:paraId="749F4764"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2</w:t>
            </w:r>
          </w:p>
        </w:tc>
        <w:tc>
          <w:tcPr>
            <w:tcW w:w="200" w:type="pct"/>
            <w:shd w:val="clear" w:color="auto" w:fill="FF0000"/>
            <w:noWrap/>
            <w:hideMark/>
          </w:tcPr>
          <w:p w14:paraId="1D82AF2E"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2</w:t>
            </w:r>
          </w:p>
        </w:tc>
      </w:tr>
      <w:tr w:rsidR="00AA6C47" w:rsidRPr="00E43655" w14:paraId="216577E9" w14:textId="77777777" w:rsidTr="00AA6C47">
        <w:trPr>
          <w:cnfStyle w:val="100000000000" w:firstRow="1" w:lastRow="0" w:firstColumn="0" w:lastColumn="0" w:oddVBand="0" w:evenVBand="0" w:oddHBand="0" w:evenHBand="0" w:firstRowFirstColumn="0" w:firstRowLastColumn="0" w:lastRowFirstColumn="0" w:lastRowLastColumn="0"/>
          <w:trHeight w:val="284"/>
        </w:trPr>
        <w:tc>
          <w:tcPr>
            <w:tcW w:w="1400" w:type="pct"/>
            <w:vMerge w:val="restart"/>
            <w:hideMark/>
          </w:tcPr>
          <w:p w14:paraId="15EBEFEF" w14:textId="77777777" w:rsidR="00E65570" w:rsidRPr="00AA6C47" w:rsidRDefault="00E65570" w:rsidP="00E43655">
            <w:pPr>
              <w:pStyle w:val="TableTextEntries"/>
              <w:rPr>
                <w:b w:val="0"/>
              </w:rPr>
            </w:pPr>
            <w:r w:rsidRPr="00AA6C47">
              <w:rPr>
                <w:b w:val="0"/>
              </w:rPr>
              <w:t>Thai-Myanmar Border Refugee Programs</w:t>
            </w:r>
          </w:p>
        </w:tc>
        <w:tc>
          <w:tcPr>
            <w:tcW w:w="600" w:type="pct"/>
            <w:vMerge w:val="restart"/>
          </w:tcPr>
          <w:p w14:paraId="17606324" w14:textId="77777777" w:rsidR="00E65570" w:rsidRPr="00E43655" w:rsidRDefault="00F763A5" w:rsidP="00E43655">
            <w:pPr>
              <w:pStyle w:val="TableTextEntries"/>
              <w:rPr>
                <w:b w:val="0"/>
              </w:rPr>
            </w:pPr>
            <w:r w:rsidRPr="00E43655">
              <w:rPr>
                <w:b w:val="0"/>
              </w:rPr>
              <w:t>$5.0 million Jul 11</w:t>
            </w:r>
            <w:r w:rsidRPr="00E43655">
              <w:rPr>
                <w:b w:val="0"/>
              </w:rPr>
              <w:noBreakHyphen/>
              <w:t>Jun 13</w:t>
            </w:r>
          </w:p>
        </w:tc>
        <w:tc>
          <w:tcPr>
            <w:tcW w:w="400" w:type="pct"/>
            <w:hideMark/>
          </w:tcPr>
          <w:p w14:paraId="67C82235" w14:textId="6FA8F0FE" w:rsidR="00E65570" w:rsidRPr="00E43655" w:rsidRDefault="00E65570" w:rsidP="00E43655">
            <w:pPr>
              <w:pStyle w:val="TableTextEntries"/>
              <w:rPr>
                <w:b w:val="0"/>
              </w:rPr>
            </w:pPr>
            <w:r w:rsidRPr="00E43655">
              <w:rPr>
                <w:b w:val="0"/>
              </w:rPr>
              <w:t>2012</w:t>
            </w:r>
            <w:r w:rsidR="00742264" w:rsidRPr="00E43655">
              <w:rPr>
                <w:b w:val="0"/>
              </w:rPr>
              <w:t>–</w:t>
            </w:r>
            <w:r w:rsidRPr="00E43655">
              <w:rPr>
                <w:b w:val="0"/>
              </w:rPr>
              <w:t>13</w:t>
            </w:r>
          </w:p>
        </w:tc>
        <w:tc>
          <w:tcPr>
            <w:tcW w:w="200" w:type="pct"/>
            <w:shd w:val="clear" w:color="auto" w:fill="92D050"/>
            <w:noWrap/>
            <w:hideMark/>
          </w:tcPr>
          <w:p w14:paraId="03D54C0F"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92D050"/>
            <w:noWrap/>
            <w:hideMark/>
          </w:tcPr>
          <w:p w14:paraId="28D39825"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FFFF00"/>
            <w:noWrap/>
            <w:hideMark/>
          </w:tcPr>
          <w:p w14:paraId="58807BDC"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FFF00"/>
            <w:noWrap/>
            <w:hideMark/>
          </w:tcPr>
          <w:p w14:paraId="541C9E82"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92D050"/>
            <w:noWrap/>
            <w:hideMark/>
          </w:tcPr>
          <w:p w14:paraId="68F9B72B"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FFFF00"/>
            <w:noWrap/>
            <w:hideMark/>
          </w:tcPr>
          <w:p w14:paraId="4EF4D392"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r>
      <w:tr w:rsidR="00AA6C47" w:rsidRPr="00E43655" w14:paraId="3ADABB3D" w14:textId="77777777" w:rsidTr="00AA6C47">
        <w:trPr>
          <w:cnfStyle w:val="100000000000" w:firstRow="1" w:lastRow="0" w:firstColumn="0" w:lastColumn="0" w:oddVBand="0" w:evenVBand="0" w:oddHBand="0" w:evenHBand="0" w:firstRowFirstColumn="0" w:firstRowLastColumn="0" w:lastRowFirstColumn="0" w:lastRowLastColumn="0"/>
          <w:trHeight w:val="284"/>
        </w:trPr>
        <w:tc>
          <w:tcPr>
            <w:tcW w:w="1400" w:type="pct"/>
            <w:vMerge/>
            <w:hideMark/>
          </w:tcPr>
          <w:p w14:paraId="4CB5E063" w14:textId="77777777" w:rsidR="00E65570" w:rsidRPr="00AA6C47" w:rsidRDefault="00E65570" w:rsidP="00E43655">
            <w:pPr>
              <w:pStyle w:val="TableTextEntries"/>
              <w:rPr>
                <w:b w:val="0"/>
              </w:rPr>
            </w:pPr>
          </w:p>
        </w:tc>
        <w:tc>
          <w:tcPr>
            <w:tcW w:w="600" w:type="pct"/>
            <w:vMerge/>
          </w:tcPr>
          <w:p w14:paraId="786E1F63" w14:textId="77777777" w:rsidR="00E65570" w:rsidRPr="00E43655" w:rsidRDefault="00E65570" w:rsidP="00E43655">
            <w:pPr>
              <w:pStyle w:val="TableTextEntries"/>
              <w:rPr>
                <w:b w:val="0"/>
              </w:rPr>
            </w:pPr>
          </w:p>
        </w:tc>
        <w:tc>
          <w:tcPr>
            <w:tcW w:w="400" w:type="pct"/>
            <w:hideMark/>
          </w:tcPr>
          <w:p w14:paraId="33B7089C" w14:textId="77777777" w:rsidR="00E65570" w:rsidRPr="00E43655" w:rsidRDefault="00E65570" w:rsidP="00E43655">
            <w:pPr>
              <w:pStyle w:val="TableTextEntries"/>
              <w:rPr>
                <w:b w:val="0"/>
              </w:rPr>
            </w:pPr>
            <w:r w:rsidRPr="00E43655">
              <w:rPr>
                <w:b w:val="0"/>
              </w:rPr>
              <w:t>2011 QAE</w:t>
            </w:r>
          </w:p>
        </w:tc>
        <w:tc>
          <w:tcPr>
            <w:tcW w:w="200" w:type="pct"/>
            <w:shd w:val="clear" w:color="auto" w:fill="92D050"/>
            <w:noWrap/>
            <w:hideMark/>
          </w:tcPr>
          <w:p w14:paraId="0FD21507"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FFFF00"/>
            <w:noWrap/>
            <w:hideMark/>
          </w:tcPr>
          <w:p w14:paraId="097D648B"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FFF00"/>
            <w:noWrap/>
            <w:hideMark/>
          </w:tcPr>
          <w:p w14:paraId="2A86E869"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FFF00"/>
            <w:noWrap/>
            <w:hideMark/>
          </w:tcPr>
          <w:p w14:paraId="148EDBAA"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F0000"/>
            <w:noWrap/>
            <w:hideMark/>
          </w:tcPr>
          <w:p w14:paraId="478DC23A"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2</w:t>
            </w:r>
          </w:p>
        </w:tc>
        <w:tc>
          <w:tcPr>
            <w:tcW w:w="200" w:type="pct"/>
            <w:shd w:val="clear" w:color="auto" w:fill="F79646" w:themeFill="accent6"/>
            <w:noWrap/>
            <w:hideMark/>
          </w:tcPr>
          <w:p w14:paraId="24611120"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3</w:t>
            </w:r>
          </w:p>
        </w:tc>
      </w:tr>
      <w:tr w:rsidR="00AA6C47" w:rsidRPr="00E43655" w14:paraId="2180FD8E" w14:textId="77777777" w:rsidTr="00AA6C47">
        <w:trPr>
          <w:cnfStyle w:val="100000000000" w:firstRow="1" w:lastRow="0" w:firstColumn="0" w:lastColumn="0" w:oddVBand="0" w:evenVBand="0" w:oddHBand="0" w:evenHBand="0" w:firstRowFirstColumn="0" w:firstRowLastColumn="0" w:lastRowFirstColumn="0" w:lastRowLastColumn="0"/>
          <w:trHeight w:val="284"/>
        </w:trPr>
        <w:tc>
          <w:tcPr>
            <w:tcW w:w="1400" w:type="pct"/>
            <w:vMerge w:val="restart"/>
            <w:hideMark/>
          </w:tcPr>
          <w:p w14:paraId="744DD8FE" w14:textId="77777777" w:rsidR="00E65570" w:rsidRPr="00AA6C47" w:rsidRDefault="00E65570" w:rsidP="00E43655">
            <w:pPr>
              <w:pStyle w:val="TableTextEntries"/>
              <w:rPr>
                <w:b w:val="0"/>
              </w:rPr>
            </w:pPr>
            <w:r w:rsidRPr="00AA6C47">
              <w:rPr>
                <w:b w:val="0"/>
              </w:rPr>
              <w:t>Joint UN Maternal Newborn &amp; Child Health Program</w:t>
            </w:r>
          </w:p>
        </w:tc>
        <w:tc>
          <w:tcPr>
            <w:tcW w:w="600" w:type="pct"/>
            <w:vMerge w:val="restart"/>
          </w:tcPr>
          <w:p w14:paraId="698A6D33" w14:textId="77777777" w:rsidR="00E65570" w:rsidRPr="00E43655" w:rsidRDefault="00F763A5" w:rsidP="00E43655">
            <w:pPr>
              <w:pStyle w:val="TableTextEntries"/>
              <w:rPr>
                <w:b w:val="0"/>
              </w:rPr>
            </w:pPr>
            <w:r w:rsidRPr="00E43655">
              <w:rPr>
                <w:b w:val="0"/>
              </w:rPr>
              <w:t>$5.0 million Feb 12</w:t>
            </w:r>
            <w:r w:rsidRPr="00E43655">
              <w:rPr>
                <w:b w:val="0"/>
              </w:rPr>
              <w:noBreakHyphen/>
              <w:t>Oct 13</w:t>
            </w:r>
          </w:p>
        </w:tc>
        <w:tc>
          <w:tcPr>
            <w:tcW w:w="400" w:type="pct"/>
            <w:hideMark/>
          </w:tcPr>
          <w:p w14:paraId="7E8C3123" w14:textId="3F32468C" w:rsidR="00E65570" w:rsidRPr="00E43655" w:rsidRDefault="00E65570" w:rsidP="00E43655">
            <w:pPr>
              <w:pStyle w:val="TableTextEntries"/>
              <w:rPr>
                <w:b w:val="0"/>
              </w:rPr>
            </w:pPr>
            <w:r w:rsidRPr="00E43655">
              <w:rPr>
                <w:b w:val="0"/>
              </w:rPr>
              <w:t>2012</w:t>
            </w:r>
            <w:r w:rsidR="00742264" w:rsidRPr="00E43655">
              <w:rPr>
                <w:b w:val="0"/>
              </w:rPr>
              <w:t>–</w:t>
            </w:r>
            <w:r w:rsidRPr="00E43655">
              <w:rPr>
                <w:b w:val="0"/>
              </w:rPr>
              <w:t>13</w:t>
            </w:r>
          </w:p>
        </w:tc>
        <w:tc>
          <w:tcPr>
            <w:tcW w:w="200" w:type="pct"/>
            <w:shd w:val="clear" w:color="auto" w:fill="92D050"/>
            <w:noWrap/>
            <w:hideMark/>
          </w:tcPr>
          <w:p w14:paraId="63461655"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FFFF00"/>
            <w:noWrap/>
            <w:hideMark/>
          </w:tcPr>
          <w:p w14:paraId="12D39638"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FFF00"/>
            <w:noWrap/>
            <w:hideMark/>
          </w:tcPr>
          <w:p w14:paraId="5A36A5EE"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FFF00"/>
            <w:noWrap/>
            <w:hideMark/>
          </w:tcPr>
          <w:p w14:paraId="7D886F27"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79646" w:themeFill="accent6"/>
            <w:noWrap/>
            <w:hideMark/>
          </w:tcPr>
          <w:p w14:paraId="761D273F"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3</w:t>
            </w:r>
          </w:p>
        </w:tc>
        <w:tc>
          <w:tcPr>
            <w:tcW w:w="200" w:type="pct"/>
            <w:shd w:val="clear" w:color="auto" w:fill="FFFF00"/>
            <w:noWrap/>
            <w:hideMark/>
          </w:tcPr>
          <w:p w14:paraId="5777944C"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r>
      <w:tr w:rsidR="00AA6C47" w:rsidRPr="00E43655" w14:paraId="74D6A49B" w14:textId="77777777" w:rsidTr="00AA6C47">
        <w:trPr>
          <w:cnfStyle w:val="100000000000" w:firstRow="1" w:lastRow="0" w:firstColumn="0" w:lastColumn="0" w:oddVBand="0" w:evenVBand="0" w:oddHBand="0" w:evenHBand="0" w:firstRowFirstColumn="0" w:firstRowLastColumn="0" w:lastRowFirstColumn="0" w:lastRowLastColumn="0"/>
          <w:trHeight w:val="284"/>
        </w:trPr>
        <w:tc>
          <w:tcPr>
            <w:tcW w:w="1400" w:type="pct"/>
            <w:vMerge/>
            <w:hideMark/>
          </w:tcPr>
          <w:p w14:paraId="6C8BF12C" w14:textId="77777777" w:rsidR="00E65570" w:rsidRPr="00AA6C47" w:rsidRDefault="00E65570" w:rsidP="00E43655">
            <w:pPr>
              <w:pStyle w:val="TableTextEntries"/>
              <w:rPr>
                <w:b w:val="0"/>
              </w:rPr>
            </w:pPr>
          </w:p>
        </w:tc>
        <w:tc>
          <w:tcPr>
            <w:tcW w:w="600" w:type="pct"/>
            <w:vMerge/>
          </w:tcPr>
          <w:p w14:paraId="4FB014DA" w14:textId="77777777" w:rsidR="00E65570" w:rsidRPr="00E43655" w:rsidRDefault="00E65570" w:rsidP="00E43655">
            <w:pPr>
              <w:pStyle w:val="TableTextEntries"/>
              <w:rPr>
                <w:b w:val="0"/>
              </w:rPr>
            </w:pPr>
          </w:p>
        </w:tc>
        <w:tc>
          <w:tcPr>
            <w:tcW w:w="400" w:type="pct"/>
            <w:hideMark/>
          </w:tcPr>
          <w:p w14:paraId="311CD061" w14:textId="77777777" w:rsidR="00E65570" w:rsidRPr="00E43655" w:rsidRDefault="00E65570" w:rsidP="00E43655">
            <w:pPr>
              <w:pStyle w:val="TableTextEntries"/>
              <w:rPr>
                <w:b w:val="0"/>
              </w:rPr>
            </w:pPr>
            <w:r w:rsidRPr="00E43655">
              <w:rPr>
                <w:b w:val="0"/>
              </w:rPr>
              <w:t>2011 QAE</w:t>
            </w:r>
          </w:p>
        </w:tc>
        <w:tc>
          <w:tcPr>
            <w:tcW w:w="200" w:type="pct"/>
            <w:shd w:val="clear" w:color="auto" w:fill="92D050"/>
            <w:noWrap/>
            <w:hideMark/>
          </w:tcPr>
          <w:p w14:paraId="3972E345"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F79646" w:themeFill="accent6"/>
            <w:noWrap/>
            <w:hideMark/>
          </w:tcPr>
          <w:p w14:paraId="0785933B"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3</w:t>
            </w:r>
          </w:p>
        </w:tc>
        <w:tc>
          <w:tcPr>
            <w:tcW w:w="200" w:type="pct"/>
            <w:shd w:val="clear" w:color="auto" w:fill="F79646" w:themeFill="accent6"/>
            <w:noWrap/>
            <w:hideMark/>
          </w:tcPr>
          <w:p w14:paraId="2A6DE4A6"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3</w:t>
            </w:r>
          </w:p>
        </w:tc>
        <w:tc>
          <w:tcPr>
            <w:tcW w:w="200" w:type="pct"/>
            <w:shd w:val="clear" w:color="auto" w:fill="F79646" w:themeFill="accent6"/>
            <w:noWrap/>
            <w:hideMark/>
          </w:tcPr>
          <w:p w14:paraId="54E98035"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3</w:t>
            </w:r>
          </w:p>
        </w:tc>
        <w:tc>
          <w:tcPr>
            <w:tcW w:w="200" w:type="pct"/>
            <w:shd w:val="clear" w:color="auto" w:fill="FFFF00"/>
            <w:noWrap/>
            <w:hideMark/>
          </w:tcPr>
          <w:p w14:paraId="1CE84B2C"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F0000"/>
            <w:noWrap/>
            <w:hideMark/>
          </w:tcPr>
          <w:p w14:paraId="16988944"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2</w:t>
            </w:r>
          </w:p>
        </w:tc>
      </w:tr>
      <w:tr w:rsidR="00AA6C47" w:rsidRPr="00E43655" w14:paraId="21B60921" w14:textId="77777777" w:rsidTr="00AA6C47">
        <w:trPr>
          <w:cnfStyle w:val="100000000000" w:firstRow="1" w:lastRow="0" w:firstColumn="0" w:lastColumn="0" w:oddVBand="0" w:evenVBand="0" w:oddHBand="0" w:evenHBand="0" w:firstRowFirstColumn="0" w:firstRowLastColumn="0" w:lastRowFirstColumn="0" w:lastRowLastColumn="0"/>
          <w:trHeight w:val="284"/>
        </w:trPr>
        <w:tc>
          <w:tcPr>
            <w:tcW w:w="1400" w:type="pct"/>
            <w:vMerge w:val="restart"/>
            <w:hideMark/>
          </w:tcPr>
          <w:p w14:paraId="6975C345" w14:textId="77777777" w:rsidR="00E65570" w:rsidRPr="00AA6C47" w:rsidRDefault="00E65570" w:rsidP="00E43655">
            <w:pPr>
              <w:pStyle w:val="TableTextEntries"/>
              <w:rPr>
                <w:b w:val="0"/>
              </w:rPr>
            </w:pPr>
            <w:r w:rsidRPr="00AA6C47">
              <w:rPr>
                <w:b w:val="0"/>
              </w:rPr>
              <w:t>Three Millennium Development Goals Fund</w:t>
            </w:r>
          </w:p>
        </w:tc>
        <w:tc>
          <w:tcPr>
            <w:tcW w:w="600" w:type="pct"/>
            <w:vMerge w:val="restart"/>
          </w:tcPr>
          <w:p w14:paraId="65D11CBC" w14:textId="77777777" w:rsidR="00E65570" w:rsidRPr="00E43655" w:rsidRDefault="00F763A5" w:rsidP="00E43655">
            <w:pPr>
              <w:pStyle w:val="TableTextEntries"/>
              <w:rPr>
                <w:b w:val="0"/>
              </w:rPr>
            </w:pPr>
            <w:r w:rsidRPr="00E43655">
              <w:rPr>
                <w:b w:val="0"/>
              </w:rPr>
              <w:t>$101.9 million Mar 12</w:t>
            </w:r>
            <w:r w:rsidRPr="00E43655">
              <w:rPr>
                <w:b w:val="0"/>
              </w:rPr>
              <w:noBreakHyphen/>
              <w:t>May 17</w:t>
            </w:r>
          </w:p>
        </w:tc>
        <w:tc>
          <w:tcPr>
            <w:tcW w:w="400" w:type="pct"/>
            <w:hideMark/>
          </w:tcPr>
          <w:p w14:paraId="22483D01" w14:textId="06C92F85" w:rsidR="00E65570" w:rsidRPr="00E43655" w:rsidRDefault="00E65570" w:rsidP="00E43655">
            <w:pPr>
              <w:pStyle w:val="TableTextEntries"/>
              <w:rPr>
                <w:b w:val="0"/>
              </w:rPr>
            </w:pPr>
            <w:r w:rsidRPr="00E43655">
              <w:rPr>
                <w:b w:val="0"/>
              </w:rPr>
              <w:t>2012</w:t>
            </w:r>
            <w:r w:rsidR="00742264" w:rsidRPr="00E43655">
              <w:rPr>
                <w:b w:val="0"/>
              </w:rPr>
              <w:t>–</w:t>
            </w:r>
            <w:r w:rsidRPr="00E43655">
              <w:rPr>
                <w:b w:val="0"/>
              </w:rPr>
              <w:t>13</w:t>
            </w:r>
          </w:p>
        </w:tc>
        <w:tc>
          <w:tcPr>
            <w:tcW w:w="200" w:type="pct"/>
            <w:shd w:val="clear" w:color="auto" w:fill="92D050"/>
            <w:noWrap/>
            <w:hideMark/>
          </w:tcPr>
          <w:p w14:paraId="485907A2"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6</w:t>
            </w:r>
          </w:p>
        </w:tc>
        <w:tc>
          <w:tcPr>
            <w:tcW w:w="200" w:type="pct"/>
            <w:shd w:val="clear" w:color="auto" w:fill="F79646" w:themeFill="accent6"/>
            <w:noWrap/>
            <w:hideMark/>
          </w:tcPr>
          <w:p w14:paraId="1A86BB81"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3</w:t>
            </w:r>
          </w:p>
        </w:tc>
        <w:tc>
          <w:tcPr>
            <w:tcW w:w="200" w:type="pct"/>
            <w:shd w:val="clear" w:color="auto" w:fill="FFFF00"/>
            <w:noWrap/>
            <w:hideMark/>
          </w:tcPr>
          <w:p w14:paraId="3DD3FBAF"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FFF00"/>
            <w:noWrap/>
            <w:hideMark/>
          </w:tcPr>
          <w:p w14:paraId="086B4EC8"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FFF00"/>
            <w:noWrap/>
            <w:hideMark/>
          </w:tcPr>
          <w:p w14:paraId="17B9F8D8"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92D050"/>
            <w:noWrap/>
            <w:hideMark/>
          </w:tcPr>
          <w:p w14:paraId="548C340F"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r>
      <w:tr w:rsidR="00AA6C47" w:rsidRPr="00E43655" w14:paraId="33BC9E11" w14:textId="77777777" w:rsidTr="00AA6C47">
        <w:trPr>
          <w:cnfStyle w:val="100000000000" w:firstRow="1" w:lastRow="0" w:firstColumn="0" w:lastColumn="0" w:oddVBand="0" w:evenVBand="0" w:oddHBand="0" w:evenHBand="0" w:firstRowFirstColumn="0" w:firstRowLastColumn="0" w:lastRowFirstColumn="0" w:lastRowLastColumn="0"/>
          <w:trHeight w:val="284"/>
        </w:trPr>
        <w:tc>
          <w:tcPr>
            <w:tcW w:w="1400" w:type="pct"/>
            <w:vMerge/>
            <w:hideMark/>
          </w:tcPr>
          <w:p w14:paraId="5F88FD1F" w14:textId="77777777" w:rsidR="00E65570" w:rsidRPr="00E43655" w:rsidRDefault="00E65570" w:rsidP="00E43655">
            <w:pPr>
              <w:pStyle w:val="TableTextEntries"/>
              <w:rPr>
                <w:b w:val="0"/>
              </w:rPr>
            </w:pPr>
          </w:p>
        </w:tc>
        <w:tc>
          <w:tcPr>
            <w:tcW w:w="600" w:type="pct"/>
            <w:vMerge/>
          </w:tcPr>
          <w:p w14:paraId="256368B4" w14:textId="77777777" w:rsidR="00E65570" w:rsidRPr="00E43655" w:rsidRDefault="00E65570" w:rsidP="00E43655">
            <w:pPr>
              <w:pStyle w:val="TableTextEntries"/>
              <w:rPr>
                <w:b w:val="0"/>
              </w:rPr>
            </w:pPr>
          </w:p>
        </w:tc>
        <w:tc>
          <w:tcPr>
            <w:tcW w:w="400" w:type="pct"/>
            <w:hideMark/>
          </w:tcPr>
          <w:p w14:paraId="71B47E14" w14:textId="77777777" w:rsidR="00E65570" w:rsidRPr="00E43655" w:rsidRDefault="00E65570" w:rsidP="00E43655">
            <w:pPr>
              <w:pStyle w:val="TableTextEntries"/>
              <w:rPr>
                <w:b w:val="0"/>
              </w:rPr>
            </w:pPr>
            <w:r w:rsidRPr="00E43655">
              <w:rPr>
                <w:b w:val="0"/>
              </w:rPr>
              <w:t>2011 QAE</w:t>
            </w:r>
          </w:p>
        </w:tc>
        <w:tc>
          <w:tcPr>
            <w:tcW w:w="200" w:type="pct"/>
            <w:shd w:val="clear" w:color="auto" w:fill="92D050"/>
            <w:noWrap/>
            <w:hideMark/>
          </w:tcPr>
          <w:p w14:paraId="3455CA6A"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6</w:t>
            </w:r>
          </w:p>
        </w:tc>
        <w:tc>
          <w:tcPr>
            <w:tcW w:w="200" w:type="pct"/>
            <w:shd w:val="clear" w:color="auto" w:fill="FFFF00"/>
            <w:noWrap/>
            <w:hideMark/>
          </w:tcPr>
          <w:p w14:paraId="5A4315CE"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92D050"/>
            <w:noWrap/>
            <w:hideMark/>
          </w:tcPr>
          <w:p w14:paraId="5AA85CBF"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92D050"/>
            <w:noWrap/>
            <w:hideMark/>
          </w:tcPr>
          <w:p w14:paraId="07FAEE39"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FFFF00"/>
            <w:noWrap/>
            <w:hideMark/>
          </w:tcPr>
          <w:p w14:paraId="4091A439"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92D050"/>
            <w:noWrap/>
            <w:hideMark/>
          </w:tcPr>
          <w:p w14:paraId="2E55FC4B"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6</w:t>
            </w:r>
          </w:p>
        </w:tc>
      </w:tr>
      <w:tr w:rsidR="00AA6C47" w:rsidRPr="00E43655" w14:paraId="48115962" w14:textId="77777777" w:rsidTr="00AA6C47">
        <w:trPr>
          <w:cnfStyle w:val="100000000000" w:firstRow="1" w:lastRow="0" w:firstColumn="0" w:lastColumn="0" w:oddVBand="0" w:evenVBand="0" w:oddHBand="0" w:evenHBand="0" w:firstRowFirstColumn="0" w:firstRowLastColumn="0" w:lastRowFirstColumn="0" w:lastRowLastColumn="0"/>
          <w:trHeight w:val="284"/>
        </w:trPr>
        <w:tc>
          <w:tcPr>
            <w:tcW w:w="1400" w:type="pct"/>
            <w:vMerge w:val="restart"/>
            <w:hideMark/>
          </w:tcPr>
          <w:p w14:paraId="6608BD54" w14:textId="77777777" w:rsidR="00E65570" w:rsidRPr="00E43655" w:rsidRDefault="00E65570" w:rsidP="00E43655">
            <w:pPr>
              <w:pStyle w:val="TableTextEntries"/>
              <w:rPr>
                <w:b w:val="0"/>
              </w:rPr>
            </w:pPr>
            <w:r w:rsidRPr="00E43655">
              <w:rPr>
                <w:b w:val="0"/>
              </w:rPr>
              <w:t>Malaria resistance support via 3MDG Fund (Burma)</w:t>
            </w:r>
          </w:p>
        </w:tc>
        <w:tc>
          <w:tcPr>
            <w:tcW w:w="600" w:type="pct"/>
            <w:vMerge w:val="restart"/>
          </w:tcPr>
          <w:p w14:paraId="78542078" w14:textId="77777777" w:rsidR="00E65570" w:rsidRPr="00E43655" w:rsidRDefault="00F763A5" w:rsidP="00E43655">
            <w:pPr>
              <w:pStyle w:val="TableTextEntries"/>
              <w:rPr>
                <w:b w:val="0"/>
              </w:rPr>
            </w:pPr>
            <w:r w:rsidRPr="00E43655">
              <w:rPr>
                <w:b w:val="0"/>
              </w:rPr>
              <w:t>$4.5 million Jun 12</w:t>
            </w:r>
            <w:r w:rsidRPr="00E43655">
              <w:rPr>
                <w:b w:val="0"/>
              </w:rPr>
              <w:noBreakHyphen/>
              <w:t>Jun 13</w:t>
            </w:r>
          </w:p>
        </w:tc>
        <w:tc>
          <w:tcPr>
            <w:tcW w:w="400" w:type="pct"/>
            <w:hideMark/>
          </w:tcPr>
          <w:p w14:paraId="4E6E9D72" w14:textId="6F30BFCE" w:rsidR="00E65570" w:rsidRPr="00E43655" w:rsidRDefault="00E65570" w:rsidP="00E43655">
            <w:pPr>
              <w:pStyle w:val="TableTextEntries"/>
              <w:rPr>
                <w:b w:val="0"/>
              </w:rPr>
            </w:pPr>
            <w:r w:rsidRPr="00E43655">
              <w:rPr>
                <w:b w:val="0"/>
              </w:rPr>
              <w:t>2012</w:t>
            </w:r>
            <w:r w:rsidR="00742264" w:rsidRPr="00E43655">
              <w:rPr>
                <w:b w:val="0"/>
              </w:rPr>
              <w:t>–</w:t>
            </w:r>
            <w:r w:rsidRPr="00E43655">
              <w:rPr>
                <w:b w:val="0"/>
              </w:rPr>
              <w:t>13</w:t>
            </w:r>
          </w:p>
        </w:tc>
        <w:tc>
          <w:tcPr>
            <w:tcW w:w="200" w:type="pct"/>
            <w:shd w:val="clear" w:color="auto" w:fill="92D050"/>
            <w:noWrap/>
            <w:hideMark/>
          </w:tcPr>
          <w:p w14:paraId="049AF004"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6</w:t>
            </w:r>
          </w:p>
        </w:tc>
        <w:tc>
          <w:tcPr>
            <w:tcW w:w="200" w:type="pct"/>
            <w:shd w:val="clear" w:color="auto" w:fill="F79646" w:themeFill="accent6"/>
            <w:noWrap/>
            <w:hideMark/>
          </w:tcPr>
          <w:p w14:paraId="46F67583"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3</w:t>
            </w:r>
          </w:p>
        </w:tc>
        <w:tc>
          <w:tcPr>
            <w:tcW w:w="200" w:type="pct"/>
            <w:shd w:val="clear" w:color="auto" w:fill="FFFF00"/>
            <w:noWrap/>
            <w:hideMark/>
          </w:tcPr>
          <w:p w14:paraId="7806F4EF"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FFF00"/>
            <w:noWrap/>
            <w:hideMark/>
          </w:tcPr>
          <w:p w14:paraId="3DEF6691"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FFFF00"/>
            <w:noWrap/>
            <w:hideMark/>
          </w:tcPr>
          <w:p w14:paraId="243E9854"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92D050"/>
            <w:noWrap/>
            <w:hideMark/>
          </w:tcPr>
          <w:p w14:paraId="10668537"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6</w:t>
            </w:r>
          </w:p>
        </w:tc>
      </w:tr>
      <w:tr w:rsidR="00AA6C47" w:rsidRPr="00E43655" w14:paraId="0A0B429D" w14:textId="77777777" w:rsidTr="00AA6C47">
        <w:trPr>
          <w:cnfStyle w:val="100000000000" w:firstRow="1" w:lastRow="0" w:firstColumn="0" w:lastColumn="0" w:oddVBand="0" w:evenVBand="0" w:oddHBand="0" w:evenHBand="0" w:firstRowFirstColumn="0" w:firstRowLastColumn="0" w:lastRowFirstColumn="0" w:lastRowLastColumn="0"/>
          <w:trHeight w:val="284"/>
        </w:trPr>
        <w:tc>
          <w:tcPr>
            <w:tcW w:w="1400" w:type="pct"/>
            <w:vMerge/>
            <w:hideMark/>
          </w:tcPr>
          <w:p w14:paraId="5C9EEC9A" w14:textId="77777777" w:rsidR="00E65570" w:rsidRPr="00E43655" w:rsidRDefault="00E65570" w:rsidP="00E43655">
            <w:pPr>
              <w:pStyle w:val="TableTextEntries"/>
              <w:rPr>
                <w:rFonts w:ascii="Arial" w:hAnsi="Arial" w:cs="Arial"/>
                <w:color w:val="25396E"/>
              </w:rPr>
            </w:pPr>
          </w:p>
        </w:tc>
        <w:tc>
          <w:tcPr>
            <w:tcW w:w="600" w:type="pct"/>
            <w:vMerge/>
          </w:tcPr>
          <w:p w14:paraId="57E7AE47" w14:textId="77777777" w:rsidR="00E65570" w:rsidRPr="00E43655" w:rsidRDefault="00E65570" w:rsidP="00E43655">
            <w:pPr>
              <w:pStyle w:val="TableTextEntries"/>
              <w:rPr>
                <w:b w:val="0"/>
              </w:rPr>
            </w:pPr>
          </w:p>
        </w:tc>
        <w:tc>
          <w:tcPr>
            <w:tcW w:w="400" w:type="pct"/>
            <w:hideMark/>
          </w:tcPr>
          <w:p w14:paraId="6E15CDEE" w14:textId="77777777" w:rsidR="00E65570" w:rsidRPr="00E43655" w:rsidRDefault="00E65570" w:rsidP="00E43655">
            <w:pPr>
              <w:pStyle w:val="TableTextEntries"/>
              <w:rPr>
                <w:b w:val="0"/>
              </w:rPr>
            </w:pPr>
            <w:r w:rsidRPr="00E43655">
              <w:rPr>
                <w:b w:val="0"/>
              </w:rPr>
              <w:t>2011</w:t>
            </w:r>
          </w:p>
        </w:tc>
        <w:tc>
          <w:tcPr>
            <w:tcW w:w="200" w:type="pct"/>
            <w:shd w:val="clear" w:color="auto" w:fill="92D050"/>
            <w:noWrap/>
            <w:hideMark/>
          </w:tcPr>
          <w:p w14:paraId="558A1221"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6</w:t>
            </w:r>
          </w:p>
        </w:tc>
        <w:tc>
          <w:tcPr>
            <w:tcW w:w="200" w:type="pct"/>
            <w:shd w:val="clear" w:color="auto" w:fill="FFFF00"/>
            <w:noWrap/>
            <w:hideMark/>
          </w:tcPr>
          <w:p w14:paraId="2CE660C5"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92D050"/>
            <w:noWrap/>
            <w:hideMark/>
          </w:tcPr>
          <w:p w14:paraId="1D1B24CF"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92D050"/>
            <w:noWrap/>
            <w:hideMark/>
          </w:tcPr>
          <w:p w14:paraId="355FD85D"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5</w:t>
            </w:r>
          </w:p>
        </w:tc>
        <w:tc>
          <w:tcPr>
            <w:tcW w:w="200" w:type="pct"/>
            <w:shd w:val="clear" w:color="auto" w:fill="FFFF00"/>
            <w:noWrap/>
            <w:hideMark/>
          </w:tcPr>
          <w:p w14:paraId="38FC4658"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4</w:t>
            </w:r>
          </w:p>
        </w:tc>
        <w:tc>
          <w:tcPr>
            <w:tcW w:w="200" w:type="pct"/>
            <w:shd w:val="clear" w:color="auto" w:fill="92D050"/>
            <w:noWrap/>
            <w:hideMark/>
          </w:tcPr>
          <w:p w14:paraId="412380A6" w14:textId="77777777" w:rsidR="00E65570" w:rsidRPr="00E43655" w:rsidRDefault="00E65570" w:rsidP="00E43655">
            <w:pPr>
              <w:pStyle w:val="TableTextEntries"/>
              <w:jc w:val="center"/>
              <w:rPr>
                <w:rFonts w:cs="Arial"/>
                <w:b w:val="0"/>
                <w:bCs/>
                <w:color w:val="000000"/>
              </w:rPr>
            </w:pPr>
            <w:r w:rsidRPr="00E43655">
              <w:rPr>
                <w:rFonts w:cs="Arial"/>
                <w:b w:val="0"/>
                <w:bCs/>
                <w:color w:val="000000"/>
              </w:rPr>
              <w:t>6</w:t>
            </w:r>
          </w:p>
        </w:tc>
      </w:tr>
    </w:tbl>
    <w:p w14:paraId="6D07407F" w14:textId="77777777" w:rsidR="00FE4491" w:rsidRDefault="00FE4491" w:rsidP="00FE4491">
      <w:pPr>
        <w:pStyle w:val="Note"/>
      </w:pPr>
      <w:r>
        <w:lastRenderedPageBreak/>
        <w:t>Definitions of rating scale:</w:t>
      </w:r>
      <w:r>
        <w:tab/>
      </w:r>
    </w:p>
    <w:p w14:paraId="4A424292" w14:textId="77777777" w:rsidR="00FE4491" w:rsidRDefault="00FE4491" w:rsidP="00FE4491">
      <w:pPr>
        <w:pStyle w:val="Note"/>
      </w:pPr>
      <w:r>
        <w:t>Satisfactory (4, 5 and 6)</w:t>
      </w:r>
    </w:p>
    <w:p w14:paraId="6B00AD62" w14:textId="77777777" w:rsidR="00FE4491" w:rsidRDefault="00FE4491" w:rsidP="00FE4491">
      <w:pPr>
        <w:pStyle w:val="Note"/>
      </w:pPr>
      <w:r w:rsidRPr="00FE4491">
        <w:rPr>
          <w:color w:val="92D050"/>
        </w:rPr>
        <w:sym w:font="Webdings" w:char="F067"/>
      </w:r>
      <w:r>
        <w:t xml:space="preserve"> = 6 = Very high quality</w:t>
      </w:r>
    </w:p>
    <w:p w14:paraId="14087A59" w14:textId="77777777" w:rsidR="00FE4491" w:rsidRDefault="00FE4491" w:rsidP="00FE4491">
      <w:pPr>
        <w:pStyle w:val="Note"/>
      </w:pPr>
      <w:r w:rsidRPr="00FE4491">
        <w:rPr>
          <w:color w:val="92D050"/>
        </w:rPr>
        <w:sym w:font="Webdings" w:char="F067"/>
      </w:r>
      <w:r>
        <w:t xml:space="preserve"> = 5 = Good quality</w:t>
      </w:r>
    </w:p>
    <w:p w14:paraId="244A519F" w14:textId="77777777" w:rsidR="00FE4491" w:rsidRDefault="00FE4491" w:rsidP="00FE4491">
      <w:pPr>
        <w:pStyle w:val="Note"/>
      </w:pPr>
      <w:r w:rsidRPr="000774FD">
        <w:rPr>
          <w:color w:val="FFFF00"/>
        </w:rPr>
        <w:sym w:font="Webdings" w:char="F067"/>
      </w:r>
      <w:r>
        <w:t xml:space="preserve"> = 4 = Adequate quality, needs some work</w:t>
      </w:r>
    </w:p>
    <w:p w14:paraId="5229F775" w14:textId="77777777" w:rsidR="00FE4491" w:rsidRDefault="00FE4491" w:rsidP="00FE4491">
      <w:pPr>
        <w:pStyle w:val="Note"/>
      </w:pPr>
      <w:r>
        <w:t>Less than satisfactory (1, 2 and 3)</w:t>
      </w:r>
    </w:p>
    <w:p w14:paraId="2F073446" w14:textId="77777777" w:rsidR="00FE4491" w:rsidRDefault="00FE4491" w:rsidP="00FE4491">
      <w:pPr>
        <w:pStyle w:val="Note"/>
      </w:pPr>
      <w:r w:rsidRPr="00FD710F">
        <w:rPr>
          <w:color w:val="F79646"/>
        </w:rPr>
        <w:sym w:font="Webdings" w:char="F067"/>
      </w:r>
      <w:r>
        <w:t xml:space="preserve"> = 3 = Less than adequate quality; needs significant work</w:t>
      </w:r>
    </w:p>
    <w:p w14:paraId="426D2311" w14:textId="77777777" w:rsidR="00FE4491" w:rsidRDefault="00FE4491" w:rsidP="00FE4491">
      <w:pPr>
        <w:pStyle w:val="Note"/>
      </w:pPr>
      <w:r w:rsidRPr="000774FD">
        <w:rPr>
          <w:color w:val="FF0000"/>
        </w:rPr>
        <w:sym w:font="Webdings" w:char="F067"/>
      </w:r>
      <w:r>
        <w:t xml:space="preserve"> = 2 = Poor quality; needs major work to improve</w:t>
      </w:r>
    </w:p>
    <w:p w14:paraId="6FE72182" w14:textId="77777777" w:rsidR="00FE4491" w:rsidRDefault="00FE4491" w:rsidP="00FE4491">
      <w:pPr>
        <w:pStyle w:val="Note"/>
      </w:pPr>
      <w:r w:rsidRPr="000774FD">
        <w:rPr>
          <w:color w:val="FF0000"/>
        </w:rPr>
        <w:sym w:font="Webdings" w:char="F067"/>
      </w:r>
      <w:r>
        <w:t xml:space="preserve"> = 1 = Very poor quality; needs major overhaul</w:t>
      </w:r>
    </w:p>
    <w:p w14:paraId="10FD6C5E" w14:textId="77777777" w:rsidR="00071B95" w:rsidRDefault="00071B95" w:rsidP="00071B95"/>
    <w:p w14:paraId="65331A9A" w14:textId="77777777" w:rsidR="00071B95" w:rsidRDefault="00071B95" w:rsidP="00071B95">
      <w:pPr>
        <w:sectPr w:rsidR="00071B95" w:rsidSect="00B36919">
          <w:headerReference w:type="default" r:id="rId10"/>
          <w:footerReference w:type="default" r:id="rId11"/>
          <w:headerReference w:type="first" r:id="rId12"/>
          <w:footerReference w:type="first" r:id="rId13"/>
          <w:pgSz w:w="11906" w:h="16838" w:code="9"/>
          <w:pgMar w:top="2268" w:right="1701" w:bottom="907" w:left="1871" w:header="709" w:footer="454" w:gutter="0"/>
          <w:cols w:space="708"/>
          <w:titlePg/>
          <w:docGrid w:linePitch="360"/>
        </w:sectPr>
      </w:pPr>
    </w:p>
    <w:p w14:paraId="74907895" w14:textId="77777777" w:rsidR="00071B95" w:rsidRPr="00071B95" w:rsidRDefault="00071B95" w:rsidP="00071B95">
      <w:pPr>
        <w:pStyle w:val="Heading1"/>
      </w:pPr>
      <w:r w:rsidRPr="00071B95">
        <w:lastRenderedPageBreak/>
        <w:t>Annex C</w:t>
      </w:r>
    </w:p>
    <w:p w14:paraId="656EE8E2" w14:textId="2382000F" w:rsidR="00071B95" w:rsidRPr="00071B95" w:rsidRDefault="00071B95" w:rsidP="00F46297">
      <w:pPr>
        <w:pStyle w:val="Heading2"/>
      </w:pPr>
      <w:r w:rsidRPr="00071B95">
        <w:t xml:space="preserve">Evaluation and </w:t>
      </w:r>
      <w:r w:rsidR="00742264" w:rsidRPr="00071B95">
        <w:t>review pipeline planning</w:t>
      </w:r>
    </w:p>
    <w:p w14:paraId="6AE91093" w14:textId="77777777" w:rsidR="00071B95" w:rsidRPr="00071B95" w:rsidRDefault="00071B95" w:rsidP="00071B95">
      <w:pPr>
        <w:rPr>
          <w:b/>
        </w:rPr>
      </w:pPr>
    </w:p>
    <w:p w14:paraId="0A2DB584" w14:textId="3C3B2E68" w:rsidR="00071B95" w:rsidRPr="00071B95" w:rsidRDefault="00071B95" w:rsidP="00071B95">
      <w:pPr>
        <w:pStyle w:val="Caption"/>
      </w:pPr>
      <w:r w:rsidRPr="00071B95">
        <w:t xml:space="preserve">List of </w:t>
      </w:r>
      <w:r w:rsidR="004E4F35">
        <w:t>e</w:t>
      </w:r>
      <w:r w:rsidR="004E4F35" w:rsidRPr="00071B95">
        <w:t xml:space="preserve">valuations </w:t>
      </w:r>
      <w:r w:rsidRPr="00071B95">
        <w:t>completed</w:t>
      </w:r>
      <w:r w:rsidRPr="00071B95">
        <w:rPr>
          <w:vertAlign w:val="superscript"/>
        </w:rPr>
        <w:footnoteReference w:id="13"/>
      </w:r>
      <w:r w:rsidRPr="00071B95">
        <w:t xml:space="preserve"> in the reporting period </w:t>
      </w:r>
    </w:p>
    <w:tbl>
      <w:tblPr>
        <w:tblStyle w:val="APPR"/>
        <w:tblW w:w="5000" w:type="pct"/>
        <w:tblLook w:val="04A0" w:firstRow="1" w:lastRow="0" w:firstColumn="1" w:lastColumn="0" w:noHBand="0" w:noVBand="1"/>
      </w:tblPr>
      <w:tblGrid>
        <w:gridCol w:w="2042"/>
        <w:gridCol w:w="2060"/>
        <w:gridCol w:w="2177"/>
        <w:gridCol w:w="2075"/>
        <w:gridCol w:w="2054"/>
        <w:gridCol w:w="1889"/>
        <w:gridCol w:w="1640"/>
      </w:tblGrid>
      <w:tr w:rsidR="00071B95" w:rsidRPr="00071B95" w14:paraId="6F90B6E4" w14:textId="77777777" w:rsidTr="00E43655">
        <w:trPr>
          <w:cnfStyle w:val="100000000000" w:firstRow="1" w:lastRow="0" w:firstColumn="0" w:lastColumn="0" w:oddVBand="0" w:evenVBand="0" w:oddHBand="0" w:evenHBand="0" w:firstRowFirstColumn="0" w:firstRowLastColumn="0" w:lastRowFirstColumn="0" w:lastRowLastColumn="0"/>
        </w:trPr>
        <w:tc>
          <w:tcPr>
            <w:tcW w:w="2084" w:type="dxa"/>
          </w:tcPr>
          <w:p w14:paraId="169941D4" w14:textId="7B85493D" w:rsidR="00071B95" w:rsidRPr="00AE54EA" w:rsidRDefault="00071B95">
            <w:pPr>
              <w:pStyle w:val="TableTextColumnHeading"/>
              <w:rPr>
                <w:b/>
              </w:rPr>
            </w:pPr>
            <w:r w:rsidRPr="00AE54EA">
              <w:rPr>
                <w:b/>
              </w:rPr>
              <w:t xml:space="preserve">Name of </w:t>
            </w:r>
            <w:r w:rsidR="004E4F35">
              <w:rPr>
                <w:b/>
              </w:rPr>
              <w:t>i</w:t>
            </w:r>
            <w:r w:rsidR="00827628" w:rsidRPr="00AE54EA">
              <w:rPr>
                <w:b/>
              </w:rPr>
              <w:t>nitiative</w:t>
            </w:r>
          </w:p>
        </w:tc>
        <w:tc>
          <w:tcPr>
            <w:tcW w:w="2119" w:type="dxa"/>
          </w:tcPr>
          <w:p w14:paraId="107F1053" w14:textId="77777777" w:rsidR="00071B95" w:rsidRPr="00AE54EA" w:rsidRDefault="00071B95" w:rsidP="00071B95">
            <w:pPr>
              <w:pStyle w:val="TableTextColumnHeading"/>
              <w:rPr>
                <w:b/>
              </w:rPr>
            </w:pPr>
            <w:proofErr w:type="spellStart"/>
            <w:r w:rsidRPr="00AE54EA">
              <w:rPr>
                <w:b/>
              </w:rPr>
              <w:t>Aidworks</w:t>
            </w:r>
            <w:proofErr w:type="spellEnd"/>
            <w:r w:rsidRPr="00AE54EA">
              <w:rPr>
                <w:b/>
              </w:rPr>
              <w:t xml:space="preserve"> number</w:t>
            </w:r>
          </w:p>
        </w:tc>
        <w:tc>
          <w:tcPr>
            <w:tcW w:w="2227" w:type="dxa"/>
          </w:tcPr>
          <w:p w14:paraId="75A1FD5E" w14:textId="77777777" w:rsidR="00071B95" w:rsidRPr="00AE54EA" w:rsidRDefault="00071B95" w:rsidP="00071B95">
            <w:pPr>
              <w:pStyle w:val="TableTextColumnHeading"/>
              <w:rPr>
                <w:b/>
              </w:rPr>
            </w:pPr>
            <w:r w:rsidRPr="00AE54EA">
              <w:rPr>
                <w:b/>
              </w:rPr>
              <w:t>Type of evaluation</w:t>
            </w:r>
            <w:r w:rsidRPr="00AE54EA">
              <w:rPr>
                <w:b/>
                <w:vertAlign w:val="superscript"/>
              </w:rPr>
              <w:footnoteReference w:id="14"/>
            </w:r>
          </w:p>
        </w:tc>
        <w:tc>
          <w:tcPr>
            <w:tcW w:w="2126" w:type="dxa"/>
          </w:tcPr>
          <w:p w14:paraId="6281E859" w14:textId="4357AA90" w:rsidR="00071B95" w:rsidRPr="00AE54EA" w:rsidRDefault="00071B95">
            <w:pPr>
              <w:pStyle w:val="TableTextColumnHeading"/>
              <w:rPr>
                <w:b/>
              </w:rPr>
            </w:pPr>
            <w:r w:rsidRPr="00AE54EA">
              <w:rPr>
                <w:b/>
              </w:rPr>
              <w:t xml:space="preserve">Date </w:t>
            </w:r>
            <w:r w:rsidR="00827628">
              <w:rPr>
                <w:b/>
              </w:rPr>
              <w:t>e</w:t>
            </w:r>
            <w:r w:rsidR="00827628" w:rsidRPr="00AE54EA">
              <w:rPr>
                <w:b/>
              </w:rPr>
              <w:t xml:space="preserve">valuation </w:t>
            </w:r>
            <w:r w:rsidRPr="00AE54EA">
              <w:rPr>
                <w:b/>
              </w:rPr>
              <w:t>report received</w:t>
            </w:r>
          </w:p>
        </w:tc>
        <w:tc>
          <w:tcPr>
            <w:tcW w:w="2106" w:type="dxa"/>
          </w:tcPr>
          <w:p w14:paraId="2CBB7912" w14:textId="39E69F8D" w:rsidR="00071B95" w:rsidRPr="00AE54EA" w:rsidRDefault="00071B95">
            <w:pPr>
              <w:pStyle w:val="TableTextColumnHeading"/>
              <w:rPr>
                <w:b/>
              </w:rPr>
            </w:pPr>
            <w:r w:rsidRPr="00AE54EA">
              <w:rPr>
                <w:b/>
              </w:rPr>
              <w:t xml:space="preserve">Date </w:t>
            </w:r>
            <w:r w:rsidR="00827628">
              <w:rPr>
                <w:b/>
              </w:rPr>
              <w:t>e</w:t>
            </w:r>
            <w:r w:rsidR="00827628" w:rsidRPr="00AE54EA">
              <w:rPr>
                <w:b/>
              </w:rPr>
              <w:t xml:space="preserve">valuation </w:t>
            </w:r>
            <w:r w:rsidRPr="00AE54EA">
              <w:rPr>
                <w:b/>
              </w:rPr>
              <w:t xml:space="preserve">report </w:t>
            </w:r>
            <w:r w:rsidR="004E4F35">
              <w:rPr>
                <w:b/>
              </w:rPr>
              <w:t>u</w:t>
            </w:r>
            <w:r w:rsidR="004E4F35" w:rsidRPr="00AE54EA">
              <w:rPr>
                <w:b/>
              </w:rPr>
              <w:t xml:space="preserve">ploaded </w:t>
            </w:r>
            <w:r w:rsidRPr="00AE54EA">
              <w:rPr>
                <w:b/>
              </w:rPr>
              <w:t xml:space="preserve">into </w:t>
            </w:r>
            <w:proofErr w:type="spellStart"/>
            <w:r w:rsidRPr="00AE54EA">
              <w:rPr>
                <w:b/>
              </w:rPr>
              <w:t>Aidworks</w:t>
            </w:r>
            <w:proofErr w:type="spellEnd"/>
          </w:p>
        </w:tc>
        <w:tc>
          <w:tcPr>
            <w:tcW w:w="1911" w:type="dxa"/>
          </w:tcPr>
          <w:p w14:paraId="2F20801B" w14:textId="5F83C4CE" w:rsidR="00071B95" w:rsidRPr="00AE54EA" w:rsidRDefault="00071B95">
            <w:pPr>
              <w:pStyle w:val="TableTextColumnHeading"/>
              <w:rPr>
                <w:b/>
              </w:rPr>
            </w:pPr>
            <w:r w:rsidRPr="00AE54EA">
              <w:rPr>
                <w:b/>
              </w:rPr>
              <w:t xml:space="preserve">Date </w:t>
            </w:r>
            <w:r w:rsidR="00827628">
              <w:rPr>
                <w:b/>
              </w:rPr>
              <w:t>m</w:t>
            </w:r>
            <w:r w:rsidR="00827628" w:rsidRPr="00AE54EA">
              <w:rPr>
                <w:b/>
              </w:rPr>
              <w:t xml:space="preserve">anagement </w:t>
            </w:r>
            <w:r w:rsidRPr="00AE54EA">
              <w:rPr>
                <w:b/>
              </w:rPr>
              <w:t xml:space="preserve">response uploaded into </w:t>
            </w:r>
            <w:proofErr w:type="spellStart"/>
            <w:r w:rsidRPr="00AE54EA">
              <w:rPr>
                <w:b/>
              </w:rPr>
              <w:t>Aidworks</w:t>
            </w:r>
            <w:proofErr w:type="spellEnd"/>
          </w:p>
        </w:tc>
        <w:tc>
          <w:tcPr>
            <w:tcW w:w="1648" w:type="dxa"/>
          </w:tcPr>
          <w:p w14:paraId="0CDF5A1D" w14:textId="77777777" w:rsidR="00071B95" w:rsidRPr="00AE54EA" w:rsidRDefault="00071B95" w:rsidP="00071B95">
            <w:pPr>
              <w:pStyle w:val="TableTextColumnHeading"/>
              <w:rPr>
                <w:b/>
              </w:rPr>
            </w:pPr>
            <w:r w:rsidRPr="00AE54EA">
              <w:rPr>
                <w:b/>
              </w:rPr>
              <w:t>Published on website</w:t>
            </w:r>
          </w:p>
        </w:tc>
      </w:tr>
      <w:tr w:rsidR="00071B95" w:rsidRPr="00071B95" w14:paraId="150B5410" w14:textId="77777777" w:rsidTr="00E43655">
        <w:trPr>
          <w:cnfStyle w:val="100000000000" w:firstRow="1" w:lastRow="0" w:firstColumn="0" w:lastColumn="0" w:oddVBand="0" w:evenVBand="0" w:oddHBand="0" w:evenHBand="0" w:firstRowFirstColumn="0" w:firstRowLastColumn="0" w:lastRowFirstColumn="0" w:lastRowLastColumn="0"/>
        </w:trPr>
        <w:tc>
          <w:tcPr>
            <w:tcW w:w="2084" w:type="dxa"/>
          </w:tcPr>
          <w:p w14:paraId="1DC5370D" w14:textId="77777777" w:rsidR="00071B95" w:rsidRPr="00E43655" w:rsidRDefault="00AE54EA" w:rsidP="00E43655">
            <w:pPr>
              <w:pStyle w:val="TableTextEntries"/>
              <w:rPr>
                <w:b w:val="0"/>
              </w:rPr>
            </w:pPr>
            <w:r w:rsidRPr="00E43655">
              <w:rPr>
                <w:b w:val="0"/>
              </w:rPr>
              <w:t>Three Diseases Fund</w:t>
            </w:r>
          </w:p>
        </w:tc>
        <w:tc>
          <w:tcPr>
            <w:tcW w:w="2119" w:type="dxa"/>
          </w:tcPr>
          <w:p w14:paraId="31DDA8B1" w14:textId="77777777" w:rsidR="00071B95" w:rsidRPr="00E43655" w:rsidRDefault="00AE54EA" w:rsidP="00E43655">
            <w:pPr>
              <w:pStyle w:val="TableTextEntries"/>
              <w:rPr>
                <w:b w:val="0"/>
              </w:rPr>
            </w:pPr>
            <w:r w:rsidRPr="00E43655">
              <w:rPr>
                <w:b w:val="0"/>
              </w:rPr>
              <w:t>ING997</w:t>
            </w:r>
          </w:p>
        </w:tc>
        <w:tc>
          <w:tcPr>
            <w:tcW w:w="2227" w:type="dxa"/>
          </w:tcPr>
          <w:p w14:paraId="1F9D6645" w14:textId="5D21F1D8" w:rsidR="00071B95" w:rsidRPr="00E43655" w:rsidRDefault="00AE54EA" w:rsidP="00E43655">
            <w:pPr>
              <w:pStyle w:val="TableTextEntries"/>
              <w:rPr>
                <w:b w:val="0"/>
              </w:rPr>
            </w:pPr>
            <w:r w:rsidRPr="00E43655">
              <w:rPr>
                <w:b w:val="0"/>
              </w:rPr>
              <w:t xml:space="preserve">Completion Report </w:t>
            </w:r>
            <w:r w:rsidR="00827628" w:rsidRPr="00E43655">
              <w:rPr>
                <w:b w:val="0"/>
              </w:rPr>
              <w:t xml:space="preserve">– </w:t>
            </w:r>
            <w:r w:rsidRPr="00E43655">
              <w:rPr>
                <w:b w:val="0"/>
              </w:rPr>
              <w:t>External Evaluation Report</w:t>
            </w:r>
          </w:p>
        </w:tc>
        <w:tc>
          <w:tcPr>
            <w:tcW w:w="2126" w:type="dxa"/>
          </w:tcPr>
          <w:p w14:paraId="746921FB" w14:textId="77777777" w:rsidR="00071B95" w:rsidRPr="00E43655" w:rsidRDefault="00AE54EA" w:rsidP="00E43655">
            <w:pPr>
              <w:pStyle w:val="TableTextEntries"/>
              <w:rPr>
                <w:b w:val="0"/>
              </w:rPr>
            </w:pPr>
            <w:r w:rsidRPr="00E43655">
              <w:rPr>
                <w:b w:val="0"/>
              </w:rPr>
              <w:t>12 September 2012</w:t>
            </w:r>
          </w:p>
        </w:tc>
        <w:tc>
          <w:tcPr>
            <w:tcW w:w="2106" w:type="dxa"/>
          </w:tcPr>
          <w:p w14:paraId="00498DE1" w14:textId="77777777" w:rsidR="00071B95" w:rsidRPr="00E43655" w:rsidRDefault="00AE54EA" w:rsidP="00E43655">
            <w:pPr>
              <w:pStyle w:val="TableTextEntries"/>
              <w:rPr>
                <w:b w:val="0"/>
              </w:rPr>
            </w:pPr>
            <w:r w:rsidRPr="00E43655">
              <w:rPr>
                <w:b w:val="0"/>
              </w:rPr>
              <w:t>5 November 2012</w:t>
            </w:r>
          </w:p>
        </w:tc>
        <w:tc>
          <w:tcPr>
            <w:tcW w:w="1911" w:type="dxa"/>
          </w:tcPr>
          <w:p w14:paraId="20D48F3D" w14:textId="77777777" w:rsidR="00071B95" w:rsidRPr="00E43655" w:rsidRDefault="00AE54EA" w:rsidP="00E43655">
            <w:pPr>
              <w:pStyle w:val="TableTextEntries"/>
              <w:rPr>
                <w:b w:val="0"/>
              </w:rPr>
            </w:pPr>
            <w:r w:rsidRPr="00E43655">
              <w:rPr>
                <w:b w:val="0"/>
              </w:rPr>
              <w:t>20 December 2012</w:t>
            </w:r>
          </w:p>
        </w:tc>
        <w:tc>
          <w:tcPr>
            <w:tcW w:w="1648" w:type="dxa"/>
          </w:tcPr>
          <w:p w14:paraId="1587C7DE" w14:textId="77777777" w:rsidR="00071B95" w:rsidRPr="00E43655" w:rsidRDefault="00071B95" w:rsidP="00E43655">
            <w:pPr>
              <w:pStyle w:val="TableTextEntries"/>
              <w:rPr>
                <w:b w:val="0"/>
              </w:rPr>
            </w:pPr>
            <w:r w:rsidRPr="00E43655">
              <w:rPr>
                <w:b w:val="0"/>
              </w:rPr>
              <w:t>Yes</w:t>
            </w:r>
          </w:p>
        </w:tc>
      </w:tr>
      <w:tr w:rsidR="00071B95" w:rsidRPr="00071B95" w14:paraId="2B4C1CD7" w14:textId="77777777" w:rsidTr="00E43655">
        <w:trPr>
          <w:cnfStyle w:val="100000000000" w:firstRow="1" w:lastRow="0" w:firstColumn="0" w:lastColumn="0" w:oddVBand="0" w:evenVBand="0" w:oddHBand="0" w:evenHBand="0" w:firstRowFirstColumn="0" w:firstRowLastColumn="0" w:lastRowFirstColumn="0" w:lastRowLastColumn="0"/>
        </w:trPr>
        <w:tc>
          <w:tcPr>
            <w:tcW w:w="2084" w:type="dxa"/>
          </w:tcPr>
          <w:p w14:paraId="6EA49711" w14:textId="77777777" w:rsidR="00071B95" w:rsidRPr="00E43655" w:rsidRDefault="00AE54EA" w:rsidP="00E43655">
            <w:pPr>
              <w:pStyle w:val="TableTextEntries"/>
              <w:rPr>
                <w:b w:val="0"/>
              </w:rPr>
            </w:pPr>
            <w:r w:rsidRPr="00E43655">
              <w:rPr>
                <w:b w:val="0"/>
              </w:rPr>
              <w:t>Thai-Myanmar border programs</w:t>
            </w:r>
          </w:p>
        </w:tc>
        <w:tc>
          <w:tcPr>
            <w:tcW w:w="2119" w:type="dxa"/>
          </w:tcPr>
          <w:p w14:paraId="3B445C4A" w14:textId="77777777" w:rsidR="00071B95" w:rsidRPr="00E43655" w:rsidRDefault="00AE54EA" w:rsidP="00E43655">
            <w:pPr>
              <w:pStyle w:val="TableTextEntries"/>
              <w:rPr>
                <w:b w:val="0"/>
              </w:rPr>
            </w:pPr>
            <w:r w:rsidRPr="00E43655">
              <w:rPr>
                <w:b w:val="0"/>
              </w:rPr>
              <w:t>INJ713, INJ718, INK079</w:t>
            </w:r>
          </w:p>
        </w:tc>
        <w:tc>
          <w:tcPr>
            <w:tcW w:w="2227" w:type="dxa"/>
          </w:tcPr>
          <w:p w14:paraId="48955920" w14:textId="77777777" w:rsidR="00071B95" w:rsidRPr="00E43655" w:rsidRDefault="00AE54EA" w:rsidP="00E43655">
            <w:pPr>
              <w:pStyle w:val="TableTextEntries"/>
              <w:rPr>
                <w:b w:val="0"/>
              </w:rPr>
            </w:pPr>
            <w:r w:rsidRPr="00E43655">
              <w:rPr>
                <w:b w:val="0"/>
              </w:rPr>
              <w:t>Independent evaluation</w:t>
            </w:r>
          </w:p>
        </w:tc>
        <w:tc>
          <w:tcPr>
            <w:tcW w:w="2126" w:type="dxa"/>
          </w:tcPr>
          <w:p w14:paraId="2488FD17" w14:textId="77777777" w:rsidR="00071B95" w:rsidRPr="00E43655" w:rsidRDefault="00AE54EA" w:rsidP="00E43655">
            <w:pPr>
              <w:pStyle w:val="TableTextEntries"/>
              <w:rPr>
                <w:b w:val="0"/>
              </w:rPr>
            </w:pPr>
            <w:r w:rsidRPr="00E43655">
              <w:rPr>
                <w:b w:val="0"/>
              </w:rPr>
              <w:t>30 April 2013</w:t>
            </w:r>
          </w:p>
        </w:tc>
        <w:tc>
          <w:tcPr>
            <w:tcW w:w="2106" w:type="dxa"/>
          </w:tcPr>
          <w:p w14:paraId="36621460" w14:textId="77777777" w:rsidR="00071B95" w:rsidRPr="00E43655" w:rsidRDefault="00AE54EA" w:rsidP="00E43655">
            <w:pPr>
              <w:pStyle w:val="TableTextEntries"/>
              <w:rPr>
                <w:b w:val="0"/>
              </w:rPr>
            </w:pPr>
            <w:r w:rsidRPr="00E43655">
              <w:rPr>
                <w:b w:val="0"/>
              </w:rPr>
              <w:t>14 June 2013</w:t>
            </w:r>
          </w:p>
        </w:tc>
        <w:tc>
          <w:tcPr>
            <w:tcW w:w="1911" w:type="dxa"/>
          </w:tcPr>
          <w:p w14:paraId="6BB4897A" w14:textId="77777777" w:rsidR="00071B95" w:rsidRPr="00E43655" w:rsidRDefault="00AE54EA" w:rsidP="00E43655">
            <w:pPr>
              <w:pStyle w:val="TableTextEntries"/>
              <w:rPr>
                <w:b w:val="0"/>
              </w:rPr>
            </w:pPr>
            <w:r w:rsidRPr="00E43655">
              <w:rPr>
                <w:b w:val="0"/>
              </w:rPr>
              <w:t>14 June 2013</w:t>
            </w:r>
          </w:p>
        </w:tc>
        <w:tc>
          <w:tcPr>
            <w:tcW w:w="1648" w:type="dxa"/>
          </w:tcPr>
          <w:p w14:paraId="080B0F06" w14:textId="77777777" w:rsidR="00071B95" w:rsidRPr="00E43655" w:rsidRDefault="00AE54EA" w:rsidP="00E43655">
            <w:pPr>
              <w:pStyle w:val="TableTextEntries"/>
              <w:rPr>
                <w:b w:val="0"/>
              </w:rPr>
            </w:pPr>
            <w:r w:rsidRPr="00E43655">
              <w:rPr>
                <w:b w:val="0"/>
              </w:rPr>
              <w:t>Yes</w:t>
            </w:r>
          </w:p>
        </w:tc>
      </w:tr>
    </w:tbl>
    <w:p w14:paraId="2C70C979" w14:textId="77777777" w:rsidR="00071B95" w:rsidRPr="00071B95" w:rsidRDefault="00071B95" w:rsidP="00071B95">
      <w:pPr>
        <w:rPr>
          <w:b/>
        </w:rPr>
      </w:pPr>
    </w:p>
    <w:p w14:paraId="7DEDECF0" w14:textId="77777777" w:rsidR="00071B95" w:rsidRPr="00071B95" w:rsidRDefault="00071B95" w:rsidP="00071B95">
      <w:pPr>
        <w:pStyle w:val="Caption"/>
      </w:pPr>
      <w:r w:rsidRPr="00071B95">
        <w:t xml:space="preserve">List of evaluations planned in the next 12 months </w:t>
      </w:r>
    </w:p>
    <w:tbl>
      <w:tblPr>
        <w:tblStyle w:val="APPR"/>
        <w:tblW w:w="5000" w:type="pct"/>
        <w:tblLook w:val="0600" w:firstRow="0" w:lastRow="0" w:firstColumn="0" w:lastColumn="0" w:noHBand="1" w:noVBand="1"/>
      </w:tblPr>
      <w:tblGrid>
        <w:gridCol w:w="2804"/>
        <w:gridCol w:w="2713"/>
        <w:gridCol w:w="2800"/>
        <w:gridCol w:w="2800"/>
        <w:gridCol w:w="2820"/>
      </w:tblGrid>
      <w:tr w:rsidR="00071B95" w:rsidRPr="00071B95" w14:paraId="70D8CA9A" w14:textId="77777777" w:rsidTr="00E43655">
        <w:tc>
          <w:tcPr>
            <w:tcW w:w="2601" w:type="dxa"/>
          </w:tcPr>
          <w:p w14:paraId="2BA7A60E" w14:textId="7A47D198" w:rsidR="00071B95" w:rsidRPr="00071B95" w:rsidRDefault="00071B95">
            <w:pPr>
              <w:pStyle w:val="TableTextColumnHeading"/>
            </w:pPr>
            <w:r w:rsidRPr="00071B95">
              <w:t xml:space="preserve">Name of </w:t>
            </w:r>
            <w:r w:rsidR="00827628">
              <w:t>i</w:t>
            </w:r>
            <w:r w:rsidR="00827628" w:rsidRPr="00071B95">
              <w:t>nitiative</w:t>
            </w:r>
          </w:p>
        </w:tc>
        <w:tc>
          <w:tcPr>
            <w:tcW w:w="2530" w:type="dxa"/>
          </w:tcPr>
          <w:p w14:paraId="599A2C18" w14:textId="77777777" w:rsidR="00071B95" w:rsidRPr="00071B95" w:rsidRDefault="00071B95" w:rsidP="00071B95">
            <w:pPr>
              <w:pStyle w:val="TableTextColumnHeading"/>
            </w:pPr>
            <w:proofErr w:type="spellStart"/>
            <w:r w:rsidRPr="00071B95">
              <w:t>Aidworks</w:t>
            </w:r>
            <w:proofErr w:type="spellEnd"/>
            <w:r w:rsidRPr="00071B95">
              <w:t xml:space="preserve"> number</w:t>
            </w:r>
          </w:p>
        </w:tc>
        <w:tc>
          <w:tcPr>
            <w:tcW w:w="2612" w:type="dxa"/>
          </w:tcPr>
          <w:p w14:paraId="0A9A79BA" w14:textId="77777777" w:rsidR="00071B95" w:rsidRPr="00071B95" w:rsidRDefault="00071B95" w:rsidP="00071B95">
            <w:pPr>
              <w:pStyle w:val="TableTextColumnHeading"/>
            </w:pPr>
            <w:r w:rsidRPr="00071B95">
              <w:t>Type of evaluation</w:t>
            </w:r>
          </w:p>
        </w:tc>
        <w:tc>
          <w:tcPr>
            <w:tcW w:w="2612" w:type="dxa"/>
          </w:tcPr>
          <w:p w14:paraId="633C825A" w14:textId="77777777" w:rsidR="00071B95" w:rsidRPr="00071B95" w:rsidRDefault="00071B95" w:rsidP="00071B95">
            <w:pPr>
              <w:pStyle w:val="TableTextColumnHeading"/>
            </w:pPr>
            <w:r w:rsidRPr="00071B95">
              <w:t>Purpose of evaluation</w:t>
            </w:r>
            <w:r w:rsidRPr="00071B95">
              <w:rPr>
                <w:vertAlign w:val="superscript"/>
              </w:rPr>
              <w:footnoteReference w:id="15"/>
            </w:r>
          </w:p>
        </w:tc>
        <w:tc>
          <w:tcPr>
            <w:tcW w:w="2617" w:type="dxa"/>
          </w:tcPr>
          <w:p w14:paraId="23618FDD" w14:textId="77777777" w:rsidR="00071B95" w:rsidRPr="00071B95" w:rsidRDefault="00071B95" w:rsidP="00071B95">
            <w:pPr>
              <w:pStyle w:val="TableTextColumnHeading"/>
            </w:pPr>
            <w:r w:rsidRPr="00071B95">
              <w:t>Expected completion date</w:t>
            </w:r>
          </w:p>
        </w:tc>
      </w:tr>
      <w:tr w:rsidR="00071B95" w:rsidRPr="00071B95" w14:paraId="6E7E3B55" w14:textId="77777777" w:rsidTr="00E43655">
        <w:tc>
          <w:tcPr>
            <w:tcW w:w="2601" w:type="dxa"/>
          </w:tcPr>
          <w:p w14:paraId="47E1746D" w14:textId="77777777" w:rsidR="00071B95" w:rsidRPr="00E43655" w:rsidRDefault="00AE54EA" w:rsidP="00E43655">
            <w:pPr>
              <w:pStyle w:val="TableTextEntries"/>
            </w:pPr>
            <w:r w:rsidRPr="00E43655">
              <w:t>Improving Access to Maternal and Child Health Care</w:t>
            </w:r>
          </w:p>
        </w:tc>
        <w:tc>
          <w:tcPr>
            <w:tcW w:w="2530" w:type="dxa"/>
          </w:tcPr>
          <w:p w14:paraId="2F3C4474" w14:textId="77777777" w:rsidR="00071B95" w:rsidRPr="00E43655" w:rsidRDefault="00AE54EA" w:rsidP="00E43655">
            <w:pPr>
              <w:pStyle w:val="TableTextEntries"/>
            </w:pPr>
            <w:r w:rsidRPr="00E43655">
              <w:t>INJ170</w:t>
            </w:r>
          </w:p>
        </w:tc>
        <w:tc>
          <w:tcPr>
            <w:tcW w:w="2612" w:type="dxa"/>
          </w:tcPr>
          <w:p w14:paraId="361ADB3A" w14:textId="77777777" w:rsidR="00071B95" w:rsidRPr="00E43655" w:rsidRDefault="00AE54EA" w:rsidP="00E43655">
            <w:pPr>
              <w:pStyle w:val="TableTextEntries"/>
            </w:pPr>
            <w:r w:rsidRPr="00E43655">
              <w:t>Joint Lesson Learning</w:t>
            </w:r>
          </w:p>
        </w:tc>
        <w:tc>
          <w:tcPr>
            <w:tcW w:w="2612" w:type="dxa"/>
          </w:tcPr>
          <w:p w14:paraId="3F5905AE" w14:textId="77777777" w:rsidR="00071B95" w:rsidRPr="00E43655" w:rsidRDefault="00AE54EA" w:rsidP="00E43655">
            <w:pPr>
              <w:pStyle w:val="TableTextEntries"/>
            </w:pPr>
            <w:r w:rsidRPr="00E43655">
              <w:t xml:space="preserve">To inform 3MDG maternal and child interventions </w:t>
            </w:r>
          </w:p>
        </w:tc>
        <w:tc>
          <w:tcPr>
            <w:tcW w:w="2617" w:type="dxa"/>
          </w:tcPr>
          <w:p w14:paraId="553BB43C" w14:textId="77777777" w:rsidR="00071B95" w:rsidRPr="00E43655" w:rsidRDefault="00AE54EA" w:rsidP="00E43655">
            <w:pPr>
              <w:pStyle w:val="TableTextEntries"/>
            </w:pPr>
            <w:r w:rsidRPr="00E43655">
              <w:t>June 2013</w:t>
            </w:r>
          </w:p>
        </w:tc>
      </w:tr>
      <w:tr w:rsidR="00071B95" w:rsidRPr="00071B95" w14:paraId="0A854991" w14:textId="77777777" w:rsidTr="00E43655">
        <w:tc>
          <w:tcPr>
            <w:tcW w:w="2601" w:type="dxa"/>
          </w:tcPr>
          <w:p w14:paraId="7BB72E67" w14:textId="77777777" w:rsidR="00071B95" w:rsidRPr="00E43655" w:rsidRDefault="00AE54EA" w:rsidP="00E43655">
            <w:pPr>
              <w:pStyle w:val="TableTextEntries"/>
            </w:pPr>
            <w:r w:rsidRPr="00E43655">
              <w:t>Joint UN Maternal Newborn and Child Health Programme</w:t>
            </w:r>
          </w:p>
        </w:tc>
        <w:tc>
          <w:tcPr>
            <w:tcW w:w="2530" w:type="dxa"/>
          </w:tcPr>
          <w:p w14:paraId="3D7C0F71" w14:textId="77777777" w:rsidR="00071B95" w:rsidRPr="00E43655" w:rsidRDefault="00AE54EA" w:rsidP="00E43655">
            <w:pPr>
              <w:pStyle w:val="TableTextEntries"/>
            </w:pPr>
            <w:r w:rsidRPr="00E43655">
              <w:t>INK437</w:t>
            </w:r>
          </w:p>
        </w:tc>
        <w:tc>
          <w:tcPr>
            <w:tcW w:w="2612" w:type="dxa"/>
          </w:tcPr>
          <w:p w14:paraId="5B693CCA" w14:textId="77777777" w:rsidR="00071B95" w:rsidRPr="00E43655" w:rsidRDefault="00AE54EA" w:rsidP="00E43655">
            <w:pPr>
              <w:pStyle w:val="TableTextEntries"/>
            </w:pPr>
            <w:r w:rsidRPr="00E43655">
              <w:t>Independent Joint Review</w:t>
            </w:r>
          </w:p>
        </w:tc>
        <w:tc>
          <w:tcPr>
            <w:tcW w:w="2612" w:type="dxa"/>
          </w:tcPr>
          <w:p w14:paraId="6F4DE9F2" w14:textId="3040A42A" w:rsidR="00071B95" w:rsidRPr="00E43655" w:rsidRDefault="00AE54EA" w:rsidP="00E43655">
            <w:pPr>
              <w:pStyle w:val="TableTextEntries"/>
            </w:pPr>
            <w:r w:rsidRPr="00E43655">
              <w:t xml:space="preserve">To inform 3MDG maternal and child interventions with UN </w:t>
            </w:r>
            <w:r w:rsidR="00827628" w:rsidRPr="00E43655">
              <w:t>agencies</w:t>
            </w:r>
          </w:p>
        </w:tc>
        <w:tc>
          <w:tcPr>
            <w:tcW w:w="2617" w:type="dxa"/>
          </w:tcPr>
          <w:p w14:paraId="1B14DD94" w14:textId="77777777" w:rsidR="00071B95" w:rsidRPr="00E43655" w:rsidRDefault="00AE54EA" w:rsidP="00E43655">
            <w:pPr>
              <w:pStyle w:val="TableTextEntries"/>
            </w:pPr>
            <w:r w:rsidRPr="00E43655">
              <w:t>October 2013 (tentative)</w:t>
            </w:r>
          </w:p>
        </w:tc>
      </w:tr>
    </w:tbl>
    <w:p w14:paraId="6B7E2059" w14:textId="35DAC6E6" w:rsidR="00071B95" w:rsidRDefault="00071B95" w:rsidP="008572EA">
      <w:pPr>
        <w:rPr>
          <w:b/>
        </w:rPr>
      </w:pPr>
    </w:p>
    <w:sectPr w:rsidR="00071B95" w:rsidSect="008572EA">
      <w:headerReference w:type="default" r:id="rId14"/>
      <w:pgSz w:w="16840" w:h="11907" w:orient="landscape" w:code="9"/>
      <w:pgMar w:top="1871" w:right="2268" w:bottom="1701" w:left="907"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E67CC" w14:textId="77777777" w:rsidR="00EB0701" w:rsidRDefault="00EB0701" w:rsidP="0050529F">
      <w:r>
        <w:separator/>
      </w:r>
    </w:p>
    <w:p w14:paraId="1CE0EA95" w14:textId="77777777" w:rsidR="00EB0701" w:rsidRDefault="00EB0701"/>
    <w:p w14:paraId="7B941810" w14:textId="77777777" w:rsidR="00EB0701" w:rsidRDefault="00EB0701"/>
  </w:endnote>
  <w:endnote w:type="continuationSeparator" w:id="0">
    <w:p w14:paraId="7CE25B8B" w14:textId="77777777" w:rsidR="00EB0701" w:rsidRDefault="00EB0701" w:rsidP="0050529F">
      <w:r>
        <w:continuationSeparator/>
      </w:r>
    </w:p>
    <w:p w14:paraId="12DEDAB6" w14:textId="77777777" w:rsidR="00EB0701" w:rsidRDefault="00EB0701"/>
    <w:p w14:paraId="0A792B4C" w14:textId="77777777" w:rsidR="00EB0701" w:rsidRDefault="00EB0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EC5FE" w14:textId="3E18C4CA" w:rsidR="00EB0701" w:rsidRDefault="00EB0701" w:rsidP="008572EA">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23734C">
      <w:rPr>
        <w:rFonts w:ascii="Franklin Gothic Medium" w:eastAsia="Times New Roman" w:hAnsi="Franklin Gothic Medium"/>
        <w:noProof/>
        <w:sz w:val="14"/>
        <w:szCs w:val="14"/>
      </w:rPr>
      <w:t>Aid Program Performance Report 2012−13 Burma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23734C">
      <w:rPr>
        <w:rFonts w:ascii="Franklin Gothic Medium" w:eastAsia="Times New Roman" w:hAnsi="Franklin Gothic Medium"/>
        <w:noProof/>
        <w:sz w:val="14"/>
        <w:szCs w:val="14"/>
      </w:rPr>
      <w:t>18</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95104" behindDoc="1" locked="0" layoutInCell="1" allowOverlap="1" wp14:anchorId="0618453A" wp14:editId="6C247A90">
              <wp:simplePos x="0" y="0"/>
              <wp:positionH relativeFrom="column">
                <wp:posOffset>0</wp:posOffset>
              </wp:positionH>
              <wp:positionV relativeFrom="paragraph">
                <wp:posOffset>8498840</wp:posOffset>
              </wp:positionV>
              <wp:extent cx="7379970" cy="2181860"/>
              <wp:effectExtent l="0" t="2540" r="1905" b="0"/>
              <wp:wrapNone/>
              <wp:docPr id="4"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2vhx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r9r4c&#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94080" behindDoc="1" locked="0" layoutInCell="1" allowOverlap="1" wp14:anchorId="4E7EE4DE" wp14:editId="751EEA8B">
              <wp:simplePos x="0" y="0"/>
              <wp:positionH relativeFrom="column">
                <wp:posOffset>0</wp:posOffset>
              </wp:positionH>
              <wp:positionV relativeFrom="paragraph">
                <wp:posOffset>8498840</wp:posOffset>
              </wp:positionV>
              <wp:extent cx="7379970" cy="2181860"/>
              <wp:effectExtent l="0" t="2540" r="1905" b="0"/>
              <wp:wrapNone/>
              <wp:docPr id="5"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pYIp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0KWCK&#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6C7DF" w14:textId="4C52DA99" w:rsidR="00EB0701" w:rsidRPr="00E43655" w:rsidRDefault="00EB0701" w:rsidP="008572EA">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23734C">
      <w:rPr>
        <w:rFonts w:ascii="Franklin Gothic Medium" w:eastAsia="Times New Roman" w:hAnsi="Franklin Gothic Medium"/>
        <w:noProof/>
        <w:sz w:val="14"/>
        <w:szCs w:val="14"/>
      </w:rPr>
      <w:t>Aid Program Performance Report 2012−13 Burma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23734C">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92032" behindDoc="1" locked="0" layoutInCell="1" allowOverlap="1" wp14:anchorId="7223A4E1" wp14:editId="5C79468B">
              <wp:simplePos x="0" y="0"/>
              <wp:positionH relativeFrom="column">
                <wp:posOffset>0</wp:posOffset>
              </wp:positionH>
              <wp:positionV relativeFrom="paragraph">
                <wp:posOffset>8498840</wp:posOffset>
              </wp:positionV>
              <wp:extent cx="7379970" cy="2181860"/>
              <wp:effectExtent l="0" t="2540" r="1905" b="0"/>
              <wp:wrapNone/>
              <wp:docPr id="18"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gX5xjAwAAHA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x4F+c&#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91008" behindDoc="1" locked="0" layoutInCell="1" allowOverlap="1" wp14:anchorId="3394379C" wp14:editId="582631D7">
              <wp:simplePos x="0" y="0"/>
              <wp:positionH relativeFrom="column">
                <wp:posOffset>0</wp:posOffset>
              </wp:positionH>
              <wp:positionV relativeFrom="paragraph">
                <wp:posOffset>8498840</wp:posOffset>
              </wp:positionV>
              <wp:extent cx="7379970" cy="2181860"/>
              <wp:effectExtent l="0" t="2540" r="1905" b="0"/>
              <wp:wrapNone/>
              <wp:docPr id="1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lOcd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GU5&#10;x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93732" w14:textId="77777777" w:rsidR="00EB0701" w:rsidRDefault="00EB0701" w:rsidP="0050529F">
      <w:r>
        <w:separator/>
      </w:r>
    </w:p>
    <w:p w14:paraId="70275C71" w14:textId="77777777" w:rsidR="00EB0701" w:rsidRDefault="00EB0701"/>
    <w:p w14:paraId="31124EBE" w14:textId="77777777" w:rsidR="00EB0701" w:rsidRDefault="00EB0701"/>
  </w:footnote>
  <w:footnote w:type="continuationSeparator" w:id="0">
    <w:p w14:paraId="552D1C2B" w14:textId="77777777" w:rsidR="00EB0701" w:rsidRDefault="00EB0701" w:rsidP="0050529F">
      <w:r>
        <w:continuationSeparator/>
      </w:r>
    </w:p>
    <w:p w14:paraId="3E9E7A02" w14:textId="77777777" w:rsidR="00EB0701" w:rsidRDefault="00EB0701"/>
    <w:p w14:paraId="60BB7724" w14:textId="77777777" w:rsidR="00EB0701" w:rsidRDefault="00EB0701"/>
  </w:footnote>
  <w:footnote w:id="1">
    <w:p w14:paraId="2E5C7022" w14:textId="77777777" w:rsidR="00EB0701" w:rsidRDefault="00EB0701">
      <w:pPr>
        <w:pStyle w:val="FootnoteText"/>
      </w:pPr>
      <w:r>
        <w:rPr>
          <w:rStyle w:val="FootnoteReference"/>
        </w:rPr>
        <w:footnoteRef/>
      </w:r>
      <w:r>
        <w:t xml:space="preserve"> </w:t>
      </w:r>
      <w:proofErr w:type="gramStart"/>
      <w:r w:rsidRPr="00E52B15">
        <w:t>World Food Programme and Food and Agriculture Organization, Crop and Food Security Assessment Mission to Myanmar, 2009</w:t>
      </w:r>
      <w:r>
        <w:t>.</w:t>
      </w:r>
      <w:proofErr w:type="gramEnd"/>
    </w:p>
  </w:footnote>
  <w:footnote w:id="2">
    <w:p w14:paraId="2B468C2A" w14:textId="6CE426D3" w:rsidR="00EB0701" w:rsidRDefault="00EB0701">
      <w:pPr>
        <w:pStyle w:val="FootnoteText"/>
      </w:pPr>
      <w:r>
        <w:rPr>
          <w:rStyle w:val="FootnoteReference"/>
        </w:rPr>
        <w:footnoteRef/>
      </w:r>
      <w:r>
        <w:t xml:space="preserve"> </w:t>
      </w:r>
      <w:proofErr w:type="gramStart"/>
      <w:r w:rsidRPr="00DA6239">
        <w:t>Estimates for 2010.</w:t>
      </w:r>
      <w:proofErr w:type="gramEnd"/>
      <w:r w:rsidRPr="00DA6239">
        <w:t xml:space="preserve"> </w:t>
      </w:r>
      <w:r w:rsidRPr="00DA6239">
        <w:rPr>
          <w:i/>
        </w:rPr>
        <w:t>CESR rapid review report</w:t>
      </w:r>
      <w:r w:rsidRPr="00DA6239">
        <w:t xml:space="preserve"> (forthcoming) 2013; and Ministry of Education 2010</w:t>
      </w:r>
      <w:r>
        <w:t>,</w:t>
      </w:r>
      <w:r w:rsidRPr="00DA6239">
        <w:t xml:space="preserve"> </w:t>
      </w:r>
      <w:r w:rsidRPr="003D6AEF">
        <w:rPr>
          <w:i/>
        </w:rPr>
        <w:t>Education for all</w:t>
      </w:r>
      <w:r>
        <w:rPr>
          <w:i/>
        </w:rPr>
        <w:t>:</w:t>
      </w:r>
      <w:r w:rsidRPr="003D6AEF">
        <w:rPr>
          <w:i/>
        </w:rPr>
        <w:t xml:space="preserve"> country progress report</w:t>
      </w:r>
      <w:r w:rsidRPr="00DA6239">
        <w:t xml:space="preserve">, October 2010, Nay </w:t>
      </w:r>
      <w:proofErr w:type="spellStart"/>
      <w:r w:rsidRPr="00DA6239">
        <w:t>Pyi</w:t>
      </w:r>
      <w:proofErr w:type="spellEnd"/>
      <w:r w:rsidRPr="00DA6239">
        <w:t xml:space="preserve"> Taw</w:t>
      </w:r>
      <w:r>
        <w:t>.</w:t>
      </w:r>
    </w:p>
  </w:footnote>
  <w:footnote w:id="3">
    <w:p w14:paraId="4C7BE97E" w14:textId="07B25D0C" w:rsidR="00EB0701" w:rsidRDefault="00EB0701">
      <w:pPr>
        <w:pStyle w:val="FootnoteText"/>
      </w:pPr>
      <w:r>
        <w:rPr>
          <w:rStyle w:val="FootnoteReference"/>
        </w:rPr>
        <w:footnoteRef/>
      </w:r>
      <w:r>
        <w:t>United Nations Children’s Fund</w:t>
      </w:r>
      <w:r w:rsidRPr="00DA6239">
        <w:t xml:space="preserve"> study results reported in </w:t>
      </w:r>
      <w:r w:rsidRPr="003D6AEF">
        <w:rPr>
          <w:i/>
        </w:rPr>
        <w:t>Progress in implementation of child friendly schools (2010)</w:t>
      </w:r>
      <w:r w:rsidRPr="00DA6239">
        <w:t>, p.12, cited in AusAID and World Bank, Rapid Assessment of Financing the Education Sector in Myanmar, Jan</w:t>
      </w:r>
      <w:r>
        <w:t>uary</w:t>
      </w:r>
      <w:r w:rsidRPr="00DA6239">
        <w:t xml:space="preserve"> 2013</w:t>
      </w:r>
      <w:r>
        <w:t>.</w:t>
      </w:r>
    </w:p>
  </w:footnote>
  <w:footnote w:id="4">
    <w:p w14:paraId="48B9767E" w14:textId="264F5918" w:rsidR="00EB0701" w:rsidRDefault="00EB0701">
      <w:pPr>
        <w:pStyle w:val="FootnoteText"/>
      </w:pPr>
      <w:r>
        <w:rPr>
          <w:rStyle w:val="FootnoteReference"/>
        </w:rPr>
        <w:footnoteRef/>
      </w:r>
      <w:r>
        <w:t xml:space="preserve"> </w:t>
      </w:r>
      <w:r w:rsidRPr="00DA6239">
        <w:t>United Nations Children’s Fund 2010</w:t>
      </w:r>
      <w:r>
        <w:t>,</w:t>
      </w:r>
      <w:r w:rsidRPr="00DA6239">
        <w:t xml:space="preserve"> </w:t>
      </w:r>
      <w:r w:rsidRPr="003D6AEF">
        <w:rPr>
          <w:i/>
        </w:rPr>
        <w:t>Levels and trends in child mortality: Report 2010</w:t>
      </w:r>
      <w:r w:rsidRPr="00DA6239">
        <w:t xml:space="preserve">, </w:t>
      </w:r>
      <w:r>
        <w:t>e</w:t>
      </w:r>
      <w:r w:rsidRPr="00DA6239">
        <w:t>stimates developed by the United Nations Inter-agency Group for Child Mortality Estimation, p.13, viewed on 1 March 2012</w:t>
      </w:r>
      <w:r>
        <w:t>.</w:t>
      </w:r>
    </w:p>
  </w:footnote>
  <w:footnote w:id="5">
    <w:p w14:paraId="0E0392F2" w14:textId="710C6A7D" w:rsidR="00EB0701" w:rsidRDefault="00EB0701">
      <w:pPr>
        <w:pStyle w:val="FootnoteText"/>
      </w:pPr>
      <w:r>
        <w:rPr>
          <w:rStyle w:val="FootnoteReference"/>
        </w:rPr>
        <w:footnoteRef/>
      </w:r>
      <w:r>
        <w:t xml:space="preserve"> </w:t>
      </w:r>
      <w:r w:rsidRPr="00DA6239">
        <w:t xml:space="preserve">World Health Organization, United Nations Children’s Fund, United Nations Population Fund and the World Bank 2010. </w:t>
      </w:r>
      <w:r w:rsidRPr="003D6AEF">
        <w:rPr>
          <w:i/>
        </w:rPr>
        <w:t>Trends in maternal mortality: 1990 to 2008</w:t>
      </w:r>
      <w:r w:rsidRPr="00DA6239">
        <w:t xml:space="preserve">, </w:t>
      </w:r>
      <w:r>
        <w:t>e</w:t>
      </w:r>
      <w:r w:rsidRPr="00DA6239">
        <w:t xml:space="preserve">stimates developed by World Health Organization, United Nations Children’s Fund, United Nations Population Fund and </w:t>
      </w:r>
      <w:r>
        <w:t>t</w:t>
      </w:r>
      <w:r w:rsidRPr="00DA6239">
        <w:t>he World Bank, p.25, viewed on 1 March 2012</w:t>
      </w:r>
      <w:r>
        <w:t>.</w:t>
      </w:r>
    </w:p>
  </w:footnote>
  <w:footnote w:id="6">
    <w:p w14:paraId="3A291938" w14:textId="045E390C" w:rsidR="00EB0701" w:rsidRDefault="00EB0701">
      <w:pPr>
        <w:pStyle w:val="FootnoteText"/>
      </w:pPr>
      <w:r>
        <w:rPr>
          <w:rStyle w:val="FootnoteReference"/>
        </w:rPr>
        <w:footnoteRef/>
      </w:r>
      <w:r>
        <w:t xml:space="preserve"> </w:t>
      </w:r>
      <w:r w:rsidRPr="006E747E">
        <w:t>World Health Organization, Mekong Malaria Programme</w:t>
      </w:r>
      <w:r>
        <w:t>,</w:t>
      </w:r>
      <w:r w:rsidRPr="006E747E">
        <w:t xml:space="preserve"> </w:t>
      </w:r>
      <w:r w:rsidRPr="003D6AEF">
        <w:rPr>
          <w:i/>
        </w:rPr>
        <w:t>Malaria in the greater Mekong subregion: regional and country profiles 2007</w:t>
      </w:r>
      <w:r>
        <w:t>.</w:t>
      </w:r>
    </w:p>
  </w:footnote>
  <w:footnote w:id="7">
    <w:p w14:paraId="55B941E0" w14:textId="7F69961C" w:rsidR="00EB0701" w:rsidRDefault="00EB0701" w:rsidP="00A70E2A">
      <w:pPr>
        <w:pStyle w:val="FootnoteText"/>
      </w:pPr>
      <w:r>
        <w:rPr>
          <w:rStyle w:val="FootnoteReference"/>
        </w:rPr>
        <w:footnoteRef/>
      </w:r>
      <w:r>
        <w:t xml:space="preserve"> United Nations Development Programme, 2012, International Human Development Indicators,</w:t>
      </w:r>
      <w:r w:rsidRPr="008F693D">
        <w:t xml:space="preserve"> </w:t>
      </w:r>
      <w:hyperlink r:id="rId1" w:history="1">
        <w:r w:rsidRPr="00395813">
          <w:rPr>
            <w:rStyle w:val="Hyperlink"/>
            <w:sz w:val="16"/>
          </w:rPr>
          <w:t>http://hdrstats.undp.org/en/indicators/83506.html</w:t>
        </w:r>
      </w:hyperlink>
      <w:r>
        <w:t xml:space="preserve"> </w:t>
      </w:r>
    </w:p>
  </w:footnote>
  <w:footnote w:id="8">
    <w:p w14:paraId="3F21019F" w14:textId="276599CE" w:rsidR="00EB0701" w:rsidRDefault="00EB0701" w:rsidP="00A70E2A">
      <w:pPr>
        <w:pStyle w:val="FootnoteText"/>
      </w:pPr>
      <w:r>
        <w:rPr>
          <w:rStyle w:val="FootnoteReference"/>
        </w:rPr>
        <w:footnoteRef/>
      </w:r>
      <w:r>
        <w:t>United Nations Development Programme, 2012, Country Programme Document for Myanmar (2013–2015),</w:t>
      </w:r>
      <w:r w:rsidRPr="00451846">
        <w:t xml:space="preserve"> </w:t>
      </w:r>
      <w:hyperlink r:id="rId2" w:history="1">
        <w:r w:rsidRPr="00395813">
          <w:rPr>
            <w:rStyle w:val="Hyperlink"/>
            <w:sz w:val="16"/>
          </w:rPr>
          <w:t>http://web.undp.org/asia/country_programme/CP/CP_MYA_2013-2015.pdf</w:t>
        </w:r>
      </w:hyperlink>
      <w:r>
        <w:t xml:space="preserve"> </w:t>
      </w:r>
    </w:p>
  </w:footnote>
  <w:footnote w:id="9">
    <w:p w14:paraId="6B8370F9" w14:textId="25FDD2C6" w:rsidR="00EB0701" w:rsidRDefault="00EB0701">
      <w:pPr>
        <w:pStyle w:val="FootnoteText"/>
      </w:pPr>
      <w:r>
        <w:rPr>
          <w:rStyle w:val="FootnoteReference"/>
        </w:rPr>
        <w:footnoteRef/>
      </w:r>
      <w:r>
        <w:t xml:space="preserve"> In November 2013 AusAID was integrated into the Department of Foreign Affairs and Trade (DFAT). </w:t>
      </w:r>
      <w:proofErr w:type="gramStart"/>
      <w:r>
        <w:t>DFAT  now</w:t>
      </w:r>
      <w:proofErr w:type="gramEnd"/>
      <w:r>
        <w:t xml:space="preserve"> the Australian Government department</w:t>
      </w:r>
      <w:r w:rsidRPr="0046709E">
        <w:t xml:space="preserve"> responsible for the delivery and management of Australia’s overseas aid program</w:t>
      </w:r>
      <w:r>
        <w:t xml:space="preserve">. </w:t>
      </w:r>
    </w:p>
  </w:footnote>
  <w:footnote w:id="10">
    <w:p w14:paraId="70480308" w14:textId="384056E2" w:rsidR="00EB0701" w:rsidRDefault="00EB0701">
      <w:pPr>
        <w:pStyle w:val="FootnoteText"/>
      </w:pPr>
      <w:r>
        <w:rPr>
          <w:rStyle w:val="FootnoteReference"/>
        </w:rPr>
        <w:footnoteRef/>
      </w:r>
      <w:r>
        <w:t xml:space="preserve"> </w:t>
      </w:r>
      <w:proofErr w:type="gramStart"/>
      <w:r>
        <w:t xml:space="preserve">Proportion of total official development assistance grants by </w:t>
      </w:r>
      <w:r w:rsidRPr="00B944E3">
        <w:rPr>
          <w:lang w:val="en-US"/>
        </w:rPr>
        <w:t xml:space="preserve">Development Assistance Committee </w:t>
      </w:r>
      <w:r>
        <w:t xml:space="preserve">countries, Geographical Distribution of Financial Flows to Developing Countries, </w:t>
      </w:r>
      <w:proofErr w:type="spellStart"/>
      <w:r w:rsidRPr="00B944E3">
        <w:rPr>
          <w:lang w:val="en-US"/>
        </w:rPr>
        <w:t>Organisation</w:t>
      </w:r>
      <w:proofErr w:type="spellEnd"/>
      <w:r w:rsidRPr="00B944E3">
        <w:rPr>
          <w:lang w:val="en-US"/>
        </w:rPr>
        <w:t xml:space="preserve"> for Economic Co-operation and Development</w:t>
      </w:r>
      <w:r>
        <w:t>, 2013.</w:t>
      </w:r>
      <w:proofErr w:type="gramEnd"/>
    </w:p>
  </w:footnote>
  <w:footnote w:id="11">
    <w:p w14:paraId="15A934AF" w14:textId="4279A7F2" w:rsidR="00EB0701" w:rsidRDefault="00EB0701">
      <w:pPr>
        <w:pStyle w:val="FootnoteText"/>
      </w:pPr>
      <w:r>
        <w:rPr>
          <w:rStyle w:val="FootnoteReference"/>
        </w:rPr>
        <w:footnoteRef/>
      </w:r>
      <w:r>
        <w:t xml:space="preserve"> </w:t>
      </w:r>
      <w:proofErr w:type="gramStart"/>
      <w:r w:rsidRPr="0098790E">
        <w:t>United Nations Children’s Fund</w:t>
      </w:r>
      <w:r w:rsidRPr="00007B18">
        <w:t xml:space="preserve">, 2012 </w:t>
      </w:r>
      <w:r>
        <w:t>Multi</w:t>
      </w:r>
      <w:r w:rsidRPr="00007B18">
        <w:t xml:space="preserve"> </w:t>
      </w:r>
      <w:r>
        <w:t xml:space="preserve">Donor Education Fund </w:t>
      </w:r>
      <w:r w:rsidRPr="00007B18">
        <w:t>II Annual Report, p</w:t>
      </w:r>
      <w:r>
        <w:t>.</w:t>
      </w:r>
      <w:r w:rsidRPr="00007B18">
        <w:t>8</w:t>
      </w:r>
      <w:r>
        <w:t>.</w:t>
      </w:r>
      <w:proofErr w:type="gramEnd"/>
    </w:p>
  </w:footnote>
  <w:footnote w:id="12">
    <w:p w14:paraId="7F6924DE" w14:textId="0708EF88" w:rsidR="0023734C" w:rsidRDefault="0023734C">
      <w:pPr>
        <w:pStyle w:val="FootnoteText"/>
      </w:pPr>
      <w:r>
        <w:rPr>
          <w:rStyle w:val="FootnoteReference"/>
        </w:rPr>
        <w:footnoteRef/>
      </w:r>
      <w:r>
        <w:t xml:space="preserve"> Prior to 2012-13, Aid Program Performance Reports were called Annual Program Performance Reports</w:t>
      </w:r>
    </w:p>
  </w:footnote>
  <w:footnote w:id="13">
    <w:p w14:paraId="1756CAE9" w14:textId="502CC9F4" w:rsidR="00EB0701" w:rsidRPr="00071B95" w:rsidRDefault="00EB0701" w:rsidP="00071B95">
      <w:pPr>
        <w:pStyle w:val="FootnoteText"/>
      </w:pPr>
      <w:r w:rsidRPr="00F77E6A">
        <w:rPr>
          <w:rStyle w:val="FootnoteReference"/>
        </w:rPr>
        <w:footnoteRef/>
      </w:r>
      <w:r w:rsidRPr="00071B95">
        <w:t xml:space="preserve"> ‘</w:t>
      </w:r>
      <w:r>
        <w:t>C</w:t>
      </w:r>
      <w:r w:rsidRPr="00071B95">
        <w:t>ompleted’ means the final version of the report has been received</w:t>
      </w:r>
      <w:r>
        <w:t>.</w:t>
      </w:r>
    </w:p>
  </w:footnote>
  <w:footnote w:id="14">
    <w:p w14:paraId="77B2FBFF" w14:textId="1ACFF27A" w:rsidR="00EB0701" w:rsidRPr="00071B95" w:rsidRDefault="00EB0701" w:rsidP="00071B95">
      <w:pPr>
        <w:pStyle w:val="FootnoteText"/>
      </w:pPr>
      <w:r w:rsidRPr="00F77E6A">
        <w:rPr>
          <w:rStyle w:val="FootnoteReference"/>
        </w:rPr>
        <w:footnoteRef/>
      </w:r>
      <w:r w:rsidRPr="00071B95">
        <w:t xml:space="preserve"> </w:t>
      </w:r>
      <w:proofErr w:type="gramStart"/>
      <w:r>
        <w:t>E</w:t>
      </w:r>
      <w:r w:rsidRPr="00071B95">
        <w:t xml:space="preserve">.g. </w:t>
      </w:r>
      <w:r>
        <w:t>m</w:t>
      </w:r>
      <w:r w:rsidRPr="00071B95">
        <w:t xml:space="preserve">id-term review, </w:t>
      </w:r>
      <w:r>
        <w:t>c</w:t>
      </w:r>
      <w:r w:rsidRPr="00071B95">
        <w:t>ompletion report, partner-led evaluation, joint evaluation</w:t>
      </w:r>
      <w:r>
        <w:t>.</w:t>
      </w:r>
      <w:proofErr w:type="gramEnd"/>
    </w:p>
  </w:footnote>
  <w:footnote w:id="15">
    <w:p w14:paraId="287A5E0C" w14:textId="3695F229" w:rsidR="00EB0701" w:rsidRPr="00551C11" w:rsidRDefault="00EB0701" w:rsidP="00071B95">
      <w:pPr>
        <w:pStyle w:val="FootnoteText"/>
      </w:pPr>
      <w:r w:rsidRPr="00F77E6A">
        <w:rPr>
          <w:rStyle w:val="FootnoteReference"/>
        </w:rPr>
        <w:footnoteRef/>
      </w:r>
      <w:r w:rsidRPr="00071B95">
        <w:t xml:space="preserve"> </w:t>
      </w:r>
      <w:proofErr w:type="gramStart"/>
      <w:r>
        <w:t>E</w:t>
      </w:r>
      <w:r w:rsidRPr="00071B95">
        <w:t xml:space="preserve">.g. </w:t>
      </w:r>
      <w:r>
        <w:t>t</w:t>
      </w:r>
      <w:r w:rsidRPr="00071B95">
        <w:t>o inform a future phase of program, to improve existing program</w:t>
      </w:r>
      <w:r>
        <w:t>,</w:t>
      </w:r>
      <w:r w:rsidRPr="00071B95">
        <w:t xml:space="preserve"> to verify program outcomes</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8070F" w14:textId="42590128" w:rsidR="00EB0701" w:rsidRDefault="00EB0701">
    <w:pPr>
      <w:pStyle w:val="Header"/>
    </w:pPr>
    <w:r>
      <w:rPr>
        <w:noProof/>
      </w:rPr>
      <w:drawing>
        <wp:anchor distT="0" distB="0" distL="114300" distR="114300" simplePos="0" relativeHeight="251686912" behindDoc="0" locked="0" layoutInCell="1" allowOverlap="1" wp14:anchorId="6B8E38AA" wp14:editId="66DECAA7">
          <wp:simplePos x="0" y="0"/>
          <wp:positionH relativeFrom="page">
            <wp:align>left</wp:align>
          </wp:positionH>
          <wp:positionV relativeFrom="page">
            <wp:align>top</wp:align>
          </wp:positionV>
          <wp:extent cx="7560000" cy="1440000"/>
          <wp:effectExtent l="0" t="0" r="3175" b="825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EA393" w14:textId="7E7E1D19" w:rsidR="00EB0701" w:rsidRDefault="00EB0701">
    <w:pPr>
      <w:pStyle w:val="Header"/>
    </w:pPr>
    <w:r>
      <w:rPr>
        <w:noProof/>
      </w:rPr>
      <w:drawing>
        <wp:anchor distT="0" distB="0" distL="114300" distR="114300" simplePos="0" relativeHeight="251688960" behindDoc="0" locked="0" layoutInCell="1" allowOverlap="1" wp14:anchorId="472F3F4B" wp14:editId="4CCA702E">
          <wp:simplePos x="0" y="0"/>
          <wp:positionH relativeFrom="page">
            <wp:align>left</wp:align>
          </wp:positionH>
          <wp:positionV relativeFrom="page">
            <wp:align>top</wp:align>
          </wp:positionV>
          <wp:extent cx="7560000" cy="1890000"/>
          <wp:effectExtent l="0" t="0" r="317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60063" w14:textId="77777777" w:rsidR="00EB0701" w:rsidRDefault="00EB0701">
    <w:pPr>
      <w:pStyle w:val="Header"/>
    </w:pPr>
  </w:p>
  <w:p w14:paraId="23C9907C" w14:textId="77777777" w:rsidR="00EB0701" w:rsidRDefault="00EB07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1">
    <w:nsid w:val="03BD1917"/>
    <w:multiLevelType w:val="hybridMultilevel"/>
    <w:tmpl w:val="9D5C58B6"/>
    <w:lvl w:ilvl="0" w:tplc="97480E72">
      <w:numFmt w:val="bullet"/>
      <w:lvlText w:val="•"/>
      <w:lvlJc w:val="left"/>
      <w:pPr>
        <w:ind w:left="68" w:hanging="360"/>
      </w:pPr>
      <w:rPr>
        <w:rFonts w:ascii="Times New Roman" w:eastAsia="SimSun" w:hAnsi="Times New Roman" w:cs="Times New Roman" w:hint="default"/>
      </w:rPr>
    </w:lvl>
    <w:lvl w:ilvl="1" w:tplc="0C090003" w:tentative="1">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2">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325D27"/>
    <w:multiLevelType w:val="hybridMultilevel"/>
    <w:tmpl w:val="E6748D4E"/>
    <w:lvl w:ilvl="0" w:tplc="04090001">
      <w:start w:val="1"/>
      <w:numFmt w:val="bullet"/>
      <w:lvlText w:val=""/>
      <w:lvlJc w:val="left"/>
      <w:pPr>
        <w:ind w:left="428" w:hanging="360"/>
      </w:pPr>
      <w:rPr>
        <w:rFonts w:ascii="Symbol" w:hAnsi="Symbol" w:hint="default"/>
      </w:rPr>
    </w:lvl>
    <w:lvl w:ilvl="1" w:tplc="04090003" w:tentative="1">
      <w:start w:val="1"/>
      <w:numFmt w:val="bullet"/>
      <w:lvlText w:val="o"/>
      <w:lvlJc w:val="left"/>
      <w:pPr>
        <w:ind w:left="1148" w:hanging="360"/>
      </w:pPr>
      <w:rPr>
        <w:rFonts w:ascii="Courier New" w:hAnsi="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4">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C4B2111"/>
    <w:multiLevelType w:val="hybridMultilevel"/>
    <w:tmpl w:val="59628E24"/>
    <w:lvl w:ilvl="0" w:tplc="04090001">
      <w:start w:val="1"/>
      <w:numFmt w:val="bullet"/>
      <w:lvlText w:val=""/>
      <w:lvlJc w:val="left"/>
      <w:pPr>
        <w:ind w:left="428" w:hanging="360"/>
      </w:pPr>
      <w:rPr>
        <w:rFonts w:ascii="Symbol" w:hAnsi="Symbol" w:hint="default"/>
      </w:rPr>
    </w:lvl>
    <w:lvl w:ilvl="1" w:tplc="04090003" w:tentative="1">
      <w:start w:val="1"/>
      <w:numFmt w:val="bullet"/>
      <w:lvlText w:val="o"/>
      <w:lvlJc w:val="left"/>
      <w:pPr>
        <w:ind w:left="1148" w:hanging="360"/>
      </w:pPr>
      <w:rPr>
        <w:rFonts w:ascii="Courier New" w:hAnsi="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7">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8">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9">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07238B6"/>
    <w:multiLevelType w:val="hybridMultilevel"/>
    <w:tmpl w:val="BA04C1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09A3BCF"/>
    <w:multiLevelType w:val="hybridMultilevel"/>
    <w:tmpl w:val="A93CF218"/>
    <w:lvl w:ilvl="0" w:tplc="B1C8E53A">
      <w:start w:val="1"/>
      <w:numFmt w:val="decimal"/>
      <w:lvlText w:val="%1."/>
      <w:lvlJc w:val="left"/>
      <w:pPr>
        <w:ind w:left="428" w:hanging="360"/>
      </w:pPr>
      <w:rPr>
        <w:rFonts w:hint="default"/>
      </w:rPr>
    </w:lvl>
    <w:lvl w:ilvl="1" w:tplc="0C090019" w:tentative="1">
      <w:start w:val="1"/>
      <w:numFmt w:val="lowerLetter"/>
      <w:lvlText w:val="%2."/>
      <w:lvlJc w:val="left"/>
      <w:pPr>
        <w:ind w:left="1148" w:hanging="360"/>
      </w:pPr>
    </w:lvl>
    <w:lvl w:ilvl="2" w:tplc="0C09001B" w:tentative="1">
      <w:start w:val="1"/>
      <w:numFmt w:val="lowerRoman"/>
      <w:lvlText w:val="%3."/>
      <w:lvlJc w:val="right"/>
      <w:pPr>
        <w:ind w:left="1868" w:hanging="180"/>
      </w:pPr>
    </w:lvl>
    <w:lvl w:ilvl="3" w:tplc="0C09000F" w:tentative="1">
      <w:start w:val="1"/>
      <w:numFmt w:val="decimal"/>
      <w:lvlText w:val="%4."/>
      <w:lvlJc w:val="left"/>
      <w:pPr>
        <w:ind w:left="2588" w:hanging="360"/>
      </w:pPr>
    </w:lvl>
    <w:lvl w:ilvl="4" w:tplc="0C090019" w:tentative="1">
      <w:start w:val="1"/>
      <w:numFmt w:val="lowerLetter"/>
      <w:lvlText w:val="%5."/>
      <w:lvlJc w:val="left"/>
      <w:pPr>
        <w:ind w:left="3308" w:hanging="360"/>
      </w:pPr>
    </w:lvl>
    <w:lvl w:ilvl="5" w:tplc="0C09001B" w:tentative="1">
      <w:start w:val="1"/>
      <w:numFmt w:val="lowerRoman"/>
      <w:lvlText w:val="%6."/>
      <w:lvlJc w:val="right"/>
      <w:pPr>
        <w:ind w:left="4028" w:hanging="180"/>
      </w:pPr>
    </w:lvl>
    <w:lvl w:ilvl="6" w:tplc="0C09000F" w:tentative="1">
      <w:start w:val="1"/>
      <w:numFmt w:val="decimal"/>
      <w:lvlText w:val="%7."/>
      <w:lvlJc w:val="left"/>
      <w:pPr>
        <w:ind w:left="4748" w:hanging="360"/>
      </w:pPr>
    </w:lvl>
    <w:lvl w:ilvl="7" w:tplc="0C090019" w:tentative="1">
      <w:start w:val="1"/>
      <w:numFmt w:val="lowerLetter"/>
      <w:lvlText w:val="%8."/>
      <w:lvlJc w:val="left"/>
      <w:pPr>
        <w:ind w:left="5468" w:hanging="360"/>
      </w:pPr>
    </w:lvl>
    <w:lvl w:ilvl="8" w:tplc="0C09001B" w:tentative="1">
      <w:start w:val="1"/>
      <w:numFmt w:val="lowerRoman"/>
      <w:lvlText w:val="%9."/>
      <w:lvlJc w:val="right"/>
      <w:pPr>
        <w:ind w:left="6188" w:hanging="180"/>
      </w:pPr>
    </w:lvl>
  </w:abstractNum>
  <w:abstractNum w:abstractNumId="13">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5F30EA"/>
    <w:multiLevelType w:val="hybridMultilevel"/>
    <w:tmpl w:val="55B8E280"/>
    <w:lvl w:ilvl="0" w:tplc="04090001">
      <w:start w:val="1"/>
      <w:numFmt w:val="bullet"/>
      <w:lvlText w:val=""/>
      <w:lvlJc w:val="left"/>
      <w:pPr>
        <w:ind w:left="428" w:hanging="360"/>
      </w:pPr>
      <w:rPr>
        <w:rFonts w:ascii="Symbol" w:hAnsi="Symbol" w:hint="default"/>
      </w:rPr>
    </w:lvl>
    <w:lvl w:ilvl="1" w:tplc="04090003" w:tentative="1">
      <w:start w:val="1"/>
      <w:numFmt w:val="bullet"/>
      <w:lvlText w:val="o"/>
      <w:lvlJc w:val="left"/>
      <w:pPr>
        <w:ind w:left="1148" w:hanging="360"/>
      </w:pPr>
      <w:rPr>
        <w:rFonts w:ascii="Courier New" w:hAnsi="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15">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A362CA9"/>
    <w:multiLevelType w:val="hybridMultilevel"/>
    <w:tmpl w:val="2292AEA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7">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1">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AB57ED7"/>
    <w:multiLevelType w:val="hybridMultilevel"/>
    <w:tmpl w:val="AD7AA564"/>
    <w:lvl w:ilvl="0" w:tplc="04090001">
      <w:start w:val="1"/>
      <w:numFmt w:val="bullet"/>
      <w:lvlText w:val=""/>
      <w:lvlJc w:val="left"/>
      <w:pPr>
        <w:ind w:left="428" w:hanging="360"/>
      </w:pPr>
      <w:rPr>
        <w:rFonts w:ascii="Symbol" w:hAnsi="Symbol" w:hint="default"/>
      </w:rPr>
    </w:lvl>
    <w:lvl w:ilvl="1" w:tplc="04090003" w:tentative="1">
      <w:start w:val="1"/>
      <w:numFmt w:val="bullet"/>
      <w:lvlText w:val="o"/>
      <w:lvlJc w:val="left"/>
      <w:pPr>
        <w:ind w:left="1148" w:hanging="360"/>
      </w:pPr>
      <w:rPr>
        <w:rFonts w:ascii="Courier New" w:hAnsi="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23">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4">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DDE3826"/>
    <w:multiLevelType w:val="hybridMultilevel"/>
    <w:tmpl w:val="AFD28C20"/>
    <w:lvl w:ilvl="0" w:tplc="4BEE6C94">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AF603B5"/>
    <w:multiLevelType w:val="hybridMultilevel"/>
    <w:tmpl w:val="DE142FCA"/>
    <w:lvl w:ilvl="0" w:tplc="04090001">
      <w:start w:val="1"/>
      <w:numFmt w:val="bullet"/>
      <w:lvlText w:val=""/>
      <w:lvlJc w:val="left"/>
      <w:pPr>
        <w:ind w:left="428" w:hanging="360"/>
      </w:pPr>
      <w:rPr>
        <w:rFonts w:ascii="Symbol" w:hAnsi="Symbol" w:hint="default"/>
      </w:rPr>
    </w:lvl>
    <w:lvl w:ilvl="1" w:tplc="04090003" w:tentative="1">
      <w:start w:val="1"/>
      <w:numFmt w:val="bullet"/>
      <w:lvlText w:val="o"/>
      <w:lvlJc w:val="left"/>
      <w:pPr>
        <w:ind w:left="1148" w:hanging="360"/>
      </w:pPr>
      <w:rPr>
        <w:rFonts w:ascii="Courier New" w:hAnsi="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28">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3"/>
  </w:num>
  <w:num w:numId="3">
    <w:abstractNumId w:val="7"/>
  </w:num>
  <w:num w:numId="4">
    <w:abstractNumId w:val="19"/>
  </w:num>
  <w:num w:numId="5">
    <w:abstractNumId w:val="5"/>
  </w:num>
  <w:num w:numId="6">
    <w:abstractNumId w:val="18"/>
  </w:num>
  <w:num w:numId="7">
    <w:abstractNumId w:val="15"/>
  </w:num>
  <w:num w:numId="8">
    <w:abstractNumId w:val="13"/>
  </w:num>
  <w:num w:numId="9">
    <w:abstractNumId w:val="21"/>
  </w:num>
  <w:num w:numId="10">
    <w:abstractNumId w:val="4"/>
  </w:num>
  <w:num w:numId="11">
    <w:abstractNumId w:val="17"/>
  </w:num>
  <w:num w:numId="12">
    <w:abstractNumId w:val="24"/>
  </w:num>
  <w:num w:numId="13">
    <w:abstractNumId w:val="8"/>
  </w:num>
  <w:num w:numId="14">
    <w:abstractNumId w:val="26"/>
  </w:num>
  <w:num w:numId="15">
    <w:abstractNumId w:val="28"/>
  </w:num>
  <w:num w:numId="16">
    <w:abstractNumId w:val="10"/>
  </w:num>
  <w:num w:numId="17">
    <w:abstractNumId w:val="0"/>
  </w:num>
  <w:num w:numId="18">
    <w:abstractNumId w:val="2"/>
  </w:num>
  <w:num w:numId="19">
    <w:abstractNumId w:val="12"/>
  </w:num>
  <w:num w:numId="20">
    <w:abstractNumId w:val="1"/>
  </w:num>
  <w:num w:numId="21">
    <w:abstractNumId w:val="11"/>
  </w:num>
  <w:num w:numId="22">
    <w:abstractNumId w:val="7"/>
  </w:num>
  <w:num w:numId="23">
    <w:abstractNumId w:val="6"/>
  </w:num>
  <w:num w:numId="24">
    <w:abstractNumId w:val="16"/>
  </w:num>
  <w:num w:numId="25">
    <w:abstractNumId w:val="27"/>
  </w:num>
  <w:num w:numId="26">
    <w:abstractNumId w:val="22"/>
  </w:num>
  <w:num w:numId="27">
    <w:abstractNumId w:val="14"/>
  </w:num>
  <w:num w:numId="28">
    <w:abstractNumId w:val="3"/>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NotTrackMoves/>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71"/>
    <w:rsid w:val="000004FF"/>
    <w:rsid w:val="00001DD4"/>
    <w:rsid w:val="000039CF"/>
    <w:rsid w:val="00007B18"/>
    <w:rsid w:val="000143D9"/>
    <w:rsid w:val="00014D70"/>
    <w:rsid w:val="00020121"/>
    <w:rsid w:val="00021A9E"/>
    <w:rsid w:val="00022CE9"/>
    <w:rsid w:val="0002315E"/>
    <w:rsid w:val="00023BCE"/>
    <w:rsid w:val="00025B98"/>
    <w:rsid w:val="00026906"/>
    <w:rsid w:val="00026985"/>
    <w:rsid w:val="00030111"/>
    <w:rsid w:val="00031100"/>
    <w:rsid w:val="00034AA7"/>
    <w:rsid w:val="000351C5"/>
    <w:rsid w:val="0004740E"/>
    <w:rsid w:val="00057A62"/>
    <w:rsid w:val="00067230"/>
    <w:rsid w:val="00071214"/>
    <w:rsid w:val="00071B95"/>
    <w:rsid w:val="00072E3F"/>
    <w:rsid w:val="000745E2"/>
    <w:rsid w:val="000757EF"/>
    <w:rsid w:val="00076FE7"/>
    <w:rsid w:val="000774FD"/>
    <w:rsid w:val="00077F5C"/>
    <w:rsid w:val="00077FAE"/>
    <w:rsid w:val="00086FAB"/>
    <w:rsid w:val="000902A3"/>
    <w:rsid w:val="0009565B"/>
    <w:rsid w:val="000979A0"/>
    <w:rsid w:val="000A1618"/>
    <w:rsid w:val="000A5381"/>
    <w:rsid w:val="000A7230"/>
    <w:rsid w:val="000A7D8A"/>
    <w:rsid w:val="000B00BF"/>
    <w:rsid w:val="000B1CEB"/>
    <w:rsid w:val="000B3121"/>
    <w:rsid w:val="000B460B"/>
    <w:rsid w:val="000C2257"/>
    <w:rsid w:val="000C29BF"/>
    <w:rsid w:val="000C3DE8"/>
    <w:rsid w:val="000C6080"/>
    <w:rsid w:val="000C60A8"/>
    <w:rsid w:val="000D7C58"/>
    <w:rsid w:val="000E6C80"/>
    <w:rsid w:val="000E7031"/>
    <w:rsid w:val="000E7297"/>
    <w:rsid w:val="000E782B"/>
    <w:rsid w:val="000F3F13"/>
    <w:rsid w:val="000F788B"/>
    <w:rsid w:val="00100AA2"/>
    <w:rsid w:val="00107E6E"/>
    <w:rsid w:val="00112E97"/>
    <w:rsid w:val="00120FC7"/>
    <w:rsid w:val="001268B2"/>
    <w:rsid w:val="00132181"/>
    <w:rsid w:val="0013350E"/>
    <w:rsid w:val="00134D7E"/>
    <w:rsid w:val="001353F7"/>
    <w:rsid w:val="001366B4"/>
    <w:rsid w:val="00141A30"/>
    <w:rsid w:val="00142B05"/>
    <w:rsid w:val="0014411B"/>
    <w:rsid w:val="00150FA5"/>
    <w:rsid w:val="00151ECF"/>
    <w:rsid w:val="00154E9D"/>
    <w:rsid w:val="0016091F"/>
    <w:rsid w:val="001612CE"/>
    <w:rsid w:val="0016220E"/>
    <w:rsid w:val="0016544D"/>
    <w:rsid w:val="00173AC8"/>
    <w:rsid w:val="00173C6E"/>
    <w:rsid w:val="001760F1"/>
    <w:rsid w:val="00180B19"/>
    <w:rsid w:val="0018196D"/>
    <w:rsid w:val="0018196F"/>
    <w:rsid w:val="001829BB"/>
    <w:rsid w:val="00184B3D"/>
    <w:rsid w:val="00187513"/>
    <w:rsid w:val="00190B63"/>
    <w:rsid w:val="00191F0C"/>
    <w:rsid w:val="00192498"/>
    <w:rsid w:val="00194806"/>
    <w:rsid w:val="00195B83"/>
    <w:rsid w:val="001B01DF"/>
    <w:rsid w:val="001B1238"/>
    <w:rsid w:val="001B1A0C"/>
    <w:rsid w:val="001B31D0"/>
    <w:rsid w:val="001B4664"/>
    <w:rsid w:val="001B72A8"/>
    <w:rsid w:val="001C0039"/>
    <w:rsid w:val="001C1EA0"/>
    <w:rsid w:val="001C2D75"/>
    <w:rsid w:val="001C507E"/>
    <w:rsid w:val="001C700E"/>
    <w:rsid w:val="001C7117"/>
    <w:rsid w:val="001D20FC"/>
    <w:rsid w:val="001D210A"/>
    <w:rsid w:val="001E24CB"/>
    <w:rsid w:val="001F01A4"/>
    <w:rsid w:val="001F04F6"/>
    <w:rsid w:val="001F19DB"/>
    <w:rsid w:val="001F7480"/>
    <w:rsid w:val="001F78DD"/>
    <w:rsid w:val="001F7E16"/>
    <w:rsid w:val="00203E8A"/>
    <w:rsid w:val="002076C2"/>
    <w:rsid w:val="002115BD"/>
    <w:rsid w:val="0022338F"/>
    <w:rsid w:val="00231D45"/>
    <w:rsid w:val="00236E8A"/>
    <w:rsid w:val="0023734C"/>
    <w:rsid w:val="00237C4B"/>
    <w:rsid w:val="00246E5F"/>
    <w:rsid w:val="002505E9"/>
    <w:rsid w:val="00270283"/>
    <w:rsid w:val="0027783F"/>
    <w:rsid w:val="002849B4"/>
    <w:rsid w:val="00284DE4"/>
    <w:rsid w:val="002A1935"/>
    <w:rsid w:val="002A22F7"/>
    <w:rsid w:val="002B035B"/>
    <w:rsid w:val="002B433A"/>
    <w:rsid w:val="002B79D4"/>
    <w:rsid w:val="002D0243"/>
    <w:rsid w:val="002D3D55"/>
    <w:rsid w:val="002D63C0"/>
    <w:rsid w:val="002D6914"/>
    <w:rsid w:val="002D6A9C"/>
    <w:rsid w:val="002E1D43"/>
    <w:rsid w:val="002E2CBF"/>
    <w:rsid w:val="002F479A"/>
    <w:rsid w:val="002F5A14"/>
    <w:rsid w:val="003017F1"/>
    <w:rsid w:val="00303038"/>
    <w:rsid w:val="00306D3E"/>
    <w:rsid w:val="00310261"/>
    <w:rsid w:val="00310426"/>
    <w:rsid w:val="00310568"/>
    <w:rsid w:val="00315D13"/>
    <w:rsid w:val="0031715C"/>
    <w:rsid w:val="003223F8"/>
    <w:rsid w:val="0032486D"/>
    <w:rsid w:val="003260C0"/>
    <w:rsid w:val="00326B5A"/>
    <w:rsid w:val="003327F8"/>
    <w:rsid w:val="00332EF1"/>
    <w:rsid w:val="003331E2"/>
    <w:rsid w:val="00333A10"/>
    <w:rsid w:val="00335A6D"/>
    <w:rsid w:val="00341177"/>
    <w:rsid w:val="00341A80"/>
    <w:rsid w:val="00345B8E"/>
    <w:rsid w:val="00351074"/>
    <w:rsid w:val="00351ACA"/>
    <w:rsid w:val="00352AE5"/>
    <w:rsid w:val="00357AF7"/>
    <w:rsid w:val="00360662"/>
    <w:rsid w:val="00361296"/>
    <w:rsid w:val="00362431"/>
    <w:rsid w:val="003710CF"/>
    <w:rsid w:val="00371766"/>
    <w:rsid w:val="00372E1B"/>
    <w:rsid w:val="0038132C"/>
    <w:rsid w:val="00383294"/>
    <w:rsid w:val="003877B7"/>
    <w:rsid w:val="00390BD5"/>
    <w:rsid w:val="00391FBB"/>
    <w:rsid w:val="00395CFA"/>
    <w:rsid w:val="003A1961"/>
    <w:rsid w:val="003A2021"/>
    <w:rsid w:val="003A2D7B"/>
    <w:rsid w:val="003A74BF"/>
    <w:rsid w:val="003B4093"/>
    <w:rsid w:val="003C2DC1"/>
    <w:rsid w:val="003C4DB1"/>
    <w:rsid w:val="003C7721"/>
    <w:rsid w:val="003D081D"/>
    <w:rsid w:val="003D4E83"/>
    <w:rsid w:val="003D6AEF"/>
    <w:rsid w:val="003E21D6"/>
    <w:rsid w:val="003E4982"/>
    <w:rsid w:val="003E4AA7"/>
    <w:rsid w:val="003F1300"/>
    <w:rsid w:val="00406544"/>
    <w:rsid w:val="00411847"/>
    <w:rsid w:val="00413539"/>
    <w:rsid w:val="00414015"/>
    <w:rsid w:val="00415A92"/>
    <w:rsid w:val="004228CD"/>
    <w:rsid w:val="00423DF3"/>
    <w:rsid w:val="00426354"/>
    <w:rsid w:val="00432B16"/>
    <w:rsid w:val="00443639"/>
    <w:rsid w:val="00445A3B"/>
    <w:rsid w:val="00456CB6"/>
    <w:rsid w:val="004601C0"/>
    <w:rsid w:val="00460F9D"/>
    <w:rsid w:val="00461935"/>
    <w:rsid w:val="004622DB"/>
    <w:rsid w:val="00467819"/>
    <w:rsid w:val="00496976"/>
    <w:rsid w:val="00497DDE"/>
    <w:rsid w:val="004A0861"/>
    <w:rsid w:val="004A4090"/>
    <w:rsid w:val="004A5BF5"/>
    <w:rsid w:val="004A6835"/>
    <w:rsid w:val="004A6E79"/>
    <w:rsid w:val="004A7400"/>
    <w:rsid w:val="004A7B1C"/>
    <w:rsid w:val="004B29E4"/>
    <w:rsid w:val="004C3EF3"/>
    <w:rsid w:val="004C4A3E"/>
    <w:rsid w:val="004C660D"/>
    <w:rsid w:val="004C7ED2"/>
    <w:rsid w:val="004D0A10"/>
    <w:rsid w:val="004D1529"/>
    <w:rsid w:val="004D19CE"/>
    <w:rsid w:val="004D4522"/>
    <w:rsid w:val="004D552A"/>
    <w:rsid w:val="004E4976"/>
    <w:rsid w:val="004E4F35"/>
    <w:rsid w:val="004E6400"/>
    <w:rsid w:val="004E6E33"/>
    <w:rsid w:val="004F1294"/>
    <w:rsid w:val="004F521E"/>
    <w:rsid w:val="00503974"/>
    <w:rsid w:val="0050529F"/>
    <w:rsid w:val="00514B5E"/>
    <w:rsid w:val="0052286C"/>
    <w:rsid w:val="00522AB9"/>
    <w:rsid w:val="005265B9"/>
    <w:rsid w:val="0053084A"/>
    <w:rsid w:val="00533533"/>
    <w:rsid w:val="00535E24"/>
    <w:rsid w:val="0054134D"/>
    <w:rsid w:val="00542EEF"/>
    <w:rsid w:val="005440F6"/>
    <w:rsid w:val="0054557A"/>
    <w:rsid w:val="00546DD6"/>
    <w:rsid w:val="0055771D"/>
    <w:rsid w:val="00567FCF"/>
    <w:rsid w:val="00571388"/>
    <w:rsid w:val="00573C1D"/>
    <w:rsid w:val="00575295"/>
    <w:rsid w:val="00581F38"/>
    <w:rsid w:val="00582D6F"/>
    <w:rsid w:val="005845CB"/>
    <w:rsid w:val="0058498A"/>
    <w:rsid w:val="005854CD"/>
    <w:rsid w:val="00586350"/>
    <w:rsid w:val="00586523"/>
    <w:rsid w:val="005A18C5"/>
    <w:rsid w:val="005A76C1"/>
    <w:rsid w:val="005B5CA7"/>
    <w:rsid w:val="005B748C"/>
    <w:rsid w:val="005B7C71"/>
    <w:rsid w:val="005C1DCA"/>
    <w:rsid w:val="005C4A6B"/>
    <w:rsid w:val="005C590A"/>
    <w:rsid w:val="005D27B0"/>
    <w:rsid w:val="005D2A59"/>
    <w:rsid w:val="005E05F3"/>
    <w:rsid w:val="005E0F24"/>
    <w:rsid w:val="005E3068"/>
    <w:rsid w:val="005F0C00"/>
    <w:rsid w:val="005F1552"/>
    <w:rsid w:val="005F33F2"/>
    <w:rsid w:val="005F36FF"/>
    <w:rsid w:val="005F3E6F"/>
    <w:rsid w:val="00607FA4"/>
    <w:rsid w:val="006127A6"/>
    <w:rsid w:val="0061615E"/>
    <w:rsid w:val="00617F30"/>
    <w:rsid w:val="00623690"/>
    <w:rsid w:val="006423AE"/>
    <w:rsid w:val="00642E50"/>
    <w:rsid w:val="00646049"/>
    <w:rsid w:val="00651592"/>
    <w:rsid w:val="00651B72"/>
    <w:rsid w:val="00656040"/>
    <w:rsid w:val="00657108"/>
    <w:rsid w:val="006610F2"/>
    <w:rsid w:val="006628DB"/>
    <w:rsid w:val="00663909"/>
    <w:rsid w:val="006671BC"/>
    <w:rsid w:val="00670AA3"/>
    <w:rsid w:val="00670B9D"/>
    <w:rsid w:val="0067505C"/>
    <w:rsid w:val="00677527"/>
    <w:rsid w:val="00680679"/>
    <w:rsid w:val="006814E8"/>
    <w:rsid w:val="0068218C"/>
    <w:rsid w:val="00683FFB"/>
    <w:rsid w:val="00685825"/>
    <w:rsid w:val="00693844"/>
    <w:rsid w:val="00695279"/>
    <w:rsid w:val="00697E82"/>
    <w:rsid w:val="006A01C3"/>
    <w:rsid w:val="006A319B"/>
    <w:rsid w:val="006A5339"/>
    <w:rsid w:val="006B180C"/>
    <w:rsid w:val="006B3BD5"/>
    <w:rsid w:val="006B60E2"/>
    <w:rsid w:val="006C6800"/>
    <w:rsid w:val="006D15E9"/>
    <w:rsid w:val="006D2E37"/>
    <w:rsid w:val="006E101E"/>
    <w:rsid w:val="006E747E"/>
    <w:rsid w:val="006E7E9F"/>
    <w:rsid w:val="006E7FA8"/>
    <w:rsid w:val="006F4623"/>
    <w:rsid w:val="006F4B40"/>
    <w:rsid w:val="00701FEA"/>
    <w:rsid w:val="00706DE1"/>
    <w:rsid w:val="007110C9"/>
    <w:rsid w:val="00714BA3"/>
    <w:rsid w:val="00721098"/>
    <w:rsid w:val="00735B9F"/>
    <w:rsid w:val="00742264"/>
    <w:rsid w:val="00742F27"/>
    <w:rsid w:val="00744DE8"/>
    <w:rsid w:val="00745E8A"/>
    <w:rsid w:val="00750E77"/>
    <w:rsid w:val="00761411"/>
    <w:rsid w:val="00761B7E"/>
    <w:rsid w:val="00766BCF"/>
    <w:rsid w:val="00767F39"/>
    <w:rsid w:val="00770112"/>
    <w:rsid w:val="007726E1"/>
    <w:rsid w:val="00772D77"/>
    <w:rsid w:val="00774F4B"/>
    <w:rsid w:val="007830AE"/>
    <w:rsid w:val="0079256F"/>
    <w:rsid w:val="00794695"/>
    <w:rsid w:val="0079722E"/>
    <w:rsid w:val="007A0B4A"/>
    <w:rsid w:val="007A15DE"/>
    <w:rsid w:val="007A3C6A"/>
    <w:rsid w:val="007A4F6D"/>
    <w:rsid w:val="007A5821"/>
    <w:rsid w:val="007B4DF1"/>
    <w:rsid w:val="007B51E2"/>
    <w:rsid w:val="007D2B50"/>
    <w:rsid w:val="007D7889"/>
    <w:rsid w:val="007E2A95"/>
    <w:rsid w:val="007E39A9"/>
    <w:rsid w:val="007F2841"/>
    <w:rsid w:val="007F321A"/>
    <w:rsid w:val="007F4159"/>
    <w:rsid w:val="00800EC1"/>
    <w:rsid w:val="00802A66"/>
    <w:rsid w:val="00802CB3"/>
    <w:rsid w:val="0081129C"/>
    <w:rsid w:val="00814ACD"/>
    <w:rsid w:val="0082046E"/>
    <w:rsid w:val="00820B90"/>
    <w:rsid w:val="00821541"/>
    <w:rsid w:val="008224BE"/>
    <w:rsid w:val="00822DC6"/>
    <w:rsid w:val="008249E3"/>
    <w:rsid w:val="00827628"/>
    <w:rsid w:val="00830647"/>
    <w:rsid w:val="00830E80"/>
    <w:rsid w:val="008338DC"/>
    <w:rsid w:val="00836AF0"/>
    <w:rsid w:val="00837B82"/>
    <w:rsid w:val="00852852"/>
    <w:rsid w:val="00854BE1"/>
    <w:rsid w:val="0085525F"/>
    <w:rsid w:val="008572EA"/>
    <w:rsid w:val="00865090"/>
    <w:rsid w:val="0087172D"/>
    <w:rsid w:val="0087267B"/>
    <w:rsid w:val="00874AFC"/>
    <w:rsid w:val="00874B83"/>
    <w:rsid w:val="008810FA"/>
    <w:rsid w:val="008812B8"/>
    <w:rsid w:val="00883598"/>
    <w:rsid w:val="00884878"/>
    <w:rsid w:val="0088589B"/>
    <w:rsid w:val="00885B9C"/>
    <w:rsid w:val="00894314"/>
    <w:rsid w:val="00896927"/>
    <w:rsid w:val="00897E16"/>
    <w:rsid w:val="008A0DB0"/>
    <w:rsid w:val="008A144E"/>
    <w:rsid w:val="008A412F"/>
    <w:rsid w:val="008A4DDD"/>
    <w:rsid w:val="008B0964"/>
    <w:rsid w:val="008B239C"/>
    <w:rsid w:val="008B5F65"/>
    <w:rsid w:val="008D27EF"/>
    <w:rsid w:val="008D2DC8"/>
    <w:rsid w:val="008D34F9"/>
    <w:rsid w:val="008D515A"/>
    <w:rsid w:val="008D745E"/>
    <w:rsid w:val="008E3B41"/>
    <w:rsid w:val="008F06F2"/>
    <w:rsid w:val="008F4C4B"/>
    <w:rsid w:val="008F5D80"/>
    <w:rsid w:val="00910DDE"/>
    <w:rsid w:val="00912360"/>
    <w:rsid w:val="00916C65"/>
    <w:rsid w:val="00917E57"/>
    <w:rsid w:val="009231D6"/>
    <w:rsid w:val="00923D3D"/>
    <w:rsid w:val="00924CCB"/>
    <w:rsid w:val="0092520A"/>
    <w:rsid w:val="00932FAD"/>
    <w:rsid w:val="00935FA3"/>
    <w:rsid w:val="00943635"/>
    <w:rsid w:val="00946D5C"/>
    <w:rsid w:val="00951562"/>
    <w:rsid w:val="00954EF3"/>
    <w:rsid w:val="009614D6"/>
    <w:rsid w:val="00965791"/>
    <w:rsid w:val="009668EF"/>
    <w:rsid w:val="009677A1"/>
    <w:rsid w:val="009729A9"/>
    <w:rsid w:val="0098030D"/>
    <w:rsid w:val="00981400"/>
    <w:rsid w:val="00981E62"/>
    <w:rsid w:val="00986D6A"/>
    <w:rsid w:val="0098790E"/>
    <w:rsid w:val="00992582"/>
    <w:rsid w:val="009A1E07"/>
    <w:rsid w:val="009A6B67"/>
    <w:rsid w:val="009B5190"/>
    <w:rsid w:val="009B654F"/>
    <w:rsid w:val="009C16DF"/>
    <w:rsid w:val="009C43E5"/>
    <w:rsid w:val="009C4804"/>
    <w:rsid w:val="009D3524"/>
    <w:rsid w:val="009D4686"/>
    <w:rsid w:val="009E6780"/>
    <w:rsid w:val="009E70E9"/>
    <w:rsid w:val="009F0271"/>
    <w:rsid w:val="009F2335"/>
    <w:rsid w:val="009F3813"/>
    <w:rsid w:val="009F4CA3"/>
    <w:rsid w:val="009F4D99"/>
    <w:rsid w:val="009F50F0"/>
    <w:rsid w:val="009F7A1A"/>
    <w:rsid w:val="00A03911"/>
    <w:rsid w:val="00A05140"/>
    <w:rsid w:val="00A105B8"/>
    <w:rsid w:val="00A10DE1"/>
    <w:rsid w:val="00A148D9"/>
    <w:rsid w:val="00A22538"/>
    <w:rsid w:val="00A226A5"/>
    <w:rsid w:val="00A2496C"/>
    <w:rsid w:val="00A2765D"/>
    <w:rsid w:val="00A301A1"/>
    <w:rsid w:val="00A32324"/>
    <w:rsid w:val="00A34039"/>
    <w:rsid w:val="00A3468B"/>
    <w:rsid w:val="00A34D1E"/>
    <w:rsid w:val="00A3552E"/>
    <w:rsid w:val="00A355AA"/>
    <w:rsid w:val="00A408DC"/>
    <w:rsid w:val="00A417FA"/>
    <w:rsid w:val="00A42760"/>
    <w:rsid w:val="00A4427B"/>
    <w:rsid w:val="00A443C7"/>
    <w:rsid w:val="00A450BA"/>
    <w:rsid w:val="00A46BEB"/>
    <w:rsid w:val="00A5189F"/>
    <w:rsid w:val="00A5551F"/>
    <w:rsid w:val="00A565AF"/>
    <w:rsid w:val="00A65CAA"/>
    <w:rsid w:val="00A67CA3"/>
    <w:rsid w:val="00A70E2A"/>
    <w:rsid w:val="00A766FD"/>
    <w:rsid w:val="00A820E7"/>
    <w:rsid w:val="00A84B9B"/>
    <w:rsid w:val="00A94EC5"/>
    <w:rsid w:val="00A9539F"/>
    <w:rsid w:val="00AA1195"/>
    <w:rsid w:val="00AA1B2F"/>
    <w:rsid w:val="00AA37FE"/>
    <w:rsid w:val="00AA43B4"/>
    <w:rsid w:val="00AA4F75"/>
    <w:rsid w:val="00AA4F9F"/>
    <w:rsid w:val="00AA6C47"/>
    <w:rsid w:val="00AB24A2"/>
    <w:rsid w:val="00AB3900"/>
    <w:rsid w:val="00AB654C"/>
    <w:rsid w:val="00AB7215"/>
    <w:rsid w:val="00AC2224"/>
    <w:rsid w:val="00AC56C2"/>
    <w:rsid w:val="00AC5E19"/>
    <w:rsid w:val="00AC794D"/>
    <w:rsid w:val="00AD75BF"/>
    <w:rsid w:val="00AE3161"/>
    <w:rsid w:val="00AE4BC7"/>
    <w:rsid w:val="00AE5387"/>
    <w:rsid w:val="00AE54EA"/>
    <w:rsid w:val="00AE5C52"/>
    <w:rsid w:val="00AF045F"/>
    <w:rsid w:val="00AF0FA2"/>
    <w:rsid w:val="00AF0FDD"/>
    <w:rsid w:val="00AF6EE5"/>
    <w:rsid w:val="00B12372"/>
    <w:rsid w:val="00B17A9D"/>
    <w:rsid w:val="00B2159E"/>
    <w:rsid w:val="00B21C2F"/>
    <w:rsid w:val="00B2634C"/>
    <w:rsid w:val="00B2764E"/>
    <w:rsid w:val="00B30E77"/>
    <w:rsid w:val="00B31E6F"/>
    <w:rsid w:val="00B33F27"/>
    <w:rsid w:val="00B36919"/>
    <w:rsid w:val="00B36C1A"/>
    <w:rsid w:val="00B456CC"/>
    <w:rsid w:val="00B47530"/>
    <w:rsid w:val="00B478EF"/>
    <w:rsid w:val="00B47DAB"/>
    <w:rsid w:val="00B51BAD"/>
    <w:rsid w:val="00B52CB2"/>
    <w:rsid w:val="00B53CAD"/>
    <w:rsid w:val="00B56551"/>
    <w:rsid w:val="00B57AE9"/>
    <w:rsid w:val="00B629E3"/>
    <w:rsid w:val="00B638BD"/>
    <w:rsid w:val="00B65EB5"/>
    <w:rsid w:val="00B72CEC"/>
    <w:rsid w:val="00B7424F"/>
    <w:rsid w:val="00B80707"/>
    <w:rsid w:val="00B87675"/>
    <w:rsid w:val="00B944E3"/>
    <w:rsid w:val="00B95043"/>
    <w:rsid w:val="00B9606D"/>
    <w:rsid w:val="00B96958"/>
    <w:rsid w:val="00BA3026"/>
    <w:rsid w:val="00BA3545"/>
    <w:rsid w:val="00BA3EFF"/>
    <w:rsid w:val="00BA4972"/>
    <w:rsid w:val="00BA5FE7"/>
    <w:rsid w:val="00BB1C24"/>
    <w:rsid w:val="00BB3597"/>
    <w:rsid w:val="00BC639A"/>
    <w:rsid w:val="00BC6774"/>
    <w:rsid w:val="00BC6EEF"/>
    <w:rsid w:val="00BC7980"/>
    <w:rsid w:val="00BD4D43"/>
    <w:rsid w:val="00BD52AE"/>
    <w:rsid w:val="00BD5626"/>
    <w:rsid w:val="00BD67D2"/>
    <w:rsid w:val="00BD7A02"/>
    <w:rsid w:val="00BE0D5C"/>
    <w:rsid w:val="00BE65E4"/>
    <w:rsid w:val="00BF063F"/>
    <w:rsid w:val="00BF0AA7"/>
    <w:rsid w:val="00BF2544"/>
    <w:rsid w:val="00BF2F97"/>
    <w:rsid w:val="00BF3A77"/>
    <w:rsid w:val="00C00765"/>
    <w:rsid w:val="00C06287"/>
    <w:rsid w:val="00C20D5E"/>
    <w:rsid w:val="00C2135D"/>
    <w:rsid w:val="00C23583"/>
    <w:rsid w:val="00C24BA1"/>
    <w:rsid w:val="00C36C67"/>
    <w:rsid w:val="00C4066A"/>
    <w:rsid w:val="00C40D0E"/>
    <w:rsid w:val="00C4235C"/>
    <w:rsid w:val="00C460E0"/>
    <w:rsid w:val="00C469FC"/>
    <w:rsid w:val="00C56BAB"/>
    <w:rsid w:val="00C60D92"/>
    <w:rsid w:val="00C649C6"/>
    <w:rsid w:val="00C65930"/>
    <w:rsid w:val="00C66A8A"/>
    <w:rsid w:val="00C71DC0"/>
    <w:rsid w:val="00C72EDD"/>
    <w:rsid w:val="00C75AB0"/>
    <w:rsid w:val="00C80254"/>
    <w:rsid w:val="00C82AA4"/>
    <w:rsid w:val="00C8305C"/>
    <w:rsid w:val="00C857C9"/>
    <w:rsid w:val="00C927C0"/>
    <w:rsid w:val="00C955DF"/>
    <w:rsid w:val="00C95691"/>
    <w:rsid w:val="00C969C7"/>
    <w:rsid w:val="00CA0164"/>
    <w:rsid w:val="00CA1ECD"/>
    <w:rsid w:val="00CA2142"/>
    <w:rsid w:val="00CA4C7F"/>
    <w:rsid w:val="00CB1A63"/>
    <w:rsid w:val="00CB3239"/>
    <w:rsid w:val="00CC1D85"/>
    <w:rsid w:val="00CD0FA4"/>
    <w:rsid w:val="00CD7F2B"/>
    <w:rsid w:val="00CF1FB3"/>
    <w:rsid w:val="00CF5974"/>
    <w:rsid w:val="00D0608D"/>
    <w:rsid w:val="00D06E87"/>
    <w:rsid w:val="00D06EFC"/>
    <w:rsid w:val="00D1197E"/>
    <w:rsid w:val="00D1619E"/>
    <w:rsid w:val="00D21CBC"/>
    <w:rsid w:val="00D22340"/>
    <w:rsid w:val="00D33DA7"/>
    <w:rsid w:val="00D446EC"/>
    <w:rsid w:val="00D472D8"/>
    <w:rsid w:val="00D56FF4"/>
    <w:rsid w:val="00D71CFA"/>
    <w:rsid w:val="00D74036"/>
    <w:rsid w:val="00D74C3C"/>
    <w:rsid w:val="00D808EE"/>
    <w:rsid w:val="00D83289"/>
    <w:rsid w:val="00D84946"/>
    <w:rsid w:val="00D90390"/>
    <w:rsid w:val="00D93663"/>
    <w:rsid w:val="00D94097"/>
    <w:rsid w:val="00DA076A"/>
    <w:rsid w:val="00DA0A18"/>
    <w:rsid w:val="00DA0F5D"/>
    <w:rsid w:val="00DA3881"/>
    <w:rsid w:val="00DA6239"/>
    <w:rsid w:val="00DA7DA7"/>
    <w:rsid w:val="00DB0CB2"/>
    <w:rsid w:val="00DB5016"/>
    <w:rsid w:val="00DC44F6"/>
    <w:rsid w:val="00DC514A"/>
    <w:rsid w:val="00DE1467"/>
    <w:rsid w:val="00DE2080"/>
    <w:rsid w:val="00DE55E6"/>
    <w:rsid w:val="00DE7FD8"/>
    <w:rsid w:val="00DF16C9"/>
    <w:rsid w:val="00DF6A91"/>
    <w:rsid w:val="00DF78AF"/>
    <w:rsid w:val="00E01C82"/>
    <w:rsid w:val="00E04482"/>
    <w:rsid w:val="00E07968"/>
    <w:rsid w:val="00E17E5F"/>
    <w:rsid w:val="00E20683"/>
    <w:rsid w:val="00E2267F"/>
    <w:rsid w:val="00E27C9F"/>
    <w:rsid w:val="00E36B16"/>
    <w:rsid w:val="00E43655"/>
    <w:rsid w:val="00E46903"/>
    <w:rsid w:val="00E52B15"/>
    <w:rsid w:val="00E56811"/>
    <w:rsid w:val="00E5782F"/>
    <w:rsid w:val="00E6139F"/>
    <w:rsid w:val="00E61E1E"/>
    <w:rsid w:val="00E62387"/>
    <w:rsid w:val="00E64B3B"/>
    <w:rsid w:val="00E65570"/>
    <w:rsid w:val="00E71A05"/>
    <w:rsid w:val="00E83101"/>
    <w:rsid w:val="00E90B9D"/>
    <w:rsid w:val="00E923F1"/>
    <w:rsid w:val="00EB0701"/>
    <w:rsid w:val="00EB3D8A"/>
    <w:rsid w:val="00EB4AF9"/>
    <w:rsid w:val="00EB711D"/>
    <w:rsid w:val="00EC77F7"/>
    <w:rsid w:val="00ED2536"/>
    <w:rsid w:val="00EE0E84"/>
    <w:rsid w:val="00EE308D"/>
    <w:rsid w:val="00EE44C9"/>
    <w:rsid w:val="00EE5D4A"/>
    <w:rsid w:val="00EE5DF6"/>
    <w:rsid w:val="00EE6F3C"/>
    <w:rsid w:val="00EF2769"/>
    <w:rsid w:val="00EF346E"/>
    <w:rsid w:val="00EF4DF3"/>
    <w:rsid w:val="00F0799D"/>
    <w:rsid w:val="00F16181"/>
    <w:rsid w:val="00F209D8"/>
    <w:rsid w:val="00F27ED1"/>
    <w:rsid w:val="00F46297"/>
    <w:rsid w:val="00F472C3"/>
    <w:rsid w:val="00F5100A"/>
    <w:rsid w:val="00F5172B"/>
    <w:rsid w:val="00F53655"/>
    <w:rsid w:val="00F578D4"/>
    <w:rsid w:val="00F6071E"/>
    <w:rsid w:val="00F65284"/>
    <w:rsid w:val="00F711FF"/>
    <w:rsid w:val="00F71512"/>
    <w:rsid w:val="00F74FA5"/>
    <w:rsid w:val="00F763A5"/>
    <w:rsid w:val="00F77E6A"/>
    <w:rsid w:val="00F81D93"/>
    <w:rsid w:val="00F833F7"/>
    <w:rsid w:val="00F8453F"/>
    <w:rsid w:val="00F85909"/>
    <w:rsid w:val="00F86C62"/>
    <w:rsid w:val="00F87E67"/>
    <w:rsid w:val="00F90007"/>
    <w:rsid w:val="00F918C7"/>
    <w:rsid w:val="00F92091"/>
    <w:rsid w:val="00F93164"/>
    <w:rsid w:val="00F940A3"/>
    <w:rsid w:val="00F9413F"/>
    <w:rsid w:val="00F94D21"/>
    <w:rsid w:val="00FA11D0"/>
    <w:rsid w:val="00FA406D"/>
    <w:rsid w:val="00FA4570"/>
    <w:rsid w:val="00FA6100"/>
    <w:rsid w:val="00FB4A7E"/>
    <w:rsid w:val="00FC19A6"/>
    <w:rsid w:val="00FC3C87"/>
    <w:rsid w:val="00FC6C2F"/>
    <w:rsid w:val="00FD3B31"/>
    <w:rsid w:val="00FE0D3C"/>
    <w:rsid w:val="00FE1536"/>
    <w:rsid w:val="00FE1CD8"/>
    <w:rsid w:val="00FE25EE"/>
    <w:rsid w:val="00FE4491"/>
    <w:rsid w:val="00FF01F8"/>
    <w:rsid w:val="00FF1416"/>
    <w:rsid w:val="00FF2D07"/>
    <w:rsid w:val="00FF794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5B9C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footer"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67B"/>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8572EA"/>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371766"/>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371766"/>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5E0F24"/>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46E5F"/>
    <w:pPr>
      <w:keepNext/>
      <w:spacing w:before="20" w:after="20" w:line="180" w:lineRule="atLeast"/>
    </w:pPr>
    <w:rPr>
      <w:iCs/>
      <w:sz w:val="14"/>
      <w:szCs w:val="14"/>
      <w:lang w:eastAsia="en-AU"/>
    </w:rPr>
  </w:style>
  <w:style w:type="paragraph" w:customStyle="1" w:styleId="TableTextEntries">
    <w:name w:val="Table Text Entries"/>
    <w:basedOn w:val="Normal"/>
    <w:uiPriority w:val="99"/>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46E5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uiPriority w:val="99"/>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99"/>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A46BEB"/>
    <w:pPr>
      <w:numPr>
        <w:numId w:val="37"/>
      </w:numPr>
      <w:ind w:left="357" w:hanging="357"/>
    </w:pPr>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5E0F24"/>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5E0F24"/>
    <w:pPr>
      <w:spacing w:after="0"/>
      <w:contextualSpacing/>
    </w:pPr>
    <w:rPr>
      <w:sz w:val="16"/>
      <w:szCs w:val="20"/>
    </w:rPr>
  </w:style>
  <w:style w:type="character" w:customStyle="1" w:styleId="FootnoteTextChar">
    <w:name w:val="Footnote Text Char"/>
    <w:basedOn w:val="DefaultParagraphFont"/>
    <w:link w:val="FootnoteText"/>
    <w:uiPriority w:val="99"/>
    <w:rsid w:val="005E0F24"/>
    <w:rPr>
      <w:rFonts w:ascii="Times New Roman" w:eastAsia="Times New Roman" w:hAnsi="Times New Roman" w:cs="Times New Roman"/>
      <w:sz w:val="16"/>
      <w:szCs w:val="20"/>
    </w:rPr>
  </w:style>
  <w:style w:type="character" w:styleId="FootnoteReference">
    <w:name w:val="footnote reference"/>
    <w:uiPriority w:val="99"/>
    <w:semiHidden/>
    <w:rsid w:val="00F77E6A"/>
    <w:rPr>
      <w:rFonts w:ascii="Times New Roman" w:hAnsi="Times New Roman"/>
      <w:w w:val="100"/>
      <w:position w:val="6"/>
      <w:sz w:val="16"/>
      <w:szCs w:val="12"/>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footer"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67B"/>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8572EA"/>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371766"/>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371766"/>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5E0F24"/>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46E5F"/>
    <w:pPr>
      <w:keepNext/>
      <w:spacing w:before="20" w:after="20" w:line="180" w:lineRule="atLeast"/>
    </w:pPr>
    <w:rPr>
      <w:iCs/>
      <w:sz w:val="14"/>
      <w:szCs w:val="14"/>
      <w:lang w:eastAsia="en-AU"/>
    </w:rPr>
  </w:style>
  <w:style w:type="paragraph" w:customStyle="1" w:styleId="TableTextEntries">
    <w:name w:val="Table Text Entries"/>
    <w:basedOn w:val="Normal"/>
    <w:uiPriority w:val="99"/>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46E5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uiPriority w:val="99"/>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99"/>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A46BEB"/>
    <w:pPr>
      <w:numPr>
        <w:numId w:val="37"/>
      </w:numPr>
      <w:ind w:left="357" w:hanging="357"/>
    </w:pPr>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5E0F24"/>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5E0F24"/>
    <w:pPr>
      <w:spacing w:after="0"/>
      <w:contextualSpacing/>
    </w:pPr>
    <w:rPr>
      <w:sz w:val="16"/>
      <w:szCs w:val="20"/>
    </w:rPr>
  </w:style>
  <w:style w:type="character" w:customStyle="1" w:styleId="FootnoteTextChar">
    <w:name w:val="Footnote Text Char"/>
    <w:basedOn w:val="DefaultParagraphFont"/>
    <w:link w:val="FootnoteText"/>
    <w:uiPriority w:val="99"/>
    <w:rsid w:val="005E0F24"/>
    <w:rPr>
      <w:rFonts w:ascii="Times New Roman" w:eastAsia="Times New Roman" w:hAnsi="Times New Roman" w:cs="Times New Roman"/>
      <w:sz w:val="16"/>
      <w:szCs w:val="20"/>
    </w:rPr>
  </w:style>
  <w:style w:type="character" w:styleId="FootnoteReference">
    <w:name w:val="footnote reference"/>
    <w:uiPriority w:val="99"/>
    <w:semiHidden/>
    <w:rsid w:val="00F77E6A"/>
    <w:rPr>
      <w:rFonts w:ascii="Times New Roman" w:hAnsi="Times New Roman"/>
      <w:w w:val="100"/>
      <w:position w:val="6"/>
      <w:sz w:val="16"/>
      <w:szCs w:val="1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01792">
      <w:bodyDiv w:val="1"/>
      <w:marLeft w:val="0"/>
      <w:marRight w:val="0"/>
      <w:marTop w:val="0"/>
      <w:marBottom w:val="0"/>
      <w:divBdr>
        <w:top w:val="none" w:sz="0" w:space="0" w:color="auto"/>
        <w:left w:val="none" w:sz="0" w:space="0" w:color="auto"/>
        <w:bottom w:val="none" w:sz="0" w:space="0" w:color="auto"/>
        <w:right w:val="none" w:sz="0" w:space="0" w:color="auto"/>
      </w:divBdr>
    </w:div>
    <w:div w:id="588268648">
      <w:bodyDiv w:val="1"/>
      <w:marLeft w:val="0"/>
      <w:marRight w:val="0"/>
      <w:marTop w:val="0"/>
      <w:marBottom w:val="0"/>
      <w:divBdr>
        <w:top w:val="none" w:sz="0" w:space="0" w:color="auto"/>
        <w:left w:val="none" w:sz="0" w:space="0" w:color="auto"/>
        <w:bottom w:val="none" w:sz="0" w:space="0" w:color="auto"/>
        <w:right w:val="none" w:sz="0" w:space="0" w:color="auto"/>
      </w:divBdr>
    </w:div>
    <w:div w:id="828137550">
      <w:bodyDiv w:val="1"/>
      <w:marLeft w:val="0"/>
      <w:marRight w:val="0"/>
      <w:marTop w:val="0"/>
      <w:marBottom w:val="0"/>
      <w:divBdr>
        <w:top w:val="none" w:sz="0" w:space="0" w:color="auto"/>
        <w:left w:val="none" w:sz="0" w:space="0" w:color="auto"/>
        <w:bottom w:val="none" w:sz="0" w:space="0" w:color="auto"/>
        <w:right w:val="none" w:sz="0" w:space="0" w:color="auto"/>
      </w:divBdr>
    </w:div>
    <w:div w:id="828641992">
      <w:bodyDiv w:val="1"/>
      <w:marLeft w:val="0"/>
      <w:marRight w:val="0"/>
      <w:marTop w:val="0"/>
      <w:marBottom w:val="0"/>
      <w:divBdr>
        <w:top w:val="none" w:sz="0" w:space="0" w:color="auto"/>
        <w:left w:val="none" w:sz="0" w:space="0" w:color="auto"/>
        <w:bottom w:val="none" w:sz="0" w:space="0" w:color="auto"/>
        <w:right w:val="none" w:sz="0" w:space="0" w:color="auto"/>
      </w:divBdr>
    </w:div>
    <w:div w:id="845484727">
      <w:bodyDiv w:val="1"/>
      <w:marLeft w:val="0"/>
      <w:marRight w:val="0"/>
      <w:marTop w:val="0"/>
      <w:marBottom w:val="0"/>
      <w:divBdr>
        <w:top w:val="none" w:sz="0" w:space="0" w:color="auto"/>
        <w:left w:val="none" w:sz="0" w:space="0" w:color="auto"/>
        <w:bottom w:val="none" w:sz="0" w:space="0" w:color="auto"/>
        <w:right w:val="none" w:sz="0" w:space="0" w:color="auto"/>
      </w:divBdr>
    </w:div>
    <w:div w:id="1007637414">
      <w:bodyDiv w:val="1"/>
      <w:marLeft w:val="0"/>
      <w:marRight w:val="0"/>
      <w:marTop w:val="0"/>
      <w:marBottom w:val="0"/>
      <w:divBdr>
        <w:top w:val="none" w:sz="0" w:space="0" w:color="auto"/>
        <w:left w:val="none" w:sz="0" w:space="0" w:color="auto"/>
        <w:bottom w:val="none" w:sz="0" w:space="0" w:color="auto"/>
        <w:right w:val="none" w:sz="0" w:space="0" w:color="auto"/>
      </w:divBdr>
    </w:div>
    <w:div w:id="1252008904">
      <w:bodyDiv w:val="1"/>
      <w:marLeft w:val="0"/>
      <w:marRight w:val="0"/>
      <w:marTop w:val="0"/>
      <w:marBottom w:val="0"/>
      <w:divBdr>
        <w:top w:val="none" w:sz="0" w:space="0" w:color="auto"/>
        <w:left w:val="none" w:sz="0" w:space="0" w:color="auto"/>
        <w:bottom w:val="none" w:sz="0" w:space="0" w:color="auto"/>
        <w:right w:val="none" w:sz="0" w:space="0" w:color="auto"/>
      </w:divBdr>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67172921">
      <w:bodyDiv w:val="1"/>
      <w:marLeft w:val="0"/>
      <w:marRight w:val="0"/>
      <w:marTop w:val="0"/>
      <w:marBottom w:val="0"/>
      <w:divBdr>
        <w:top w:val="none" w:sz="0" w:space="0" w:color="auto"/>
        <w:left w:val="none" w:sz="0" w:space="0" w:color="auto"/>
        <w:bottom w:val="none" w:sz="0" w:space="0" w:color="auto"/>
        <w:right w:val="none" w:sz="0" w:space="0" w:color="auto"/>
      </w:divBdr>
    </w:div>
    <w:div w:id="1663849433">
      <w:bodyDiv w:val="1"/>
      <w:marLeft w:val="0"/>
      <w:marRight w:val="0"/>
      <w:marTop w:val="0"/>
      <w:marBottom w:val="0"/>
      <w:divBdr>
        <w:top w:val="none" w:sz="0" w:space="0" w:color="auto"/>
        <w:left w:val="none" w:sz="0" w:space="0" w:color="auto"/>
        <w:bottom w:val="none" w:sz="0" w:space="0" w:color="auto"/>
        <w:right w:val="none" w:sz="0" w:space="0" w:color="auto"/>
      </w:divBdr>
    </w:div>
    <w:div w:id="1859999994">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web.undp.org/asia/country_programme/CP/CP_MYA_2013-2015.pdf" TargetMode="External"/><Relationship Id="rId1" Type="http://schemas.openxmlformats.org/officeDocument/2006/relationships/hyperlink" Target="http://hdrstats.undp.org/en/indicators/8350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C3E0A-E00F-470C-8206-E137D69FF733}"/>
</file>

<file path=customXml/itemProps2.xml><?xml version="1.0" encoding="utf-8"?>
<ds:datastoreItem xmlns:ds="http://schemas.openxmlformats.org/officeDocument/2006/customXml" ds:itemID="{25A3D920-60A0-4BA5-A5E9-2A2374432657}"/>
</file>

<file path=customXml/itemProps3.xml><?xml version="1.0" encoding="utf-8"?>
<ds:datastoreItem xmlns:ds="http://schemas.openxmlformats.org/officeDocument/2006/customXml" ds:itemID="{DA1AD84A-AB34-4A97-BD5E-2B89E3D0C1C7}"/>
</file>

<file path=customXml/itemProps4.xml><?xml version="1.0" encoding="utf-8"?>
<ds:datastoreItem xmlns:ds="http://schemas.openxmlformats.org/officeDocument/2006/customXml" ds:itemID="{BC9754A0-4020-446A-A802-DD98A68BFAC3}"/>
</file>

<file path=docProps/app.xml><?xml version="1.0" encoding="utf-8"?>
<Properties xmlns="http://schemas.openxmlformats.org/officeDocument/2006/extended-properties" xmlns:vt="http://schemas.openxmlformats.org/officeDocument/2006/docPropsVTypes">
  <Template>Normal.dotm</Template>
  <TotalTime>0</TotalTime>
  <Pages>24</Pages>
  <Words>11122</Words>
  <Characters>63398</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2014-01-09T22:33:00Z</dcterms:created>
  <dcterms:modified xsi:type="dcterms:W3CDTF">2014-01-29T03:07:00Z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310500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ContactName">
    <vt:lpwstr/>
  </property>
  <property fmtid="{D5CDD505-2E9C-101B-9397-08002B2CF9AE}" pid="19" name="PublishingVariationRelationshipLinkFieldID">
    <vt:lpwstr/>
  </property>
  <property fmtid="{D5CDD505-2E9C-101B-9397-08002B2CF9AE}" pid="20" name="WCMSPublicationCategory">
    <vt:lpwstr/>
  </property>
  <property fmtid="{D5CDD505-2E9C-101B-9397-08002B2CF9AE}" pid="21" name="WCMSRegion">
    <vt:lpwstr/>
  </property>
  <property fmtid="{D5CDD505-2E9C-101B-9397-08002B2CF9AE}" pid="22" name="WCMSPublicationAuthor">
    <vt:lpwstr/>
  </property>
  <property fmtid="{D5CDD505-2E9C-101B-9397-08002B2CF9AE}" pid="23" name="WCMSElectronicMedia">
    <vt:bool>false</vt:bool>
  </property>
  <property fmtid="{D5CDD505-2E9C-101B-9397-08002B2CF9AE}" pid="24" name="_SourceUrl">
    <vt:lpwstr/>
  </property>
  <property fmtid="{D5CDD505-2E9C-101B-9397-08002B2CF9AE}" pid="25" name="_SharedFileIndex">
    <vt:lpwstr/>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TemplateUrl">
    <vt:lpwstr/>
  </property>
  <property fmtid="{D5CDD505-2E9C-101B-9397-08002B2CF9AE}" pid="37" name="Audience">
    <vt:lpwstr/>
  </property>
  <property fmtid="{D5CDD505-2E9C-101B-9397-08002B2CF9AE}" pid="38" name="WCMSDescription">
    <vt:lpwstr/>
  </property>
  <property fmtid="{D5CDD505-2E9C-101B-9397-08002B2CF9AE}" pid="40" name="WCMSOtherCategory">
    <vt:lpwstr/>
  </property>
  <property fmtid="{D5CDD505-2E9C-101B-9397-08002B2CF9AE}" pid="41" name="AusAIDPageDescriptionMetadata">
    <vt:lpwstr/>
  </property>
  <property fmtid="{D5CDD505-2E9C-101B-9397-08002B2CF9AE}" pid="42" name="WCMSTheme">
    <vt:lpwstr/>
  </property>
  <property fmtid="{D5CDD505-2E9C-101B-9397-08002B2CF9AE}" pid="43" name="WCMSISBNISSN">
    <vt:lpwstr/>
  </property>
  <property fmtid="{D5CDD505-2E9C-101B-9397-08002B2CF9AE}" pid="44" name="PublishingContactPicture">
    <vt:lpwstr/>
  </property>
  <property fmtid="{D5CDD505-2E9C-101B-9397-08002B2CF9AE}" pid="45" name="PublishingVariationGroupID">
    <vt:lpwstr/>
  </property>
  <property fmtid="{D5CDD505-2E9C-101B-9397-08002B2CF9AE}" pid="46" name="AusAIDIdentifierMetadata">
    <vt:lpwstr/>
  </property>
</Properties>
</file>