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A913" w14:textId="4D372C95" w:rsidR="004E2D9C" w:rsidRPr="004A07D8" w:rsidRDefault="00247FCD" w:rsidP="004A07D8">
      <w:pPr>
        <w:pStyle w:val="Heading1"/>
        <w:spacing w:before="0"/>
        <w:rPr>
          <w:rFonts w:cstheme="majorHAnsi"/>
        </w:rPr>
      </w:pPr>
      <w:r w:rsidRPr="004A07D8">
        <w:rPr>
          <w:rFonts w:cstheme="majorHAnsi"/>
        </w:rPr>
        <w:t xml:space="preserve">Management </w:t>
      </w:r>
      <w:r w:rsidR="00032D7D">
        <w:rPr>
          <w:rFonts w:cstheme="majorHAnsi"/>
        </w:rPr>
        <w:t>r</w:t>
      </w:r>
      <w:r w:rsidRPr="004A07D8">
        <w:rPr>
          <w:rFonts w:cstheme="majorHAnsi"/>
        </w:rPr>
        <w:t xml:space="preserve">esponse – </w:t>
      </w:r>
      <w:r w:rsidR="00032D7D" w:rsidRPr="004A07D8">
        <w:rPr>
          <w:rFonts w:cstheme="majorHAnsi"/>
        </w:rPr>
        <w:t>Building Community Engagement in Papua New Guinea</w:t>
      </w:r>
      <w:r w:rsidRPr="004A07D8">
        <w:rPr>
          <w:rFonts w:cstheme="majorHAnsi"/>
        </w:rPr>
        <w:t xml:space="preserve"> Mid-Term Review</w:t>
      </w:r>
    </w:p>
    <w:p w14:paraId="61AB2E5E" w14:textId="2E19EF84" w:rsidR="004E2D9C" w:rsidRDefault="00247FCD">
      <w:pPr>
        <w:rPr>
          <w:rFonts w:asciiTheme="majorHAnsi" w:hAnsiTheme="majorHAnsi" w:cstheme="majorHAnsi"/>
        </w:rPr>
      </w:pPr>
      <w:r w:rsidRPr="004A07D8">
        <w:rPr>
          <w:rFonts w:asciiTheme="majorHAnsi" w:hAnsiTheme="majorHAnsi" w:cstheme="majorHAnsi"/>
        </w:rPr>
        <w:t>This document outlines DFAT’s management response to the independent Mid-Term Review (MTR) of the Building Community Engagement in Papua New Guinea (BCEP) program. The review found BCEP to be relevant, well-performing, and aligned with Australia’s strategic objectives in PNG. It identified a series of practical recommendations focused on strengthening program delivery, enhancing strategic alignment, and improving value for money. DFAT broadly agrees with the recommendations and will incorporate them into planning for Phase 2 (2026–2030).</w:t>
      </w:r>
    </w:p>
    <w:p w14:paraId="5BB71CC5" w14:textId="24496181" w:rsidR="00932A3A" w:rsidRDefault="00932A3A">
      <w:pPr>
        <w:rPr>
          <w:rFonts w:asciiTheme="majorHAnsi" w:hAnsiTheme="majorHAnsi" w:cstheme="majorHAnsi"/>
          <w:b/>
          <w:bCs/>
        </w:rPr>
      </w:pPr>
      <w:r w:rsidRPr="00932A3A">
        <w:rPr>
          <w:rFonts w:asciiTheme="majorHAnsi" w:hAnsiTheme="majorHAnsi" w:cstheme="majorHAnsi"/>
          <w:b/>
          <w:bCs/>
        </w:rPr>
        <w:t>Key recommendations</w:t>
      </w:r>
    </w:p>
    <w:tbl>
      <w:tblPr>
        <w:tblStyle w:val="TableGrid"/>
        <w:tblW w:w="13603" w:type="dxa"/>
        <w:jc w:val="center"/>
        <w:tblLayout w:type="fixed"/>
        <w:tblLook w:val="04A0" w:firstRow="1" w:lastRow="0" w:firstColumn="1" w:lastColumn="0" w:noHBand="0" w:noVBand="1"/>
      </w:tblPr>
      <w:tblGrid>
        <w:gridCol w:w="6237"/>
        <w:gridCol w:w="1106"/>
        <w:gridCol w:w="4985"/>
        <w:gridCol w:w="1275"/>
      </w:tblGrid>
      <w:tr w:rsidR="00AF538F" w:rsidRPr="00AF538F" w14:paraId="26A66DA1" w14:textId="77777777" w:rsidTr="00032D7D">
        <w:trPr>
          <w:tblHeader/>
          <w:jc w:val="center"/>
        </w:trPr>
        <w:tc>
          <w:tcPr>
            <w:tcW w:w="6237" w:type="dxa"/>
            <w:shd w:val="clear" w:color="auto" w:fill="244061" w:themeFill="accent1" w:themeFillShade="80"/>
            <w:vAlign w:val="center"/>
          </w:tcPr>
          <w:p w14:paraId="503F11BF" w14:textId="77777777" w:rsidR="00AF538F" w:rsidRPr="00AF538F" w:rsidRDefault="00AF538F" w:rsidP="00394871">
            <w:pPr>
              <w:rPr>
                <w:rFonts w:asciiTheme="majorHAnsi" w:hAnsiTheme="majorHAnsi" w:cstheme="majorHAnsi"/>
                <w:b/>
                <w:bCs/>
              </w:rPr>
            </w:pPr>
            <w:r w:rsidRPr="00AF538F">
              <w:rPr>
                <w:rFonts w:asciiTheme="majorHAnsi" w:hAnsiTheme="majorHAnsi" w:cstheme="majorHAnsi"/>
                <w:b/>
                <w:bCs/>
              </w:rPr>
              <w:t>Recommendation</w:t>
            </w:r>
          </w:p>
        </w:tc>
        <w:tc>
          <w:tcPr>
            <w:tcW w:w="1106" w:type="dxa"/>
            <w:shd w:val="clear" w:color="auto" w:fill="244061" w:themeFill="accent1" w:themeFillShade="80"/>
            <w:vAlign w:val="center"/>
          </w:tcPr>
          <w:p w14:paraId="1E98B909" w14:textId="77777777" w:rsidR="00AF538F" w:rsidRPr="00AF538F" w:rsidRDefault="00AF538F" w:rsidP="00394871">
            <w:pPr>
              <w:rPr>
                <w:rFonts w:asciiTheme="majorHAnsi" w:hAnsiTheme="majorHAnsi" w:cstheme="majorHAnsi"/>
                <w:b/>
                <w:bCs/>
              </w:rPr>
            </w:pPr>
            <w:r w:rsidRPr="00AF538F">
              <w:rPr>
                <w:rFonts w:asciiTheme="majorHAnsi" w:hAnsiTheme="majorHAnsi" w:cstheme="majorHAnsi"/>
                <w:b/>
                <w:bCs/>
              </w:rPr>
              <w:t>DFAT Response</w:t>
            </w:r>
          </w:p>
        </w:tc>
        <w:tc>
          <w:tcPr>
            <w:tcW w:w="4985" w:type="dxa"/>
            <w:shd w:val="clear" w:color="auto" w:fill="244061" w:themeFill="accent1" w:themeFillShade="80"/>
            <w:vAlign w:val="center"/>
          </w:tcPr>
          <w:p w14:paraId="63FF5048" w14:textId="77777777" w:rsidR="00AF538F" w:rsidRPr="00AF538F" w:rsidRDefault="00AF538F" w:rsidP="00394871">
            <w:pPr>
              <w:rPr>
                <w:rFonts w:asciiTheme="majorHAnsi" w:hAnsiTheme="majorHAnsi" w:cstheme="majorHAnsi"/>
                <w:b/>
                <w:bCs/>
              </w:rPr>
            </w:pPr>
            <w:r w:rsidRPr="00AF538F">
              <w:rPr>
                <w:rFonts w:asciiTheme="majorHAnsi" w:hAnsiTheme="majorHAnsi" w:cstheme="majorHAnsi"/>
                <w:b/>
                <w:bCs/>
              </w:rPr>
              <w:t>Action Plan</w:t>
            </w:r>
          </w:p>
        </w:tc>
        <w:tc>
          <w:tcPr>
            <w:tcW w:w="1275" w:type="dxa"/>
            <w:shd w:val="clear" w:color="auto" w:fill="244061" w:themeFill="accent1" w:themeFillShade="80"/>
            <w:vAlign w:val="center"/>
          </w:tcPr>
          <w:p w14:paraId="54B7B4F8" w14:textId="77777777" w:rsidR="00AF538F" w:rsidRPr="00AF538F" w:rsidRDefault="00AF538F" w:rsidP="00394871">
            <w:pPr>
              <w:rPr>
                <w:rFonts w:asciiTheme="majorHAnsi" w:hAnsiTheme="majorHAnsi" w:cstheme="majorHAnsi"/>
                <w:b/>
                <w:bCs/>
              </w:rPr>
            </w:pPr>
            <w:r w:rsidRPr="00AF538F">
              <w:rPr>
                <w:rFonts w:asciiTheme="majorHAnsi" w:hAnsiTheme="majorHAnsi" w:cstheme="majorHAnsi"/>
                <w:b/>
                <w:bCs/>
              </w:rPr>
              <w:t>Timeframe</w:t>
            </w:r>
          </w:p>
        </w:tc>
      </w:tr>
      <w:tr w:rsidR="00AF538F" w:rsidRPr="00AF538F" w14:paraId="2B8B8E3B" w14:textId="77777777" w:rsidTr="00D12834">
        <w:trPr>
          <w:cantSplit/>
          <w:jc w:val="center"/>
        </w:trPr>
        <w:tc>
          <w:tcPr>
            <w:tcW w:w="6237" w:type="dxa"/>
          </w:tcPr>
          <w:p w14:paraId="59C883AB"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The AHC and BCEP Senior Leadership should review their respective roles and responsibilities in the engagement with </w:t>
            </w:r>
            <w:proofErr w:type="spellStart"/>
            <w:r w:rsidRPr="00AF538F">
              <w:rPr>
                <w:rFonts w:asciiTheme="majorHAnsi" w:hAnsiTheme="majorHAnsi" w:cstheme="majorHAnsi"/>
              </w:rPr>
              <w:t>GoPNG</w:t>
            </w:r>
            <w:proofErr w:type="spellEnd"/>
            <w:r w:rsidRPr="00AF538F">
              <w:rPr>
                <w:rFonts w:asciiTheme="majorHAnsi" w:hAnsiTheme="majorHAnsi" w:cstheme="majorHAnsi"/>
              </w:rPr>
              <w:t xml:space="preserve"> and with other components of the Australian aid program. The refresh should be designed to exploit BCEPs ability to generate contextual information and the greater convening power of the AHC at high levels of </w:t>
            </w:r>
            <w:proofErr w:type="spellStart"/>
            <w:r w:rsidRPr="00AF538F">
              <w:rPr>
                <w:rFonts w:asciiTheme="majorHAnsi" w:hAnsiTheme="majorHAnsi" w:cstheme="majorHAnsi"/>
              </w:rPr>
              <w:t>GoPNG</w:t>
            </w:r>
            <w:proofErr w:type="spellEnd"/>
            <w:r w:rsidRPr="00AF538F">
              <w:rPr>
                <w:rFonts w:asciiTheme="majorHAnsi" w:hAnsiTheme="majorHAnsi" w:cstheme="majorHAnsi"/>
              </w:rPr>
              <w:t>. The aim should be to bolster strategic alignment with government priorities where that is appropriate and to respond more effectively to the needs of public diplomacy.</w:t>
            </w:r>
          </w:p>
        </w:tc>
        <w:tc>
          <w:tcPr>
            <w:tcW w:w="1106" w:type="dxa"/>
          </w:tcPr>
          <w:p w14:paraId="7C700A37"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7144CAAD"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DFAT and BCEP leadership will jointly develop a refreshed engagement strategy, </w:t>
            </w:r>
            <w:proofErr w:type="gramStart"/>
            <w:r w:rsidRPr="00AF538F">
              <w:rPr>
                <w:rFonts w:asciiTheme="majorHAnsi" w:hAnsiTheme="majorHAnsi" w:cstheme="majorHAnsi"/>
              </w:rPr>
              <w:t>clarifying</w:t>
            </w:r>
            <w:proofErr w:type="gramEnd"/>
            <w:r w:rsidRPr="00AF538F">
              <w:rPr>
                <w:rFonts w:asciiTheme="majorHAnsi" w:hAnsiTheme="majorHAnsi" w:cstheme="majorHAnsi"/>
              </w:rPr>
              <w:t xml:space="preserve"> roles and identifying opportunities for strategic alignment and public diplomacy.</w:t>
            </w:r>
          </w:p>
        </w:tc>
        <w:tc>
          <w:tcPr>
            <w:tcW w:w="1275" w:type="dxa"/>
          </w:tcPr>
          <w:p w14:paraId="772041DC"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Q4 2025</w:t>
            </w:r>
          </w:p>
        </w:tc>
      </w:tr>
      <w:tr w:rsidR="00AF538F" w:rsidRPr="00AF538F" w14:paraId="2CB94F9C" w14:textId="77777777" w:rsidTr="00D12834">
        <w:trPr>
          <w:cantSplit/>
          <w:jc w:val="center"/>
        </w:trPr>
        <w:tc>
          <w:tcPr>
            <w:tcW w:w="6237" w:type="dxa"/>
          </w:tcPr>
          <w:p w14:paraId="23DC4A46"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The BCEP leadership team should develop the existing group of external advisers (which at present operate in an on-demand modality) into a standing advisory panel that meets regularly. This would provide an opportunity to make sense of the wealth of contextual information available and provide broader strategic guidance. This arrangement would provide validation of the quality of the analysis being generated, link to contextual opportunities, ensure the continued relevance to the dynamic PNG context and strengthen coherence with wider change processes. The cost would be minimal, in the range of 60 consultancy days per year.</w:t>
            </w:r>
          </w:p>
        </w:tc>
        <w:tc>
          <w:tcPr>
            <w:tcW w:w="1106" w:type="dxa"/>
          </w:tcPr>
          <w:p w14:paraId="551A14ED"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64A1BC76"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BCEP will review the structure and Terms of Reference for the Strategic Advisory Panel to </w:t>
            </w:r>
            <w:proofErr w:type="spellStart"/>
            <w:r w:rsidRPr="00AF538F">
              <w:rPr>
                <w:rFonts w:asciiTheme="majorHAnsi" w:hAnsiTheme="majorHAnsi" w:cstheme="majorHAnsi"/>
              </w:rPr>
              <w:t>formalise</w:t>
            </w:r>
            <w:proofErr w:type="spellEnd"/>
            <w:r w:rsidRPr="00AF538F">
              <w:rPr>
                <w:rFonts w:asciiTheme="majorHAnsi" w:hAnsiTheme="majorHAnsi" w:cstheme="majorHAnsi"/>
              </w:rPr>
              <w:t xml:space="preserve"> the advisory panel structure. Consultancy dates will be agreed through usual annual work planning process.</w:t>
            </w:r>
          </w:p>
        </w:tc>
        <w:tc>
          <w:tcPr>
            <w:tcW w:w="1275" w:type="dxa"/>
          </w:tcPr>
          <w:p w14:paraId="2BC7D814"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Q1 2026</w:t>
            </w:r>
          </w:p>
        </w:tc>
      </w:tr>
      <w:tr w:rsidR="00AF538F" w:rsidRPr="00AF538F" w14:paraId="2FD8A4E0" w14:textId="77777777" w:rsidTr="00D12834">
        <w:trPr>
          <w:cantSplit/>
          <w:jc w:val="center"/>
        </w:trPr>
        <w:tc>
          <w:tcPr>
            <w:tcW w:w="6237" w:type="dxa"/>
          </w:tcPr>
          <w:p w14:paraId="5C2FCD11"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lastRenderedPageBreak/>
              <w:t xml:space="preserve">BCEP should conduct a Political Economy Analysis that reviews the prospects for </w:t>
            </w:r>
            <w:proofErr w:type="spellStart"/>
            <w:r w:rsidRPr="00AF538F">
              <w:rPr>
                <w:rFonts w:asciiTheme="majorHAnsi" w:hAnsiTheme="majorHAnsi" w:cstheme="majorHAnsi"/>
              </w:rPr>
              <w:t>Bilum</w:t>
            </w:r>
            <w:proofErr w:type="spellEnd"/>
            <w:r w:rsidRPr="00AF538F">
              <w:rPr>
                <w:rFonts w:asciiTheme="majorHAnsi" w:hAnsiTheme="majorHAnsi" w:cstheme="majorHAnsi"/>
              </w:rPr>
              <w:t xml:space="preserve"> to achieve greater accountability in the use of SIP funds over the medium to long-term. The PEA should examine the potential for other components of BCEP to support and exploit the potential of the platform. That assessment should be the basis of future investment decisions on the platform. The cost implications are around </w:t>
            </w:r>
            <w:proofErr w:type="gramStart"/>
            <w:r w:rsidRPr="00AF538F">
              <w:rPr>
                <w:rFonts w:asciiTheme="majorHAnsi" w:hAnsiTheme="majorHAnsi" w:cstheme="majorHAnsi"/>
              </w:rPr>
              <w:t>40 days</w:t>
            </w:r>
            <w:proofErr w:type="gramEnd"/>
            <w:r w:rsidRPr="00AF538F">
              <w:rPr>
                <w:rFonts w:asciiTheme="majorHAnsi" w:hAnsiTheme="majorHAnsi" w:cstheme="majorHAnsi"/>
              </w:rPr>
              <w:t xml:space="preserve"> consultancy fees.</w:t>
            </w:r>
          </w:p>
        </w:tc>
        <w:tc>
          <w:tcPr>
            <w:tcW w:w="1106" w:type="dxa"/>
          </w:tcPr>
          <w:p w14:paraId="30DAE443"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5873A512"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To inform future programming, BCEP will incorporate a </w:t>
            </w:r>
            <w:proofErr w:type="spellStart"/>
            <w:r w:rsidRPr="00AF538F">
              <w:rPr>
                <w:rFonts w:asciiTheme="majorHAnsi" w:hAnsiTheme="majorHAnsi" w:cstheme="majorHAnsi"/>
              </w:rPr>
              <w:t>Bilum</w:t>
            </w:r>
            <w:proofErr w:type="spellEnd"/>
            <w:r w:rsidRPr="00AF538F">
              <w:rPr>
                <w:rFonts w:asciiTheme="majorHAnsi" w:hAnsiTheme="majorHAnsi" w:cstheme="majorHAnsi"/>
              </w:rPr>
              <w:t xml:space="preserve"> Platform Political Economy Analysis as a section under the broader BCEP Political Economy Analysis.</w:t>
            </w:r>
          </w:p>
        </w:tc>
        <w:tc>
          <w:tcPr>
            <w:tcW w:w="1275" w:type="dxa"/>
          </w:tcPr>
          <w:p w14:paraId="67908F5C"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Q1 2026</w:t>
            </w:r>
          </w:p>
        </w:tc>
      </w:tr>
      <w:tr w:rsidR="00AF538F" w:rsidRPr="00AF538F" w14:paraId="01A73BF1" w14:textId="77777777" w:rsidTr="00D12834">
        <w:trPr>
          <w:cantSplit/>
          <w:jc w:val="center"/>
        </w:trPr>
        <w:tc>
          <w:tcPr>
            <w:tcW w:w="6237" w:type="dxa"/>
          </w:tcPr>
          <w:p w14:paraId="2539E0CC"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BCEP should </w:t>
            </w:r>
            <w:proofErr w:type="spellStart"/>
            <w:r w:rsidRPr="00AF538F">
              <w:rPr>
                <w:rFonts w:asciiTheme="majorHAnsi" w:hAnsiTheme="majorHAnsi" w:cstheme="majorHAnsi"/>
              </w:rPr>
              <w:t>revitalise</w:t>
            </w:r>
            <w:proofErr w:type="spellEnd"/>
            <w:r w:rsidRPr="00AF538F">
              <w:rPr>
                <w:rFonts w:asciiTheme="majorHAnsi" w:hAnsiTheme="majorHAnsi" w:cstheme="majorHAnsi"/>
              </w:rPr>
              <w:t xml:space="preserve"> the coalition change strategy process to ensure lessons learned lead to revision of approach and tactics. BCEP should deploy coalition facilitators to ensure local coordination of the actors. </w:t>
            </w:r>
            <w:proofErr w:type="gramStart"/>
            <w:r w:rsidRPr="00AF538F">
              <w:rPr>
                <w:rFonts w:asciiTheme="majorHAnsi" w:hAnsiTheme="majorHAnsi" w:cstheme="majorHAnsi"/>
              </w:rPr>
              <w:t>These</w:t>
            </w:r>
            <w:proofErr w:type="gramEnd"/>
            <w:r w:rsidRPr="00AF538F">
              <w:rPr>
                <w:rFonts w:asciiTheme="majorHAnsi" w:hAnsiTheme="majorHAnsi" w:cstheme="majorHAnsi"/>
              </w:rPr>
              <w:t xml:space="preserve"> may be existing staff or part-time consultants recruited </w:t>
            </w:r>
            <w:proofErr w:type="gramStart"/>
            <w:r w:rsidRPr="00AF538F">
              <w:rPr>
                <w:rFonts w:asciiTheme="majorHAnsi" w:hAnsiTheme="majorHAnsi" w:cstheme="majorHAnsi"/>
              </w:rPr>
              <w:t>to</w:t>
            </w:r>
            <w:proofErr w:type="gramEnd"/>
            <w:r w:rsidRPr="00AF538F">
              <w:rPr>
                <w:rFonts w:asciiTheme="majorHAnsi" w:hAnsiTheme="majorHAnsi" w:cstheme="majorHAnsi"/>
              </w:rPr>
              <w:t xml:space="preserve"> the roles.</w:t>
            </w:r>
          </w:p>
        </w:tc>
        <w:tc>
          <w:tcPr>
            <w:tcW w:w="1106" w:type="dxa"/>
          </w:tcPr>
          <w:p w14:paraId="3871A729"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Partially agree</w:t>
            </w:r>
          </w:p>
        </w:tc>
        <w:tc>
          <w:tcPr>
            <w:tcW w:w="4985" w:type="dxa"/>
          </w:tcPr>
          <w:p w14:paraId="7B269A72"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Noting the multifaceted relevance of this recommendation, BCEP will review different approaches to </w:t>
            </w:r>
            <w:proofErr w:type="gramStart"/>
            <w:r w:rsidRPr="00AF538F">
              <w:rPr>
                <w:rFonts w:asciiTheme="majorHAnsi" w:hAnsiTheme="majorHAnsi" w:cstheme="majorHAnsi"/>
              </w:rPr>
              <w:t>coalitions</w:t>
            </w:r>
            <w:proofErr w:type="gramEnd"/>
            <w:r w:rsidRPr="00AF538F">
              <w:rPr>
                <w:rFonts w:asciiTheme="majorHAnsi" w:hAnsiTheme="majorHAnsi" w:cstheme="majorHAnsi"/>
              </w:rPr>
              <w:t xml:space="preserve"> across the program to support local coordination, learning and deployment of coalition facilitators (from within existing staff footprint) as appropriate. </w:t>
            </w:r>
          </w:p>
        </w:tc>
        <w:tc>
          <w:tcPr>
            <w:tcW w:w="1275" w:type="dxa"/>
          </w:tcPr>
          <w:p w14:paraId="12FFFD5B"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Q2 2026</w:t>
            </w:r>
          </w:p>
        </w:tc>
      </w:tr>
      <w:tr w:rsidR="00AF538F" w:rsidRPr="00AF538F" w14:paraId="3C046C8C" w14:textId="77777777" w:rsidTr="00D12834">
        <w:trPr>
          <w:cantSplit/>
          <w:jc w:val="center"/>
        </w:trPr>
        <w:tc>
          <w:tcPr>
            <w:tcW w:w="6237" w:type="dxa"/>
          </w:tcPr>
          <w:p w14:paraId="07B342A7"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BCEP should update its strategies on inclusion and expand its resourcing to support partner implementation of their individual strategies and annual work plans on GEDSI. That will increase pace and scale and ensure high quality implementation across both gender-responsive and gender-transformative approaches.</w:t>
            </w:r>
          </w:p>
        </w:tc>
        <w:tc>
          <w:tcPr>
            <w:tcW w:w="1106" w:type="dxa"/>
          </w:tcPr>
          <w:p w14:paraId="0310B9B2"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33B0830C"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BCEP will refresh its GEDSI and DSI Strategies and assess resourcing needs to support implementation across all partners in consultation with DFAT.</w:t>
            </w:r>
          </w:p>
        </w:tc>
        <w:tc>
          <w:tcPr>
            <w:tcW w:w="1275" w:type="dxa"/>
          </w:tcPr>
          <w:p w14:paraId="15A026FD"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Q2 2026</w:t>
            </w:r>
          </w:p>
        </w:tc>
      </w:tr>
      <w:tr w:rsidR="00AF538F" w:rsidRPr="00AF538F" w14:paraId="6D27D879" w14:textId="77777777" w:rsidTr="00D12834">
        <w:trPr>
          <w:cantSplit/>
          <w:jc w:val="center"/>
        </w:trPr>
        <w:tc>
          <w:tcPr>
            <w:tcW w:w="6237" w:type="dxa"/>
          </w:tcPr>
          <w:p w14:paraId="10C514A3"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BCEP and the AHC should develop more fit-for-purpose decision-making structures to support adaptive management. The level of authority delegated to the BCEP team to make changes should be clarified.</w:t>
            </w:r>
          </w:p>
        </w:tc>
        <w:tc>
          <w:tcPr>
            <w:tcW w:w="1106" w:type="dxa"/>
          </w:tcPr>
          <w:p w14:paraId="73B55DDF"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0FDF17BF"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BCEP and DFAT will review and revise decision-making protocols to support timely and adaptive programming.</w:t>
            </w:r>
          </w:p>
        </w:tc>
        <w:tc>
          <w:tcPr>
            <w:tcW w:w="1275" w:type="dxa"/>
          </w:tcPr>
          <w:p w14:paraId="7C9EA4DE"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Q2 2026</w:t>
            </w:r>
          </w:p>
        </w:tc>
      </w:tr>
      <w:tr w:rsidR="00AF538F" w:rsidRPr="00AF538F" w14:paraId="133A7F3D" w14:textId="77777777" w:rsidTr="00D12834">
        <w:trPr>
          <w:cantSplit/>
          <w:jc w:val="center"/>
        </w:trPr>
        <w:tc>
          <w:tcPr>
            <w:tcW w:w="6237" w:type="dxa"/>
          </w:tcPr>
          <w:p w14:paraId="2CA895AA"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As part of the annual planning process, BCEP should agree with the AHC annual targets to demonstrate its progress toward the Intermediate Outcomes. The process should incorporate a high degree of flexibility so that targets that have become irrelevant do not lead to sub-optimal programming choices.</w:t>
            </w:r>
          </w:p>
        </w:tc>
        <w:tc>
          <w:tcPr>
            <w:tcW w:w="1106" w:type="dxa"/>
          </w:tcPr>
          <w:p w14:paraId="5A827066"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591EEA7F"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BCEP and DFAT to review the MEL Strategy with a view to introducing annual targets.</w:t>
            </w:r>
          </w:p>
        </w:tc>
        <w:tc>
          <w:tcPr>
            <w:tcW w:w="1275" w:type="dxa"/>
          </w:tcPr>
          <w:p w14:paraId="1216E421"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Q2 2026</w:t>
            </w:r>
          </w:p>
        </w:tc>
      </w:tr>
      <w:tr w:rsidR="00AF538F" w:rsidRPr="00AF538F" w14:paraId="2855EBF8" w14:textId="77777777" w:rsidTr="00D12834">
        <w:trPr>
          <w:cantSplit/>
          <w:jc w:val="center"/>
        </w:trPr>
        <w:tc>
          <w:tcPr>
            <w:tcW w:w="6237" w:type="dxa"/>
          </w:tcPr>
          <w:p w14:paraId="462FF1F2"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 xml:space="preserve">BCEP should support public diplomacy by doing more to </w:t>
            </w:r>
            <w:proofErr w:type="spellStart"/>
            <w:r w:rsidRPr="00AF538F">
              <w:rPr>
                <w:rFonts w:asciiTheme="majorHAnsi" w:hAnsiTheme="majorHAnsi" w:cstheme="majorHAnsi"/>
              </w:rPr>
              <w:t>publicise</w:t>
            </w:r>
            <w:proofErr w:type="spellEnd"/>
            <w:r w:rsidRPr="00AF538F">
              <w:rPr>
                <w:rFonts w:asciiTheme="majorHAnsi" w:hAnsiTheme="majorHAnsi" w:cstheme="majorHAnsi"/>
              </w:rPr>
              <w:t xml:space="preserve"> the results it is achieving in ways that the Papua New Guinea public and leadership will relate to.</w:t>
            </w:r>
          </w:p>
        </w:tc>
        <w:tc>
          <w:tcPr>
            <w:tcW w:w="1106" w:type="dxa"/>
          </w:tcPr>
          <w:p w14:paraId="38619FE4"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Agree</w:t>
            </w:r>
          </w:p>
        </w:tc>
        <w:tc>
          <w:tcPr>
            <w:tcW w:w="4985" w:type="dxa"/>
          </w:tcPr>
          <w:p w14:paraId="143FB28A"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BCEP will work closely with DFAT to strengthen its communications strategy and coordinate to amplify results through public diplomacy.</w:t>
            </w:r>
          </w:p>
        </w:tc>
        <w:tc>
          <w:tcPr>
            <w:tcW w:w="1275" w:type="dxa"/>
          </w:tcPr>
          <w:p w14:paraId="6AB12143" w14:textId="77777777" w:rsidR="00AF538F" w:rsidRPr="00AF538F" w:rsidRDefault="00AF538F" w:rsidP="00394871">
            <w:pPr>
              <w:spacing w:before="60" w:after="60"/>
              <w:rPr>
                <w:rFonts w:asciiTheme="majorHAnsi" w:hAnsiTheme="majorHAnsi" w:cstheme="majorHAnsi"/>
              </w:rPr>
            </w:pPr>
            <w:r w:rsidRPr="00AF538F">
              <w:rPr>
                <w:rFonts w:asciiTheme="majorHAnsi" w:hAnsiTheme="majorHAnsi" w:cstheme="majorHAnsi"/>
              </w:rPr>
              <w:t>Q4 2025</w:t>
            </w:r>
          </w:p>
        </w:tc>
      </w:tr>
    </w:tbl>
    <w:p w14:paraId="11359919" w14:textId="77777777" w:rsidR="00AF538F" w:rsidRPr="00932A3A" w:rsidRDefault="00AF538F">
      <w:pPr>
        <w:rPr>
          <w:rFonts w:asciiTheme="majorHAnsi" w:hAnsiTheme="majorHAnsi" w:cstheme="majorHAnsi"/>
          <w:b/>
          <w:bCs/>
        </w:rPr>
      </w:pPr>
    </w:p>
    <w:p w14:paraId="24A00C0C" w14:textId="30C6B656" w:rsidR="00D12834" w:rsidRDefault="00D12834" w:rsidP="00932A3A">
      <w:pPr>
        <w:spacing w:before="200"/>
        <w:rPr>
          <w:rFonts w:asciiTheme="majorHAnsi" w:hAnsiTheme="majorHAnsi" w:cstheme="majorHAnsi"/>
          <w:b/>
          <w:bCs/>
        </w:rPr>
      </w:pPr>
    </w:p>
    <w:p w14:paraId="394CF842" w14:textId="188AEC83" w:rsidR="00932A3A" w:rsidRPr="00932A3A" w:rsidRDefault="00AD4286" w:rsidP="00932A3A">
      <w:pPr>
        <w:spacing w:before="200"/>
        <w:rPr>
          <w:rFonts w:asciiTheme="majorHAnsi" w:hAnsiTheme="majorHAnsi" w:cstheme="majorHAnsi"/>
          <w:b/>
          <w:bCs/>
        </w:rPr>
      </w:pPr>
      <w:r>
        <w:rPr>
          <w:rFonts w:asciiTheme="majorHAnsi" w:hAnsiTheme="majorHAnsi" w:cstheme="majorHAnsi"/>
          <w:b/>
          <w:bCs/>
        </w:rPr>
        <w:t>Related</w:t>
      </w:r>
      <w:r w:rsidR="00932A3A" w:rsidRPr="00932A3A">
        <w:rPr>
          <w:rFonts w:asciiTheme="majorHAnsi" w:hAnsiTheme="majorHAnsi" w:cstheme="majorHAnsi"/>
          <w:b/>
          <w:bCs/>
        </w:rPr>
        <w:t xml:space="preserve"> recommendations</w:t>
      </w:r>
    </w:p>
    <w:tbl>
      <w:tblPr>
        <w:tblStyle w:val="TableGrid"/>
        <w:tblW w:w="13462" w:type="dxa"/>
        <w:tblLayout w:type="fixed"/>
        <w:tblLook w:val="04A0" w:firstRow="1" w:lastRow="0" w:firstColumn="1" w:lastColumn="0" w:noHBand="0" w:noVBand="1"/>
      </w:tblPr>
      <w:tblGrid>
        <w:gridCol w:w="6232"/>
        <w:gridCol w:w="1134"/>
        <w:gridCol w:w="4820"/>
        <w:gridCol w:w="1276"/>
      </w:tblGrid>
      <w:tr w:rsidR="00887EC0" w:rsidRPr="00887EC0" w14:paraId="415D9DA1" w14:textId="77777777" w:rsidTr="00E23FB1">
        <w:tc>
          <w:tcPr>
            <w:tcW w:w="6232" w:type="dxa"/>
            <w:shd w:val="clear" w:color="auto" w:fill="244061" w:themeFill="accent1" w:themeFillShade="80"/>
            <w:vAlign w:val="center"/>
          </w:tcPr>
          <w:p w14:paraId="28F091A7" w14:textId="77777777" w:rsidR="00887EC0" w:rsidRPr="00887EC0" w:rsidRDefault="00887EC0" w:rsidP="00394871">
            <w:pPr>
              <w:rPr>
                <w:rFonts w:asciiTheme="majorHAnsi" w:hAnsiTheme="majorHAnsi" w:cstheme="majorHAnsi"/>
                <w:b/>
                <w:bCs/>
              </w:rPr>
            </w:pPr>
            <w:r w:rsidRPr="00887EC0">
              <w:rPr>
                <w:rFonts w:asciiTheme="majorHAnsi" w:hAnsiTheme="majorHAnsi" w:cstheme="majorHAnsi"/>
                <w:b/>
                <w:bCs/>
              </w:rPr>
              <w:t>Recommendation</w:t>
            </w:r>
          </w:p>
        </w:tc>
        <w:tc>
          <w:tcPr>
            <w:tcW w:w="1134" w:type="dxa"/>
            <w:shd w:val="clear" w:color="auto" w:fill="244061" w:themeFill="accent1" w:themeFillShade="80"/>
            <w:vAlign w:val="center"/>
          </w:tcPr>
          <w:p w14:paraId="30106F63" w14:textId="77777777" w:rsidR="00887EC0" w:rsidRPr="00887EC0" w:rsidRDefault="00887EC0" w:rsidP="00394871">
            <w:pPr>
              <w:rPr>
                <w:rFonts w:asciiTheme="majorHAnsi" w:hAnsiTheme="majorHAnsi" w:cstheme="majorHAnsi"/>
                <w:b/>
                <w:bCs/>
              </w:rPr>
            </w:pPr>
            <w:r w:rsidRPr="00887EC0">
              <w:rPr>
                <w:rFonts w:asciiTheme="majorHAnsi" w:hAnsiTheme="majorHAnsi" w:cstheme="majorHAnsi"/>
                <w:b/>
                <w:bCs/>
              </w:rPr>
              <w:t>DFAT Response</w:t>
            </w:r>
          </w:p>
        </w:tc>
        <w:tc>
          <w:tcPr>
            <w:tcW w:w="4820" w:type="dxa"/>
            <w:shd w:val="clear" w:color="auto" w:fill="244061" w:themeFill="accent1" w:themeFillShade="80"/>
            <w:vAlign w:val="center"/>
          </w:tcPr>
          <w:p w14:paraId="018DF9E4" w14:textId="77777777" w:rsidR="00887EC0" w:rsidRPr="00887EC0" w:rsidRDefault="00887EC0" w:rsidP="00394871">
            <w:pPr>
              <w:rPr>
                <w:rFonts w:asciiTheme="majorHAnsi" w:hAnsiTheme="majorHAnsi" w:cstheme="majorHAnsi"/>
                <w:b/>
                <w:bCs/>
              </w:rPr>
            </w:pPr>
            <w:r w:rsidRPr="00887EC0">
              <w:rPr>
                <w:rFonts w:asciiTheme="majorHAnsi" w:hAnsiTheme="majorHAnsi" w:cstheme="majorHAnsi"/>
                <w:b/>
                <w:bCs/>
              </w:rPr>
              <w:t>Action Plan</w:t>
            </w:r>
          </w:p>
        </w:tc>
        <w:tc>
          <w:tcPr>
            <w:tcW w:w="1276" w:type="dxa"/>
            <w:shd w:val="clear" w:color="auto" w:fill="244061" w:themeFill="accent1" w:themeFillShade="80"/>
            <w:vAlign w:val="center"/>
          </w:tcPr>
          <w:p w14:paraId="3EB859E6" w14:textId="77777777" w:rsidR="00887EC0" w:rsidRPr="00887EC0" w:rsidRDefault="00887EC0" w:rsidP="00394871">
            <w:pPr>
              <w:rPr>
                <w:rFonts w:asciiTheme="majorHAnsi" w:hAnsiTheme="majorHAnsi" w:cstheme="majorHAnsi"/>
                <w:b/>
                <w:bCs/>
              </w:rPr>
            </w:pPr>
            <w:r w:rsidRPr="00887EC0">
              <w:rPr>
                <w:rFonts w:asciiTheme="majorHAnsi" w:hAnsiTheme="majorHAnsi" w:cstheme="majorHAnsi"/>
                <w:b/>
                <w:bCs/>
              </w:rPr>
              <w:t>Timeframe</w:t>
            </w:r>
          </w:p>
        </w:tc>
      </w:tr>
      <w:tr w:rsidR="00887EC0" w:rsidRPr="00887EC0" w14:paraId="444B4FE9" w14:textId="77777777" w:rsidTr="00E23FB1">
        <w:tc>
          <w:tcPr>
            <w:tcW w:w="6232" w:type="dxa"/>
          </w:tcPr>
          <w:p w14:paraId="3F74FCF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should systematically document the recommendations of Tok Politic sessions’ recommendations to enhance responsiveness to the context based on the tacit knowledge of staff and advisers.</w:t>
            </w:r>
          </w:p>
        </w:tc>
        <w:tc>
          <w:tcPr>
            <w:tcW w:w="1134" w:type="dxa"/>
          </w:tcPr>
          <w:p w14:paraId="06192A2F"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0E740520"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will integrate documentation of Tok Politic insights into MEL processes and reporting cycles, including reflection logs.</w:t>
            </w:r>
          </w:p>
        </w:tc>
        <w:tc>
          <w:tcPr>
            <w:tcW w:w="1276" w:type="dxa"/>
          </w:tcPr>
          <w:p w14:paraId="13F54B02"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Q4 2025</w:t>
            </w:r>
          </w:p>
        </w:tc>
      </w:tr>
      <w:tr w:rsidR="00887EC0" w:rsidRPr="00887EC0" w14:paraId="13DBF049" w14:textId="77777777" w:rsidTr="00E23FB1">
        <w:tc>
          <w:tcPr>
            <w:tcW w:w="6232" w:type="dxa"/>
          </w:tcPr>
          <w:p w14:paraId="184582BA"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EOPO 3 should be reframed to also capture the contribution of BCEP to developing an effective and sustainable civil society more widely within PNG. There is also potential to disseminate BCEP approaches more widely in PNG civil society. The cost implications should be assessed carefully in advance. This may be an action for </w:t>
            </w:r>
            <w:proofErr w:type="gramStart"/>
            <w:r w:rsidRPr="00887EC0">
              <w:rPr>
                <w:rFonts w:asciiTheme="majorHAnsi" w:hAnsiTheme="majorHAnsi" w:cstheme="majorHAnsi"/>
              </w:rPr>
              <w:t>a future phase</w:t>
            </w:r>
            <w:proofErr w:type="gramEnd"/>
            <w:r w:rsidRPr="00887EC0">
              <w:rPr>
                <w:rFonts w:asciiTheme="majorHAnsi" w:hAnsiTheme="majorHAnsi" w:cstheme="majorHAnsi"/>
              </w:rPr>
              <w:t xml:space="preserve"> of BCEP.</w:t>
            </w:r>
          </w:p>
        </w:tc>
        <w:tc>
          <w:tcPr>
            <w:tcW w:w="1134" w:type="dxa"/>
          </w:tcPr>
          <w:p w14:paraId="3DB4CE52"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Not agreed</w:t>
            </w:r>
          </w:p>
        </w:tc>
        <w:tc>
          <w:tcPr>
            <w:tcW w:w="4820" w:type="dxa"/>
          </w:tcPr>
          <w:p w14:paraId="5C5BF4D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will explore opportunities to share learnings and approaches within existing program budget, however reframing EOPO 3 is not supported </w:t>
            </w:r>
            <w:proofErr w:type="gramStart"/>
            <w:r w:rsidRPr="00887EC0">
              <w:rPr>
                <w:rFonts w:asciiTheme="majorHAnsi" w:hAnsiTheme="majorHAnsi" w:cstheme="majorHAnsi"/>
              </w:rPr>
              <w:t>in light of</w:t>
            </w:r>
            <w:proofErr w:type="gramEnd"/>
            <w:r w:rsidRPr="00887EC0">
              <w:rPr>
                <w:rFonts w:asciiTheme="majorHAnsi" w:hAnsiTheme="majorHAnsi" w:cstheme="majorHAnsi"/>
              </w:rPr>
              <w:t xml:space="preserve"> likely cost implications.</w:t>
            </w:r>
          </w:p>
        </w:tc>
        <w:tc>
          <w:tcPr>
            <w:tcW w:w="1276" w:type="dxa"/>
          </w:tcPr>
          <w:p w14:paraId="4ECC6F70"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Q3 2026</w:t>
            </w:r>
          </w:p>
        </w:tc>
      </w:tr>
      <w:tr w:rsidR="00887EC0" w:rsidRPr="00887EC0" w14:paraId="1362654C" w14:textId="77777777" w:rsidTr="00E23FB1">
        <w:tc>
          <w:tcPr>
            <w:tcW w:w="6232" w:type="dxa"/>
          </w:tcPr>
          <w:p w14:paraId="779DD6C4"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explore with other Australian programs the potential for synergy between policy interventions for instance in the health and education sectors.</w:t>
            </w:r>
          </w:p>
        </w:tc>
        <w:tc>
          <w:tcPr>
            <w:tcW w:w="1134" w:type="dxa"/>
          </w:tcPr>
          <w:p w14:paraId="7D450A8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5CB1911E"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to increase discussion with other Australian programs to explore program synergies and complementarities between activities.</w:t>
            </w:r>
          </w:p>
        </w:tc>
        <w:tc>
          <w:tcPr>
            <w:tcW w:w="1276" w:type="dxa"/>
          </w:tcPr>
          <w:p w14:paraId="23190F0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Q1 2026</w:t>
            </w:r>
          </w:p>
        </w:tc>
      </w:tr>
      <w:tr w:rsidR="00887EC0" w:rsidRPr="00887EC0" w14:paraId="72DABB5F" w14:textId="77777777" w:rsidTr="00E23FB1">
        <w:tc>
          <w:tcPr>
            <w:tcW w:w="6232" w:type="dxa"/>
          </w:tcPr>
          <w:p w14:paraId="40D4E1B6"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should review the structure of the components within BCEP to exploit the full synergy between Social Accountability and Coalitions for Change.</w:t>
            </w:r>
          </w:p>
          <w:p w14:paraId="41E3D96F"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Consideration should be given the amalgamation of Social Accountability and Coalitions for Change so that issues can be addressed under the most appropriate component and so that the combined expertise can be brought to bear.</w:t>
            </w:r>
          </w:p>
        </w:tc>
        <w:tc>
          <w:tcPr>
            <w:tcW w:w="1134" w:type="dxa"/>
          </w:tcPr>
          <w:p w14:paraId="5D195AC1"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30BB7961"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will undertake a review of component structures and assess options for closer coordination between Social Accountability and Coalitions for Change components. These options will be presented to DFAT for discussion and agreement. </w:t>
            </w:r>
          </w:p>
        </w:tc>
        <w:tc>
          <w:tcPr>
            <w:tcW w:w="1276" w:type="dxa"/>
          </w:tcPr>
          <w:p w14:paraId="232C3ADB"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Q2 2026</w:t>
            </w:r>
          </w:p>
        </w:tc>
      </w:tr>
      <w:tr w:rsidR="00887EC0" w:rsidRPr="00887EC0" w14:paraId="56CB762A" w14:textId="77777777" w:rsidTr="00E23FB1">
        <w:tc>
          <w:tcPr>
            <w:tcW w:w="6232" w:type="dxa"/>
          </w:tcPr>
          <w:p w14:paraId="4C53273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Capture the strengths and weaknesses of the different approaches to coalitions to support BCEP’s own effectiveness and to contribute to the wider body of knowledge.</w:t>
            </w:r>
          </w:p>
        </w:tc>
        <w:tc>
          <w:tcPr>
            <w:tcW w:w="1134" w:type="dxa"/>
          </w:tcPr>
          <w:p w14:paraId="2D1464FD"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027308FE"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will document comparative lessons from different coalition models and share findings with DFAT and partners.</w:t>
            </w:r>
          </w:p>
        </w:tc>
        <w:tc>
          <w:tcPr>
            <w:tcW w:w="1276" w:type="dxa"/>
          </w:tcPr>
          <w:p w14:paraId="122CABE7"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Q3 2026</w:t>
            </w:r>
          </w:p>
        </w:tc>
      </w:tr>
      <w:tr w:rsidR="00887EC0" w:rsidRPr="00887EC0" w14:paraId="61879496" w14:textId="77777777" w:rsidTr="00E23FB1">
        <w:tc>
          <w:tcPr>
            <w:tcW w:w="6232" w:type="dxa"/>
          </w:tcPr>
          <w:p w14:paraId="5681116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Revisit the opportunities assessment and consider the addition of a new issue to the combined workstream.</w:t>
            </w:r>
          </w:p>
        </w:tc>
        <w:tc>
          <w:tcPr>
            <w:tcW w:w="1134" w:type="dxa"/>
          </w:tcPr>
          <w:p w14:paraId="3085AF0E"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1399719F"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and DFAT will revisit the original opportunity assessment and consult partners to identify new strategic issues for inclusion.</w:t>
            </w:r>
          </w:p>
        </w:tc>
        <w:tc>
          <w:tcPr>
            <w:tcW w:w="1276" w:type="dxa"/>
          </w:tcPr>
          <w:p w14:paraId="00A8A9D2"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Q2 2026</w:t>
            </w:r>
          </w:p>
        </w:tc>
      </w:tr>
      <w:tr w:rsidR="00887EC0" w:rsidRPr="00887EC0" w14:paraId="44602DB6" w14:textId="77777777" w:rsidTr="00E23FB1">
        <w:tc>
          <w:tcPr>
            <w:tcW w:w="6232" w:type="dxa"/>
          </w:tcPr>
          <w:p w14:paraId="295C1A4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lastRenderedPageBreak/>
              <w:t xml:space="preserve">Ensure that media strategies are supported across all partnerships to </w:t>
            </w:r>
            <w:proofErr w:type="spellStart"/>
            <w:r w:rsidRPr="00887EC0">
              <w:rPr>
                <w:rFonts w:asciiTheme="majorHAnsi" w:hAnsiTheme="majorHAnsi" w:cstheme="majorHAnsi"/>
              </w:rPr>
              <w:t>maximise</w:t>
            </w:r>
            <w:proofErr w:type="spellEnd"/>
            <w:r w:rsidRPr="00887EC0">
              <w:rPr>
                <w:rFonts w:asciiTheme="majorHAnsi" w:hAnsiTheme="majorHAnsi" w:cstheme="majorHAnsi"/>
              </w:rPr>
              <w:t xml:space="preserve"> the sharing of research, policy messaging and content to shape understanding, norms and </w:t>
            </w:r>
            <w:proofErr w:type="spellStart"/>
            <w:r w:rsidRPr="00887EC0">
              <w:rPr>
                <w:rFonts w:asciiTheme="majorHAnsi" w:hAnsiTheme="majorHAnsi" w:cstheme="majorHAnsi"/>
              </w:rPr>
              <w:t>behaviours</w:t>
            </w:r>
            <w:proofErr w:type="spellEnd"/>
            <w:r w:rsidRPr="00887EC0">
              <w:rPr>
                <w:rFonts w:asciiTheme="majorHAnsi" w:hAnsiTheme="majorHAnsi" w:cstheme="majorHAnsi"/>
              </w:rPr>
              <w:t xml:space="preserve"> across the range of focus areas under BCEP.</w:t>
            </w:r>
          </w:p>
        </w:tc>
        <w:tc>
          <w:tcPr>
            <w:tcW w:w="1134" w:type="dxa"/>
          </w:tcPr>
          <w:p w14:paraId="4D690EA7"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5263F5FB"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will work with the Media Development Initiative and other partners to develop integrated media strategies across components.</w:t>
            </w:r>
          </w:p>
        </w:tc>
        <w:tc>
          <w:tcPr>
            <w:tcW w:w="1276" w:type="dxa"/>
          </w:tcPr>
          <w:p w14:paraId="5FE08BCD"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Q1 2026</w:t>
            </w:r>
          </w:p>
        </w:tc>
      </w:tr>
      <w:tr w:rsidR="00887EC0" w:rsidRPr="00887EC0" w14:paraId="7AC7C99B" w14:textId="77777777" w:rsidTr="00E23FB1">
        <w:tc>
          <w:tcPr>
            <w:tcW w:w="6232" w:type="dxa"/>
          </w:tcPr>
          <w:p w14:paraId="38C66AB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The BCEP GEDSI team should explore opportunities to better engage with the Office of the Development of Women and to include women’s networks such as the National Council of Women to raise engagement to a higher systemic level and increase sustainability. This should </w:t>
            </w:r>
            <w:proofErr w:type="gramStart"/>
            <w:r w:rsidRPr="00887EC0">
              <w:rPr>
                <w:rFonts w:asciiTheme="majorHAnsi" w:hAnsiTheme="majorHAnsi" w:cstheme="majorHAnsi"/>
              </w:rPr>
              <w:t>re-focus</w:t>
            </w:r>
            <w:proofErr w:type="gramEnd"/>
            <w:r w:rsidRPr="00887EC0">
              <w:rPr>
                <w:rFonts w:asciiTheme="majorHAnsi" w:hAnsiTheme="majorHAnsi" w:cstheme="majorHAnsi"/>
              </w:rPr>
              <w:t xml:space="preserve"> on a broader strategic approach to affecting change for GEDSI, enabling it to build on the current integration primarily at thematic and activity level.</w:t>
            </w:r>
          </w:p>
        </w:tc>
        <w:tc>
          <w:tcPr>
            <w:tcW w:w="1134" w:type="dxa"/>
          </w:tcPr>
          <w:p w14:paraId="2EF8F940"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Partially Agree</w:t>
            </w:r>
          </w:p>
        </w:tc>
        <w:tc>
          <w:tcPr>
            <w:tcW w:w="4820" w:type="dxa"/>
          </w:tcPr>
          <w:p w14:paraId="207ECF03"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GEDSI team will explore opportunities to engage with national women’s institutions and explore strategic alignment opportunities. However, noting existing partnerships and activities under other programs, including with PNG Women Lead, there may limited opportunities to expand engagement. </w:t>
            </w:r>
          </w:p>
        </w:tc>
        <w:tc>
          <w:tcPr>
            <w:tcW w:w="1276" w:type="dxa"/>
          </w:tcPr>
          <w:p w14:paraId="3BD879DC"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Q3 2026</w:t>
            </w:r>
          </w:p>
        </w:tc>
      </w:tr>
      <w:tr w:rsidR="00887EC0" w:rsidRPr="00887EC0" w14:paraId="18FE19FB" w14:textId="77777777" w:rsidTr="00E23FB1">
        <w:tc>
          <w:tcPr>
            <w:tcW w:w="6232" w:type="dxa"/>
          </w:tcPr>
          <w:p w14:paraId="5D8E3399"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should further support partners to showcase initiatives that give voice to </w:t>
            </w:r>
            <w:proofErr w:type="spellStart"/>
            <w:r w:rsidRPr="00887EC0">
              <w:rPr>
                <w:rFonts w:asciiTheme="majorHAnsi" w:hAnsiTheme="majorHAnsi" w:cstheme="majorHAnsi"/>
              </w:rPr>
              <w:t>marginalised</w:t>
            </w:r>
            <w:proofErr w:type="spellEnd"/>
            <w:r w:rsidRPr="00887EC0">
              <w:rPr>
                <w:rFonts w:asciiTheme="majorHAnsi" w:hAnsiTheme="majorHAnsi" w:cstheme="majorHAnsi"/>
              </w:rPr>
              <w:t xml:space="preserve"> people, including articulating how these link to wider change processes.</w:t>
            </w:r>
          </w:p>
        </w:tc>
        <w:tc>
          <w:tcPr>
            <w:tcW w:w="1134" w:type="dxa"/>
          </w:tcPr>
          <w:p w14:paraId="335E4AD3"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43695D1D"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will support partners to document and disseminate stories of change, with a focus on inclusion and systemic impact.</w:t>
            </w:r>
          </w:p>
        </w:tc>
        <w:tc>
          <w:tcPr>
            <w:tcW w:w="1276" w:type="dxa"/>
          </w:tcPr>
          <w:p w14:paraId="3C2600EB"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Q1 2026</w:t>
            </w:r>
          </w:p>
        </w:tc>
      </w:tr>
      <w:tr w:rsidR="00887EC0" w:rsidRPr="00887EC0" w14:paraId="14A6200E" w14:textId="77777777" w:rsidTr="00E23FB1">
        <w:tc>
          <w:tcPr>
            <w:tcW w:w="6232" w:type="dxa"/>
          </w:tcPr>
          <w:p w14:paraId="6737672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Ensure that partners aiming to achieve gender-responsiveness receive sufficient technical support to implement their strategies, alongside the gender-transformative initiatives of </w:t>
            </w:r>
            <w:proofErr w:type="gramStart"/>
            <w:r w:rsidRPr="00887EC0">
              <w:rPr>
                <w:rFonts w:asciiTheme="majorHAnsi" w:hAnsiTheme="majorHAnsi" w:cstheme="majorHAnsi"/>
              </w:rPr>
              <w:t>select</w:t>
            </w:r>
            <w:proofErr w:type="gramEnd"/>
            <w:r w:rsidRPr="00887EC0">
              <w:rPr>
                <w:rFonts w:asciiTheme="majorHAnsi" w:hAnsiTheme="majorHAnsi" w:cstheme="majorHAnsi"/>
              </w:rPr>
              <w:t xml:space="preserve"> partners.</w:t>
            </w:r>
          </w:p>
        </w:tc>
        <w:tc>
          <w:tcPr>
            <w:tcW w:w="1134" w:type="dxa"/>
          </w:tcPr>
          <w:p w14:paraId="537D537B"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09F86962"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will look to streamline and amplify existing GEDSI resources to </w:t>
            </w:r>
            <w:proofErr w:type="spellStart"/>
            <w:r w:rsidRPr="00887EC0">
              <w:rPr>
                <w:rFonts w:asciiTheme="majorHAnsi" w:hAnsiTheme="majorHAnsi" w:cstheme="majorHAnsi"/>
              </w:rPr>
              <w:t>maximise</w:t>
            </w:r>
            <w:proofErr w:type="spellEnd"/>
            <w:r w:rsidRPr="00887EC0">
              <w:rPr>
                <w:rFonts w:asciiTheme="majorHAnsi" w:hAnsiTheme="majorHAnsi" w:cstheme="majorHAnsi"/>
              </w:rPr>
              <w:t xml:space="preserve"> impact. Support will be </w:t>
            </w:r>
            <w:proofErr w:type="spellStart"/>
            <w:r w:rsidRPr="00887EC0">
              <w:rPr>
                <w:rFonts w:asciiTheme="majorHAnsi" w:hAnsiTheme="majorHAnsi" w:cstheme="majorHAnsi"/>
              </w:rPr>
              <w:t>prioritised</w:t>
            </w:r>
            <w:proofErr w:type="spellEnd"/>
            <w:r w:rsidRPr="00887EC0">
              <w:rPr>
                <w:rFonts w:asciiTheme="majorHAnsi" w:hAnsiTheme="majorHAnsi" w:cstheme="majorHAnsi"/>
              </w:rPr>
              <w:t xml:space="preserve"> for partners requiring technical assistance, noting that some GEDSI partners now operate with greater independence and require less intensive support.</w:t>
            </w:r>
          </w:p>
        </w:tc>
        <w:tc>
          <w:tcPr>
            <w:tcW w:w="1276" w:type="dxa"/>
          </w:tcPr>
          <w:p w14:paraId="19EF83F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Q1 2026</w:t>
            </w:r>
          </w:p>
        </w:tc>
      </w:tr>
      <w:tr w:rsidR="00887EC0" w:rsidRPr="00887EC0" w14:paraId="03B649B5" w14:textId="77777777" w:rsidTr="00E23FB1">
        <w:tc>
          <w:tcPr>
            <w:tcW w:w="6232" w:type="dxa"/>
          </w:tcPr>
          <w:p w14:paraId="44286897"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should develop a strategy that enables </w:t>
            </w:r>
            <w:proofErr w:type="spellStart"/>
            <w:r w:rsidRPr="00887EC0">
              <w:rPr>
                <w:rFonts w:asciiTheme="majorHAnsi" w:hAnsiTheme="majorHAnsi" w:cstheme="majorHAnsi"/>
              </w:rPr>
              <w:t>organisations</w:t>
            </w:r>
            <w:proofErr w:type="spellEnd"/>
            <w:r w:rsidRPr="00887EC0">
              <w:rPr>
                <w:rFonts w:asciiTheme="majorHAnsi" w:hAnsiTheme="majorHAnsi" w:cstheme="majorHAnsi"/>
              </w:rPr>
              <w:t xml:space="preserve"> in the wider CSO community in PNG to develop the competencies to adopt successful approaches, including through sharing lessons on capacity building with partners.</w:t>
            </w:r>
          </w:p>
        </w:tc>
        <w:tc>
          <w:tcPr>
            <w:tcW w:w="1134" w:type="dxa"/>
          </w:tcPr>
          <w:p w14:paraId="5D4148D6"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Not agreed</w:t>
            </w:r>
          </w:p>
        </w:tc>
        <w:tc>
          <w:tcPr>
            <w:tcW w:w="4820" w:type="dxa"/>
          </w:tcPr>
          <w:p w14:paraId="2C942DBC"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will explore opportunities to share learnings and approaches within existing program budget, however a more systematic strategic approach is not supported </w:t>
            </w:r>
            <w:proofErr w:type="gramStart"/>
            <w:r w:rsidRPr="00887EC0">
              <w:rPr>
                <w:rFonts w:asciiTheme="majorHAnsi" w:hAnsiTheme="majorHAnsi" w:cstheme="majorHAnsi"/>
              </w:rPr>
              <w:t>in light of</w:t>
            </w:r>
            <w:proofErr w:type="gramEnd"/>
            <w:r w:rsidRPr="00887EC0">
              <w:rPr>
                <w:rFonts w:asciiTheme="majorHAnsi" w:hAnsiTheme="majorHAnsi" w:cstheme="majorHAnsi"/>
              </w:rPr>
              <w:t xml:space="preserve"> likely cost implications.</w:t>
            </w:r>
          </w:p>
        </w:tc>
        <w:tc>
          <w:tcPr>
            <w:tcW w:w="1276" w:type="dxa"/>
          </w:tcPr>
          <w:p w14:paraId="4BAB3FAA"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Q2 2026</w:t>
            </w:r>
          </w:p>
        </w:tc>
      </w:tr>
      <w:tr w:rsidR="00887EC0" w:rsidRPr="00887EC0" w14:paraId="3371FA17" w14:textId="77777777" w:rsidTr="00E23FB1">
        <w:tc>
          <w:tcPr>
            <w:tcW w:w="6232" w:type="dxa"/>
          </w:tcPr>
          <w:p w14:paraId="03365C4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Bolster capacity building support in the form of accompaniment as partners implement their own strategies on inclusion, balancing support to responsive and transformative approaches, and considering how to enhance outcomes as well as processes.</w:t>
            </w:r>
          </w:p>
        </w:tc>
        <w:tc>
          <w:tcPr>
            <w:tcW w:w="1134" w:type="dxa"/>
          </w:tcPr>
          <w:p w14:paraId="577EDA1F"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3882B84C"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will continue providing technical accompaniment support and mentoring support for partners implementing GEDSI strategies.</w:t>
            </w:r>
          </w:p>
        </w:tc>
        <w:tc>
          <w:tcPr>
            <w:tcW w:w="1276" w:type="dxa"/>
          </w:tcPr>
          <w:p w14:paraId="09E50EB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Q1–Q2 2026</w:t>
            </w:r>
          </w:p>
        </w:tc>
      </w:tr>
      <w:tr w:rsidR="00887EC0" w:rsidRPr="00887EC0" w14:paraId="48130293" w14:textId="77777777" w:rsidTr="00E23FB1">
        <w:tc>
          <w:tcPr>
            <w:tcW w:w="6232" w:type="dxa"/>
          </w:tcPr>
          <w:p w14:paraId="36941102"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should clarify the process for reducing or pausing support to partners where they have achieved sustainability or where their potential to influence change has diminished. Flexibility is key to BCEP’s underlying theory and there should be guidelines to support hard decisions that enable this. Developing an exit plan </w:t>
            </w:r>
            <w:r w:rsidRPr="00887EC0">
              <w:rPr>
                <w:rFonts w:asciiTheme="majorHAnsi" w:hAnsiTheme="majorHAnsi" w:cstheme="majorHAnsi"/>
              </w:rPr>
              <w:lastRenderedPageBreak/>
              <w:t>which could include transition to a different mode of engagement or support, through to graduation from the program, will give clarity and confidence to all parties.</w:t>
            </w:r>
          </w:p>
        </w:tc>
        <w:tc>
          <w:tcPr>
            <w:tcW w:w="1134" w:type="dxa"/>
          </w:tcPr>
          <w:p w14:paraId="695D4C98"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lastRenderedPageBreak/>
              <w:t>Agree</w:t>
            </w:r>
          </w:p>
        </w:tc>
        <w:tc>
          <w:tcPr>
            <w:tcW w:w="4820" w:type="dxa"/>
          </w:tcPr>
          <w:p w14:paraId="3B505F60"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BCEP will develop a Partner Transition Plan and exit guidelines, including criteria and options for continued engagement. This will </w:t>
            </w:r>
            <w:proofErr w:type="gramStart"/>
            <w:r w:rsidRPr="00887EC0">
              <w:rPr>
                <w:rFonts w:asciiTheme="majorHAnsi" w:hAnsiTheme="majorHAnsi" w:cstheme="majorHAnsi"/>
              </w:rPr>
              <w:t>approved</w:t>
            </w:r>
            <w:proofErr w:type="gramEnd"/>
            <w:r w:rsidRPr="00887EC0">
              <w:rPr>
                <w:rFonts w:asciiTheme="majorHAnsi" w:hAnsiTheme="majorHAnsi" w:cstheme="majorHAnsi"/>
              </w:rPr>
              <w:t xml:space="preserve"> by DFAT.  A review of the BCEP Adaptive Management </w:t>
            </w:r>
            <w:r w:rsidRPr="00887EC0">
              <w:rPr>
                <w:rFonts w:asciiTheme="majorHAnsi" w:hAnsiTheme="majorHAnsi" w:cstheme="majorHAnsi"/>
              </w:rPr>
              <w:lastRenderedPageBreak/>
              <w:t>Strategy will also consider sustainability aspects of the partnerships.</w:t>
            </w:r>
          </w:p>
        </w:tc>
        <w:tc>
          <w:tcPr>
            <w:tcW w:w="1276" w:type="dxa"/>
          </w:tcPr>
          <w:p w14:paraId="1567BEE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lastRenderedPageBreak/>
              <w:t>Q2 2026</w:t>
            </w:r>
          </w:p>
        </w:tc>
      </w:tr>
      <w:tr w:rsidR="00887EC0" w:rsidRPr="00887EC0" w14:paraId="32E82F6B" w14:textId="77777777" w:rsidTr="00E23FB1">
        <w:tc>
          <w:tcPr>
            <w:tcW w:w="6232" w:type="dxa"/>
          </w:tcPr>
          <w:p w14:paraId="1C56A1C3"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 xml:space="preserve">In the </w:t>
            </w:r>
            <w:proofErr w:type="gramStart"/>
            <w:r w:rsidRPr="00887EC0">
              <w:rPr>
                <w:rFonts w:asciiTheme="majorHAnsi" w:hAnsiTheme="majorHAnsi" w:cstheme="majorHAnsi"/>
              </w:rPr>
              <w:t>interests</w:t>
            </w:r>
            <w:proofErr w:type="gramEnd"/>
            <w:r w:rsidRPr="00887EC0">
              <w:rPr>
                <w:rFonts w:asciiTheme="majorHAnsi" w:hAnsiTheme="majorHAnsi" w:cstheme="majorHAnsi"/>
              </w:rPr>
              <w:t xml:space="preserve"> of ensuring a balance between the cost of BCEP’s support to partners and the funding provided to partners to deliver outcomes, BCEP should develop and agree with the AHC an appropriate methodology to calculate an overhead ratio and agree an appropriate target.</w:t>
            </w:r>
          </w:p>
        </w:tc>
        <w:tc>
          <w:tcPr>
            <w:tcW w:w="1134" w:type="dxa"/>
          </w:tcPr>
          <w:p w14:paraId="42887FF2"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09A1330B"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and DFAT will jointly develop an overhead ratio methodology and agree on a target range.</w:t>
            </w:r>
          </w:p>
        </w:tc>
        <w:tc>
          <w:tcPr>
            <w:tcW w:w="1276" w:type="dxa"/>
          </w:tcPr>
          <w:p w14:paraId="082FF57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Q1 2026</w:t>
            </w:r>
          </w:p>
        </w:tc>
      </w:tr>
      <w:tr w:rsidR="00887EC0" w:rsidRPr="00887EC0" w14:paraId="08716F77" w14:textId="77777777" w:rsidTr="00E23FB1">
        <w:tc>
          <w:tcPr>
            <w:tcW w:w="6232" w:type="dxa"/>
          </w:tcPr>
          <w:p w14:paraId="106FF244"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The BCEP team should move the focus of its adaptive management towards the component, partnership and issue levels. It should revisit the change strategy process as means to review and revise the strategy and tactics of coalitions and other interventions.</w:t>
            </w:r>
          </w:p>
        </w:tc>
        <w:tc>
          <w:tcPr>
            <w:tcW w:w="1134" w:type="dxa"/>
          </w:tcPr>
          <w:p w14:paraId="31ADDEBD"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Agree</w:t>
            </w:r>
          </w:p>
        </w:tc>
        <w:tc>
          <w:tcPr>
            <w:tcW w:w="4820" w:type="dxa"/>
          </w:tcPr>
          <w:p w14:paraId="7646CFCC"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BCEP will review its Adaptive Management Strategy to ensure it supports adaptive management to specific components, issues and partnerships.</w:t>
            </w:r>
          </w:p>
        </w:tc>
        <w:tc>
          <w:tcPr>
            <w:tcW w:w="1276" w:type="dxa"/>
          </w:tcPr>
          <w:p w14:paraId="159ECED5" w14:textId="77777777" w:rsidR="00887EC0" w:rsidRPr="00887EC0" w:rsidRDefault="00887EC0" w:rsidP="00394871">
            <w:pPr>
              <w:spacing w:before="60" w:after="60"/>
              <w:rPr>
                <w:rFonts w:asciiTheme="majorHAnsi" w:hAnsiTheme="majorHAnsi" w:cstheme="majorHAnsi"/>
              </w:rPr>
            </w:pPr>
            <w:r w:rsidRPr="00887EC0">
              <w:rPr>
                <w:rFonts w:asciiTheme="majorHAnsi" w:hAnsiTheme="majorHAnsi" w:cstheme="majorHAnsi"/>
              </w:rPr>
              <w:t>Q2 2026</w:t>
            </w:r>
          </w:p>
        </w:tc>
      </w:tr>
    </w:tbl>
    <w:p w14:paraId="09D12971" w14:textId="77777777" w:rsidR="00247FCD" w:rsidRPr="004A07D8" w:rsidRDefault="00247FCD" w:rsidP="00374489">
      <w:pPr>
        <w:rPr>
          <w:rFonts w:asciiTheme="majorHAnsi" w:hAnsiTheme="majorHAnsi" w:cstheme="majorHAnsi"/>
        </w:rPr>
      </w:pPr>
    </w:p>
    <w:sectPr w:rsidR="00247FCD" w:rsidRPr="004A07D8" w:rsidSect="004B26B3">
      <w:headerReference w:type="default" r:id="rId11"/>
      <w:footerReference w:type="default" r:id="rId12"/>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BB86" w14:textId="77777777" w:rsidR="00E5736A" w:rsidRDefault="00E5736A" w:rsidP="004A07D8">
      <w:pPr>
        <w:spacing w:after="0" w:line="240" w:lineRule="auto"/>
      </w:pPr>
      <w:r>
        <w:separator/>
      </w:r>
    </w:p>
  </w:endnote>
  <w:endnote w:type="continuationSeparator" w:id="0">
    <w:p w14:paraId="0C69BE46" w14:textId="77777777" w:rsidR="00E5736A" w:rsidRDefault="00E5736A" w:rsidP="004A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118398"/>
      <w:docPartObj>
        <w:docPartGallery w:val="Page Numbers (Bottom of Page)"/>
        <w:docPartUnique/>
      </w:docPartObj>
    </w:sdtPr>
    <w:sdtEndPr>
      <w:rPr>
        <w:noProof/>
      </w:rPr>
    </w:sdtEndPr>
    <w:sdtContent>
      <w:p w14:paraId="7686207E" w14:textId="17AC7A0E" w:rsidR="00F51649" w:rsidRDefault="00F51649">
        <w:pPr>
          <w:pStyle w:val="Footer"/>
        </w:pPr>
        <w:r>
          <w:fldChar w:fldCharType="begin"/>
        </w:r>
        <w:r>
          <w:instrText xml:space="preserve"> PAGE   \* MERGEFORMAT </w:instrText>
        </w:r>
        <w:r>
          <w:fldChar w:fldCharType="separate"/>
        </w:r>
        <w:r>
          <w:rPr>
            <w:noProof/>
          </w:rPr>
          <w:t>2</w:t>
        </w:r>
        <w:r>
          <w:rPr>
            <w:noProof/>
          </w:rPr>
          <w:fldChar w:fldCharType="end"/>
        </w:r>
      </w:p>
    </w:sdtContent>
  </w:sdt>
  <w:p w14:paraId="5564E0C3" w14:textId="5E76331E" w:rsidR="00E236E5" w:rsidRPr="00EF59A0" w:rsidRDefault="00E236E5" w:rsidP="00E236E5">
    <w:pPr>
      <w:pStyle w:val="Header"/>
      <w:jc w:val="center"/>
      <w:rPr>
        <w:rFonts w:ascii="Calibri" w:hAnsi="Calibr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9EE5" w14:textId="77777777" w:rsidR="00E5736A" w:rsidRDefault="00E5736A" w:rsidP="004A07D8">
      <w:pPr>
        <w:spacing w:after="0" w:line="240" w:lineRule="auto"/>
      </w:pPr>
      <w:r>
        <w:separator/>
      </w:r>
    </w:p>
  </w:footnote>
  <w:footnote w:type="continuationSeparator" w:id="0">
    <w:p w14:paraId="293B10C3" w14:textId="77777777" w:rsidR="00E5736A" w:rsidRDefault="00E5736A" w:rsidP="004A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57FE" w14:textId="4E3E8F23" w:rsidR="00E236E5" w:rsidRPr="00EF59A0" w:rsidRDefault="00E236E5" w:rsidP="00E236E5">
    <w:pPr>
      <w:pStyle w:val="Header"/>
      <w:jc w:val="center"/>
      <w:rPr>
        <w:rFonts w:asciiTheme="majorHAnsi" w:hAnsiTheme="majorHAnsi" w:cstheme="majorHAnsi"/>
        <w:color w:val="FF0000"/>
      </w:rPr>
    </w:pPr>
    <w:r w:rsidRPr="00EF59A0">
      <w:rPr>
        <w:rFonts w:asciiTheme="majorHAnsi" w:hAnsiTheme="majorHAnsi" w:cstheme="majorHAnsi"/>
        <w:color w:val="FF000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7694701">
    <w:abstractNumId w:val="8"/>
  </w:num>
  <w:num w:numId="2" w16cid:durableId="2131895760">
    <w:abstractNumId w:val="6"/>
  </w:num>
  <w:num w:numId="3" w16cid:durableId="764963303">
    <w:abstractNumId w:val="5"/>
  </w:num>
  <w:num w:numId="4" w16cid:durableId="41831539">
    <w:abstractNumId w:val="4"/>
  </w:num>
  <w:num w:numId="5" w16cid:durableId="1991205955">
    <w:abstractNumId w:val="7"/>
  </w:num>
  <w:num w:numId="6" w16cid:durableId="272174220">
    <w:abstractNumId w:val="3"/>
  </w:num>
  <w:num w:numId="7" w16cid:durableId="1781144829">
    <w:abstractNumId w:val="2"/>
  </w:num>
  <w:num w:numId="8" w16cid:durableId="1679382314">
    <w:abstractNumId w:val="1"/>
  </w:num>
  <w:num w:numId="9" w16cid:durableId="173778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67"/>
    <w:rsid w:val="00021ADC"/>
    <w:rsid w:val="00032D7D"/>
    <w:rsid w:val="00034616"/>
    <w:rsid w:val="0005797B"/>
    <w:rsid w:val="0006063C"/>
    <w:rsid w:val="00066B62"/>
    <w:rsid w:val="000854A6"/>
    <w:rsid w:val="00085787"/>
    <w:rsid w:val="000B6C09"/>
    <w:rsid w:val="001163D0"/>
    <w:rsid w:val="0015074B"/>
    <w:rsid w:val="00171C08"/>
    <w:rsid w:val="00184A2C"/>
    <w:rsid w:val="00187997"/>
    <w:rsid w:val="00192621"/>
    <w:rsid w:val="00195D21"/>
    <w:rsid w:val="00216F1A"/>
    <w:rsid w:val="00225ACD"/>
    <w:rsid w:val="00247FCD"/>
    <w:rsid w:val="00256696"/>
    <w:rsid w:val="0026133F"/>
    <w:rsid w:val="00282F38"/>
    <w:rsid w:val="002862B6"/>
    <w:rsid w:val="0029639D"/>
    <w:rsid w:val="002C45E4"/>
    <w:rsid w:val="002C6AD9"/>
    <w:rsid w:val="002E362E"/>
    <w:rsid w:val="0030505C"/>
    <w:rsid w:val="00326F90"/>
    <w:rsid w:val="003332B5"/>
    <w:rsid w:val="00374489"/>
    <w:rsid w:val="00390A07"/>
    <w:rsid w:val="003D19A8"/>
    <w:rsid w:val="003F6441"/>
    <w:rsid w:val="004203CD"/>
    <w:rsid w:val="00432078"/>
    <w:rsid w:val="0044200D"/>
    <w:rsid w:val="00470642"/>
    <w:rsid w:val="004A07D8"/>
    <w:rsid w:val="004A23F4"/>
    <w:rsid w:val="004A2974"/>
    <w:rsid w:val="004B26B3"/>
    <w:rsid w:val="004E2D9C"/>
    <w:rsid w:val="004F5123"/>
    <w:rsid w:val="00537054"/>
    <w:rsid w:val="005371CF"/>
    <w:rsid w:val="00546BA7"/>
    <w:rsid w:val="005730B0"/>
    <w:rsid w:val="005D253D"/>
    <w:rsid w:val="005D77D8"/>
    <w:rsid w:val="005F490E"/>
    <w:rsid w:val="00670716"/>
    <w:rsid w:val="006A54CF"/>
    <w:rsid w:val="006C4BD5"/>
    <w:rsid w:val="006F68CD"/>
    <w:rsid w:val="007426D3"/>
    <w:rsid w:val="0075716A"/>
    <w:rsid w:val="00791922"/>
    <w:rsid w:val="007D2EF8"/>
    <w:rsid w:val="007E40EA"/>
    <w:rsid w:val="0081514B"/>
    <w:rsid w:val="00864A02"/>
    <w:rsid w:val="00887EC0"/>
    <w:rsid w:val="008D7F8A"/>
    <w:rsid w:val="008E1B9B"/>
    <w:rsid w:val="00900A7C"/>
    <w:rsid w:val="00903470"/>
    <w:rsid w:val="00932A3A"/>
    <w:rsid w:val="009660FB"/>
    <w:rsid w:val="0097181D"/>
    <w:rsid w:val="00972254"/>
    <w:rsid w:val="009A7472"/>
    <w:rsid w:val="009C396C"/>
    <w:rsid w:val="009C4ABE"/>
    <w:rsid w:val="00A14E0D"/>
    <w:rsid w:val="00A53D7F"/>
    <w:rsid w:val="00A670C0"/>
    <w:rsid w:val="00A7734A"/>
    <w:rsid w:val="00A84305"/>
    <w:rsid w:val="00AA1D8D"/>
    <w:rsid w:val="00AA7953"/>
    <w:rsid w:val="00AD4286"/>
    <w:rsid w:val="00AD5676"/>
    <w:rsid w:val="00AE23A9"/>
    <w:rsid w:val="00AF081E"/>
    <w:rsid w:val="00AF538F"/>
    <w:rsid w:val="00B01A23"/>
    <w:rsid w:val="00B01D5C"/>
    <w:rsid w:val="00B47730"/>
    <w:rsid w:val="00B824AC"/>
    <w:rsid w:val="00BA0391"/>
    <w:rsid w:val="00BE52B8"/>
    <w:rsid w:val="00BE664C"/>
    <w:rsid w:val="00C10661"/>
    <w:rsid w:val="00C14BC5"/>
    <w:rsid w:val="00C42139"/>
    <w:rsid w:val="00C82DDC"/>
    <w:rsid w:val="00CA79A2"/>
    <w:rsid w:val="00CB0664"/>
    <w:rsid w:val="00CC0977"/>
    <w:rsid w:val="00CF550C"/>
    <w:rsid w:val="00D06F57"/>
    <w:rsid w:val="00D0765C"/>
    <w:rsid w:val="00D10944"/>
    <w:rsid w:val="00D12834"/>
    <w:rsid w:val="00D16DCF"/>
    <w:rsid w:val="00D257CC"/>
    <w:rsid w:val="00D33B45"/>
    <w:rsid w:val="00D8695C"/>
    <w:rsid w:val="00DA1451"/>
    <w:rsid w:val="00DA6F73"/>
    <w:rsid w:val="00DC4FBF"/>
    <w:rsid w:val="00DD0E92"/>
    <w:rsid w:val="00DE41C3"/>
    <w:rsid w:val="00E07BC8"/>
    <w:rsid w:val="00E1377E"/>
    <w:rsid w:val="00E236E5"/>
    <w:rsid w:val="00E23FB1"/>
    <w:rsid w:val="00E5736A"/>
    <w:rsid w:val="00E71E77"/>
    <w:rsid w:val="00E83A55"/>
    <w:rsid w:val="00ED42DC"/>
    <w:rsid w:val="00ED7411"/>
    <w:rsid w:val="00EF2FA6"/>
    <w:rsid w:val="00EF59A0"/>
    <w:rsid w:val="00F113C9"/>
    <w:rsid w:val="00F27C31"/>
    <w:rsid w:val="00F51649"/>
    <w:rsid w:val="00F516A0"/>
    <w:rsid w:val="00F768C1"/>
    <w:rsid w:val="00F81C4B"/>
    <w:rsid w:val="00FB2269"/>
    <w:rsid w:val="00FB36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8B9C2"/>
  <w14:defaultImageDpi w14:val="300"/>
  <w15:docId w15:val="{DEE9CBA3-8409-47A8-AF0B-4E769A57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4A07D8"/>
    <w:rPr>
      <w:sz w:val="16"/>
      <w:szCs w:val="16"/>
    </w:rPr>
  </w:style>
  <w:style w:type="paragraph" w:styleId="CommentText">
    <w:name w:val="annotation text"/>
    <w:basedOn w:val="Normal"/>
    <w:link w:val="CommentTextChar"/>
    <w:uiPriority w:val="99"/>
    <w:unhideWhenUsed/>
    <w:rsid w:val="004A07D8"/>
    <w:pPr>
      <w:spacing w:line="240" w:lineRule="auto"/>
    </w:pPr>
    <w:rPr>
      <w:sz w:val="20"/>
      <w:szCs w:val="20"/>
    </w:rPr>
  </w:style>
  <w:style w:type="character" w:customStyle="1" w:styleId="CommentTextChar">
    <w:name w:val="Comment Text Char"/>
    <w:basedOn w:val="DefaultParagraphFont"/>
    <w:link w:val="CommentText"/>
    <w:uiPriority w:val="99"/>
    <w:rsid w:val="004A07D8"/>
    <w:rPr>
      <w:sz w:val="20"/>
      <w:szCs w:val="20"/>
    </w:rPr>
  </w:style>
  <w:style w:type="paragraph" w:styleId="CommentSubject">
    <w:name w:val="annotation subject"/>
    <w:basedOn w:val="CommentText"/>
    <w:next w:val="CommentText"/>
    <w:link w:val="CommentSubjectChar"/>
    <w:uiPriority w:val="99"/>
    <w:semiHidden/>
    <w:unhideWhenUsed/>
    <w:rsid w:val="004A07D8"/>
    <w:rPr>
      <w:b/>
      <w:bCs/>
    </w:rPr>
  </w:style>
  <w:style w:type="character" w:customStyle="1" w:styleId="CommentSubjectChar">
    <w:name w:val="Comment Subject Char"/>
    <w:basedOn w:val="CommentTextChar"/>
    <w:link w:val="CommentSubject"/>
    <w:uiPriority w:val="99"/>
    <w:semiHidden/>
    <w:rsid w:val="004A07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ad6d17-cc2f-4a52-9a42-09d539ff257b">
      <Terms xmlns="http://schemas.microsoft.com/office/infopath/2007/PartnerControls"/>
    </lcf76f155ced4ddcb4097134ff3c332f>
    <TaxCatchAll xmlns="8f5dea9d-30c5-454e-befd-d64dd18623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FBF54CB1E504090B038E58399438E" ma:contentTypeVersion="14" ma:contentTypeDescription="Create a new document." ma:contentTypeScope="" ma:versionID="8746c82bab461b91dde7a7e89db344d8">
  <xsd:schema xmlns:xsd="http://www.w3.org/2001/XMLSchema" xmlns:xs="http://www.w3.org/2001/XMLSchema" xmlns:p="http://schemas.microsoft.com/office/2006/metadata/properties" xmlns:ns2="baad6d17-cc2f-4a52-9a42-09d539ff257b" xmlns:ns3="8f5dea9d-30c5-454e-befd-d64dd18623b4" targetNamespace="http://schemas.microsoft.com/office/2006/metadata/properties" ma:root="true" ma:fieldsID="4e88f500bc3c74b29f2d0d02ecb4834e" ns2:_="" ns3:_="">
    <xsd:import namespace="baad6d17-cc2f-4a52-9a42-09d539ff257b"/>
    <xsd:import namespace="8f5dea9d-30c5-454e-befd-d64dd18623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d6d17-cc2f-4a52-9a42-09d539ff2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dea9d-30c5-454e-befd-d64dd18623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4a740-2cfb-4ca8-85c9-123698ef4f12}" ma:internalName="TaxCatchAll" ma:showField="CatchAllData" ma:web="8f5dea9d-30c5-454e-befd-d64dd1862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CCCB-933D-44DF-9D6C-525B47C3176C}">
  <ds:schemaRefs>
    <ds:schemaRef ds:uri="http://schemas.microsoft.com/sharepoint/v3/contenttype/forms"/>
  </ds:schemaRefs>
</ds:datastoreItem>
</file>

<file path=customXml/itemProps2.xml><?xml version="1.0" encoding="utf-8"?>
<ds:datastoreItem xmlns:ds="http://schemas.openxmlformats.org/officeDocument/2006/customXml" ds:itemID="{EF34475F-F7F4-48A5-A258-EB1836C22DCF}">
  <ds:schemaRefs>
    <ds:schemaRef ds:uri="http://schemas.microsoft.com/office/2006/metadata/properties"/>
    <ds:schemaRef ds:uri="http://schemas.microsoft.com/office/infopath/2007/PartnerControls"/>
    <ds:schemaRef ds:uri="baad6d17-cc2f-4a52-9a42-09d539ff257b"/>
    <ds:schemaRef ds:uri="8f5dea9d-30c5-454e-befd-d64dd18623b4"/>
  </ds:schemaRefs>
</ds:datastoreItem>
</file>

<file path=customXml/itemProps3.xml><?xml version="1.0" encoding="utf-8"?>
<ds:datastoreItem xmlns:ds="http://schemas.openxmlformats.org/officeDocument/2006/customXml" ds:itemID="{49502109-2652-4451-8E0D-1683FAD0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d6d17-cc2f-4a52-9a42-09d539ff257b"/>
    <ds:schemaRef ds:uri="8f5dea9d-30c5-454e-befd-d64dd1862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1726</Words>
  <Characters>9945</Characters>
  <Application>Microsoft Office Word</Application>
  <DocSecurity>4</DocSecurity>
  <Lines>276</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 Building Community Engagement in Papua New Guinea Mid-Term Review</dc:title>
  <dc:subject/>
  <cp:keywords>[SEC=OFFICIAL]</cp:keywords>
  <dc:description>generated by python-docx</dc:description>
  <cp:revision>2</cp:revision>
  <dcterms:created xsi:type="dcterms:W3CDTF">2026-07-01T05:24:00Z</dcterms:created>
  <dcterms:modified xsi:type="dcterms:W3CDTF">2026-07-01T05:24:00Z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v=2022.1;a=SHA256;h=09B26456D249AE2B7FB3C2747485AB3A4DE9BF1DCB468117825D74D9AFE3C3B1</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2025-08-14T03:27:52Z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768E13B5B0CF5D7E7806D46A0129378B81FE1B66</vt:lpwstr>
  </property>
  <property fmtid="{D5CDD505-2E9C-101B-9397-08002B2CF9AE}" pid="14" name="PM_DisplayValueSecClassificationWithQualifier">
    <vt:lpwstr>OFFICIAL</vt:lpwstr>
  </property>
  <property fmtid="{D5CDD505-2E9C-101B-9397-08002B2CF9AE}" pid="15" name="PM_Originating_FileId">
    <vt:lpwstr>9952EA7A9A044414BDB65BA981DDFFEA</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070E333B2865722D9782E53D5EF969756DB30076D977FD6C20B4A35E697EF686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4C8E9B578D85597D0DFFBA9F9E40D239</vt:lpwstr>
  </property>
  <property fmtid="{D5CDD505-2E9C-101B-9397-08002B2CF9AE}" pid="25" name="PM_Hash_Salt">
    <vt:lpwstr>D64911BA5BEB2237BCB6818D03F3B990</vt:lpwstr>
  </property>
  <property fmtid="{D5CDD505-2E9C-101B-9397-08002B2CF9AE}" pid="26" name="PM_Hash_SHA1">
    <vt:lpwstr>9A6A361945FDF100560017C9681BEC4952EECB87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ontentTypeId">
    <vt:lpwstr>0x010100220FBF54CB1E504090B038E58399438E</vt:lpwstr>
  </property>
  <property fmtid="{D5CDD505-2E9C-101B-9397-08002B2CF9AE}" pid="32" name="MediaServiceImageTags">
    <vt:lpwstr/>
  </property>
</Properties>
</file>