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C5C37" w14:textId="6BDDDCFA" w:rsidR="00253D66" w:rsidRPr="00ED0714" w:rsidRDefault="007234BB" w:rsidP="00ED0714">
      <w:pPr>
        <w:pStyle w:val="Heading1"/>
        <w:ind w:left="142"/>
      </w:pPr>
      <w:r w:rsidRPr="00ED0714">
        <w:t>Resources and Energy Services Sector</w:t>
      </w:r>
      <w:r w:rsidRPr="00ED0714">
        <w:br/>
        <w:t>In Brief</w:t>
      </w:r>
    </w:p>
    <w:p w14:paraId="40F22BA4" w14:textId="77777777" w:rsidR="00F73EB2" w:rsidRPr="00FC7387" w:rsidRDefault="00F73EB2" w:rsidP="00FC7387">
      <w:pPr>
        <w:pStyle w:val="Heading2"/>
      </w:pPr>
      <w:r w:rsidRPr="00FC7387">
        <w:t>OVERVIEW</w:t>
      </w:r>
    </w:p>
    <w:p w14:paraId="4F4B48C0" w14:textId="77777777" w:rsidR="007234BB" w:rsidRPr="00E268DB" w:rsidRDefault="007234BB" w:rsidP="007234BB">
      <w:pPr>
        <w:pStyle w:val="Body"/>
      </w:pPr>
      <w:r w:rsidRPr="00E268DB">
        <w:t xml:space="preserve">Indonesia is Australia’s second largest Mining Equipment, Technology and Services (METS) market, with exports to Indonesia </w:t>
      </w:r>
      <w:proofErr w:type="spellStart"/>
      <w:r w:rsidRPr="00E268DB">
        <w:t>totalling</w:t>
      </w:r>
      <w:proofErr w:type="spellEnd"/>
      <w:r w:rsidRPr="00E268DB">
        <w:t xml:space="preserve"> $1.7billion annually.</w:t>
      </w:r>
    </w:p>
    <w:p w14:paraId="1632C006" w14:textId="77777777" w:rsidR="007234BB" w:rsidRPr="007234BB" w:rsidRDefault="007234BB" w:rsidP="007234BB">
      <w:pPr>
        <w:pStyle w:val="ListParagraph"/>
      </w:pPr>
      <w:r w:rsidRPr="007234BB">
        <w:t xml:space="preserve">Indonesia is one of the most promising METS markets, alongside Chile and Canada.  </w:t>
      </w:r>
    </w:p>
    <w:p w14:paraId="33FD6A97" w14:textId="77777777" w:rsidR="007234BB" w:rsidRPr="00E268DB" w:rsidRDefault="007234BB" w:rsidP="007234BB">
      <w:pPr>
        <w:pStyle w:val="Body"/>
      </w:pPr>
      <w:r w:rsidRPr="00E268DB">
        <w:t>Indonesia’s growing middle-class population, coupled with government plans to expand the manufacturing base and provide universal energy access, is driving efforts to secure its resources and energy future.</w:t>
      </w:r>
    </w:p>
    <w:p w14:paraId="1BEEF67A" w14:textId="77777777" w:rsidR="007234BB" w:rsidRPr="007234BB" w:rsidRDefault="007234BB" w:rsidP="007234BB">
      <w:pPr>
        <w:pStyle w:val="ListParagraph"/>
      </w:pPr>
      <w:r w:rsidRPr="007234BB">
        <w:t xml:space="preserve">This involves Indonesia moving beyond traditional mining, working towards renewable energy </w:t>
      </w:r>
      <w:proofErr w:type="gramStart"/>
      <w:r w:rsidRPr="007234BB">
        <w:t>targets</w:t>
      </w:r>
      <w:proofErr w:type="gramEnd"/>
      <w:r w:rsidRPr="007234BB">
        <w:t xml:space="preserve"> and </w:t>
      </w:r>
      <w:proofErr w:type="spellStart"/>
      <w:r w:rsidRPr="007234BB">
        <w:t>realising</w:t>
      </w:r>
      <w:proofErr w:type="spellEnd"/>
      <w:r w:rsidRPr="007234BB">
        <w:t xml:space="preserve"> its electrical vehicle (EV) ambitions.</w:t>
      </w:r>
    </w:p>
    <w:p w14:paraId="39727512" w14:textId="77777777" w:rsidR="007234BB" w:rsidRPr="00E268DB" w:rsidRDefault="007234BB" w:rsidP="007234BB">
      <w:pPr>
        <w:pStyle w:val="Body"/>
      </w:pPr>
      <w:r w:rsidRPr="00E268DB">
        <w:t xml:space="preserve">Australia’s resources and energy services sectors have long had a good reputation in Indonesia for best practice. IA-CEPA provides greater legal certainty and a more </w:t>
      </w:r>
      <w:proofErr w:type="spellStart"/>
      <w:r w:rsidRPr="00E268DB">
        <w:t>favourable</w:t>
      </w:r>
      <w:proofErr w:type="spellEnd"/>
      <w:r w:rsidRPr="00E268DB">
        <w:t xml:space="preserve"> regulatory environment for Australian businesses to explore opportunities in:</w:t>
      </w:r>
    </w:p>
    <w:p w14:paraId="770209B4" w14:textId="77777777" w:rsidR="007234BB" w:rsidRPr="007234BB" w:rsidRDefault="007234BB" w:rsidP="007234BB">
      <w:pPr>
        <w:pStyle w:val="ListParagraph"/>
      </w:pPr>
      <w:r w:rsidRPr="007234BB">
        <w:t xml:space="preserve">contract </w:t>
      </w:r>
      <w:proofErr w:type="gramStart"/>
      <w:r w:rsidRPr="007234BB">
        <w:t>mining;</w:t>
      </w:r>
      <w:proofErr w:type="gramEnd"/>
      <w:r w:rsidRPr="007234BB">
        <w:t xml:space="preserve"> </w:t>
      </w:r>
    </w:p>
    <w:p w14:paraId="243B3A40" w14:textId="77777777" w:rsidR="007234BB" w:rsidRPr="007234BB" w:rsidRDefault="007234BB" w:rsidP="007234BB">
      <w:pPr>
        <w:pStyle w:val="ListParagraph"/>
      </w:pPr>
      <w:r w:rsidRPr="007234BB">
        <w:t>engineering services, environment, social and governance (ESG) cooperation; and</w:t>
      </w:r>
    </w:p>
    <w:p w14:paraId="0F366678" w14:textId="77777777" w:rsidR="007234BB" w:rsidRPr="007234BB" w:rsidRDefault="007234BB" w:rsidP="007234BB">
      <w:pPr>
        <w:pStyle w:val="ListParagraph"/>
      </w:pPr>
      <w:r w:rsidRPr="007234BB">
        <w:t>investment funds, energy consulting services and the energy services market.</w:t>
      </w:r>
    </w:p>
    <w:p w14:paraId="4F6D4A42" w14:textId="77777777" w:rsidR="00F73EB2" w:rsidRPr="00FC7387" w:rsidRDefault="00F73EB2" w:rsidP="00FC7387">
      <w:pPr>
        <w:pStyle w:val="Heading2"/>
      </w:pPr>
      <w:r w:rsidRPr="00FC7387">
        <w:t>OPPORTUNITIES</w:t>
      </w:r>
    </w:p>
    <w:p w14:paraId="4FE4BBA4" w14:textId="77777777" w:rsidR="007234BB" w:rsidRPr="00E268DB" w:rsidRDefault="007234BB" w:rsidP="007234BB">
      <w:pPr>
        <w:pStyle w:val="Body"/>
      </w:pPr>
      <w:r w:rsidRPr="00E268DB">
        <w:t xml:space="preserve">Indonesia is moving away from basic production, focusing on new investment in resources and energy infrastructure, </w:t>
      </w:r>
      <w:proofErr w:type="gramStart"/>
      <w:r w:rsidRPr="00E268DB">
        <w:t>efficiency</w:t>
      </w:r>
      <w:proofErr w:type="gramEnd"/>
      <w:r w:rsidRPr="00E268DB">
        <w:t xml:space="preserve"> and processing. This will allow Indonesia to </w:t>
      </w:r>
      <w:proofErr w:type="spellStart"/>
      <w:r w:rsidRPr="00E268DB">
        <w:t>modernise</w:t>
      </w:r>
      <w:proofErr w:type="spellEnd"/>
      <w:r w:rsidRPr="00E268DB">
        <w:t xml:space="preserve">, insulate against fluctuating commodity prices, meet environmental </w:t>
      </w:r>
      <w:proofErr w:type="gramStart"/>
      <w:r w:rsidRPr="00E268DB">
        <w:t>targets</w:t>
      </w:r>
      <w:proofErr w:type="gramEnd"/>
      <w:r w:rsidRPr="00E268DB">
        <w:t xml:space="preserve"> and drive more exploration of greenfield sites. As part of this process, the government is seeking to </w:t>
      </w:r>
      <w:proofErr w:type="spellStart"/>
      <w:r w:rsidRPr="00E268DB">
        <w:t>recentralise</w:t>
      </w:r>
      <w:proofErr w:type="spellEnd"/>
      <w:r w:rsidRPr="00E268DB">
        <w:t xml:space="preserve"> power over mining </w:t>
      </w:r>
      <w:proofErr w:type="spellStart"/>
      <w:r w:rsidRPr="00E268DB">
        <w:t>licences</w:t>
      </w:r>
      <w:proofErr w:type="spellEnd"/>
      <w:r w:rsidRPr="00E268DB">
        <w:t xml:space="preserve"> to improve the business environment for foreign investors. The country has also initiated policies on energy efficiency to meet renewable and carbon reduction targets. However, meeting these targets is proving challenging. </w:t>
      </w:r>
    </w:p>
    <w:p w14:paraId="4AC6FEB1" w14:textId="70E4402B" w:rsidR="009800CC" w:rsidRDefault="007234BB" w:rsidP="00972C6B">
      <w:pPr>
        <w:pStyle w:val="Body"/>
        <w:sectPr w:rsidR="009800CC" w:rsidSect="009800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701" w:left="1134" w:header="709" w:footer="709" w:gutter="0"/>
          <w:cols w:space="708"/>
          <w:titlePg/>
          <w:docGrid w:linePitch="360"/>
        </w:sectPr>
      </w:pPr>
      <w:r>
        <w:br/>
      </w:r>
      <w:r w:rsidR="00F73EB2">
        <w:t xml:space="preserve"> </w:t>
      </w:r>
    </w:p>
    <w:p w14:paraId="1197ECF7" w14:textId="77777777" w:rsidR="00F73EB2" w:rsidRPr="00FC7387" w:rsidRDefault="00F73EB2" w:rsidP="00FC7387">
      <w:pPr>
        <w:pStyle w:val="Heading2"/>
      </w:pPr>
      <w:r w:rsidRPr="00FC7387">
        <w:lastRenderedPageBreak/>
        <w:t xml:space="preserve">WHERE TO FOCUS  </w:t>
      </w:r>
    </w:p>
    <w:p w14:paraId="2E24A742" w14:textId="77777777" w:rsidR="007234BB" w:rsidRPr="007234BB" w:rsidRDefault="007234BB" w:rsidP="007234BB">
      <w:pPr>
        <w:pStyle w:val="ListParagraph"/>
      </w:pPr>
      <w:r w:rsidRPr="007234BB">
        <w:rPr>
          <w:rStyle w:val="IntenseEmphasis"/>
        </w:rPr>
        <w:t xml:space="preserve">Contract mining and METS: </w:t>
      </w:r>
      <w:r w:rsidRPr="007234BB">
        <w:t>Australian companies have an excellent reputation providing these services in Indonesia. New government policies on downstream processing, as well as lower commodity prices will drive demand for a wider range of services to boost productivity, improve safety, and facilitate processing.</w:t>
      </w:r>
    </w:p>
    <w:p w14:paraId="4F315E7A" w14:textId="77777777" w:rsidR="007234BB" w:rsidRPr="007234BB" w:rsidRDefault="007234BB" w:rsidP="007234BB">
      <w:pPr>
        <w:pStyle w:val="ListParagraph"/>
      </w:pPr>
      <w:r w:rsidRPr="007234BB">
        <w:rPr>
          <w:rStyle w:val="IntenseEmphasis"/>
        </w:rPr>
        <w:t>Environment, social and governance:</w:t>
      </w:r>
      <w:r w:rsidRPr="007234BB">
        <w:t xml:space="preserve"> Indonesian mining companies are facing pressure to improve ESG standards to increase access to capital. Australian companies and institutions are well placed to help by sharing experience and standards.</w:t>
      </w:r>
    </w:p>
    <w:p w14:paraId="34023D72" w14:textId="77777777" w:rsidR="007234BB" w:rsidRPr="007234BB" w:rsidRDefault="007234BB" w:rsidP="007234BB">
      <w:pPr>
        <w:pStyle w:val="ListParagraph"/>
      </w:pPr>
      <w:r w:rsidRPr="007234BB">
        <w:rPr>
          <w:rStyle w:val="IntenseEmphasis"/>
        </w:rPr>
        <w:t>Cooperative investment:</w:t>
      </w:r>
      <w:r w:rsidRPr="007234BB">
        <w:t xml:space="preserve"> Improved or </w:t>
      </w:r>
      <w:proofErr w:type="spellStart"/>
      <w:r w:rsidRPr="007234BB">
        <w:t>harmonised</w:t>
      </w:r>
      <w:proofErr w:type="spellEnd"/>
      <w:r w:rsidRPr="007234BB">
        <w:t xml:space="preserve"> ESG standards will increase the prospect of bilateral investment cooperation, potentially involving Australian superannuation funds.</w:t>
      </w:r>
    </w:p>
    <w:p w14:paraId="54FC110F" w14:textId="77777777" w:rsidR="007234BB" w:rsidRPr="007234BB" w:rsidRDefault="007234BB" w:rsidP="007234BB">
      <w:pPr>
        <w:pStyle w:val="ListParagraph"/>
      </w:pPr>
      <w:r w:rsidRPr="007234BB">
        <w:rPr>
          <w:rStyle w:val="IntenseEmphasis"/>
        </w:rPr>
        <w:t>Energy efficiency:</w:t>
      </w:r>
      <w:r w:rsidRPr="007234BB">
        <w:t xml:space="preserve"> Indonesia is developing policy to implement its energy efficiency rule. Innovative finance mechanisms are of increasing interest, for example energy services companies funding efficiency measures via savings.</w:t>
      </w:r>
    </w:p>
    <w:p w14:paraId="29118C5E" w14:textId="77777777" w:rsidR="00F73EB2" w:rsidRPr="00FC7387" w:rsidRDefault="00F73EB2" w:rsidP="00FC7387">
      <w:pPr>
        <w:pStyle w:val="Heading2"/>
      </w:pPr>
      <w:r w:rsidRPr="00FC7387">
        <w:t xml:space="preserve"> WHAT IA-CEPA OFFERS </w:t>
      </w:r>
    </w:p>
    <w:p w14:paraId="06F3DEC9" w14:textId="77777777" w:rsidR="007234BB" w:rsidRPr="00E268DB" w:rsidRDefault="007234BB" w:rsidP="007234BB">
      <w:pPr>
        <w:pStyle w:val="Body"/>
      </w:pPr>
      <w:r w:rsidRPr="00E268DB">
        <w:t xml:space="preserve">IA-CEPA offers Australian investors greater legal certainty and a more </w:t>
      </w:r>
      <w:proofErr w:type="spellStart"/>
      <w:r w:rsidRPr="00E268DB">
        <w:t>favourable</w:t>
      </w:r>
      <w:proofErr w:type="spellEnd"/>
      <w:r w:rsidRPr="00E268DB">
        <w:t xml:space="preserve"> regulatory environment in which to do business. This includes:</w:t>
      </w:r>
    </w:p>
    <w:p w14:paraId="54B68BAD" w14:textId="77777777" w:rsidR="007234BB" w:rsidRPr="007234BB" w:rsidRDefault="007234BB" w:rsidP="007234BB">
      <w:pPr>
        <w:pStyle w:val="ListParagraph"/>
      </w:pPr>
      <w:r w:rsidRPr="007234BB">
        <w:t xml:space="preserve">Enhanced safeguards and new Investor-State Dispute Settlement (ISDS) </w:t>
      </w:r>
      <w:proofErr w:type="gramStart"/>
      <w:r w:rsidRPr="007234BB">
        <w:t>procedures;</w:t>
      </w:r>
      <w:proofErr w:type="gramEnd"/>
    </w:p>
    <w:p w14:paraId="7A1950B3" w14:textId="77777777" w:rsidR="007234BB" w:rsidRPr="007234BB" w:rsidRDefault="007234BB" w:rsidP="007234BB">
      <w:pPr>
        <w:pStyle w:val="ListParagraph"/>
      </w:pPr>
      <w:r w:rsidRPr="007234BB">
        <w:t xml:space="preserve">Commitment to METS investors to retain a controlling stake in their </w:t>
      </w:r>
      <w:proofErr w:type="gramStart"/>
      <w:r w:rsidRPr="007234BB">
        <w:t>investments;</w:t>
      </w:r>
      <w:proofErr w:type="gramEnd"/>
    </w:p>
    <w:p w14:paraId="3839CF99" w14:textId="77777777" w:rsidR="007234BB" w:rsidRPr="007234BB" w:rsidRDefault="007234BB" w:rsidP="007234BB">
      <w:pPr>
        <w:pStyle w:val="ListParagraph"/>
      </w:pPr>
      <w:r w:rsidRPr="007234BB">
        <w:t xml:space="preserve">Permits ownership of up to 67% of contract mining and mine site </w:t>
      </w:r>
      <w:proofErr w:type="gramStart"/>
      <w:r w:rsidRPr="007234BB">
        <w:t>preparation;</w:t>
      </w:r>
      <w:proofErr w:type="gramEnd"/>
    </w:p>
    <w:p w14:paraId="1CDE0211" w14:textId="77777777" w:rsidR="007234BB" w:rsidRPr="007234BB" w:rsidRDefault="007234BB" w:rsidP="007234BB">
      <w:pPr>
        <w:pStyle w:val="ListParagraph"/>
        <w:numPr>
          <w:ilvl w:val="1"/>
          <w:numId w:val="23"/>
        </w:numPr>
      </w:pPr>
      <w:r w:rsidRPr="007234BB">
        <w:t>Ownership limits range from 51 to 95% in the energy sector; and</w:t>
      </w:r>
    </w:p>
    <w:p w14:paraId="0C0205B8" w14:textId="77777777" w:rsidR="007234BB" w:rsidRPr="007234BB" w:rsidRDefault="007234BB" w:rsidP="007234BB">
      <w:pPr>
        <w:pStyle w:val="ListParagraph"/>
      </w:pPr>
      <w:r w:rsidRPr="007234BB">
        <w:t>Providing access to priority economic cooperation sectors e.g., electric vehicles and batteries.</w:t>
      </w:r>
    </w:p>
    <w:p w14:paraId="5BE0EF4E" w14:textId="77777777" w:rsidR="00F73EB2" w:rsidRPr="00FC7387" w:rsidRDefault="00F73EB2" w:rsidP="00FC7387">
      <w:pPr>
        <w:pStyle w:val="Heading2"/>
      </w:pPr>
      <w:r w:rsidRPr="00FC7387">
        <w:t xml:space="preserve">CHALLENGES </w:t>
      </w:r>
    </w:p>
    <w:p w14:paraId="1B4BEE20" w14:textId="77777777" w:rsidR="007234BB" w:rsidRPr="00E268DB" w:rsidRDefault="007234BB" w:rsidP="007234BB">
      <w:pPr>
        <w:pStyle w:val="Body"/>
      </w:pPr>
      <w:r w:rsidRPr="00E268DB">
        <w:t xml:space="preserve">Australian companies should take a long-term approach to Indonesia’s resources sector as the country deals with decoupling economic growth from carbon emissions. </w:t>
      </w:r>
    </w:p>
    <w:p w14:paraId="4AFB0F7A" w14:textId="77777777" w:rsidR="007234BB" w:rsidRPr="007234BB" w:rsidRDefault="007234BB" w:rsidP="007234BB">
      <w:pPr>
        <w:pStyle w:val="ListParagraph"/>
      </w:pPr>
      <w:r w:rsidRPr="007234BB">
        <w:t xml:space="preserve">Australian companies have the option of working with state-owned enterprises (SOE) for stable growth in the longer term or private companies in the short/medium term. </w:t>
      </w:r>
    </w:p>
    <w:p w14:paraId="1C8D8A99" w14:textId="77777777" w:rsidR="007234BB" w:rsidRPr="007234BB" w:rsidRDefault="007234BB" w:rsidP="007234BB">
      <w:pPr>
        <w:pStyle w:val="ListParagraph"/>
      </w:pPr>
      <w:r w:rsidRPr="007234BB">
        <w:t xml:space="preserve">Securing suitably skilled staff is a difficult task when the booming information technology sector is often seen as a more attractive destination for new graduates. </w:t>
      </w:r>
    </w:p>
    <w:p w14:paraId="460135FF" w14:textId="1C707C5E" w:rsidR="00F73EB2" w:rsidRDefault="007234BB" w:rsidP="007234BB">
      <w:pPr>
        <w:pStyle w:val="ListParagraph"/>
      </w:pPr>
      <w:proofErr w:type="spellStart"/>
      <w:r w:rsidRPr="007234BB">
        <w:t>Decentralisation</w:t>
      </w:r>
      <w:proofErr w:type="spellEnd"/>
      <w:r w:rsidRPr="007234BB">
        <w:t xml:space="preserve"> of government is a challenge for resources companies operating from Jakarta as regional regulatory frameworks may not be in place. </w:t>
      </w:r>
      <w:r>
        <w:br/>
      </w:r>
    </w:p>
    <w:p w14:paraId="5E821C46" w14:textId="77777777" w:rsidR="00FC7387" w:rsidRPr="00FC7387" w:rsidRDefault="00FC7387" w:rsidP="00FC7387">
      <w:pPr>
        <w:pStyle w:val="Heading2"/>
        <w:sectPr w:rsidR="00FC7387" w:rsidRPr="00FC7387" w:rsidSect="009800CC">
          <w:headerReference w:type="first" r:id="rId14"/>
          <w:pgSz w:w="11906" w:h="16838"/>
          <w:pgMar w:top="1701" w:right="1134" w:bottom="1701" w:left="1134" w:header="709" w:footer="709" w:gutter="0"/>
          <w:cols w:space="708"/>
          <w:titlePg/>
          <w:docGrid w:linePitch="360"/>
        </w:sectPr>
      </w:pPr>
    </w:p>
    <w:p w14:paraId="37814D6E" w14:textId="41A127D6" w:rsidR="00F73EB2" w:rsidRPr="00FC7387" w:rsidRDefault="00F73EB2" w:rsidP="00FC7387">
      <w:pPr>
        <w:pStyle w:val="Heading2"/>
      </w:pPr>
      <w:r w:rsidRPr="00FC7387">
        <w:lastRenderedPageBreak/>
        <w:t xml:space="preserve">HOW TO ENTER THE SECTOR </w:t>
      </w:r>
    </w:p>
    <w:p w14:paraId="6C4CED3C" w14:textId="77777777" w:rsidR="007234BB" w:rsidRPr="00E268DB" w:rsidRDefault="007234BB" w:rsidP="007234BB">
      <w:pPr>
        <w:pStyle w:val="Body"/>
      </w:pPr>
      <w:r w:rsidRPr="00E268DB">
        <w:t xml:space="preserve">The shift towards a more sophisticated resources and energy sector means Australian companies may wish to build long term relationships beyond their commercial partners, e.g., with universities. </w:t>
      </w:r>
    </w:p>
    <w:p w14:paraId="5E36156D" w14:textId="77777777" w:rsidR="007234BB" w:rsidRPr="007234BB" w:rsidRDefault="007234BB" w:rsidP="007234BB">
      <w:pPr>
        <w:pStyle w:val="ListParagraph"/>
      </w:pPr>
      <w:r w:rsidRPr="007234BB">
        <w:t xml:space="preserve">Australian companies that provide accreditation and training systems </w:t>
      </w:r>
      <w:proofErr w:type="spellStart"/>
      <w:r w:rsidRPr="007234BB">
        <w:t>recognised</w:t>
      </w:r>
      <w:proofErr w:type="spellEnd"/>
      <w:r w:rsidRPr="007234BB">
        <w:t xml:space="preserve"> by Indonesian employers will also benefit.</w:t>
      </w:r>
    </w:p>
    <w:p w14:paraId="6F055B3E" w14:textId="77777777" w:rsidR="00F73EB2" w:rsidRPr="00FC7387" w:rsidRDefault="00F73EB2" w:rsidP="00FC7387">
      <w:pPr>
        <w:pStyle w:val="Heading2"/>
      </w:pPr>
      <w:r w:rsidRPr="00FC7387">
        <w:t>CASE STUDY</w:t>
      </w:r>
    </w:p>
    <w:p w14:paraId="0F6046F6" w14:textId="1FB941D8" w:rsidR="00F73EB2" w:rsidRPr="00F73EB2" w:rsidRDefault="007234BB" w:rsidP="00972C6B">
      <w:pPr>
        <w:pStyle w:val="Heading3"/>
        <w:spacing w:before="120"/>
        <w:rPr>
          <w:b w:val="0"/>
          <w:i w:val="0"/>
          <w:lang w:val="en-US"/>
        </w:rPr>
      </w:pPr>
      <w:r>
        <w:rPr>
          <w:lang w:val="en-US"/>
        </w:rPr>
        <w:t>EMR Capital</w:t>
      </w:r>
    </w:p>
    <w:p w14:paraId="17966E73" w14:textId="77777777" w:rsidR="007234BB" w:rsidRPr="00E268DB" w:rsidRDefault="007234BB" w:rsidP="007234BB">
      <w:pPr>
        <w:pStyle w:val="Body-focussection"/>
      </w:pPr>
      <w:r w:rsidRPr="00E268DB">
        <w:t xml:space="preserve">EMR Capital is a specialist resources private equity manager which has made Indonesia one of its target markets partly due to the exceptional geology. </w:t>
      </w:r>
    </w:p>
    <w:p w14:paraId="0117F465" w14:textId="77777777" w:rsidR="007234BB" w:rsidRDefault="007234BB" w:rsidP="007234BB">
      <w:pPr>
        <w:pStyle w:val="Body-focussection"/>
      </w:pPr>
      <w:r w:rsidRPr="00E268DB">
        <w:t xml:space="preserve">The fund acquired the </w:t>
      </w:r>
      <w:proofErr w:type="spellStart"/>
      <w:r w:rsidRPr="00E268DB">
        <w:t>Martabe</w:t>
      </w:r>
      <w:proofErr w:type="spellEnd"/>
      <w:r w:rsidRPr="00E268DB">
        <w:t xml:space="preserve"> gold mine in North Sumatra in 2016 and successfully exited two years later. They increased their earnings from US$240 million to US$375 million, boosting the local economy by sourcing three-quarters of the 2,500 staff from nearby communities. </w:t>
      </w:r>
    </w:p>
    <w:p w14:paraId="6BC22CBF" w14:textId="4AB62A2A" w:rsidR="00F73EB2" w:rsidRPr="00F73EB2" w:rsidRDefault="007234BB" w:rsidP="007234BB">
      <w:pPr>
        <w:pStyle w:val="Body-focussection"/>
      </w:pPr>
      <w:r w:rsidRPr="00E268DB">
        <w:t>EMR Co-Founder Jason Chang says the fund’s success reflects deep market understanding and long-term commitment. Chang notes, “there are no short-cuts for investing in Indonesia. Funds need to invest in their Indonesia expertise and start building connections in the market.”</w:t>
      </w:r>
    </w:p>
    <w:sectPr w:rsidR="00F73EB2" w:rsidRPr="00F73EB2" w:rsidSect="00FC7387">
      <w:footerReference w:type="default" r:id="rId15"/>
      <w:head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86B678" w14:textId="77777777" w:rsidR="004D09C4" w:rsidRDefault="004D09C4" w:rsidP="00CD058E">
      <w:pPr>
        <w:spacing w:after="0" w:line="240" w:lineRule="auto"/>
      </w:pPr>
      <w:r>
        <w:separator/>
      </w:r>
    </w:p>
  </w:endnote>
  <w:endnote w:type="continuationSeparator" w:id="0">
    <w:p w14:paraId="27ED8D40" w14:textId="77777777" w:rsidR="004D09C4" w:rsidRDefault="004D09C4" w:rsidP="00CD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18965" w14:textId="6D9D3B8E" w:rsidR="00420559" w:rsidRDefault="00420559">
    <w:pPr>
      <w:pStyle w:val="Foo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4402A2B5" wp14:editId="73E096B3">
          <wp:simplePos x="0" y="0"/>
          <wp:positionH relativeFrom="column">
            <wp:posOffset>-1663540</wp:posOffset>
          </wp:positionH>
          <wp:positionV relativeFrom="paragraph">
            <wp:posOffset>143288</wp:posOffset>
          </wp:positionV>
          <wp:extent cx="10344785" cy="737870"/>
          <wp:effectExtent l="0" t="0" r="0" b="0"/>
          <wp:wrapThrough wrapText="bothSides">
            <wp:wrapPolygon edited="0">
              <wp:start x="438" y="5577"/>
              <wp:lineTo x="398" y="15614"/>
              <wp:lineTo x="21161" y="15614"/>
              <wp:lineTo x="21121" y="5577"/>
              <wp:lineTo x="438" y="5577"/>
            </wp:wrapPolygon>
          </wp:wrapThrough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44785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6EEACB" w14:textId="4F534BE7" w:rsidR="00420559" w:rsidRDefault="00253D66" w:rsidP="00420559">
    <w:pPr>
      <w:pStyle w:val="Footer"/>
      <w:tabs>
        <w:tab w:val="clear" w:pos="4513"/>
      </w:tabs>
    </w:pPr>
    <w:r>
      <w:rPr>
        <w:noProof/>
      </w:rPr>
      <w:drawing>
        <wp:anchor distT="0" distB="0" distL="114300" distR="114300" simplePos="0" relativeHeight="251680768" behindDoc="1" locked="1" layoutInCell="1" allowOverlap="1" wp14:anchorId="4993C60B" wp14:editId="6D6B13B9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3325" cy="537845"/>
          <wp:effectExtent l="0" t="0" r="0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E3A34" w14:textId="69EB8DF0" w:rsidR="00027F6F" w:rsidRDefault="00253D66">
    <w:pPr>
      <w:pStyle w:val="Footer"/>
    </w:pPr>
    <w:r>
      <w:rPr>
        <w:noProof/>
      </w:rPr>
      <w:drawing>
        <wp:anchor distT="0" distB="0" distL="114300" distR="114300" simplePos="0" relativeHeight="251679744" behindDoc="1" locked="1" layoutInCell="1" allowOverlap="1" wp14:anchorId="0CB11C8A" wp14:editId="3FE08EB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77455" cy="541020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455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EC6C2" w14:textId="77777777" w:rsidR="00AC0747" w:rsidRPr="00AC0747" w:rsidRDefault="00AC0747" w:rsidP="00AC0747">
    <w:pPr>
      <w:pStyle w:val="Footer"/>
      <w:rPr>
        <w:lang w:val="en-US"/>
      </w:rPr>
    </w:pPr>
    <w:r w:rsidRPr="00AC0747">
      <w:rPr>
        <w:lang w:val="en-US"/>
      </w:rPr>
      <w:t xml:space="preserve">More information: A Blueprint for Trade and Investment with Indonesia </w:t>
    </w:r>
  </w:p>
  <w:p w14:paraId="03EBEF4D" w14:textId="77777777" w:rsidR="00AC0747" w:rsidRPr="00AC0747" w:rsidRDefault="00AC0747" w:rsidP="00AC0747">
    <w:pPr>
      <w:pStyle w:val="Footer"/>
      <w:rPr>
        <w:lang w:val="en-US"/>
      </w:rPr>
    </w:pPr>
    <w:r w:rsidRPr="00AC0747">
      <w:rPr>
        <w:lang w:val="en-US"/>
      </w:rPr>
      <w:t xml:space="preserve">www.dfat.gov.au/publications/trade-and-investment/blueprint-trade-and-investment-indonesia </w:t>
    </w:r>
  </w:p>
  <w:p w14:paraId="0B3F9A76" w14:textId="77777777" w:rsidR="00FC7387" w:rsidRDefault="00FC7387" w:rsidP="00420559">
    <w:pPr>
      <w:pStyle w:val="Footer"/>
      <w:tabs>
        <w:tab w:val="clear" w:pos="4513"/>
      </w:tabs>
    </w:pPr>
    <w:r>
      <w:rPr>
        <w:noProof/>
      </w:rPr>
      <w:drawing>
        <wp:anchor distT="0" distB="0" distL="114300" distR="114300" simplePos="0" relativeHeight="251685888" behindDoc="1" locked="1" layoutInCell="1" allowOverlap="1" wp14:anchorId="221546C8" wp14:editId="311CE1AD">
          <wp:simplePos x="0" y="0"/>
          <wp:positionH relativeFrom="margin">
            <wp:posOffset>-638175</wp:posOffset>
          </wp:positionH>
          <wp:positionV relativeFrom="page">
            <wp:posOffset>8896350</wp:posOffset>
          </wp:positionV>
          <wp:extent cx="7052400" cy="15660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2400" cy="15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65C5B0" w14:textId="77777777" w:rsidR="004D09C4" w:rsidRDefault="004D09C4" w:rsidP="00CD058E">
      <w:pPr>
        <w:spacing w:after="0" w:line="240" w:lineRule="auto"/>
      </w:pPr>
      <w:r>
        <w:separator/>
      </w:r>
    </w:p>
  </w:footnote>
  <w:footnote w:type="continuationSeparator" w:id="0">
    <w:p w14:paraId="18F0FDB1" w14:textId="77777777" w:rsidR="004D09C4" w:rsidRDefault="004D09C4" w:rsidP="00CD0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6B6E6" w14:textId="69F22069" w:rsidR="00420559" w:rsidRDefault="00420559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7696" behindDoc="0" locked="0" layoutInCell="1" allowOverlap="1" wp14:anchorId="4E97650D" wp14:editId="35A35491">
              <wp:simplePos x="0" y="0"/>
              <wp:positionH relativeFrom="column">
                <wp:posOffset>1751965</wp:posOffset>
              </wp:positionH>
              <wp:positionV relativeFrom="paragraph">
                <wp:posOffset>-378047</wp:posOffset>
              </wp:positionV>
              <wp:extent cx="4218940" cy="572770"/>
              <wp:effectExtent l="0" t="0" r="0" b="0"/>
              <wp:wrapSquare wrapText="bothSides"/>
              <wp:docPr id="2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8940" cy="5727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3CE78E" w14:textId="77777777" w:rsidR="00F73EB2" w:rsidRDefault="00F73EB2" w:rsidP="00F73EB2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Education, Skills and Training Sector in Brief</w:t>
                          </w:r>
                        </w:p>
                        <w:p w14:paraId="0656B776" w14:textId="0484B58C" w:rsidR="00420559" w:rsidRDefault="0042055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E9765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37.95pt;margin-top:-29.75pt;width:332.2pt;height:45.1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" filled="f" stroked="f">
              <v:textbox>
                <w:txbxContent>
                  <w:p w14:paraId="7E3CE78E" w14:textId="77777777" w:rsidR="00F73EB2" w:rsidRDefault="00F73EB2" w:rsidP="00F73EB2">
                    <w:pPr>
                      <w:jc w:val="right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Education, Skills and Training Sector in Brief</w:t>
                    </w:r>
                  </w:p>
                  <w:p w14:paraId="0656B776" w14:textId="0484B58C" w:rsidR="00420559" w:rsidRDefault="00420559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05B87830" wp14:editId="067F5C33">
          <wp:simplePos x="0" y="0"/>
          <wp:positionH relativeFrom="column">
            <wp:posOffset>-4791809</wp:posOffset>
          </wp:positionH>
          <wp:positionV relativeFrom="paragraph">
            <wp:posOffset>-757516</wp:posOffset>
          </wp:positionV>
          <wp:extent cx="11787505" cy="1403350"/>
          <wp:effectExtent l="0" t="0" r="0" b="0"/>
          <wp:wrapSquare wrapText="bothSides"/>
          <wp:docPr id="24" name="Picture 24" descr="A Blueprint for Trade and Investment with Indonesi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 descr="A Blueprint for Trade and Investment with Indonesia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87505" cy="140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3AEA3" w14:textId="4E2CC682" w:rsidR="00027F6F" w:rsidRDefault="00D1708F" w:rsidP="00AC0747">
    <w:pPr>
      <w:pStyle w:val="Header"/>
      <w:tabs>
        <w:tab w:val="clear" w:pos="4513"/>
        <w:tab w:val="clear" w:pos="9026"/>
        <w:tab w:val="left" w:pos="1095"/>
      </w:tabs>
      <w:ind w:right="-188"/>
    </w:pPr>
    <w:r>
      <w:rPr>
        <w:noProof/>
      </w:rPr>
      <w:t>Resources and Energy Services</w:t>
    </w:r>
    <w:r w:rsidR="00AC0747">
      <w:rPr>
        <w:noProof/>
      </w:rPr>
      <w:drawing>
        <wp:anchor distT="0" distB="0" distL="114300" distR="114300" simplePos="0" relativeHeight="251689984" behindDoc="1" locked="0" layoutInCell="1" allowOverlap="1" wp14:anchorId="453EC75E" wp14:editId="1473324C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32713" cy="897366"/>
          <wp:effectExtent l="0" t="0" r="0" b="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713" cy="89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3D66">
      <w:rPr>
        <w:noProof/>
      </w:rPr>
      <w:drawing>
        <wp:anchor distT="0" distB="0" distL="114300" distR="114300" simplePos="0" relativeHeight="251681792" behindDoc="1" locked="1" layoutInCell="1" allowOverlap="1" wp14:anchorId="444C77FD" wp14:editId="4F3F8BAC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16495" cy="895985"/>
          <wp:effectExtent l="0" t="0" r="0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6495" cy="895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In Brief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60B7C" w14:textId="51E9A792" w:rsidR="00027F6F" w:rsidRDefault="00253D66" w:rsidP="00253D66">
    <w:pPr>
      <w:pStyle w:val="Header"/>
      <w:tabs>
        <w:tab w:val="clear" w:pos="4513"/>
        <w:tab w:val="clear" w:pos="9026"/>
        <w:tab w:val="left" w:pos="1095"/>
      </w:tabs>
    </w:pPr>
    <w:r>
      <w:rPr>
        <w:noProof/>
      </w:rPr>
      <w:drawing>
        <wp:anchor distT="0" distB="0" distL="114300" distR="114300" simplePos="0" relativeHeight="251678720" behindDoc="1" locked="0" layoutInCell="1" allowOverlap="1" wp14:anchorId="06D323A4" wp14:editId="0487342F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24610" cy="1790700"/>
          <wp:effectExtent l="0" t="0" r="0" b="0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713" cy="1792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CE97F" w14:textId="24462E65" w:rsidR="009800CC" w:rsidRDefault="009800CC" w:rsidP="009800CC">
    <w:pPr>
      <w:pStyle w:val="Header"/>
      <w:tabs>
        <w:tab w:val="clear" w:pos="4513"/>
        <w:tab w:val="clear" w:pos="9026"/>
        <w:tab w:val="left" w:pos="1095"/>
      </w:tabs>
      <w:ind w:right="140"/>
    </w:pPr>
    <w:r>
      <w:rPr>
        <w:noProof/>
      </w:rPr>
      <w:drawing>
        <wp:anchor distT="0" distB="0" distL="114300" distR="114300" simplePos="0" relativeHeight="251687936" behindDoc="1" locked="0" layoutInCell="1" allowOverlap="1" wp14:anchorId="2A365D78" wp14:editId="42AFCD56">
          <wp:simplePos x="0" y="0"/>
          <wp:positionH relativeFrom="page">
            <wp:align>left</wp:align>
          </wp:positionH>
          <wp:positionV relativeFrom="paragraph">
            <wp:posOffset>-450850</wp:posOffset>
          </wp:positionV>
          <wp:extent cx="7532713" cy="897366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713" cy="897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708F">
      <w:rPr>
        <w:noProof/>
      </w:rPr>
      <w:t>Resources and Energy Services</w:t>
    </w:r>
    <w:r>
      <w:t xml:space="preserve"> in Brief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0225D7" w14:textId="77777777" w:rsidR="00FC7387" w:rsidRDefault="00FC7387" w:rsidP="00253D66">
    <w:pPr>
      <w:pStyle w:val="Header"/>
      <w:tabs>
        <w:tab w:val="clear" w:pos="4513"/>
        <w:tab w:val="clear" w:pos="9026"/>
        <w:tab w:val="left" w:pos="1095"/>
      </w:tabs>
    </w:pPr>
    <w:r>
      <w:rPr>
        <w:noProof/>
      </w:rPr>
      <w:drawing>
        <wp:anchor distT="0" distB="0" distL="114300" distR="114300" simplePos="0" relativeHeight="251683840" behindDoc="1" locked="0" layoutInCell="1" allowOverlap="1" wp14:anchorId="1A72588A" wp14:editId="2FBB58C9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24610" cy="1790700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713" cy="17926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C04EF"/>
    <w:multiLevelType w:val="hybridMultilevel"/>
    <w:tmpl w:val="E5848C9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3C645A"/>
    <w:multiLevelType w:val="hybridMultilevel"/>
    <w:tmpl w:val="240C559A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7155772"/>
    <w:multiLevelType w:val="hybridMultilevel"/>
    <w:tmpl w:val="07941F44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224D58"/>
    <w:multiLevelType w:val="hybridMultilevel"/>
    <w:tmpl w:val="D95C6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F4481"/>
    <w:multiLevelType w:val="hybridMultilevel"/>
    <w:tmpl w:val="76900946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70C504E"/>
    <w:multiLevelType w:val="hybridMultilevel"/>
    <w:tmpl w:val="071405DC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757235"/>
    <w:multiLevelType w:val="hybridMultilevel"/>
    <w:tmpl w:val="5FA00750"/>
    <w:lvl w:ilvl="0" w:tplc="7CD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1327"/>
      </w:rPr>
    </w:lvl>
    <w:lvl w:ilvl="1" w:tplc="7CDECD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1327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B1AB7"/>
    <w:multiLevelType w:val="hybridMultilevel"/>
    <w:tmpl w:val="398AB51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83243BC"/>
    <w:multiLevelType w:val="hybridMultilevel"/>
    <w:tmpl w:val="698C7B08"/>
    <w:lvl w:ilvl="0" w:tplc="7CDECD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E8B364C"/>
    <w:multiLevelType w:val="hybridMultilevel"/>
    <w:tmpl w:val="93A491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27561"/>
    <w:multiLevelType w:val="hybridMultilevel"/>
    <w:tmpl w:val="926CBFD4"/>
    <w:lvl w:ilvl="0" w:tplc="7CD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14CE8"/>
    <w:multiLevelType w:val="hybridMultilevel"/>
    <w:tmpl w:val="485E9284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FF4CB7"/>
    <w:multiLevelType w:val="hybridMultilevel"/>
    <w:tmpl w:val="AC407D0C"/>
    <w:lvl w:ilvl="0" w:tplc="7CD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9014A"/>
    <w:multiLevelType w:val="hybridMultilevel"/>
    <w:tmpl w:val="34DC2538"/>
    <w:lvl w:ilvl="0" w:tplc="D28E4E3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C01327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B222BC7"/>
    <w:multiLevelType w:val="hybridMultilevel"/>
    <w:tmpl w:val="84BCBC72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4E207944"/>
    <w:multiLevelType w:val="hybridMultilevel"/>
    <w:tmpl w:val="FE98D3F8"/>
    <w:lvl w:ilvl="0" w:tplc="7CDECD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1327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6E2DC8"/>
    <w:multiLevelType w:val="hybridMultilevel"/>
    <w:tmpl w:val="88C808A0"/>
    <w:lvl w:ilvl="0" w:tplc="7CD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E0272F"/>
    <w:multiLevelType w:val="hybridMultilevel"/>
    <w:tmpl w:val="DF185A72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62A419F"/>
    <w:multiLevelType w:val="hybridMultilevel"/>
    <w:tmpl w:val="86F4AD7A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8E231A0"/>
    <w:multiLevelType w:val="hybridMultilevel"/>
    <w:tmpl w:val="F358039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A9D75AE"/>
    <w:multiLevelType w:val="hybridMultilevel"/>
    <w:tmpl w:val="DC228570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5B7E89"/>
    <w:multiLevelType w:val="hybridMultilevel"/>
    <w:tmpl w:val="54E0A27E"/>
    <w:lvl w:ilvl="0" w:tplc="0C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24A0959"/>
    <w:multiLevelType w:val="hybridMultilevel"/>
    <w:tmpl w:val="1FDA4C46"/>
    <w:lvl w:ilvl="0" w:tplc="7CDECD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3615606"/>
    <w:multiLevelType w:val="hybridMultilevel"/>
    <w:tmpl w:val="C4E621EC"/>
    <w:lvl w:ilvl="0" w:tplc="7CDECD0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171E7D"/>
    <w:multiLevelType w:val="hybridMultilevel"/>
    <w:tmpl w:val="9E32549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6407FE"/>
    <w:multiLevelType w:val="hybridMultilevel"/>
    <w:tmpl w:val="50C28710"/>
    <w:lvl w:ilvl="0" w:tplc="7CD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132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84B"/>
    <w:multiLevelType w:val="hybridMultilevel"/>
    <w:tmpl w:val="0E0C1D4E"/>
    <w:lvl w:ilvl="0" w:tplc="7CDECD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1327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86E15"/>
    <w:multiLevelType w:val="hybridMultilevel"/>
    <w:tmpl w:val="F732C91A"/>
    <w:lvl w:ilvl="0" w:tplc="7CDECD0E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28" w15:restartNumberingAfterBreak="0">
    <w:nsid w:val="7F732F8A"/>
    <w:multiLevelType w:val="hybridMultilevel"/>
    <w:tmpl w:val="FF249172"/>
    <w:lvl w:ilvl="0" w:tplc="7CDECD0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C01327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21"/>
  </w:num>
  <w:num w:numId="5">
    <w:abstractNumId w:val="18"/>
  </w:num>
  <w:num w:numId="6">
    <w:abstractNumId w:val="5"/>
  </w:num>
  <w:num w:numId="7">
    <w:abstractNumId w:val="27"/>
  </w:num>
  <w:num w:numId="8">
    <w:abstractNumId w:val="10"/>
  </w:num>
  <w:num w:numId="9">
    <w:abstractNumId w:val="19"/>
  </w:num>
  <w:num w:numId="10">
    <w:abstractNumId w:val="17"/>
  </w:num>
  <w:num w:numId="11">
    <w:abstractNumId w:val="24"/>
  </w:num>
  <w:num w:numId="12">
    <w:abstractNumId w:val="11"/>
  </w:num>
  <w:num w:numId="13">
    <w:abstractNumId w:val="4"/>
  </w:num>
  <w:num w:numId="14">
    <w:abstractNumId w:val="25"/>
  </w:num>
  <w:num w:numId="15">
    <w:abstractNumId w:val="6"/>
  </w:num>
  <w:num w:numId="16">
    <w:abstractNumId w:val="14"/>
  </w:num>
  <w:num w:numId="17">
    <w:abstractNumId w:val="26"/>
  </w:num>
  <w:num w:numId="18">
    <w:abstractNumId w:val="1"/>
  </w:num>
  <w:num w:numId="19">
    <w:abstractNumId w:val="3"/>
  </w:num>
  <w:num w:numId="20">
    <w:abstractNumId w:val="9"/>
  </w:num>
  <w:num w:numId="21">
    <w:abstractNumId w:val="16"/>
  </w:num>
  <w:num w:numId="22">
    <w:abstractNumId w:val="28"/>
  </w:num>
  <w:num w:numId="23">
    <w:abstractNumId w:val="13"/>
  </w:num>
  <w:num w:numId="24">
    <w:abstractNumId w:val="23"/>
  </w:num>
  <w:num w:numId="25">
    <w:abstractNumId w:val="22"/>
  </w:num>
  <w:num w:numId="26">
    <w:abstractNumId w:val="12"/>
  </w:num>
  <w:num w:numId="27">
    <w:abstractNumId w:val="15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58E"/>
    <w:rsid w:val="00027F6F"/>
    <w:rsid w:val="001F0855"/>
    <w:rsid w:val="00253D66"/>
    <w:rsid w:val="004172AD"/>
    <w:rsid w:val="00420559"/>
    <w:rsid w:val="0047241D"/>
    <w:rsid w:val="004A30DB"/>
    <w:rsid w:val="004D09C4"/>
    <w:rsid w:val="007234BB"/>
    <w:rsid w:val="008D39F7"/>
    <w:rsid w:val="00972C6B"/>
    <w:rsid w:val="009800CC"/>
    <w:rsid w:val="00AC0747"/>
    <w:rsid w:val="00B800BF"/>
    <w:rsid w:val="00C755A9"/>
    <w:rsid w:val="00CD058E"/>
    <w:rsid w:val="00D1708F"/>
    <w:rsid w:val="00D2367C"/>
    <w:rsid w:val="00D500F8"/>
    <w:rsid w:val="00ED0714"/>
    <w:rsid w:val="00F227BC"/>
    <w:rsid w:val="00F40D30"/>
    <w:rsid w:val="00F73EB2"/>
    <w:rsid w:val="00FB7324"/>
    <w:rsid w:val="00FC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5CD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0CC"/>
  </w:style>
  <w:style w:type="paragraph" w:styleId="Heading1">
    <w:name w:val="heading 1"/>
    <w:basedOn w:val="Normal"/>
    <w:next w:val="Normal"/>
    <w:link w:val="Heading1Char"/>
    <w:uiPriority w:val="9"/>
    <w:qFormat/>
    <w:rsid w:val="00FC7387"/>
    <w:pPr>
      <w:keepNext/>
      <w:keepLines/>
      <w:suppressAutoHyphens/>
      <w:autoSpaceDE w:val="0"/>
      <w:autoSpaceDN w:val="0"/>
      <w:adjustRightInd w:val="0"/>
      <w:spacing w:after="240" w:line="300" w:lineRule="atLeast"/>
      <w:textAlignment w:val="center"/>
      <w:outlineLvl w:val="0"/>
    </w:pPr>
    <w:rPr>
      <w:rFonts w:eastAsiaTheme="majorEastAsia" w:cstheme="majorBidi"/>
      <w:b/>
      <w:bCs/>
      <w:color w:val="FFFFFF" w:themeColor="background1"/>
      <w:sz w:val="5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D500F8"/>
    <w:pPr>
      <w:keepNext/>
      <w:keepLines/>
      <w:spacing w:before="480" w:after="0"/>
      <w:outlineLvl w:val="1"/>
    </w:pPr>
    <w:rPr>
      <w:rFonts w:eastAsiaTheme="majorEastAsia" w:cstheme="majorBidi"/>
      <w:b/>
      <w:color w:val="C0000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500F8"/>
    <w:pPr>
      <w:shd w:val="clear" w:color="auto" w:fill="FFCCCC"/>
      <w:spacing w:before="720"/>
      <w:outlineLvl w:val="2"/>
    </w:pPr>
    <w:rPr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00CC"/>
    <w:pPr>
      <w:tabs>
        <w:tab w:val="center" w:pos="4513"/>
        <w:tab w:val="right" w:pos="9026"/>
      </w:tabs>
      <w:spacing w:after="0" w:line="240" w:lineRule="auto"/>
      <w:jc w:val="right"/>
    </w:pPr>
    <w:rPr>
      <w:rFonts w:asciiTheme="majorHAnsi" w:hAnsiTheme="majorHAnsi"/>
      <w:color w:val="FFFFFF" w:themeColor="background1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9800CC"/>
    <w:rPr>
      <w:rFonts w:asciiTheme="majorHAnsi" w:hAnsiTheme="majorHAnsi"/>
      <w:color w:val="FFFFFF" w:themeColor="background1"/>
      <w:sz w:val="18"/>
    </w:rPr>
  </w:style>
  <w:style w:type="paragraph" w:styleId="Footer">
    <w:name w:val="footer"/>
    <w:basedOn w:val="Normal"/>
    <w:link w:val="FooterChar"/>
    <w:uiPriority w:val="99"/>
    <w:unhideWhenUsed/>
    <w:rsid w:val="00AC0747"/>
    <w:pPr>
      <w:tabs>
        <w:tab w:val="center" w:pos="4513"/>
        <w:tab w:val="right" w:pos="9026"/>
      </w:tabs>
      <w:spacing w:after="0" w:line="240" w:lineRule="auto"/>
      <w:jc w:val="center"/>
    </w:pPr>
    <w:rPr>
      <w:b/>
      <w:color w:val="FFFFFF" w:themeColor="background1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AC0747"/>
    <w:rPr>
      <w:b/>
      <w:color w:val="FFFFFF" w:themeColor="background1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00F8"/>
    <w:rPr>
      <w:rFonts w:eastAsiaTheme="majorEastAsia" w:cstheme="majorBidi"/>
      <w:b/>
      <w:color w:val="C00000"/>
      <w:sz w:val="28"/>
      <w:szCs w:val="26"/>
    </w:rPr>
  </w:style>
  <w:style w:type="paragraph" w:customStyle="1" w:styleId="H2">
    <w:name w:val="H2"/>
    <w:basedOn w:val="Normal"/>
    <w:link w:val="H2Char"/>
    <w:uiPriority w:val="99"/>
    <w:rsid w:val="008D39F7"/>
    <w:pPr>
      <w:suppressAutoHyphens/>
      <w:autoSpaceDE w:val="0"/>
      <w:autoSpaceDN w:val="0"/>
      <w:adjustRightInd w:val="0"/>
      <w:spacing w:before="397" w:after="113" w:line="300" w:lineRule="atLeast"/>
      <w:textAlignment w:val="center"/>
    </w:pPr>
    <w:rPr>
      <w:rFonts w:ascii="Ubuntu" w:hAnsi="Ubuntu" w:cs="Ubuntu"/>
      <w:b/>
      <w:bCs/>
      <w:color w:val="C60000"/>
      <w:sz w:val="28"/>
      <w:szCs w:val="28"/>
      <w:lang w:val="en-US"/>
    </w:rPr>
  </w:style>
  <w:style w:type="paragraph" w:customStyle="1" w:styleId="Body">
    <w:name w:val="Body"/>
    <w:basedOn w:val="Normal"/>
    <w:uiPriority w:val="99"/>
    <w:rsid w:val="009800CC"/>
    <w:pPr>
      <w:suppressAutoHyphens/>
      <w:autoSpaceDE w:val="0"/>
      <w:autoSpaceDN w:val="0"/>
      <w:adjustRightInd w:val="0"/>
      <w:spacing w:after="170" w:line="260" w:lineRule="atLeast"/>
      <w:ind w:left="567"/>
      <w:textAlignment w:val="center"/>
    </w:pPr>
    <w:rPr>
      <w:rFonts w:asciiTheme="majorHAnsi" w:hAnsiTheme="majorHAnsi" w:cs="Ubuntu Light"/>
      <w:color w:val="00003F"/>
      <w:lang w:val="en-US"/>
    </w:rPr>
  </w:style>
  <w:style w:type="paragraph" w:customStyle="1" w:styleId="BodyBullet">
    <w:name w:val="Body Bullet"/>
    <w:basedOn w:val="Body"/>
    <w:uiPriority w:val="99"/>
    <w:rsid w:val="008D39F7"/>
    <w:pPr>
      <w:spacing w:after="113"/>
      <w:ind w:left="850" w:hanging="283"/>
    </w:pPr>
  </w:style>
  <w:style w:type="paragraph" w:customStyle="1" w:styleId="BodyBulletLast">
    <w:name w:val="Body Bullet Last"/>
    <w:basedOn w:val="BodyBullet"/>
    <w:uiPriority w:val="99"/>
    <w:rsid w:val="008D39F7"/>
    <w:pPr>
      <w:spacing w:after="227"/>
    </w:pPr>
  </w:style>
  <w:style w:type="paragraph" w:customStyle="1" w:styleId="Body-focussection">
    <w:name w:val="Body - focus section"/>
    <w:basedOn w:val="Body"/>
    <w:uiPriority w:val="99"/>
    <w:rsid w:val="00D500F8"/>
    <w:pPr>
      <w:shd w:val="clear" w:color="auto" w:fill="FFCCCC"/>
      <w:spacing w:after="120"/>
      <w:ind w:left="0"/>
    </w:pPr>
    <w:rPr>
      <w:color w:val="C00000"/>
    </w:rPr>
  </w:style>
  <w:style w:type="paragraph" w:customStyle="1" w:styleId="Insetbody">
    <w:name w:val="Inset body"/>
    <w:basedOn w:val="Body"/>
    <w:uiPriority w:val="99"/>
    <w:rsid w:val="00027F6F"/>
    <w:pPr>
      <w:ind w:left="1134" w:right="1134"/>
    </w:pPr>
    <w:rPr>
      <w:color w:val="C60000"/>
    </w:rPr>
  </w:style>
  <w:style w:type="paragraph" w:customStyle="1" w:styleId="Insetheading">
    <w:name w:val="Inset heading"/>
    <w:basedOn w:val="Insetbody"/>
    <w:uiPriority w:val="99"/>
    <w:rsid w:val="00027F6F"/>
    <w:pPr>
      <w:spacing w:before="170"/>
    </w:pPr>
    <w:rPr>
      <w:rFonts w:ascii="Ubuntu" w:hAnsi="Ubuntu" w:cs="Ubuntu"/>
      <w:b/>
      <w:bCs/>
      <w:i/>
      <w:iCs/>
      <w:sz w:val="24"/>
      <w:szCs w:val="24"/>
    </w:rPr>
  </w:style>
  <w:style w:type="character" w:customStyle="1" w:styleId="Emphasisstrongred">
    <w:name w:val="Emphasis strong red"/>
    <w:uiPriority w:val="99"/>
    <w:rsid w:val="00027F6F"/>
    <w:rPr>
      <w:rFonts w:ascii="Ubuntu" w:hAnsi="Ubuntu" w:cs="Ubuntu"/>
      <w:b/>
      <w:bCs/>
      <w:i/>
      <w:iCs/>
      <w:color w:val="C60000"/>
    </w:rPr>
  </w:style>
  <w:style w:type="paragraph" w:styleId="ListParagraph">
    <w:name w:val="List Paragraph"/>
    <w:basedOn w:val="Body"/>
    <w:uiPriority w:val="34"/>
    <w:qFormat/>
    <w:rsid w:val="009800CC"/>
    <w:pPr>
      <w:numPr>
        <w:numId w:val="23"/>
      </w:numPr>
      <w:spacing w:after="120"/>
      <w:ind w:left="1434" w:hanging="357"/>
    </w:pPr>
    <w:rPr>
      <w:color w:val="002060"/>
    </w:rPr>
  </w:style>
  <w:style w:type="character" w:styleId="IntenseEmphasis">
    <w:name w:val="Intense Emphasis"/>
    <w:basedOn w:val="DefaultParagraphFont"/>
    <w:uiPriority w:val="21"/>
    <w:qFormat/>
    <w:rsid w:val="00D500F8"/>
    <w:rPr>
      <w:b/>
      <w:i/>
      <w:iCs/>
      <w:color w:val="C00000"/>
    </w:rPr>
  </w:style>
  <w:style w:type="character" w:customStyle="1" w:styleId="Heading1Char">
    <w:name w:val="Heading 1 Char"/>
    <w:basedOn w:val="DefaultParagraphFont"/>
    <w:link w:val="Heading1"/>
    <w:uiPriority w:val="9"/>
    <w:rsid w:val="00FC7387"/>
    <w:rPr>
      <w:rFonts w:eastAsiaTheme="majorEastAsia" w:cstheme="majorBidi"/>
      <w:b/>
      <w:bCs/>
      <w:color w:val="FFFFFF" w:themeColor="background1"/>
      <w:sz w:val="56"/>
      <w:szCs w:val="32"/>
      <w:lang w:val="en-US"/>
    </w:rPr>
  </w:style>
  <w:style w:type="character" w:customStyle="1" w:styleId="H2Char">
    <w:name w:val="H2 Char"/>
    <w:basedOn w:val="DefaultParagraphFont"/>
    <w:link w:val="H2"/>
    <w:uiPriority w:val="99"/>
    <w:rsid w:val="001F0855"/>
    <w:rPr>
      <w:rFonts w:ascii="Ubuntu" w:hAnsi="Ubuntu" w:cs="Ubuntu"/>
      <w:b/>
      <w:bCs/>
      <w:color w:val="C60000"/>
      <w:sz w:val="28"/>
      <w:szCs w:val="28"/>
      <w:lang w:val="en-US"/>
    </w:rPr>
  </w:style>
  <w:style w:type="character" w:styleId="SubtleEmphasis">
    <w:name w:val="Subtle Emphasis"/>
    <w:basedOn w:val="DefaultParagraphFont"/>
    <w:uiPriority w:val="19"/>
    <w:qFormat/>
    <w:rsid w:val="00D500F8"/>
    <w:rPr>
      <w:i/>
      <w:iCs/>
      <w:color w:val="002060"/>
    </w:rPr>
  </w:style>
  <w:style w:type="paragraph" w:styleId="Title">
    <w:name w:val="Title"/>
    <w:basedOn w:val="Normal"/>
    <w:next w:val="Normal"/>
    <w:link w:val="TitleChar"/>
    <w:uiPriority w:val="10"/>
    <w:qFormat/>
    <w:rsid w:val="004172AD"/>
    <w:pPr>
      <w:spacing w:after="0" w:line="240" w:lineRule="auto"/>
      <w:contextualSpacing/>
    </w:pPr>
    <w:rPr>
      <w:rFonts w:ascii="Ubuntu" w:eastAsiaTheme="majorEastAsia" w:hAnsi="Ubuntu" w:cstheme="majorBidi"/>
      <w:b/>
      <w:color w:val="FFFFFF" w:themeColor="background1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72AD"/>
    <w:rPr>
      <w:rFonts w:ascii="Ubuntu" w:eastAsiaTheme="majorEastAsia" w:hAnsi="Ubuntu" w:cstheme="majorBidi"/>
      <w:b/>
      <w:color w:val="FFFFFF" w:themeColor="background1"/>
      <w:spacing w:val="-10"/>
      <w:kern w:val="28"/>
      <w:sz w:val="76"/>
      <w:szCs w:val="56"/>
    </w:rPr>
  </w:style>
  <w:style w:type="character" w:styleId="Emphasis">
    <w:name w:val="Emphasis"/>
    <w:basedOn w:val="DefaultParagraphFont"/>
    <w:uiPriority w:val="99"/>
    <w:qFormat/>
    <w:rsid w:val="00F73EB2"/>
    <w:rPr>
      <w:rFonts w:ascii="Ubuntu Light" w:hAnsi="Ubuntu Light" w:cs="Ubuntu Light"/>
      <w:i/>
      <w:iCs/>
    </w:rPr>
  </w:style>
  <w:style w:type="paragraph" w:customStyle="1" w:styleId="Buodybulletlevel2">
    <w:name w:val="Buody bullet level 2"/>
    <w:basedOn w:val="BodyBullet"/>
    <w:uiPriority w:val="99"/>
    <w:rsid w:val="00F73EB2"/>
    <w:pPr>
      <w:ind w:left="1134"/>
    </w:pPr>
  </w:style>
  <w:style w:type="character" w:customStyle="1" w:styleId="Heading3Char">
    <w:name w:val="Heading 3 Char"/>
    <w:basedOn w:val="DefaultParagraphFont"/>
    <w:link w:val="Heading3"/>
    <w:uiPriority w:val="9"/>
    <w:rsid w:val="00D500F8"/>
    <w:rPr>
      <w:rFonts w:eastAsiaTheme="majorEastAsia" w:cstheme="majorBidi"/>
      <w:b/>
      <w:i/>
      <w:color w:val="C00000"/>
      <w:sz w:val="24"/>
      <w:szCs w:val="24"/>
      <w:shd w:val="clear" w:color="auto" w:fill="FF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626C9-F33D-4EF9-A3D3-88BE4EE8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</Words>
  <Characters>4301</Characters>
  <Application>Microsoft Office Word</Application>
  <DocSecurity>0</DocSecurity>
  <Lines>78</Lines>
  <Paragraphs>42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2022-07-13T04:18:00Z</dcterms:created>
  <dcterms:modified xsi:type="dcterms:W3CDTF">2022-07-13T04:21:00Z</dcterms:modified>
  <cp:category/>
</cp:coreProperties>
</file>