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7A72" w14:textId="16CCDB42" w:rsidR="00416A81" w:rsidRPr="00572781" w:rsidRDefault="00416A81" w:rsidP="00416A81">
      <w:pPr>
        <w:pStyle w:val="DocName"/>
        <w:pBdr>
          <w:top w:val="single" w:sz="4" w:space="12" w:color="FF9900"/>
          <w:bottom w:val="single" w:sz="4" w:space="0" w:color="FF9900"/>
        </w:pBdr>
        <w:shd w:val="clear" w:color="auto" w:fill="FFFFCC"/>
        <w:spacing w:line="360" w:lineRule="auto"/>
        <w:rPr>
          <w:rFonts w:ascii="Calibri" w:hAnsi="Calibri"/>
          <w:sz w:val="24"/>
          <w:lang w:eastAsia="en-AU"/>
        </w:rPr>
      </w:pPr>
      <w:r w:rsidRPr="00572781">
        <w:rPr>
          <w:rFonts w:ascii="Calibri" w:hAnsi="Calibri"/>
          <w:sz w:val="24"/>
          <w:lang w:eastAsia="en-AU"/>
        </w:rPr>
        <w:t>Mid-Term Review</w:t>
      </w:r>
      <w:r>
        <w:rPr>
          <w:rFonts w:ascii="Calibri" w:hAnsi="Calibri"/>
          <w:sz w:val="24"/>
          <w:lang w:eastAsia="en-AU"/>
        </w:rPr>
        <w:t xml:space="preserve">: BRAC </w:t>
      </w:r>
      <w:r w:rsidRPr="00572781">
        <w:rPr>
          <w:rFonts w:ascii="Calibri" w:hAnsi="Calibri"/>
          <w:sz w:val="24"/>
          <w:lang w:eastAsia="en-AU"/>
        </w:rPr>
        <w:t>Strategic Partnership Arrangement Phase 2 (Bangladesh)</w:t>
      </w:r>
    </w:p>
    <w:p w14:paraId="33950D29" w14:textId="652DA7FE" w:rsidR="00416A81" w:rsidRPr="00416A81" w:rsidRDefault="00416A81" w:rsidP="00416A81">
      <w:pPr>
        <w:pStyle w:val="DocName"/>
        <w:pBdr>
          <w:top w:val="single" w:sz="4" w:space="12" w:color="FF9900"/>
          <w:bottom w:val="single" w:sz="4" w:space="0" w:color="FF9900"/>
        </w:pBdr>
        <w:shd w:val="clear" w:color="auto" w:fill="FFFFCC"/>
        <w:spacing w:line="360" w:lineRule="auto"/>
        <w:rPr>
          <w:rFonts w:ascii="Calibri" w:hAnsi="Calibri"/>
          <w:sz w:val="24"/>
          <w:lang w:eastAsia="en-AU"/>
        </w:rPr>
      </w:pPr>
      <w:r w:rsidRPr="00572781">
        <w:rPr>
          <w:rFonts w:ascii="Calibri" w:hAnsi="Calibri"/>
          <w:sz w:val="24"/>
          <w:lang w:eastAsia="en-AU"/>
        </w:rPr>
        <w:t>MANAGEMENT RESPONSE</w:t>
      </w:r>
    </w:p>
    <w:p w14:paraId="6E6F87DA" w14:textId="77777777" w:rsidR="001F553F" w:rsidRDefault="001F553F" w:rsidP="0020133E">
      <w:pPr>
        <w:pStyle w:val="Heading2"/>
        <w:spacing w:before="120" w:after="120"/>
        <w:contextualSpacing/>
        <w:rPr>
          <w:rFonts w:ascii="Calibri" w:hAnsi="Calibri" w:cs="Calibri"/>
          <w:szCs w:val="24"/>
        </w:rPr>
      </w:pPr>
    </w:p>
    <w:p w14:paraId="2BA576CD" w14:textId="0A2FFFA8" w:rsidR="009C5213" w:rsidRDefault="00C67CEC" w:rsidP="0020133E">
      <w:pPr>
        <w:pStyle w:val="Heading2"/>
        <w:spacing w:before="120" w:after="120"/>
        <w:contextualSpacing/>
        <w:rPr>
          <w:rFonts w:ascii="Calibri" w:hAnsi="Calibri" w:cs="Calibri"/>
          <w:szCs w:val="24"/>
        </w:rPr>
      </w:pPr>
      <w:r w:rsidRPr="00C02346">
        <w:rPr>
          <w:rFonts w:ascii="Calibri" w:hAnsi="Calibri" w:cs="Calibri"/>
          <w:szCs w:val="24"/>
        </w:rPr>
        <w:t>Investment</w:t>
      </w:r>
      <w:r w:rsidR="009C5213" w:rsidRPr="00C02346">
        <w:rPr>
          <w:rFonts w:ascii="Calibri" w:hAnsi="Calibri" w:cs="Calibri"/>
          <w:szCs w:val="24"/>
        </w:rPr>
        <w:t xml:space="preserve"> 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830"/>
        <w:gridCol w:w="2523"/>
        <w:gridCol w:w="1843"/>
        <w:gridCol w:w="2693"/>
      </w:tblGrid>
      <w:tr w:rsidR="00416A81" w:rsidRPr="00572781" w14:paraId="18F6E453" w14:textId="77777777" w:rsidTr="00E75DD6">
        <w:trPr>
          <w:cantSplit/>
          <w:tblHeader/>
        </w:trPr>
        <w:tc>
          <w:tcPr>
            <w:tcW w:w="2830" w:type="dxa"/>
            <w:shd w:val="clear" w:color="auto" w:fill="E0E0E0"/>
            <w:vAlign w:val="center"/>
          </w:tcPr>
          <w:p w14:paraId="21CF717B" w14:textId="77777777" w:rsidR="00416A81" w:rsidRPr="00572781" w:rsidRDefault="00416A81" w:rsidP="00E75DD6">
            <w:pPr>
              <w:pStyle w:val="Table-normal-text"/>
              <w:spacing w:before="120" w:after="120"/>
              <w:rPr>
                <w:rFonts w:ascii="Calibri" w:hAnsi="Calibri"/>
                <w:b/>
                <w:szCs w:val="20"/>
              </w:rPr>
            </w:pPr>
            <w:r w:rsidRPr="00572781">
              <w:rPr>
                <w:rFonts w:ascii="Calibri" w:hAnsi="Calibri"/>
                <w:b/>
                <w:szCs w:val="20"/>
              </w:rPr>
              <w:t>Initiative Name</w:t>
            </w:r>
          </w:p>
        </w:tc>
        <w:tc>
          <w:tcPr>
            <w:tcW w:w="7059" w:type="dxa"/>
            <w:gridSpan w:val="3"/>
            <w:shd w:val="clear" w:color="auto" w:fill="E0E0E0"/>
            <w:vAlign w:val="center"/>
          </w:tcPr>
          <w:p w14:paraId="2E4144BD" w14:textId="745CEDCE" w:rsidR="00416A81" w:rsidRPr="00572781" w:rsidRDefault="004737EF" w:rsidP="00E75DD6">
            <w:pPr>
              <w:pStyle w:val="Table-normal-text"/>
              <w:spacing w:before="120" w:after="120"/>
              <w:rPr>
                <w:rFonts w:ascii="Calibri" w:hAnsi="Calibri"/>
                <w:b/>
                <w:szCs w:val="20"/>
              </w:rPr>
            </w:pPr>
            <w:r>
              <w:rPr>
                <w:rFonts w:ascii="Calibri" w:hAnsi="Calibri"/>
                <w:b/>
                <w:szCs w:val="20"/>
              </w:rPr>
              <w:t xml:space="preserve">BRAC </w:t>
            </w:r>
            <w:r w:rsidR="00416A81" w:rsidRPr="00572781">
              <w:rPr>
                <w:rFonts w:ascii="Calibri" w:hAnsi="Calibri"/>
                <w:b/>
                <w:szCs w:val="20"/>
              </w:rPr>
              <w:t>Strategic Partnership Arrangement Phase 2 (Bangladesh)</w:t>
            </w:r>
          </w:p>
        </w:tc>
      </w:tr>
      <w:tr w:rsidR="00416A81" w:rsidRPr="00572781" w14:paraId="64179870" w14:textId="77777777" w:rsidTr="00E75DD6">
        <w:trPr>
          <w:cantSplit/>
        </w:trPr>
        <w:tc>
          <w:tcPr>
            <w:tcW w:w="2830" w:type="dxa"/>
            <w:shd w:val="clear" w:color="auto" w:fill="auto"/>
          </w:tcPr>
          <w:p w14:paraId="52A1F993" w14:textId="77777777" w:rsidR="00416A81" w:rsidRPr="00572781" w:rsidRDefault="00416A81" w:rsidP="00E75DD6">
            <w:pPr>
              <w:pStyle w:val="Table-normal-text"/>
              <w:rPr>
                <w:rFonts w:ascii="Calibri" w:hAnsi="Calibri"/>
                <w:szCs w:val="20"/>
              </w:rPr>
            </w:pPr>
            <w:r w:rsidRPr="00572781">
              <w:rPr>
                <w:rFonts w:ascii="Calibri" w:hAnsi="Calibri"/>
                <w:szCs w:val="20"/>
              </w:rPr>
              <w:t>AidWorks initiative number</w:t>
            </w:r>
          </w:p>
        </w:tc>
        <w:tc>
          <w:tcPr>
            <w:tcW w:w="7059" w:type="dxa"/>
            <w:gridSpan w:val="3"/>
            <w:shd w:val="clear" w:color="auto" w:fill="auto"/>
          </w:tcPr>
          <w:p w14:paraId="2AF069CD" w14:textId="77777777" w:rsidR="00416A81" w:rsidRPr="00572781" w:rsidRDefault="00416A81" w:rsidP="00E75DD6">
            <w:pPr>
              <w:pStyle w:val="Table-normal-text"/>
              <w:rPr>
                <w:rFonts w:ascii="Calibri" w:hAnsi="Calibri"/>
                <w:szCs w:val="20"/>
              </w:rPr>
            </w:pPr>
            <w:r w:rsidRPr="00572781">
              <w:rPr>
                <w:rFonts w:ascii="Calibri" w:hAnsi="Calibri"/>
                <w:szCs w:val="20"/>
              </w:rPr>
              <w:t>INJ579</w:t>
            </w:r>
          </w:p>
        </w:tc>
      </w:tr>
      <w:tr w:rsidR="00416A81" w:rsidRPr="00572781" w14:paraId="44022681" w14:textId="77777777" w:rsidTr="00E75DD6">
        <w:trPr>
          <w:cantSplit/>
        </w:trPr>
        <w:tc>
          <w:tcPr>
            <w:tcW w:w="2830" w:type="dxa"/>
            <w:shd w:val="clear" w:color="auto" w:fill="auto"/>
          </w:tcPr>
          <w:p w14:paraId="783FFF03" w14:textId="77777777" w:rsidR="00416A81" w:rsidRPr="00572781" w:rsidRDefault="00416A81" w:rsidP="00E75DD6">
            <w:pPr>
              <w:pStyle w:val="Table-normal-text"/>
              <w:rPr>
                <w:rFonts w:ascii="Calibri" w:hAnsi="Calibri"/>
                <w:szCs w:val="20"/>
              </w:rPr>
            </w:pPr>
            <w:r w:rsidRPr="00572781">
              <w:rPr>
                <w:rFonts w:ascii="Calibri" w:hAnsi="Calibri"/>
                <w:szCs w:val="20"/>
              </w:rPr>
              <w:t>Commencement date</w:t>
            </w:r>
          </w:p>
        </w:tc>
        <w:tc>
          <w:tcPr>
            <w:tcW w:w="2523" w:type="dxa"/>
            <w:shd w:val="clear" w:color="auto" w:fill="auto"/>
          </w:tcPr>
          <w:p w14:paraId="4A271FBC" w14:textId="77777777" w:rsidR="00416A81" w:rsidRPr="00572781" w:rsidRDefault="00416A81" w:rsidP="00E75DD6">
            <w:pPr>
              <w:pStyle w:val="Table-normal-text"/>
              <w:rPr>
                <w:rFonts w:ascii="Calibri" w:hAnsi="Calibri"/>
                <w:szCs w:val="20"/>
              </w:rPr>
            </w:pPr>
            <w:r w:rsidRPr="00572781">
              <w:rPr>
                <w:rFonts w:ascii="Calibri" w:hAnsi="Calibri"/>
                <w:szCs w:val="20"/>
              </w:rPr>
              <w:t>1 April 2016</w:t>
            </w:r>
          </w:p>
        </w:tc>
        <w:tc>
          <w:tcPr>
            <w:tcW w:w="1843" w:type="dxa"/>
            <w:shd w:val="clear" w:color="auto" w:fill="auto"/>
          </w:tcPr>
          <w:p w14:paraId="59F93CB2" w14:textId="77777777" w:rsidR="00416A81" w:rsidRPr="00572781" w:rsidRDefault="00416A81" w:rsidP="00E75DD6">
            <w:pPr>
              <w:pStyle w:val="Table-normal-text"/>
              <w:rPr>
                <w:rFonts w:ascii="Calibri" w:hAnsi="Calibri"/>
                <w:szCs w:val="20"/>
              </w:rPr>
            </w:pPr>
            <w:r w:rsidRPr="00572781">
              <w:rPr>
                <w:rFonts w:ascii="Calibri" w:hAnsi="Calibri"/>
                <w:szCs w:val="20"/>
              </w:rPr>
              <w:t>Completion date</w:t>
            </w:r>
          </w:p>
        </w:tc>
        <w:tc>
          <w:tcPr>
            <w:tcW w:w="2693" w:type="dxa"/>
            <w:shd w:val="clear" w:color="auto" w:fill="auto"/>
          </w:tcPr>
          <w:p w14:paraId="499A6ADB" w14:textId="77777777" w:rsidR="00416A81" w:rsidRPr="00572781" w:rsidRDefault="00416A81" w:rsidP="00E75DD6">
            <w:pPr>
              <w:pStyle w:val="Table-normal-text"/>
              <w:rPr>
                <w:rFonts w:ascii="Calibri" w:hAnsi="Calibri"/>
                <w:szCs w:val="20"/>
              </w:rPr>
            </w:pPr>
            <w:r w:rsidRPr="00572781">
              <w:rPr>
                <w:rFonts w:ascii="Calibri" w:hAnsi="Calibri"/>
                <w:szCs w:val="20"/>
              </w:rPr>
              <w:t>30 June 2020</w:t>
            </w:r>
          </w:p>
        </w:tc>
      </w:tr>
      <w:tr w:rsidR="00416A81" w:rsidRPr="00572781" w14:paraId="6154FBF0" w14:textId="77777777" w:rsidTr="00E75DD6">
        <w:trPr>
          <w:cantSplit/>
        </w:trPr>
        <w:tc>
          <w:tcPr>
            <w:tcW w:w="2830" w:type="dxa"/>
            <w:shd w:val="clear" w:color="auto" w:fill="auto"/>
          </w:tcPr>
          <w:p w14:paraId="218BFFA0" w14:textId="77777777" w:rsidR="00416A81" w:rsidRPr="00572781" w:rsidRDefault="00416A81" w:rsidP="00E75DD6">
            <w:pPr>
              <w:pStyle w:val="Table-normal-text"/>
              <w:rPr>
                <w:rFonts w:ascii="Calibri" w:hAnsi="Calibri"/>
                <w:szCs w:val="20"/>
              </w:rPr>
            </w:pPr>
            <w:r w:rsidRPr="00572781">
              <w:rPr>
                <w:rFonts w:ascii="Calibri" w:hAnsi="Calibri"/>
                <w:szCs w:val="20"/>
              </w:rPr>
              <w:t>Total Australian $</w:t>
            </w:r>
          </w:p>
        </w:tc>
        <w:tc>
          <w:tcPr>
            <w:tcW w:w="7059" w:type="dxa"/>
            <w:gridSpan w:val="3"/>
            <w:shd w:val="clear" w:color="auto" w:fill="auto"/>
          </w:tcPr>
          <w:p w14:paraId="12DA7206" w14:textId="77777777" w:rsidR="00416A81" w:rsidRPr="00572781" w:rsidRDefault="00416A81" w:rsidP="00E75DD6">
            <w:pPr>
              <w:pStyle w:val="Table-normal-text"/>
              <w:rPr>
                <w:rFonts w:ascii="Calibri" w:hAnsi="Calibri"/>
                <w:szCs w:val="20"/>
              </w:rPr>
            </w:pPr>
            <w:r w:rsidRPr="00572781">
              <w:rPr>
                <w:rFonts w:ascii="Calibri" w:hAnsi="Calibri"/>
                <w:szCs w:val="20"/>
              </w:rPr>
              <w:t>95,000,000</w:t>
            </w:r>
          </w:p>
        </w:tc>
      </w:tr>
      <w:tr w:rsidR="00416A81" w:rsidRPr="00572781" w14:paraId="377548FF" w14:textId="77777777" w:rsidTr="00E75DD6">
        <w:trPr>
          <w:cantSplit/>
        </w:trPr>
        <w:tc>
          <w:tcPr>
            <w:tcW w:w="2830" w:type="dxa"/>
            <w:shd w:val="clear" w:color="auto" w:fill="auto"/>
          </w:tcPr>
          <w:p w14:paraId="14520307" w14:textId="77777777" w:rsidR="00416A81" w:rsidRPr="00572781" w:rsidRDefault="00416A81" w:rsidP="00E75DD6">
            <w:pPr>
              <w:pStyle w:val="Table-normal-text"/>
              <w:rPr>
                <w:rFonts w:ascii="Calibri" w:hAnsi="Calibri"/>
                <w:szCs w:val="20"/>
              </w:rPr>
            </w:pPr>
            <w:r w:rsidRPr="00572781">
              <w:rPr>
                <w:rFonts w:ascii="Calibri" w:hAnsi="Calibri"/>
                <w:szCs w:val="20"/>
              </w:rPr>
              <w:t>Delivery organisation(s)</w:t>
            </w:r>
          </w:p>
        </w:tc>
        <w:tc>
          <w:tcPr>
            <w:tcW w:w="7059" w:type="dxa"/>
            <w:gridSpan w:val="3"/>
            <w:shd w:val="clear" w:color="auto" w:fill="auto"/>
          </w:tcPr>
          <w:p w14:paraId="294AD90B" w14:textId="77777777" w:rsidR="00416A81" w:rsidRPr="00572781" w:rsidRDefault="00416A81" w:rsidP="00E75DD6">
            <w:pPr>
              <w:pStyle w:val="Table-normal-text"/>
              <w:rPr>
                <w:rFonts w:ascii="Calibri" w:hAnsi="Calibri"/>
                <w:szCs w:val="20"/>
              </w:rPr>
            </w:pPr>
            <w:r w:rsidRPr="00572781">
              <w:rPr>
                <w:rFonts w:ascii="Calibri" w:hAnsi="Calibri"/>
                <w:szCs w:val="20"/>
              </w:rPr>
              <w:t>BRAC</w:t>
            </w:r>
          </w:p>
        </w:tc>
      </w:tr>
      <w:tr w:rsidR="00416A81" w:rsidRPr="00572781" w14:paraId="010793BF" w14:textId="77777777" w:rsidTr="00E75DD6">
        <w:trPr>
          <w:cantSplit/>
        </w:trPr>
        <w:tc>
          <w:tcPr>
            <w:tcW w:w="2830" w:type="dxa"/>
            <w:shd w:val="clear" w:color="auto" w:fill="auto"/>
          </w:tcPr>
          <w:p w14:paraId="297E3BD9" w14:textId="77777777" w:rsidR="00416A81" w:rsidRPr="00572781" w:rsidRDefault="00416A81" w:rsidP="00E75DD6">
            <w:pPr>
              <w:pStyle w:val="Table-normal-text"/>
              <w:rPr>
                <w:rFonts w:ascii="Calibri" w:hAnsi="Calibri"/>
                <w:szCs w:val="20"/>
              </w:rPr>
            </w:pPr>
            <w:r w:rsidRPr="00572781">
              <w:rPr>
                <w:rFonts w:ascii="Calibri" w:hAnsi="Calibri"/>
                <w:szCs w:val="20"/>
              </w:rPr>
              <w:t>Implementing partner(s)</w:t>
            </w:r>
          </w:p>
        </w:tc>
        <w:tc>
          <w:tcPr>
            <w:tcW w:w="7059" w:type="dxa"/>
            <w:gridSpan w:val="3"/>
            <w:shd w:val="clear" w:color="auto" w:fill="auto"/>
          </w:tcPr>
          <w:p w14:paraId="6ACACC2C" w14:textId="77777777" w:rsidR="00416A81" w:rsidRPr="00572781" w:rsidRDefault="00416A81" w:rsidP="00E75DD6">
            <w:pPr>
              <w:pStyle w:val="Table-normal-text"/>
              <w:rPr>
                <w:rFonts w:ascii="Calibri" w:hAnsi="Calibri"/>
                <w:szCs w:val="20"/>
              </w:rPr>
            </w:pPr>
            <w:r w:rsidRPr="00572781">
              <w:rPr>
                <w:rFonts w:ascii="Calibri" w:hAnsi="Calibri"/>
                <w:szCs w:val="20"/>
              </w:rPr>
              <w:t>BRAC</w:t>
            </w:r>
          </w:p>
        </w:tc>
      </w:tr>
      <w:tr w:rsidR="00416A81" w:rsidRPr="00572781" w14:paraId="6C227805" w14:textId="77777777" w:rsidTr="00E75DD6">
        <w:trPr>
          <w:cantSplit/>
        </w:trPr>
        <w:tc>
          <w:tcPr>
            <w:tcW w:w="2830" w:type="dxa"/>
            <w:shd w:val="clear" w:color="auto" w:fill="auto"/>
          </w:tcPr>
          <w:p w14:paraId="1ABBBF43" w14:textId="77777777" w:rsidR="00416A81" w:rsidRPr="00572781" w:rsidRDefault="00416A81" w:rsidP="00E75DD6">
            <w:pPr>
              <w:pStyle w:val="Table-normal-text"/>
              <w:rPr>
                <w:rFonts w:ascii="Calibri" w:hAnsi="Calibri"/>
                <w:szCs w:val="20"/>
              </w:rPr>
            </w:pPr>
            <w:r w:rsidRPr="00572781">
              <w:rPr>
                <w:rFonts w:ascii="Calibri" w:hAnsi="Calibri"/>
                <w:szCs w:val="20"/>
              </w:rPr>
              <w:t>Country/Region</w:t>
            </w:r>
          </w:p>
        </w:tc>
        <w:tc>
          <w:tcPr>
            <w:tcW w:w="7059" w:type="dxa"/>
            <w:gridSpan w:val="3"/>
            <w:shd w:val="clear" w:color="auto" w:fill="auto"/>
          </w:tcPr>
          <w:p w14:paraId="2FA51BA6" w14:textId="77777777" w:rsidR="00416A81" w:rsidRPr="00572781" w:rsidRDefault="00416A81" w:rsidP="00E75DD6">
            <w:pPr>
              <w:pStyle w:val="Table-normal-text"/>
              <w:rPr>
                <w:rFonts w:ascii="Calibri" w:hAnsi="Calibri"/>
                <w:szCs w:val="20"/>
              </w:rPr>
            </w:pPr>
            <w:r w:rsidRPr="00572781">
              <w:rPr>
                <w:rFonts w:ascii="Calibri" w:hAnsi="Calibri"/>
                <w:szCs w:val="20"/>
              </w:rPr>
              <w:t xml:space="preserve">Bangladesh </w:t>
            </w:r>
          </w:p>
        </w:tc>
      </w:tr>
      <w:tr w:rsidR="00416A81" w:rsidRPr="00572781" w14:paraId="01E1AAEE" w14:textId="77777777" w:rsidTr="00E75DD6">
        <w:trPr>
          <w:cantSplit/>
        </w:trPr>
        <w:tc>
          <w:tcPr>
            <w:tcW w:w="2830" w:type="dxa"/>
            <w:shd w:val="clear" w:color="auto" w:fill="auto"/>
          </w:tcPr>
          <w:p w14:paraId="01634FAB" w14:textId="77777777" w:rsidR="00416A81" w:rsidRPr="00572781" w:rsidRDefault="00416A81" w:rsidP="00E75DD6">
            <w:pPr>
              <w:pStyle w:val="Table-normal-text"/>
              <w:rPr>
                <w:rFonts w:ascii="Calibri" w:hAnsi="Calibri"/>
                <w:szCs w:val="20"/>
              </w:rPr>
            </w:pPr>
            <w:r w:rsidRPr="00572781">
              <w:rPr>
                <w:rFonts w:ascii="Calibri" w:hAnsi="Calibri"/>
                <w:szCs w:val="20"/>
              </w:rPr>
              <w:t>Primary sector</w:t>
            </w:r>
          </w:p>
        </w:tc>
        <w:tc>
          <w:tcPr>
            <w:tcW w:w="7059" w:type="dxa"/>
            <w:gridSpan w:val="3"/>
            <w:shd w:val="clear" w:color="auto" w:fill="auto"/>
          </w:tcPr>
          <w:p w14:paraId="59F407F2" w14:textId="52BE0F6C" w:rsidR="00416A81" w:rsidRPr="00572781" w:rsidRDefault="004737EF" w:rsidP="005B0127">
            <w:pPr>
              <w:pStyle w:val="Table-normal-text"/>
              <w:rPr>
                <w:rFonts w:ascii="Calibri" w:hAnsi="Calibri"/>
                <w:szCs w:val="20"/>
              </w:rPr>
            </w:pPr>
            <w:r>
              <w:rPr>
                <w:rFonts w:ascii="Calibri" w:hAnsi="Calibri"/>
                <w:szCs w:val="20"/>
              </w:rPr>
              <w:t>Multi</w:t>
            </w:r>
            <w:r w:rsidR="00BE2912">
              <w:rPr>
                <w:rFonts w:ascii="Calibri" w:hAnsi="Calibri"/>
                <w:szCs w:val="20"/>
              </w:rPr>
              <w:t>-</w:t>
            </w:r>
            <w:r>
              <w:rPr>
                <w:rFonts w:ascii="Calibri" w:hAnsi="Calibri"/>
                <w:szCs w:val="20"/>
              </w:rPr>
              <w:t xml:space="preserve">sectoral – primary education, skills development, women’s economic empowerment, extreme poverty reduction </w:t>
            </w:r>
          </w:p>
        </w:tc>
      </w:tr>
      <w:tr w:rsidR="00416A81" w:rsidRPr="00B00A44" w14:paraId="7EFE1B31" w14:textId="77777777" w:rsidTr="00E75DD6">
        <w:trPr>
          <w:cantSplit/>
        </w:trPr>
        <w:tc>
          <w:tcPr>
            <w:tcW w:w="2830" w:type="dxa"/>
            <w:shd w:val="clear" w:color="auto" w:fill="auto"/>
          </w:tcPr>
          <w:p w14:paraId="49672D80" w14:textId="77777777" w:rsidR="00416A81" w:rsidRPr="00B00A44" w:rsidRDefault="00416A81" w:rsidP="00E75DD6">
            <w:pPr>
              <w:pStyle w:val="Table-normal-text"/>
              <w:rPr>
                <w:rFonts w:ascii="Calibri" w:hAnsi="Calibri"/>
                <w:sz w:val="22"/>
              </w:rPr>
            </w:pPr>
            <w:r>
              <w:rPr>
                <w:rFonts w:ascii="Calibri" w:hAnsi="Calibri"/>
                <w:sz w:val="26"/>
              </w:rPr>
              <w:br w:type="page"/>
            </w:r>
            <w:r w:rsidRPr="00B00A44">
              <w:rPr>
                <w:rFonts w:ascii="Calibri" w:hAnsi="Calibri"/>
                <w:sz w:val="22"/>
              </w:rPr>
              <w:t>Initiative objective/s</w:t>
            </w:r>
          </w:p>
        </w:tc>
        <w:tc>
          <w:tcPr>
            <w:tcW w:w="7059" w:type="dxa"/>
            <w:gridSpan w:val="3"/>
            <w:shd w:val="clear" w:color="auto" w:fill="auto"/>
          </w:tcPr>
          <w:p w14:paraId="16495475" w14:textId="51A983CA" w:rsidR="00416A81" w:rsidRPr="004737EF" w:rsidRDefault="00416A81" w:rsidP="00A169F1">
            <w:pPr>
              <w:spacing w:after="120"/>
              <w:rPr>
                <w:rFonts w:ascii="Calibri" w:hAnsi="Calibri" w:cs="Calibri"/>
                <w:sz w:val="22"/>
                <w:szCs w:val="22"/>
                <w:lang w:eastAsia="en-AU"/>
              </w:rPr>
            </w:pPr>
            <w:r w:rsidRPr="004737EF">
              <w:rPr>
                <w:rFonts w:ascii="Calibri" w:hAnsi="Calibri" w:cs="Calibri"/>
                <w:sz w:val="22"/>
                <w:szCs w:val="22"/>
                <w:lang w:eastAsia="en-AU"/>
              </w:rPr>
              <w:t xml:space="preserve">The Strategic Partnership Arrangement (SPA) Phase 2 is a trilateral arrangement between DFAT, BRAC and DFID covering the period 2016-2020. Australia has committed AUD$95 million to the partnership and DFID has provided £223 million. </w:t>
            </w:r>
          </w:p>
          <w:p w14:paraId="6F31AB48" w14:textId="2E6B2BC5" w:rsidR="004737EF" w:rsidRPr="00A169F1" w:rsidRDefault="004737EF" w:rsidP="00A169F1">
            <w:pPr>
              <w:spacing w:after="120"/>
              <w:rPr>
                <w:rFonts w:ascii="Calibri" w:hAnsi="Calibri" w:cs="Calibri"/>
                <w:sz w:val="22"/>
                <w:szCs w:val="22"/>
                <w:lang w:eastAsia="en-AU"/>
              </w:rPr>
            </w:pPr>
            <w:r w:rsidRPr="00A169F1">
              <w:rPr>
                <w:rFonts w:ascii="Calibri" w:hAnsi="Calibri" w:cs="Calibri"/>
                <w:sz w:val="22"/>
                <w:szCs w:val="22"/>
                <w:lang w:eastAsia="en-AU"/>
              </w:rPr>
              <w:t>Under the SPA Phase 2, DFAT and DFID provide core funding to BRAC to support the implementation of its Strategic Plan (2016-2020). The plan encompasses BRAC's development programs and its ambitious institutional strengthening agenda to transform its business model in the context of Bangladesh's transition to middle-income country status.  Increasing program relevance and financial sustainability in Bangladesh's changing poverty landscape are core goals of BRAC's strategic plan.</w:t>
            </w:r>
          </w:p>
          <w:p w14:paraId="75BED3F7" w14:textId="08BC2D48" w:rsidR="00416A81" w:rsidRPr="00585494" w:rsidRDefault="00416A81" w:rsidP="00A169F1">
            <w:pPr>
              <w:spacing w:after="120"/>
              <w:rPr>
                <w:rFonts w:ascii="Calibri" w:hAnsi="Calibri" w:cs="Calibri"/>
                <w:sz w:val="22"/>
                <w:szCs w:val="22"/>
                <w:lang w:eastAsia="en-AU"/>
              </w:rPr>
            </w:pPr>
            <w:r w:rsidRPr="00A169F1">
              <w:rPr>
                <w:rFonts w:ascii="Calibri" w:hAnsi="Calibri" w:cs="Calibri"/>
                <w:sz w:val="22"/>
                <w:szCs w:val="22"/>
                <w:lang w:eastAsia="en-AU"/>
              </w:rPr>
              <w:t xml:space="preserve">The objectives </w:t>
            </w:r>
            <w:r w:rsidR="004737EF" w:rsidRPr="00A169F1">
              <w:rPr>
                <w:rFonts w:ascii="Calibri" w:hAnsi="Calibri" w:cs="Calibri"/>
                <w:sz w:val="22"/>
                <w:szCs w:val="22"/>
                <w:lang w:eastAsia="en-AU"/>
              </w:rPr>
              <w:t xml:space="preserve">of the SPA as agreed in the SPA Terms of Engagement are: </w:t>
            </w:r>
          </w:p>
          <w:p w14:paraId="10B4160A" w14:textId="77777777" w:rsidR="004737EF" w:rsidRPr="005B0127" w:rsidRDefault="004737EF" w:rsidP="00A169F1">
            <w:pPr>
              <w:numPr>
                <w:ilvl w:val="0"/>
                <w:numId w:val="38"/>
              </w:numPr>
              <w:spacing w:before="120" w:after="120"/>
              <w:rPr>
                <w:rFonts w:ascii="Calibri" w:hAnsi="Calibri" w:cs="Calibri"/>
                <w:sz w:val="22"/>
                <w:szCs w:val="22"/>
              </w:rPr>
            </w:pPr>
            <w:r w:rsidRPr="00DB4507">
              <w:rPr>
                <w:rFonts w:ascii="Calibri" w:hAnsi="Calibri" w:cs="Calibri"/>
                <w:sz w:val="22"/>
                <w:szCs w:val="22"/>
              </w:rPr>
              <w:t>To deliver faster progress towards the achievement of nationally and internationally accepted development goals in Bangladesh, with a particular focus on people facing multiple deprivation, discrimination or exclusion.</w:t>
            </w:r>
          </w:p>
          <w:p w14:paraId="67BE3D05" w14:textId="23E0D58A" w:rsidR="004737EF" w:rsidRPr="00365DEA" w:rsidRDefault="004737EF" w:rsidP="00A169F1">
            <w:pPr>
              <w:numPr>
                <w:ilvl w:val="0"/>
                <w:numId w:val="38"/>
              </w:numPr>
              <w:spacing w:before="120" w:after="120"/>
              <w:rPr>
                <w:rFonts w:ascii="Calibri" w:hAnsi="Calibri" w:cs="Calibri"/>
                <w:sz w:val="22"/>
                <w:szCs w:val="22"/>
              </w:rPr>
            </w:pPr>
            <w:r w:rsidRPr="00365DEA">
              <w:rPr>
                <w:rFonts w:ascii="Calibri" w:hAnsi="Calibri" w:cs="Calibri"/>
                <w:sz w:val="22"/>
                <w:szCs w:val="22"/>
              </w:rPr>
              <w:t>To support BRAC's institutional change and development plans.</w:t>
            </w:r>
          </w:p>
          <w:p w14:paraId="0837DC49" w14:textId="77777777" w:rsidR="004737EF" w:rsidRPr="00254068" w:rsidRDefault="004737EF" w:rsidP="00A169F1">
            <w:pPr>
              <w:numPr>
                <w:ilvl w:val="0"/>
                <w:numId w:val="38"/>
              </w:numPr>
              <w:spacing w:before="120" w:after="120"/>
              <w:rPr>
                <w:rFonts w:ascii="Calibri" w:hAnsi="Calibri" w:cs="Calibri"/>
                <w:sz w:val="22"/>
                <w:szCs w:val="22"/>
              </w:rPr>
            </w:pPr>
            <w:r w:rsidRPr="00254068">
              <w:rPr>
                <w:rFonts w:ascii="Calibri" w:hAnsi="Calibri" w:cs="Calibri"/>
                <w:sz w:val="22"/>
                <w:szCs w:val="22"/>
              </w:rPr>
              <w:t>To increase knowledge sharing and lesson learning between partners.</w:t>
            </w:r>
          </w:p>
          <w:p w14:paraId="620A8C79" w14:textId="77777777" w:rsidR="004737EF" w:rsidRPr="00254068" w:rsidRDefault="004737EF" w:rsidP="00A169F1">
            <w:pPr>
              <w:numPr>
                <w:ilvl w:val="0"/>
                <w:numId w:val="38"/>
              </w:numPr>
              <w:spacing w:before="120" w:after="120"/>
              <w:rPr>
                <w:rFonts w:ascii="Calibri" w:hAnsi="Calibri" w:cs="Calibri"/>
                <w:sz w:val="22"/>
                <w:szCs w:val="22"/>
              </w:rPr>
            </w:pPr>
            <w:r w:rsidRPr="00254068">
              <w:rPr>
                <w:rFonts w:ascii="Calibri" w:hAnsi="Calibri" w:cs="Calibri"/>
                <w:sz w:val="22"/>
                <w:szCs w:val="22"/>
              </w:rPr>
              <w:t>To increase the capacity of all partners to use knowledge and evidence for program improvement, to contribute to discussion of development issues in Bangladesh and globally, to support the Government of Bangladesh in its development responsibilities, and to undertake advocacy.</w:t>
            </w:r>
          </w:p>
          <w:p w14:paraId="71164912" w14:textId="74116FDB" w:rsidR="004737EF" w:rsidRPr="00A169F1" w:rsidRDefault="004737EF" w:rsidP="00A169F1">
            <w:pPr>
              <w:numPr>
                <w:ilvl w:val="0"/>
                <w:numId w:val="38"/>
              </w:numPr>
              <w:spacing w:before="120" w:after="120"/>
              <w:rPr>
                <w:rFonts w:ascii="Calibri" w:hAnsi="Calibri" w:cs="Calibri"/>
                <w:sz w:val="22"/>
                <w:szCs w:val="22"/>
                <w:lang w:eastAsia="en-AU"/>
              </w:rPr>
            </w:pPr>
            <w:r w:rsidRPr="009A6C64">
              <w:rPr>
                <w:rFonts w:ascii="Calibri" w:hAnsi="Calibri" w:cs="Calibri"/>
                <w:sz w:val="22"/>
                <w:szCs w:val="22"/>
              </w:rPr>
              <w:t>To deliver development assistance through an approach that promotes effectiveness, efficiency, flexibility and innovation.</w:t>
            </w:r>
          </w:p>
        </w:tc>
      </w:tr>
    </w:tbl>
    <w:p w14:paraId="5F4CB721" w14:textId="6D62F4C0" w:rsidR="00416A81" w:rsidRDefault="00416A81" w:rsidP="00416A81">
      <w:pPr>
        <w:rPr>
          <w:lang w:eastAsia="en-AU"/>
        </w:rPr>
      </w:pPr>
    </w:p>
    <w:p w14:paraId="12B1C38E" w14:textId="77777777" w:rsidR="001F553F" w:rsidRDefault="001F553F" w:rsidP="00416A81">
      <w:pPr>
        <w:spacing w:after="120"/>
        <w:rPr>
          <w:rFonts w:ascii="Calibri" w:hAnsi="Calibri"/>
          <w:b/>
        </w:rPr>
      </w:pPr>
    </w:p>
    <w:p w14:paraId="36751A20" w14:textId="77777777" w:rsidR="001F553F" w:rsidRDefault="001F553F" w:rsidP="00416A81">
      <w:pPr>
        <w:spacing w:after="120"/>
        <w:rPr>
          <w:rFonts w:ascii="Calibri" w:hAnsi="Calibri"/>
          <w:b/>
        </w:rPr>
      </w:pPr>
    </w:p>
    <w:p w14:paraId="53F006B5" w14:textId="43B5F497" w:rsidR="00416A81" w:rsidRPr="00365DEA" w:rsidRDefault="00365DEA" w:rsidP="00416A81">
      <w:pPr>
        <w:spacing w:after="120"/>
        <w:rPr>
          <w:rFonts w:ascii="Calibri" w:hAnsi="Calibri"/>
          <w:b/>
        </w:rPr>
      </w:pPr>
      <w:r w:rsidRPr="00365DEA">
        <w:rPr>
          <w:rFonts w:ascii="Calibri" w:hAnsi="Calibri"/>
          <w:b/>
        </w:rPr>
        <w:lastRenderedPageBreak/>
        <w:t>Mid Ter</w:t>
      </w:r>
      <w:bookmarkStart w:id="0" w:name="_GoBack"/>
      <w:bookmarkEnd w:id="0"/>
      <w:r w:rsidRPr="00365DEA">
        <w:rPr>
          <w:rFonts w:ascii="Calibri" w:hAnsi="Calibri"/>
          <w:b/>
        </w:rPr>
        <w:t xml:space="preserve">m Review </w:t>
      </w:r>
      <w:r w:rsidR="00416A81" w:rsidRPr="00365DEA">
        <w:rPr>
          <w:rFonts w:ascii="Calibri" w:hAnsi="Calibri"/>
          <w:b/>
        </w:rPr>
        <w:t xml:space="preserve">Objective: </w:t>
      </w:r>
    </w:p>
    <w:p w14:paraId="3A3E3EE5" w14:textId="5A1E95EE" w:rsidR="00416A81" w:rsidRPr="00B00A44" w:rsidRDefault="00416A81" w:rsidP="00416A81">
      <w:pPr>
        <w:spacing w:after="120"/>
        <w:rPr>
          <w:rFonts w:ascii="Calibri" w:hAnsi="Calibri" w:cs="Arial"/>
          <w:sz w:val="22"/>
          <w:szCs w:val="20"/>
        </w:rPr>
      </w:pPr>
      <w:r w:rsidRPr="00B00A44">
        <w:rPr>
          <w:rFonts w:ascii="Calibri" w:hAnsi="Calibri" w:cs="Arial"/>
          <w:sz w:val="22"/>
          <w:szCs w:val="20"/>
        </w:rPr>
        <w:t>The purpose of the Midterm Review (MTR) was to assess how the SPA is tracking against its objectives, with a view to identifying both achievements and challenges, highlighting lessons learned and providing recommendations for improvement</w:t>
      </w:r>
      <w:r>
        <w:rPr>
          <w:rFonts w:ascii="Calibri" w:hAnsi="Calibri" w:cs="Arial"/>
          <w:sz w:val="22"/>
          <w:szCs w:val="20"/>
        </w:rPr>
        <w:t xml:space="preserve"> over the remainder of the program</w:t>
      </w:r>
      <w:r w:rsidRPr="00B00A44">
        <w:rPr>
          <w:rFonts w:ascii="Calibri" w:hAnsi="Calibri" w:cs="Arial"/>
          <w:sz w:val="22"/>
          <w:szCs w:val="20"/>
        </w:rPr>
        <w:t xml:space="preserve">. </w:t>
      </w:r>
      <w:r>
        <w:rPr>
          <w:rFonts w:ascii="Calibri" w:hAnsi="Calibri" w:cs="Arial"/>
          <w:sz w:val="22"/>
          <w:szCs w:val="20"/>
        </w:rPr>
        <w:t xml:space="preserve"> The review </w:t>
      </w:r>
      <w:r w:rsidRPr="001F553F">
        <w:rPr>
          <w:rFonts w:ascii="Calibri" w:hAnsi="Calibri" w:cs="Arial"/>
          <w:sz w:val="22"/>
          <w:szCs w:val="20"/>
        </w:rPr>
        <w:t xml:space="preserve">focused on objectives two to five, covering BRAC’s institutional strengthening activities and </w:t>
      </w:r>
      <w:r w:rsidR="00F51EFA" w:rsidRPr="001F553F">
        <w:rPr>
          <w:rFonts w:ascii="Calibri" w:hAnsi="Calibri" w:cs="Arial"/>
          <w:sz w:val="22"/>
          <w:szCs w:val="20"/>
        </w:rPr>
        <w:t>S</w:t>
      </w:r>
      <w:r w:rsidR="00F51EFA">
        <w:rPr>
          <w:rFonts w:ascii="Calibri" w:hAnsi="Calibri" w:cs="Arial"/>
          <w:sz w:val="22"/>
          <w:szCs w:val="20"/>
        </w:rPr>
        <w:t xml:space="preserve">PA </w:t>
      </w:r>
      <w:r>
        <w:rPr>
          <w:rFonts w:ascii="Calibri" w:hAnsi="Calibri" w:cs="Arial"/>
          <w:sz w:val="22"/>
          <w:szCs w:val="20"/>
        </w:rPr>
        <w:t xml:space="preserve">partnership objectives, </w:t>
      </w:r>
      <w:r w:rsidR="00BE7F7D">
        <w:rPr>
          <w:rFonts w:ascii="Calibri" w:hAnsi="Calibri" w:cs="Arial"/>
          <w:sz w:val="22"/>
          <w:szCs w:val="20"/>
        </w:rPr>
        <w:t xml:space="preserve">and </w:t>
      </w:r>
      <w:r>
        <w:rPr>
          <w:rFonts w:ascii="Calibri" w:hAnsi="Calibri" w:cs="Arial"/>
          <w:sz w:val="22"/>
          <w:szCs w:val="20"/>
        </w:rPr>
        <w:t>includ</w:t>
      </w:r>
      <w:r w:rsidR="00BE7F7D">
        <w:rPr>
          <w:rFonts w:ascii="Calibri" w:hAnsi="Calibri" w:cs="Arial"/>
          <w:sz w:val="22"/>
          <w:szCs w:val="20"/>
        </w:rPr>
        <w:t xml:space="preserve">ed an assessment of </w:t>
      </w:r>
      <w:r>
        <w:rPr>
          <w:rFonts w:ascii="Calibri" w:hAnsi="Calibri" w:cs="Arial"/>
          <w:sz w:val="22"/>
          <w:szCs w:val="20"/>
        </w:rPr>
        <w:t xml:space="preserve">the effectiveness of partnership governance and management mechanisms, and the value-add of the partnership modality.   </w:t>
      </w:r>
    </w:p>
    <w:p w14:paraId="00FFBBAD" w14:textId="525964B4" w:rsidR="00416A81" w:rsidRPr="00B00A44" w:rsidRDefault="00416A81" w:rsidP="00416A81">
      <w:pPr>
        <w:spacing w:after="120"/>
        <w:rPr>
          <w:rFonts w:ascii="Calibri" w:hAnsi="Calibri" w:cs="Arial"/>
          <w:sz w:val="22"/>
          <w:szCs w:val="20"/>
        </w:rPr>
      </w:pPr>
      <w:r w:rsidRPr="00B00A44">
        <w:rPr>
          <w:rFonts w:ascii="Calibri" w:hAnsi="Calibri" w:cs="Arial"/>
          <w:sz w:val="22"/>
          <w:szCs w:val="20"/>
        </w:rPr>
        <w:t xml:space="preserve">The MTR </w:t>
      </w:r>
      <w:r w:rsidR="005B0127">
        <w:rPr>
          <w:rFonts w:ascii="Calibri" w:hAnsi="Calibri" w:cs="Arial"/>
          <w:sz w:val="22"/>
          <w:szCs w:val="20"/>
        </w:rPr>
        <w:t xml:space="preserve">was </w:t>
      </w:r>
      <w:r w:rsidRPr="00B00A44">
        <w:rPr>
          <w:rFonts w:ascii="Calibri" w:hAnsi="Calibri" w:cs="Arial"/>
          <w:sz w:val="22"/>
          <w:szCs w:val="20"/>
        </w:rPr>
        <w:t>intended to be a learning process for all three partners – DFAT, BRAC and DFID</w:t>
      </w:r>
      <w:r>
        <w:rPr>
          <w:rFonts w:ascii="Calibri" w:hAnsi="Calibri" w:cs="Arial"/>
          <w:sz w:val="22"/>
          <w:szCs w:val="20"/>
        </w:rPr>
        <w:t xml:space="preserve"> – </w:t>
      </w:r>
      <w:r w:rsidR="005B0127">
        <w:rPr>
          <w:rFonts w:ascii="Calibri" w:hAnsi="Calibri" w:cs="Arial"/>
          <w:sz w:val="22"/>
          <w:szCs w:val="20"/>
        </w:rPr>
        <w:t>and DFAT led the review on behalf of all partners.</w:t>
      </w:r>
      <w:r w:rsidRPr="00B00A44">
        <w:rPr>
          <w:rFonts w:ascii="Calibri" w:hAnsi="Calibri" w:cs="Arial"/>
          <w:sz w:val="22"/>
          <w:szCs w:val="20"/>
        </w:rPr>
        <w:t xml:space="preserve">  </w:t>
      </w:r>
    </w:p>
    <w:p w14:paraId="4C5030A1" w14:textId="2CEC3994" w:rsidR="00416A81" w:rsidRPr="00B00A44" w:rsidRDefault="00365DEA" w:rsidP="00416A81">
      <w:pPr>
        <w:spacing w:after="120"/>
        <w:rPr>
          <w:rFonts w:ascii="Calibri" w:hAnsi="Calibri"/>
          <w:sz w:val="22"/>
        </w:rPr>
      </w:pPr>
      <w:r>
        <w:rPr>
          <w:rFonts w:ascii="Calibri" w:hAnsi="Calibri"/>
          <w:b/>
          <w:sz w:val="22"/>
        </w:rPr>
        <w:t xml:space="preserve">Mid Term Review </w:t>
      </w:r>
      <w:r w:rsidR="00416A81" w:rsidRPr="00B00A44">
        <w:rPr>
          <w:rFonts w:ascii="Calibri" w:hAnsi="Calibri"/>
          <w:b/>
          <w:sz w:val="22"/>
        </w:rPr>
        <w:t xml:space="preserve">Completion Date: </w:t>
      </w:r>
      <w:r w:rsidR="00416A81" w:rsidRPr="00754111">
        <w:rPr>
          <w:rFonts w:ascii="Calibri" w:hAnsi="Calibri"/>
          <w:sz w:val="22"/>
        </w:rPr>
        <w:t xml:space="preserve">31 </w:t>
      </w:r>
      <w:r w:rsidR="00416A81" w:rsidRPr="00B00A44">
        <w:rPr>
          <w:rFonts w:ascii="Calibri" w:hAnsi="Calibri"/>
          <w:sz w:val="22"/>
        </w:rPr>
        <w:t>December 2018</w:t>
      </w:r>
    </w:p>
    <w:p w14:paraId="65431094" w14:textId="7D69A380" w:rsidR="00416A81" w:rsidRPr="00B00A44" w:rsidRDefault="00365DEA" w:rsidP="00416A81">
      <w:pPr>
        <w:spacing w:after="120"/>
        <w:rPr>
          <w:rFonts w:ascii="Calibri" w:hAnsi="Calibri"/>
          <w:sz w:val="22"/>
        </w:rPr>
      </w:pPr>
      <w:r>
        <w:rPr>
          <w:rFonts w:ascii="Calibri" w:hAnsi="Calibri"/>
          <w:b/>
          <w:sz w:val="22"/>
        </w:rPr>
        <w:t xml:space="preserve">Mid Term Review </w:t>
      </w:r>
      <w:r w:rsidR="00416A81" w:rsidRPr="00B00A44">
        <w:rPr>
          <w:rFonts w:ascii="Calibri" w:hAnsi="Calibri"/>
          <w:b/>
          <w:sz w:val="22"/>
        </w:rPr>
        <w:t xml:space="preserve">Team: </w:t>
      </w:r>
    </w:p>
    <w:p w14:paraId="58DFF32D" w14:textId="77777777" w:rsidR="00416A81" w:rsidRPr="00B00A44" w:rsidRDefault="00416A81" w:rsidP="00416A81">
      <w:pPr>
        <w:spacing w:after="120"/>
        <w:rPr>
          <w:rFonts w:ascii="Calibri" w:hAnsi="Calibri"/>
          <w:sz w:val="22"/>
        </w:rPr>
      </w:pPr>
      <w:r w:rsidRPr="00B00A44">
        <w:rPr>
          <w:rFonts w:ascii="Calibri" w:hAnsi="Calibri"/>
          <w:sz w:val="22"/>
        </w:rPr>
        <w:t>Kaye A Bysouth – Independent Consultant, Partnership</w:t>
      </w:r>
      <w:r>
        <w:rPr>
          <w:rFonts w:ascii="Calibri" w:hAnsi="Calibri"/>
          <w:sz w:val="22"/>
        </w:rPr>
        <w:t xml:space="preserve"> and</w:t>
      </w:r>
      <w:r w:rsidRPr="00B00A44">
        <w:rPr>
          <w:rFonts w:ascii="Calibri" w:hAnsi="Calibri"/>
          <w:sz w:val="22"/>
        </w:rPr>
        <w:t xml:space="preserve"> Monitoring and Evaluation Specialist</w:t>
      </w:r>
      <w:r>
        <w:rPr>
          <w:rFonts w:ascii="Calibri" w:hAnsi="Calibri"/>
          <w:sz w:val="22"/>
        </w:rPr>
        <w:t>.</w:t>
      </w:r>
    </w:p>
    <w:p w14:paraId="2971D43F" w14:textId="39363B85" w:rsidR="00416A81" w:rsidRPr="00B00A44" w:rsidRDefault="00416A81" w:rsidP="00416A81">
      <w:pPr>
        <w:spacing w:after="120"/>
        <w:rPr>
          <w:rFonts w:ascii="Calibri" w:hAnsi="Calibri"/>
          <w:b/>
          <w:szCs w:val="22"/>
          <w:lang w:eastAsia="en-AU"/>
        </w:rPr>
      </w:pPr>
      <w:r w:rsidRPr="00B00A44">
        <w:rPr>
          <w:rFonts w:ascii="Calibri" w:hAnsi="Calibri"/>
          <w:b/>
          <w:szCs w:val="22"/>
          <w:lang w:eastAsia="en-AU"/>
        </w:rPr>
        <w:t xml:space="preserve">DFAT’s response to the </w:t>
      </w:r>
      <w:r w:rsidR="00365DEA">
        <w:rPr>
          <w:rFonts w:ascii="Calibri" w:hAnsi="Calibri"/>
          <w:b/>
          <w:szCs w:val="22"/>
          <w:lang w:eastAsia="en-AU"/>
        </w:rPr>
        <w:t xml:space="preserve">Mid Term Review </w:t>
      </w:r>
      <w:r w:rsidRPr="00B00A44">
        <w:rPr>
          <w:rFonts w:ascii="Calibri" w:hAnsi="Calibri"/>
          <w:b/>
          <w:szCs w:val="22"/>
          <w:lang w:eastAsia="en-AU"/>
        </w:rPr>
        <w:t xml:space="preserve"> report</w:t>
      </w:r>
    </w:p>
    <w:p w14:paraId="0EE84909" w14:textId="532395B5" w:rsidR="00416A81" w:rsidRDefault="00416A81" w:rsidP="00416A81">
      <w:pPr>
        <w:spacing w:after="120"/>
        <w:rPr>
          <w:rFonts w:ascii="Calibri" w:hAnsi="Calibri" w:cs="Arial"/>
          <w:sz w:val="22"/>
        </w:rPr>
      </w:pPr>
      <w:r w:rsidRPr="00B00A44">
        <w:rPr>
          <w:rFonts w:ascii="Calibri" w:hAnsi="Calibri" w:cs="Arial"/>
          <w:sz w:val="22"/>
        </w:rPr>
        <w:t xml:space="preserve">DFAT considers the review to be of a good quality </w:t>
      </w:r>
      <w:r>
        <w:rPr>
          <w:rFonts w:ascii="Calibri" w:hAnsi="Calibri" w:cs="Arial"/>
          <w:sz w:val="22"/>
        </w:rPr>
        <w:t xml:space="preserve">– it sufficiently addressed the questions in the Terms of Reference and the Evaluation Plan, and </w:t>
      </w:r>
      <w:r w:rsidRPr="00B00A44">
        <w:rPr>
          <w:rFonts w:ascii="Calibri" w:hAnsi="Calibri" w:cs="Arial"/>
          <w:sz w:val="22"/>
        </w:rPr>
        <w:t xml:space="preserve">it met DFAT’s monitoring and evaluation standards. </w:t>
      </w:r>
      <w:r>
        <w:rPr>
          <w:rFonts w:ascii="Calibri" w:hAnsi="Calibri" w:cs="Arial"/>
          <w:sz w:val="22"/>
        </w:rPr>
        <w:t xml:space="preserve">The MTR also maximised the engagement of all </w:t>
      </w:r>
      <w:r w:rsidR="00585494">
        <w:rPr>
          <w:rFonts w:ascii="Calibri" w:hAnsi="Calibri" w:cs="Arial"/>
          <w:sz w:val="22"/>
        </w:rPr>
        <w:t xml:space="preserve">SPA </w:t>
      </w:r>
      <w:r>
        <w:rPr>
          <w:rFonts w:ascii="Calibri" w:hAnsi="Calibri" w:cs="Arial"/>
          <w:sz w:val="22"/>
        </w:rPr>
        <w:t xml:space="preserve">partners. Findings and recommendations are based on extensive consultation with key stakeholders at strategic and operational levels across the three partners, including members of the two partnership governance bodies, the Steering Committee and Working Group. </w:t>
      </w:r>
    </w:p>
    <w:p w14:paraId="00469113" w14:textId="77777777" w:rsidR="00416A81" w:rsidRDefault="00416A81" w:rsidP="00416A81">
      <w:pPr>
        <w:spacing w:after="120"/>
        <w:rPr>
          <w:rFonts w:ascii="Calibri" w:hAnsi="Calibri" w:cs="Arial"/>
          <w:sz w:val="22"/>
        </w:rPr>
      </w:pPr>
      <w:r>
        <w:rPr>
          <w:rFonts w:ascii="Calibri" w:hAnsi="Calibri" w:cs="Arial"/>
          <w:sz w:val="22"/>
        </w:rPr>
        <w:t xml:space="preserve">The MTR </w:t>
      </w:r>
      <w:r w:rsidRPr="00B00A44">
        <w:rPr>
          <w:rFonts w:ascii="Calibri" w:hAnsi="Calibri" w:cs="Arial"/>
          <w:sz w:val="22"/>
        </w:rPr>
        <w:t xml:space="preserve">provides practical recommendations to strengthen </w:t>
      </w:r>
      <w:r>
        <w:rPr>
          <w:rFonts w:ascii="Calibri" w:hAnsi="Calibri" w:cs="Arial"/>
          <w:sz w:val="22"/>
        </w:rPr>
        <w:t>BRAC’s systems, to enhance the value-add of the partnership modality, and to strengthen partnership governance mechanisms.</w:t>
      </w:r>
    </w:p>
    <w:p w14:paraId="64A37D74" w14:textId="37369D27" w:rsidR="00585494" w:rsidRDefault="00416A81" w:rsidP="00416A81">
      <w:pPr>
        <w:spacing w:after="120"/>
        <w:rPr>
          <w:rFonts w:ascii="Calibri" w:hAnsi="Calibri" w:cs="Arial"/>
          <w:sz w:val="22"/>
        </w:rPr>
      </w:pPr>
      <w:r>
        <w:rPr>
          <w:rFonts w:ascii="Calibri" w:hAnsi="Calibri" w:cs="Arial"/>
          <w:sz w:val="22"/>
        </w:rPr>
        <w:t>DFAT has accepted all the recommendations from the MTR report</w:t>
      </w:r>
      <w:r w:rsidR="00585494">
        <w:rPr>
          <w:rFonts w:ascii="Calibri" w:hAnsi="Calibri" w:cs="Arial"/>
          <w:sz w:val="22"/>
        </w:rPr>
        <w:t xml:space="preserve">. Consistent with the partnership commitment to joint evaluation and learning, all SPA partners reflected on the MTR findings, lessons learned and recommendations. </w:t>
      </w:r>
      <w:r w:rsidR="00585494" w:rsidRPr="00B00A44">
        <w:rPr>
          <w:rFonts w:ascii="Calibri" w:hAnsi="Calibri" w:cs="Arial"/>
          <w:sz w:val="22"/>
          <w:szCs w:val="20"/>
        </w:rPr>
        <w:t xml:space="preserve">This management response </w:t>
      </w:r>
      <w:r w:rsidR="00585494">
        <w:rPr>
          <w:rFonts w:ascii="Calibri" w:hAnsi="Calibri" w:cs="Arial"/>
          <w:sz w:val="22"/>
          <w:szCs w:val="20"/>
        </w:rPr>
        <w:t>is</w:t>
      </w:r>
      <w:r w:rsidR="00585494" w:rsidRPr="00B00A44">
        <w:rPr>
          <w:rFonts w:ascii="Calibri" w:hAnsi="Calibri" w:cs="Arial"/>
          <w:sz w:val="22"/>
          <w:szCs w:val="20"/>
        </w:rPr>
        <w:t xml:space="preserve"> prepared</w:t>
      </w:r>
      <w:r w:rsidR="00585494">
        <w:rPr>
          <w:rFonts w:ascii="Calibri" w:hAnsi="Calibri" w:cs="Arial"/>
          <w:sz w:val="22"/>
          <w:szCs w:val="20"/>
        </w:rPr>
        <w:t xml:space="preserve"> by DFAT, and reflects decisions on recommendations made by the SPA Steering Committee.   </w:t>
      </w:r>
      <w:r w:rsidR="00CD4BF0">
        <w:rPr>
          <w:rFonts w:ascii="Calibri" w:hAnsi="Calibri" w:cs="Arial"/>
          <w:sz w:val="22"/>
          <w:szCs w:val="20"/>
        </w:rPr>
        <w:t xml:space="preserve">The management response also records progress </w:t>
      </w:r>
      <w:r w:rsidR="004A7A30">
        <w:rPr>
          <w:rFonts w:ascii="Calibri" w:hAnsi="Calibri" w:cs="Arial"/>
          <w:sz w:val="22"/>
          <w:szCs w:val="20"/>
        </w:rPr>
        <w:t xml:space="preserve">to date </w:t>
      </w:r>
      <w:r w:rsidR="00CD4BF0">
        <w:rPr>
          <w:rFonts w:ascii="Calibri" w:hAnsi="Calibri" w:cs="Arial"/>
          <w:sz w:val="22"/>
          <w:szCs w:val="20"/>
        </w:rPr>
        <w:t xml:space="preserve">by SPA partners in implementing agreed actions, with the majority already completed. </w:t>
      </w:r>
      <w:r w:rsidR="00585494">
        <w:rPr>
          <w:rFonts w:ascii="Calibri" w:hAnsi="Calibri" w:cs="Arial"/>
          <w:sz w:val="22"/>
        </w:rPr>
        <w:t xml:space="preserve">The Steering Committee will </w:t>
      </w:r>
      <w:r w:rsidR="00CD4BF0">
        <w:rPr>
          <w:rFonts w:ascii="Calibri" w:hAnsi="Calibri" w:cs="Arial"/>
          <w:sz w:val="22"/>
        </w:rPr>
        <w:t xml:space="preserve">continue to </w:t>
      </w:r>
      <w:r w:rsidR="00585494">
        <w:rPr>
          <w:rFonts w:ascii="Calibri" w:hAnsi="Calibri" w:cs="Arial"/>
          <w:sz w:val="22"/>
        </w:rPr>
        <w:t xml:space="preserve">monitor progress </w:t>
      </w:r>
      <w:r w:rsidR="005B0127">
        <w:rPr>
          <w:rFonts w:ascii="Calibri" w:hAnsi="Calibri" w:cs="Arial"/>
          <w:sz w:val="22"/>
        </w:rPr>
        <w:t xml:space="preserve">against </w:t>
      </w:r>
      <w:r w:rsidR="00585494">
        <w:rPr>
          <w:rFonts w:ascii="Calibri" w:hAnsi="Calibri" w:cs="Arial"/>
          <w:sz w:val="22"/>
        </w:rPr>
        <w:t>recommendations, supported by DFAT Dhaka post.</w:t>
      </w:r>
      <w:r w:rsidR="001133AF">
        <w:rPr>
          <w:rFonts w:ascii="Calibri" w:hAnsi="Calibri" w:cs="Arial"/>
          <w:sz w:val="22"/>
        </w:rPr>
        <w:t xml:space="preserve"> </w:t>
      </w:r>
      <w:r w:rsidR="00CD4BF0">
        <w:rPr>
          <w:rFonts w:ascii="Calibri" w:hAnsi="Calibri" w:cs="Arial"/>
          <w:sz w:val="22"/>
        </w:rPr>
        <w:t xml:space="preserve"> </w:t>
      </w:r>
    </w:p>
    <w:p w14:paraId="29C237D4" w14:textId="0DCA0EAD" w:rsidR="00416A81" w:rsidRPr="00B00A44" w:rsidRDefault="00416A81" w:rsidP="00CA5C6D">
      <w:pPr>
        <w:spacing w:after="120"/>
        <w:rPr>
          <w:rFonts w:ascii="Calibri" w:hAnsi="Calibri"/>
          <w:b/>
          <w:szCs w:val="22"/>
          <w:lang w:eastAsia="en-AU"/>
        </w:rPr>
      </w:pPr>
      <w:r w:rsidRPr="00B00A44">
        <w:rPr>
          <w:rFonts w:ascii="Calibri" w:hAnsi="Calibri"/>
          <w:b/>
          <w:szCs w:val="22"/>
          <w:lang w:eastAsia="en-AU"/>
        </w:rPr>
        <w:t>Key findings</w:t>
      </w:r>
      <w:r>
        <w:rPr>
          <w:rFonts w:ascii="Calibri" w:hAnsi="Calibri"/>
          <w:b/>
          <w:szCs w:val="22"/>
          <w:lang w:eastAsia="en-AU"/>
        </w:rPr>
        <w:t xml:space="preserve"> of </w:t>
      </w:r>
      <w:r w:rsidRPr="00B00A44">
        <w:rPr>
          <w:rFonts w:ascii="Calibri" w:hAnsi="Calibri"/>
          <w:b/>
          <w:szCs w:val="22"/>
          <w:lang w:eastAsia="en-AU"/>
        </w:rPr>
        <w:t xml:space="preserve">the </w:t>
      </w:r>
      <w:r>
        <w:rPr>
          <w:rFonts w:ascii="Calibri" w:hAnsi="Calibri"/>
          <w:b/>
          <w:szCs w:val="22"/>
          <w:lang w:eastAsia="en-AU"/>
        </w:rPr>
        <w:t xml:space="preserve">Mid Term Review </w:t>
      </w:r>
      <w:r w:rsidRPr="00B00A44">
        <w:rPr>
          <w:rFonts w:ascii="Calibri" w:hAnsi="Calibri"/>
          <w:b/>
          <w:szCs w:val="22"/>
          <w:lang w:eastAsia="en-AU"/>
        </w:rPr>
        <w:t>report</w:t>
      </w:r>
    </w:p>
    <w:p w14:paraId="4DF57DC7" w14:textId="77777777" w:rsidR="00CA5C6D" w:rsidRPr="00CA5C6D" w:rsidRDefault="00CA5C6D" w:rsidP="00CA5C6D">
      <w:pPr>
        <w:pStyle w:val="ListParagraph"/>
        <w:numPr>
          <w:ilvl w:val="0"/>
          <w:numId w:val="40"/>
        </w:numPr>
        <w:spacing w:before="120" w:after="120"/>
        <w:contextualSpacing w:val="0"/>
        <w:rPr>
          <w:rFonts w:asciiTheme="minorHAnsi" w:hAnsiTheme="minorHAnsi" w:cstheme="minorHAnsi"/>
          <w:sz w:val="22"/>
          <w:szCs w:val="22"/>
        </w:rPr>
      </w:pPr>
      <w:r w:rsidRPr="00CA5C6D">
        <w:rPr>
          <w:rFonts w:asciiTheme="minorHAnsi" w:hAnsiTheme="minorHAnsi" w:cstheme="minorHAnsi"/>
          <w:sz w:val="22"/>
          <w:szCs w:val="22"/>
        </w:rPr>
        <w:t xml:space="preserve">The partnership modality, centred on shared objectives, core flexible funding and collaborative governance, is adding value compared to alternative modalities (eg. project based grant).  The partnership has enabled BRAC to pilot and scale up programs in response to emerging needs; innovate within existing programs; sustain efforts and deliver outcomes in hard to fund rights-based programs, such as women’s empowerment; pilot social enterprise approaches; and increase organisational efficiency and effectiveness by improving management systems.   </w:t>
      </w:r>
    </w:p>
    <w:p w14:paraId="5DE727F0" w14:textId="77777777" w:rsidR="00CA5C6D" w:rsidRPr="00CA5C6D" w:rsidRDefault="00CA5C6D" w:rsidP="00CA5C6D">
      <w:pPr>
        <w:pStyle w:val="ListParagraph"/>
        <w:numPr>
          <w:ilvl w:val="0"/>
          <w:numId w:val="40"/>
        </w:numPr>
        <w:spacing w:before="120" w:after="120"/>
        <w:contextualSpacing w:val="0"/>
        <w:rPr>
          <w:rFonts w:asciiTheme="minorHAnsi" w:hAnsiTheme="minorHAnsi" w:cstheme="minorHAnsi"/>
          <w:sz w:val="22"/>
          <w:szCs w:val="20"/>
        </w:rPr>
      </w:pPr>
      <w:r w:rsidRPr="00CA5C6D">
        <w:rPr>
          <w:rFonts w:asciiTheme="minorHAnsi" w:hAnsiTheme="minorHAnsi" w:cstheme="minorHAnsi"/>
          <w:sz w:val="22"/>
          <w:szCs w:val="20"/>
        </w:rPr>
        <w:t xml:space="preserve">Partners have made limited progress against the specific partnership objectives on knowledge management (objectives 3 and 4), and these objectives have become disconnected from their anchor in the BRAC Strategy. The review recommended that a new approach be adopted, focused on expanding the influence of the SPA through policy dialogue utilising BRAC’s proven development models. </w:t>
      </w:r>
    </w:p>
    <w:p w14:paraId="07F40A91" w14:textId="77777777" w:rsidR="00CA5C6D" w:rsidRPr="00CA5C6D" w:rsidRDefault="00CA5C6D" w:rsidP="00CA5C6D">
      <w:pPr>
        <w:pStyle w:val="ListParagraph"/>
        <w:numPr>
          <w:ilvl w:val="0"/>
          <w:numId w:val="40"/>
        </w:numPr>
        <w:spacing w:before="120" w:after="120"/>
        <w:contextualSpacing w:val="0"/>
        <w:rPr>
          <w:rFonts w:asciiTheme="minorHAnsi" w:hAnsiTheme="minorHAnsi" w:cstheme="minorHAnsi"/>
          <w:sz w:val="22"/>
          <w:szCs w:val="20"/>
        </w:rPr>
      </w:pPr>
      <w:r w:rsidRPr="00CA5C6D">
        <w:rPr>
          <w:rFonts w:asciiTheme="minorHAnsi" w:hAnsiTheme="minorHAnsi" w:cstheme="minorHAnsi"/>
          <w:sz w:val="22"/>
          <w:szCs w:val="20"/>
        </w:rPr>
        <w:t xml:space="preserve">SPA partnership objectives as agreed in the SPA Terms of Engagement could be improved to enhance clarity and measurability. The review also recommended that the SPA Results Framework be revised to increase the alignment of outcomes with the BRAC Strategy and to introduce quality measures.  </w:t>
      </w:r>
    </w:p>
    <w:p w14:paraId="38461120" w14:textId="77777777" w:rsidR="00CA5C6D" w:rsidRPr="00CA5C6D" w:rsidRDefault="00CA5C6D" w:rsidP="00CA5C6D">
      <w:pPr>
        <w:pStyle w:val="ListParagraph"/>
        <w:numPr>
          <w:ilvl w:val="0"/>
          <w:numId w:val="40"/>
        </w:numPr>
        <w:spacing w:before="120" w:after="120"/>
        <w:contextualSpacing w:val="0"/>
        <w:rPr>
          <w:rFonts w:asciiTheme="minorHAnsi" w:hAnsiTheme="minorHAnsi" w:cstheme="minorHAnsi"/>
          <w:sz w:val="22"/>
          <w:szCs w:val="20"/>
        </w:rPr>
      </w:pPr>
      <w:r w:rsidRPr="00CA5C6D">
        <w:rPr>
          <w:rFonts w:asciiTheme="minorHAnsi" w:hAnsiTheme="minorHAnsi" w:cstheme="minorHAnsi"/>
          <w:sz w:val="22"/>
          <w:szCs w:val="20"/>
        </w:rPr>
        <w:t xml:space="preserve">While BRAC has made substantial progress in achieving its institutional strengthening goals, major tasks still lie ahead to improve organisational systems and processes. In particular, the review recommended that BRAC reengineer its approach to monitoring and evaluation to increase focus on program performance and that financial scenario planning be undertaken.  </w:t>
      </w:r>
    </w:p>
    <w:p w14:paraId="08545CEB" w14:textId="77777777" w:rsidR="00416A81" w:rsidRDefault="00416A81" w:rsidP="00416A81">
      <w:pPr>
        <w:spacing w:after="120"/>
        <w:rPr>
          <w:lang w:eastAsia="en-AU"/>
        </w:rPr>
      </w:pPr>
    </w:p>
    <w:p w14:paraId="624BCF15" w14:textId="300CE145" w:rsidR="00C02346" w:rsidRDefault="00C02346" w:rsidP="00416A81">
      <w:pPr>
        <w:rPr>
          <w:rFonts w:ascii="Calibri" w:hAnsi="Calibri" w:cs="Calibri"/>
          <w:sz w:val="22"/>
        </w:rPr>
        <w:sectPr w:rsidR="00C02346" w:rsidSect="00131E1E">
          <w:headerReference w:type="even" r:id="rId8"/>
          <w:headerReference w:type="default" r:id="rId9"/>
          <w:footerReference w:type="even" r:id="rId10"/>
          <w:footerReference w:type="default" r:id="rId11"/>
          <w:headerReference w:type="first" r:id="rId12"/>
          <w:footerReference w:type="first" r:id="rId13"/>
          <w:pgSz w:w="11906" w:h="16838"/>
          <w:pgMar w:top="1135" w:right="1274" w:bottom="851" w:left="1134" w:header="284" w:footer="302" w:gutter="0"/>
          <w:cols w:space="708"/>
          <w:docGrid w:linePitch="360"/>
        </w:sectPr>
      </w:pPr>
    </w:p>
    <w:p w14:paraId="11544248" w14:textId="77777777" w:rsidR="007F69E6" w:rsidRPr="00C02346" w:rsidRDefault="007F69E6" w:rsidP="007F69E6">
      <w:pPr>
        <w:pStyle w:val="Heading2"/>
        <w:spacing w:before="120" w:after="120"/>
        <w:contextualSpacing/>
        <w:rPr>
          <w:rFonts w:ascii="Calibri" w:hAnsi="Calibri" w:cs="Calibri"/>
          <w:szCs w:val="24"/>
        </w:rPr>
      </w:pPr>
      <w:r w:rsidRPr="00C02346">
        <w:rPr>
          <w:rFonts w:ascii="Calibri" w:hAnsi="Calibri" w:cs="Calibri"/>
          <w:szCs w:val="24"/>
        </w:rPr>
        <w:lastRenderedPageBreak/>
        <w:t>Response to recommendations</w:t>
      </w:r>
    </w:p>
    <w:tbl>
      <w:tblPr>
        <w:tblStyle w:val="ODE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4"/>
        <w:gridCol w:w="4821"/>
        <w:gridCol w:w="4963"/>
        <w:gridCol w:w="1944"/>
      </w:tblGrid>
      <w:tr w:rsidR="00A50F09" w:rsidRPr="00C02346" w14:paraId="16A3303B" w14:textId="77777777" w:rsidTr="00053FA0">
        <w:trPr>
          <w:cnfStyle w:val="100000000000" w:firstRow="1" w:lastRow="0" w:firstColumn="0" w:lastColumn="0" w:oddVBand="0" w:evenVBand="0" w:oddHBand="0" w:evenHBand="0" w:firstRowFirstColumn="0" w:firstRowLastColumn="0" w:lastRowFirstColumn="0" w:lastRowLastColumn="0"/>
          <w:tblHeader/>
        </w:trPr>
        <w:tc>
          <w:tcPr>
            <w:tcW w:w="1049" w:type="pct"/>
            <w:shd w:val="clear" w:color="auto" w:fill="D9D9D9" w:themeFill="background1" w:themeFillShade="D9"/>
          </w:tcPr>
          <w:p w14:paraId="687F7BFA" w14:textId="77777777" w:rsidR="00A50F09" w:rsidRPr="00C02346" w:rsidRDefault="00A50F09" w:rsidP="00477164">
            <w:pPr>
              <w:pStyle w:val="Heading3"/>
              <w:spacing w:before="0"/>
              <w:outlineLvl w:val="2"/>
              <w:rPr>
                <w:rFonts w:ascii="Calibri" w:hAnsi="Calibri" w:cs="Calibri"/>
                <w:color w:val="auto"/>
                <w:szCs w:val="20"/>
              </w:rPr>
            </w:pPr>
            <w:r w:rsidRPr="00C02346">
              <w:rPr>
                <w:rStyle w:val="IntenseReference"/>
                <w:rFonts w:ascii="Calibri" w:hAnsi="Calibri" w:cs="Calibri"/>
                <w:color w:val="auto"/>
              </w:rPr>
              <w:t>Recommendation</w:t>
            </w:r>
          </w:p>
        </w:tc>
        <w:tc>
          <w:tcPr>
            <w:tcW w:w="1624" w:type="pct"/>
            <w:shd w:val="clear" w:color="auto" w:fill="D9D9D9" w:themeFill="background1" w:themeFillShade="D9"/>
          </w:tcPr>
          <w:p w14:paraId="7DC40C05" w14:textId="5E079D59" w:rsidR="00A50F09" w:rsidRPr="00C02346" w:rsidRDefault="00A50F09" w:rsidP="00B30B98">
            <w:pPr>
              <w:pStyle w:val="Heading3"/>
              <w:spacing w:before="0"/>
              <w:outlineLvl w:val="2"/>
              <w:rPr>
                <w:rStyle w:val="IntenseReference"/>
                <w:rFonts w:ascii="Calibri" w:hAnsi="Calibri" w:cs="Calibri"/>
                <w:color w:val="auto"/>
              </w:rPr>
            </w:pPr>
            <w:r>
              <w:rPr>
                <w:rStyle w:val="IntenseReference"/>
                <w:rFonts w:ascii="Calibri" w:hAnsi="Calibri" w:cs="Calibri"/>
                <w:color w:val="auto"/>
              </w:rPr>
              <w:t xml:space="preserve">Related </w:t>
            </w:r>
            <w:r w:rsidR="00B30B98" w:rsidRPr="00B30B98">
              <w:rPr>
                <w:rStyle w:val="IntenseReference"/>
                <w:rFonts w:ascii="Calibri" w:hAnsi="Calibri" w:cs="Calibri"/>
                <w:color w:val="auto"/>
              </w:rPr>
              <w:t>F</w:t>
            </w:r>
            <w:r w:rsidR="00B30B98">
              <w:rPr>
                <w:rStyle w:val="IntenseReference"/>
                <w:rFonts w:ascii="Calibri" w:hAnsi="Calibri" w:cs="Calibri"/>
                <w:color w:val="auto"/>
              </w:rPr>
              <w:t>indings</w:t>
            </w:r>
            <w:r w:rsidR="00B30B98" w:rsidRPr="00B30B98">
              <w:rPr>
                <w:rStyle w:val="IntenseReference"/>
                <w:rFonts w:cstheme="minorHAnsi"/>
                <w:color w:val="auto"/>
              </w:rPr>
              <w:t xml:space="preserve">/ </w:t>
            </w:r>
            <w:r w:rsidRPr="00B30B98">
              <w:rPr>
                <w:rStyle w:val="IntenseReference"/>
                <w:rFonts w:cstheme="minorHAnsi"/>
                <w:color w:val="auto"/>
              </w:rPr>
              <w:t>Key Lessons</w:t>
            </w:r>
            <w:r>
              <w:rPr>
                <w:rStyle w:val="IntenseReference"/>
                <w:rFonts w:ascii="Calibri" w:hAnsi="Calibri" w:cs="Calibri"/>
                <w:color w:val="auto"/>
              </w:rPr>
              <w:t xml:space="preserve"> </w:t>
            </w:r>
          </w:p>
        </w:tc>
        <w:tc>
          <w:tcPr>
            <w:tcW w:w="1672" w:type="pct"/>
            <w:shd w:val="clear" w:color="auto" w:fill="D9D9D9" w:themeFill="background1" w:themeFillShade="D9"/>
          </w:tcPr>
          <w:p w14:paraId="67F14D99" w14:textId="7AB0A045" w:rsidR="00A50F09" w:rsidRPr="00C02346" w:rsidRDefault="00A50F09" w:rsidP="00E70085">
            <w:pPr>
              <w:pStyle w:val="Heading3"/>
              <w:spacing w:before="0"/>
              <w:outlineLvl w:val="2"/>
              <w:rPr>
                <w:rStyle w:val="IntenseReference"/>
                <w:rFonts w:ascii="Calibri" w:hAnsi="Calibri" w:cs="Calibri"/>
                <w:color w:val="auto"/>
              </w:rPr>
            </w:pPr>
            <w:r>
              <w:rPr>
                <w:rStyle w:val="IntenseReference"/>
                <w:rFonts w:ascii="Calibri" w:hAnsi="Calibri" w:cs="Calibri"/>
                <w:color w:val="auto"/>
              </w:rPr>
              <w:t>Response (Agree/Partially Agree/Disagree)</w:t>
            </w:r>
            <w:r w:rsidRPr="00C02346">
              <w:rPr>
                <w:rStyle w:val="IntenseReference"/>
                <w:rFonts w:ascii="Calibri" w:hAnsi="Calibri" w:cs="Calibri"/>
                <w:color w:val="auto"/>
              </w:rPr>
              <w:t xml:space="preserve"> </w:t>
            </w:r>
          </w:p>
        </w:tc>
        <w:tc>
          <w:tcPr>
            <w:tcW w:w="655" w:type="pct"/>
            <w:shd w:val="clear" w:color="auto" w:fill="D9D9D9" w:themeFill="background1" w:themeFillShade="D9"/>
          </w:tcPr>
          <w:p w14:paraId="7EC64071" w14:textId="6D08F465" w:rsidR="00A50F09" w:rsidRPr="00C02346" w:rsidRDefault="00A50F09" w:rsidP="00053FA0">
            <w:pPr>
              <w:pStyle w:val="Heading3"/>
              <w:spacing w:before="0"/>
              <w:outlineLvl w:val="2"/>
              <w:rPr>
                <w:rStyle w:val="IntenseReference"/>
                <w:rFonts w:ascii="Calibri" w:hAnsi="Calibri" w:cs="Calibri"/>
                <w:color w:val="auto"/>
              </w:rPr>
            </w:pPr>
            <w:r w:rsidRPr="00C02346">
              <w:rPr>
                <w:rStyle w:val="IntenseReference"/>
                <w:rFonts w:ascii="Calibri" w:hAnsi="Calibri" w:cs="Calibri"/>
                <w:color w:val="auto"/>
              </w:rPr>
              <w:t xml:space="preserve">timeframe </w:t>
            </w:r>
          </w:p>
        </w:tc>
      </w:tr>
      <w:tr w:rsidR="0097271E" w:rsidRPr="003F06E6" w14:paraId="12614C75" w14:textId="77777777" w:rsidTr="00053FA0">
        <w:tc>
          <w:tcPr>
            <w:tcW w:w="1049" w:type="pct"/>
            <w:shd w:val="clear" w:color="auto" w:fill="FFFFFF" w:themeFill="background1"/>
          </w:tcPr>
          <w:p w14:paraId="1606E03B" w14:textId="3EB4A9A2" w:rsidR="0097271E" w:rsidRPr="003443C5" w:rsidRDefault="0097271E" w:rsidP="003443C5">
            <w:pPr>
              <w:rPr>
                <w:rFonts w:asciiTheme="minorHAnsi" w:hAnsiTheme="minorHAnsi" w:cstheme="minorHAnsi"/>
                <w:sz w:val="22"/>
                <w:szCs w:val="22"/>
                <w:u w:val="single"/>
              </w:rPr>
            </w:pPr>
            <w:r w:rsidRPr="003443C5">
              <w:rPr>
                <w:rFonts w:asciiTheme="minorHAnsi" w:hAnsiTheme="minorHAnsi" w:cstheme="minorHAnsi"/>
                <w:sz w:val="22"/>
                <w:szCs w:val="22"/>
                <w:u w:val="single"/>
              </w:rPr>
              <w:t>Recommendation 1:</w:t>
            </w:r>
            <w:r w:rsidRPr="003443C5">
              <w:rPr>
                <w:rFonts w:asciiTheme="minorHAnsi" w:hAnsiTheme="minorHAnsi" w:cstheme="minorHAnsi"/>
                <w:sz w:val="22"/>
                <w:szCs w:val="22"/>
              </w:rPr>
              <w:t xml:space="preserve"> The SPA Steering Committee to discuss the current level of investment by BRAC in organisational development (including ICT) with a view to approving an increased level of investment to ensure that management systems, processes and behaviours are fully embedded.</w:t>
            </w:r>
          </w:p>
        </w:tc>
        <w:tc>
          <w:tcPr>
            <w:tcW w:w="1624" w:type="pct"/>
            <w:shd w:val="clear" w:color="auto" w:fill="auto"/>
          </w:tcPr>
          <w:p w14:paraId="20D5036A" w14:textId="22A71973" w:rsidR="0097271E" w:rsidRPr="003443C5" w:rsidRDefault="0074108F" w:rsidP="009D31DE">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t xml:space="preserve">BRAC has made substantial progress in </w:t>
            </w:r>
            <w:r w:rsidR="0014432A" w:rsidRPr="003443C5">
              <w:rPr>
                <w:rFonts w:asciiTheme="minorHAnsi" w:hAnsiTheme="minorHAnsi" w:cstheme="minorHAnsi"/>
                <w:color w:val="auto"/>
                <w:sz w:val="22"/>
                <w:szCs w:val="22"/>
              </w:rPr>
              <w:t xml:space="preserve">building capability to deliver on its new strategic directions and has achieved impressive results. </w:t>
            </w:r>
            <w:r w:rsidRPr="003443C5">
              <w:rPr>
                <w:rFonts w:asciiTheme="minorHAnsi" w:hAnsiTheme="minorHAnsi" w:cstheme="minorHAnsi"/>
                <w:color w:val="auto"/>
                <w:sz w:val="22"/>
                <w:szCs w:val="22"/>
              </w:rPr>
              <w:t xml:space="preserve">Despite this, </w:t>
            </w:r>
            <w:r w:rsidR="00CD284F" w:rsidRPr="003443C5">
              <w:rPr>
                <w:rFonts w:asciiTheme="minorHAnsi" w:hAnsiTheme="minorHAnsi" w:cstheme="minorHAnsi"/>
                <w:color w:val="auto"/>
                <w:sz w:val="22"/>
                <w:szCs w:val="22"/>
              </w:rPr>
              <w:t xml:space="preserve">and noting BRAC’s ambition to improve systems to support increased program effectiveness and efficiency, </w:t>
            </w:r>
            <w:r w:rsidRPr="003443C5">
              <w:rPr>
                <w:rFonts w:asciiTheme="minorHAnsi" w:hAnsiTheme="minorHAnsi" w:cstheme="minorHAnsi"/>
                <w:color w:val="auto"/>
                <w:sz w:val="22"/>
                <w:szCs w:val="22"/>
              </w:rPr>
              <w:t xml:space="preserve">major tasks remain, and sustained effort will be required to fully embed systems, processes and behaviour.  </w:t>
            </w:r>
            <w:r w:rsidR="0098196F" w:rsidRPr="003443C5">
              <w:rPr>
                <w:rFonts w:asciiTheme="minorHAnsi" w:hAnsiTheme="minorHAnsi" w:cstheme="minorHAnsi"/>
                <w:color w:val="auto"/>
                <w:sz w:val="22"/>
                <w:szCs w:val="22"/>
              </w:rPr>
              <w:t xml:space="preserve">There is a possible underinvestment in organisational development, </w:t>
            </w:r>
            <w:r w:rsidR="009D31DE">
              <w:rPr>
                <w:rFonts w:asciiTheme="minorHAnsi" w:hAnsiTheme="minorHAnsi" w:cstheme="minorHAnsi"/>
                <w:color w:val="auto"/>
                <w:sz w:val="22"/>
                <w:szCs w:val="22"/>
              </w:rPr>
              <w:t>recognising</w:t>
            </w:r>
            <w:r w:rsidR="0098196F" w:rsidRPr="003443C5">
              <w:rPr>
                <w:rFonts w:asciiTheme="minorHAnsi" w:hAnsiTheme="minorHAnsi" w:cstheme="minorHAnsi"/>
                <w:color w:val="auto"/>
                <w:sz w:val="22"/>
                <w:szCs w:val="22"/>
              </w:rPr>
              <w:t xml:space="preserve"> the difficulty of establishing international comparators.</w:t>
            </w:r>
          </w:p>
        </w:tc>
        <w:tc>
          <w:tcPr>
            <w:tcW w:w="1672" w:type="pct"/>
            <w:shd w:val="clear" w:color="auto" w:fill="FFFFFF" w:themeFill="background1"/>
          </w:tcPr>
          <w:p w14:paraId="79824690" w14:textId="3BEB3C26" w:rsidR="00CD284F" w:rsidRPr="003443C5" w:rsidRDefault="00CD284F" w:rsidP="007215E7">
            <w:pPr>
              <w:pStyle w:val="BodyText"/>
              <w:rPr>
                <w:rFonts w:asciiTheme="minorHAnsi" w:hAnsiTheme="minorHAnsi" w:cstheme="minorHAnsi"/>
                <w:b/>
                <w:sz w:val="22"/>
                <w:szCs w:val="22"/>
              </w:rPr>
            </w:pPr>
            <w:r w:rsidRPr="003443C5">
              <w:rPr>
                <w:rFonts w:asciiTheme="minorHAnsi" w:hAnsiTheme="minorHAnsi" w:cstheme="minorHAnsi"/>
                <w:b/>
                <w:sz w:val="22"/>
                <w:szCs w:val="22"/>
              </w:rPr>
              <w:t>Agreed</w:t>
            </w:r>
          </w:p>
          <w:p w14:paraId="4A6F55D8" w14:textId="794772FA" w:rsidR="00CD284F" w:rsidRPr="003443C5" w:rsidRDefault="00CD284F" w:rsidP="007215E7">
            <w:pPr>
              <w:pStyle w:val="BodyText"/>
              <w:rPr>
                <w:rFonts w:asciiTheme="minorHAnsi" w:hAnsiTheme="minorHAnsi" w:cstheme="minorHAnsi"/>
                <w:b/>
                <w:sz w:val="22"/>
                <w:szCs w:val="22"/>
              </w:rPr>
            </w:pPr>
            <w:r w:rsidRPr="003443C5">
              <w:rPr>
                <w:rFonts w:asciiTheme="minorHAnsi" w:hAnsiTheme="minorHAnsi" w:cstheme="minorHAnsi"/>
                <w:sz w:val="22"/>
                <w:szCs w:val="22"/>
              </w:rPr>
              <w:t xml:space="preserve">DFAT supports BRAC increasing SPA funding to </w:t>
            </w:r>
            <w:r w:rsidR="009D31DE">
              <w:rPr>
                <w:rFonts w:asciiTheme="minorHAnsi" w:hAnsiTheme="minorHAnsi" w:cstheme="minorHAnsi"/>
                <w:sz w:val="22"/>
                <w:szCs w:val="22"/>
              </w:rPr>
              <w:t>institutional strengthening</w:t>
            </w:r>
            <w:r w:rsidR="007B1964" w:rsidRPr="003443C5">
              <w:rPr>
                <w:rFonts w:asciiTheme="minorHAnsi" w:hAnsiTheme="minorHAnsi" w:cstheme="minorHAnsi"/>
                <w:sz w:val="22"/>
                <w:szCs w:val="22"/>
              </w:rPr>
              <w:t xml:space="preserve">. </w:t>
            </w:r>
          </w:p>
          <w:p w14:paraId="26F0B407" w14:textId="7ED8E6D4" w:rsidR="0097271E" w:rsidRPr="003443C5" w:rsidRDefault="0074108F" w:rsidP="001F553F">
            <w:pPr>
              <w:pStyle w:val="BodyText"/>
              <w:spacing w:after="60"/>
              <w:rPr>
                <w:rFonts w:asciiTheme="minorHAnsi" w:hAnsiTheme="minorHAnsi" w:cstheme="minorHAnsi"/>
                <w:sz w:val="22"/>
                <w:szCs w:val="22"/>
              </w:rPr>
            </w:pPr>
            <w:r w:rsidRPr="003443C5">
              <w:rPr>
                <w:rFonts w:asciiTheme="minorHAnsi" w:hAnsiTheme="minorHAnsi" w:cstheme="minorHAnsi"/>
                <w:sz w:val="22"/>
                <w:szCs w:val="22"/>
              </w:rPr>
              <w:t xml:space="preserve">The Steering Committee have discussed this recommendation and noted BRAC’s plan to increase investment in </w:t>
            </w:r>
            <w:r w:rsidR="009D31DE">
              <w:rPr>
                <w:rFonts w:asciiTheme="minorHAnsi" w:hAnsiTheme="minorHAnsi" w:cstheme="minorHAnsi"/>
                <w:sz w:val="22"/>
                <w:szCs w:val="22"/>
              </w:rPr>
              <w:t>institutional strengthening</w:t>
            </w:r>
            <w:r w:rsidRPr="003443C5">
              <w:rPr>
                <w:rFonts w:asciiTheme="minorHAnsi" w:hAnsiTheme="minorHAnsi" w:cstheme="minorHAnsi"/>
                <w:sz w:val="22"/>
                <w:szCs w:val="22"/>
              </w:rPr>
              <w:t>, including through the new Senior Director</w:t>
            </w:r>
            <w:r w:rsidR="00CD284F" w:rsidRPr="003443C5">
              <w:rPr>
                <w:rFonts w:asciiTheme="minorHAnsi" w:hAnsiTheme="minorHAnsi" w:cstheme="minorHAnsi"/>
                <w:sz w:val="22"/>
                <w:szCs w:val="22"/>
              </w:rPr>
              <w:t xml:space="preserve"> </w:t>
            </w:r>
            <w:r w:rsidR="007B1964" w:rsidRPr="003443C5">
              <w:rPr>
                <w:rFonts w:asciiTheme="minorHAnsi" w:hAnsiTheme="minorHAnsi" w:cstheme="minorHAnsi"/>
                <w:sz w:val="22"/>
                <w:szCs w:val="22"/>
              </w:rPr>
              <w:t xml:space="preserve">(Operations) </w:t>
            </w:r>
            <w:r w:rsidR="00CD284F" w:rsidRPr="003443C5">
              <w:rPr>
                <w:rFonts w:asciiTheme="minorHAnsi" w:hAnsiTheme="minorHAnsi" w:cstheme="minorHAnsi"/>
                <w:sz w:val="22"/>
                <w:szCs w:val="22"/>
              </w:rPr>
              <w:t>posi</w:t>
            </w:r>
            <w:r w:rsidRPr="003443C5">
              <w:rPr>
                <w:rFonts w:asciiTheme="minorHAnsi" w:hAnsiTheme="minorHAnsi" w:cstheme="minorHAnsi"/>
                <w:sz w:val="22"/>
                <w:szCs w:val="22"/>
              </w:rPr>
              <w:t xml:space="preserve">tion </w:t>
            </w:r>
            <w:r w:rsidR="00B83B13">
              <w:rPr>
                <w:rFonts w:asciiTheme="minorHAnsi" w:hAnsiTheme="minorHAnsi" w:cstheme="minorHAnsi"/>
                <w:sz w:val="22"/>
                <w:szCs w:val="22"/>
              </w:rPr>
              <w:t>which will p</w:t>
            </w:r>
            <w:r w:rsidR="00CD284F" w:rsidRPr="003443C5">
              <w:rPr>
                <w:rFonts w:asciiTheme="minorHAnsi" w:hAnsiTheme="minorHAnsi" w:cstheme="minorHAnsi"/>
                <w:sz w:val="22"/>
                <w:szCs w:val="22"/>
              </w:rPr>
              <w:t xml:space="preserve">rovide strategic oversight to </w:t>
            </w:r>
            <w:r w:rsidR="009D31DE">
              <w:rPr>
                <w:rFonts w:asciiTheme="minorHAnsi" w:hAnsiTheme="minorHAnsi" w:cstheme="minorHAnsi"/>
                <w:sz w:val="22"/>
                <w:szCs w:val="22"/>
              </w:rPr>
              <w:t>institutional strengthening</w:t>
            </w:r>
            <w:r w:rsidR="009D31DE" w:rsidRPr="003443C5">
              <w:rPr>
                <w:rFonts w:asciiTheme="minorHAnsi" w:hAnsiTheme="minorHAnsi" w:cstheme="minorHAnsi"/>
                <w:sz w:val="22"/>
                <w:szCs w:val="22"/>
              </w:rPr>
              <w:t xml:space="preserve"> </w:t>
            </w:r>
            <w:r w:rsidR="00CD284F" w:rsidRPr="003443C5">
              <w:rPr>
                <w:rFonts w:asciiTheme="minorHAnsi" w:hAnsiTheme="minorHAnsi" w:cstheme="minorHAnsi"/>
                <w:sz w:val="22"/>
                <w:szCs w:val="22"/>
              </w:rPr>
              <w:t xml:space="preserve">activities. </w:t>
            </w:r>
            <w:r w:rsidR="00CA5C6D">
              <w:rPr>
                <w:rFonts w:asciiTheme="minorHAnsi" w:hAnsiTheme="minorHAnsi" w:cstheme="minorHAnsi"/>
                <w:sz w:val="22"/>
                <w:szCs w:val="22"/>
              </w:rPr>
              <w:t xml:space="preserve"> </w:t>
            </w:r>
          </w:p>
        </w:tc>
        <w:tc>
          <w:tcPr>
            <w:tcW w:w="655" w:type="pct"/>
            <w:shd w:val="clear" w:color="auto" w:fill="FFFFFF" w:themeFill="background1"/>
          </w:tcPr>
          <w:p w14:paraId="7B37450F" w14:textId="4B19492A" w:rsidR="0097271E" w:rsidRPr="003443C5" w:rsidRDefault="009D31DE" w:rsidP="009D31DE">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 xml:space="preserve">BRAC to brief Steering Committee by April 2020 on budget for </w:t>
            </w:r>
            <w:r>
              <w:rPr>
                <w:rFonts w:asciiTheme="minorHAnsi" w:hAnsiTheme="minorHAnsi" w:cstheme="minorHAnsi"/>
                <w:sz w:val="22"/>
                <w:szCs w:val="22"/>
              </w:rPr>
              <w:t>institutional strengthening</w:t>
            </w:r>
            <w:r w:rsidRPr="003443C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in next BRAC Strategy (2021-2026) </w:t>
            </w:r>
          </w:p>
        </w:tc>
      </w:tr>
      <w:tr w:rsidR="0097271E" w:rsidRPr="003F06E6" w14:paraId="25C01F85" w14:textId="77777777" w:rsidTr="00053FA0">
        <w:tc>
          <w:tcPr>
            <w:tcW w:w="1049" w:type="pct"/>
            <w:shd w:val="clear" w:color="auto" w:fill="FFFFFF" w:themeFill="background1"/>
          </w:tcPr>
          <w:p w14:paraId="4D8BA8A1" w14:textId="4C6648FF" w:rsidR="0097271E" w:rsidRPr="003443C5" w:rsidRDefault="0097271E" w:rsidP="0097271E">
            <w:pPr>
              <w:rPr>
                <w:rFonts w:asciiTheme="minorHAnsi" w:hAnsiTheme="minorHAnsi" w:cstheme="minorHAnsi"/>
                <w:sz w:val="22"/>
                <w:szCs w:val="22"/>
              </w:rPr>
            </w:pPr>
            <w:r w:rsidRPr="003443C5">
              <w:rPr>
                <w:rFonts w:asciiTheme="minorHAnsi" w:hAnsiTheme="minorHAnsi" w:cstheme="minorHAnsi"/>
                <w:sz w:val="22"/>
                <w:szCs w:val="22"/>
                <w:u w:val="single"/>
              </w:rPr>
              <w:t xml:space="preserve">Recommendation 2: </w:t>
            </w:r>
            <w:r w:rsidRPr="003443C5">
              <w:rPr>
                <w:rFonts w:asciiTheme="minorHAnsi" w:hAnsiTheme="minorHAnsi" w:cstheme="minorHAnsi"/>
                <w:sz w:val="22"/>
                <w:szCs w:val="22"/>
              </w:rPr>
              <w:t>The SPA Steering Committee seek advice from BRAC regarding potential financial scenarios (including internal and external funding sources) for implementation of the remainder of the BRAC Strategy (to 2020) and beyond. These scenarios could range from the minimum feasible financial scenario (i.e. funding priorities that are indispensable to fulfilling BRAC’s mission within a fixed timeframe) to the ideal.</w:t>
            </w:r>
          </w:p>
        </w:tc>
        <w:tc>
          <w:tcPr>
            <w:tcW w:w="1624" w:type="pct"/>
            <w:shd w:val="clear" w:color="auto" w:fill="auto"/>
          </w:tcPr>
          <w:p w14:paraId="01D1148A" w14:textId="27413463" w:rsidR="0097271E" w:rsidRPr="003443C5" w:rsidRDefault="00962249" w:rsidP="00BC7CFD">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t xml:space="preserve">While the BRAC Strategy </w:t>
            </w:r>
            <w:r w:rsidR="00B83B13">
              <w:rPr>
                <w:rFonts w:asciiTheme="minorHAnsi" w:hAnsiTheme="minorHAnsi" w:cstheme="minorHAnsi"/>
                <w:color w:val="auto"/>
                <w:sz w:val="22"/>
                <w:szCs w:val="22"/>
              </w:rPr>
              <w:t xml:space="preserve">(2016-2020) </w:t>
            </w:r>
            <w:r w:rsidRPr="003443C5">
              <w:rPr>
                <w:rFonts w:asciiTheme="minorHAnsi" w:hAnsiTheme="minorHAnsi" w:cstheme="minorHAnsi"/>
                <w:color w:val="auto"/>
                <w:sz w:val="22"/>
                <w:szCs w:val="22"/>
              </w:rPr>
              <w:t>provides a detailed budget, it does not include a detailed financial plan that outlines targets for income generation and income diversification, and that would support BRAC to track its progress against financial goals</w:t>
            </w:r>
            <w:r w:rsidR="00BC7CFD" w:rsidRPr="003443C5">
              <w:rPr>
                <w:rFonts w:asciiTheme="minorHAnsi" w:hAnsiTheme="minorHAnsi" w:cstheme="minorHAnsi"/>
                <w:color w:val="auto"/>
                <w:sz w:val="22"/>
                <w:szCs w:val="22"/>
              </w:rPr>
              <w:t xml:space="preserve"> and identify a</w:t>
            </w:r>
            <w:r w:rsidR="007215E7">
              <w:rPr>
                <w:rFonts w:asciiTheme="minorHAnsi" w:hAnsiTheme="minorHAnsi" w:cstheme="minorHAnsi"/>
                <w:color w:val="auto"/>
                <w:sz w:val="22"/>
                <w:szCs w:val="22"/>
              </w:rPr>
              <w:t xml:space="preserve">ny impact on development results. </w:t>
            </w:r>
          </w:p>
        </w:tc>
        <w:tc>
          <w:tcPr>
            <w:tcW w:w="1672" w:type="pct"/>
            <w:shd w:val="clear" w:color="auto" w:fill="FFFFFF" w:themeFill="background1"/>
          </w:tcPr>
          <w:p w14:paraId="5BB55AF0" w14:textId="77777777" w:rsidR="0097271E" w:rsidRPr="003443C5" w:rsidRDefault="00962249" w:rsidP="007215E7">
            <w:pPr>
              <w:spacing w:after="120"/>
              <w:rPr>
                <w:rFonts w:asciiTheme="minorHAnsi" w:hAnsiTheme="minorHAnsi" w:cstheme="minorHAnsi"/>
                <w:b/>
                <w:sz w:val="22"/>
                <w:szCs w:val="22"/>
              </w:rPr>
            </w:pPr>
            <w:r w:rsidRPr="003443C5">
              <w:rPr>
                <w:rFonts w:asciiTheme="minorHAnsi" w:hAnsiTheme="minorHAnsi" w:cstheme="minorHAnsi"/>
                <w:b/>
                <w:sz w:val="22"/>
                <w:szCs w:val="22"/>
              </w:rPr>
              <w:t>Agreed</w:t>
            </w:r>
          </w:p>
          <w:p w14:paraId="4D0DA2C3" w14:textId="2B680724" w:rsidR="00962249" w:rsidRPr="003443C5" w:rsidRDefault="00962249" w:rsidP="007215E7">
            <w:pPr>
              <w:spacing w:after="120"/>
              <w:rPr>
                <w:rFonts w:asciiTheme="minorHAnsi" w:hAnsiTheme="minorHAnsi" w:cstheme="minorHAnsi"/>
                <w:sz w:val="22"/>
                <w:szCs w:val="22"/>
              </w:rPr>
            </w:pPr>
            <w:r w:rsidRPr="003443C5">
              <w:rPr>
                <w:rFonts w:asciiTheme="minorHAnsi" w:hAnsiTheme="minorHAnsi" w:cstheme="minorHAnsi"/>
                <w:sz w:val="22"/>
                <w:szCs w:val="22"/>
              </w:rPr>
              <w:t xml:space="preserve">BRAC </w:t>
            </w:r>
            <w:r w:rsidR="007215E7">
              <w:rPr>
                <w:rFonts w:asciiTheme="minorHAnsi" w:hAnsiTheme="minorHAnsi" w:cstheme="minorHAnsi"/>
                <w:sz w:val="22"/>
                <w:szCs w:val="22"/>
              </w:rPr>
              <w:t xml:space="preserve">has </w:t>
            </w:r>
            <w:r w:rsidRPr="003443C5">
              <w:rPr>
                <w:rFonts w:asciiTheme="minorHAnsi" w:hAnsiTheme="minorHAnsi" w:cstheme="minorHAnsi"/>
                <w:sz w:val="22"/>
                <w:szCs w:val="22"/>
              </w:rPr>
              <w:t xml:space="preserve">prepared Financial Scenarios for the remainder of SPA Phase 2, and these were discussed at the April 2019 Steering Committee meeting. </w:t>
            </w:r>
          </w:p>
        </w:tc>
        <w:tc>
          <w:tcPr>
            <w:tcW w:w="655" w:type="pct"/>
            <w:shd w:val="clear" w:color="auto" w:fill="FFFFFF" w:themeFill="background1"/>
          </w:tcPr>
          <w:p w14:paraId="1F29E843" w14:textId="18A14B5E" w:rsidR="0097271E" w:rsidRPr="003443C5" w:rsidRDefault="00962249" w:rsidP="00C02346">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Completed.</w:t>
            </w:r>
          </w:p>
        </w:tc>
      </w:tr>
      <w:tr w:rsidR="00A50F09" w:rsidRPr="003F06E6" w14:paraId="0F0CAF08" w14:textId="77777777" w:rsidTr="00053FA0">
        <w:tc>
          <w:tcPr>
            <w:tcW w:w="1049" w:type="pct"/>
            <w:shd w:val="clear" w:color="auto" w:fill="FFFFFF" w:themeFill="background1"/>
          </w:tcPr>
          <w:p w14:paraId="776D6391" w14:textId="4066D8C6" w:rsidR="0097271E" w:rsidRPr="003443C5" w:rsidRDefault="0097271E" w:rsidP="0097271E">
            <w:pPr>
              <w:rPr>
                <w:rFonts w:asciiTheme="minorHAnsi" w:hAnsiTheme="minorHAnsi" w:cstheme="minorHAnsi"/>
                <w:sz w:val="22"/>
                <w:szCs w:val="22"/>
              </w:rPr>
            </w:pPr>
            <w:r w:rsidRPr="003443C5">
              <w:rPr>
                <w:rFonts w:asciiTheme="minorHAnsi" w:hAnsiTheme="minorHAnsi" w:cstheme="minorHAnsi"/>
                <w:sz w:val="22"/>
                <w:szCs w:val="22"/>
                <w:u w:val="single"/>
              </w:rPr>
              <w:t xml:space="preserve">Recommendation 3: </w:t>
            </w:r>
            <w:r w:rsidRPr="003443C5">
              <w:rPr>
                <w:rFonts w:asciiTheme="minorHAnsi" w:hAnsiTheme="minorHAnsi" w:cstheme="minorHAnsi"/>
                <w:sz w:val="22"/>
                <w:szCs w:val="22"/>
              </w:rPr>
              <w:t xml:space="preserve">The SPA Steering Committee seek advice from BRAC on the preferred financial scenario beyond 2020 </w:t>
            </w:r>
            <w:r w:rsidRPr="003443C5">
              <w:rPr>
                <w:rFonts w:asciiTheme="minorHAnsi" w:hAnsiTheme="minorHAnsi" w:cstheme="minorHAnsi"/>
                <w:sz w:val="22"/>
                <w:szCs w:val="22"/>
              </w:rPr>
              <w:lastRenderedPageBreak/>
              <w:t xml:space="preserve">(including internal and external funding sources) and the role of SPA funding within that scenario, in order to facilitate SPA partner medium term financial planning.   </w:t>
            </w:r>
          </w:p>
          <w:p w14:paraId="36CB0B72" w14:textId="60BC2929" w:rsidR="00A50F09" w:rsidRPr="003443C5" w:rsidRDefault="00A50F09" w:rsidP="00477164">
            <w:pPr>
              <w:autoSpaceDE w:val="0"/>
              <w:autoSpaceDN w:val="0"/>
              <w:adjustRightInd w:val="0"/>
              <w:spacing w:after="60"/>
              <w:rPr>
                <w:rFonts w:asciiTheme="minorHAnsi" w:hAnsiTheme="minorHAnsi" w:cstheme="minorHAnsi"/>
                <w:sz w:val="22"/>
                <w:szCs w:val="22"/>
              </w:rPr>
            </w:pPr>
          </w:p>
        </w:tc>
        <w:tc>
          <w:tcPr>
            <w:tcW w:w="1624" w:type="pct"/>
            <w:shd w:val="clear" w:color="auto" w:fill="auto"/>
          </w:tcPr>
          <w:p w14:paraId="2682D827" w14:textId="18020CFB" w:rsidR="00A50F09" w:rsidRPr="003443C5" w:rsidRDefault="00BC7CFD" w:rsidP="00477164">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lastRenderedPageBreak/>
              <w:t xml:space="preserve">As above. </w:t>
            </w:r>
          </w:p>
        </w:tc>
        <w:tc>
          <w:tcPr>
            <w:tcW w:w="1672" w:type="pct"/>
            <w:shd w:val="clear" w:color="auto" w:fill="FFFFFF" w:themeFill="background1"/>
          </w:tcPr>
          <w:p w14:paraId="709178B4" w14:textId="31A808E4" w:rsidR="00BC7CFD" w:rsidRPr="003443C5" w:rsidRDefault="00BC7CFD" w:rsidP="007215E7">
            <w:pPr>
              <w:spacing w:after="120"/>
              <w:rPr>
                <w:rFonts w:asciiTheme="minorHAnsi" w:hAnsiTheme="minorHAnsi" w:cstheme="minorHAnsi"/>
                <w:b/>
                <w:sz w:val="22"/>
                <w:szCs w:val="22"/>
              </w:rPr>
            </w:pPr>
            <w:r w:rsidRPr="003443C5">
              <w:rPr>
                <w:rFonts w:asciiTheme="minorHAnsi" w:hAnsiTheme="minorHAnsi" w:cstheme="minorHAnsi"/>
                <w:b/>
                <w:sz w:val="22"/>
                <w:szCs w:val="22"/>
              </w:rPr>
              <w:t>Agreed</w:t>
            </w:r>
          </w:p>
          <w:p w14:paraId="7F813F0D" w14:textId="629E99D5" w:rsidR="00BC7CFD" w:rsidRPr="003443C5" w:rsidRDefault="00BC7CFD" w:rsidP="001F553F">
            <w:pPr>
              <w:spacing w:after="120"/>
              <w:rPr>
                <w:rFonts w:asciiTheme="minorHAnsi" w:hAnsiTheme="minorHAnsi" w:cstheme="minorHAnsi"/>
                <w:sz w:val="22"/>
                <w:szCs w:val="22"/>
              </w:rPr>
            </w:pPr>
            <w:r w:rsidRPr="003443C5">
              <w:rPr>
                <w:rFonts w:asciiTheme="minorHAnsi" w:hAnsiTheme="minorHAnsi" w:cstheme="minorHAnsi"/>
                <w:sz w:val="22"/>
                <w:szCs w:val="22"/>
              </w:rPr>
              <w:t>The Steering Committee discussed this recommendation at its April 2019 meeting.  BRAC</w:t>
            </w:r>
            <w:r w:rsidR="007215E7">
              <w:rPr>
                <w:rFonts w:asciiTheme="minorHAnsi" w:hAnsiTheme="minorHAnsi" w:cstheme="minorHAnsi"/>
                <w:sz w:val="22"/>
                <w:szCs w:val="22"/>
              </w:rPr>
              <w:t xml:space="preserve"> have committed to developing financial scenarios for </w:t>
            </w:r>
            <w:r w:rsidR="007215E7">
              <w:rPr>
                <w:rFonts w:asciiTheme="minorHAnsi" w:hAnsiTheme="minorHAnsi" w:cstheme="minorHAnsi"/>
                <w:sz w:val="22"/>
                <w:szCs w:val="22"/>
              </w:rPr>
              <w:lastRenderedPageBreak/>
              <w:t>beyond 2020 in the context of their</w:t>
            </w:r>
            <w:r w:rsidRPr="003443C5">
              <w:rPr>
                <w:rFonts w:asciiTheme="minorHAnsi" w:hAnsiTheme="minorHAnsi" w:cstheme="minorHAnsi"/>
                <w:sz w:val="22"/>
                <w:szCs w:val="22"/>
              </w:rPr>
              <w:t xml:space="preserve"> </w:t>
            </w:r>
            <w:r w:rsidR="007215E7">
              <w:rPr>
                <w:rFonts w:asciiTheme="minorHAnsi" w:hAnsiTheme="minorHAnsi" w:cstheme="minorHAnsi"/>
                <w:sz w:val="22"/>
                <w:szCs w:val="22"/>
              </w:rPr>
              <w:t>new strategy (2021-202</w:t>
            </w:r>
            <w:r w:rsidR="001F553F">
              <w:rPr>
                <w:rFonts w:asciiTheme="minorHAnsi" w:hAnsiTheme="minorHAnsi" w:cstheme="minorHAnsi"/>
                <w:sz w:val="22"/>
                <w:szCs w:val="22"/>
              </w:rPr>
              <w:t>5</w:t>
            </w:r>
            <w:r w:rsidR="007215E7">
              <w:rPr>
                <w:rFonts w:asciiTheme="minorHAnsi" w:hAnsiTheme="minorHAnsi" w:cstheme="minorHAnsi"/>
                <w:sz w:val="22"/>
                <w:szCs w:val="22"/>
              </w:rPr>
              <w:t xml:space="preserve">), and presented preliminary scenarios at the November 2019 Steering Committee meeting. </w:t>
            </w:r>
            <w:r w:rsidRPr="003443C5">
              <w:rPr>
                <w:rFonts w:asciiTheme="minorHAnsi" w:hAnsiTheme="minorHAnsi" w:cstheme="minorHAnsi"/>
                <w:sz w:val="22"/>
                <w:szCs w:val="22"/>
              </w:rPr>
              <w:t xml:space="preserve"> Discussions on the role of SPA funding are being undertaken in the context of discussions about </w:t>
            </w:r>
            <w:r w:rsidR="007215E7">
              <w:rPr>
                <w:rFonts w:asciiTheme="minorHAnsi" w:hAnsiTheme="minorHAnsi" w:cstheme="minorHAnsi"/>
                <w:sz w:val="22"/>
                <w:szCs w:val="22"/>
              </w:rPr>
              <w:t xml:space="preserve">the next BRAC Strategy. </w:t>
            </w:r>
            <w:r w:rsidRPr="003443C5">
              <w:rPr>
                <w:rFonts w:asciiTheme="minorHAnsi" w:hAnsiTheme="minorHAnsi" w:cstheme="minorHAnsi"/>
                <w:sz w:val="22"/>
                <w:szCs w:val="22"/>
              </w:rPr>
              <w:t xml:space="preserve"> </w:t>
            </w:r>
          </w:p>
        </w:tc>
        <w:tc>
          <w:tcPr>
            <w:tcW w:w="655" w:type="pct"/>
            <w:shd w:val="clear" w:color="auto" w:fill="FFFFFF" w:themeFill="background1"/>
          </w:tcPr>
          <w:p w14:paraId="2EE129C8" w14:textId="6BB193AB" w:rsidR="00C53914" w:rsidRPr="003443C5" w:rsidRDefault="00BC7CFD" w:rsidP="00C02346">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lastRenderedPageBreak/>
              <w:t>Discussions to be completed by June 2020</w:t>
            </w:r>
          </w:p>
        </w:tc>
      </w:tr>
      <w:tr w:rsidR="00A50F09" w:rsidRPr="003F06E6" w14:paraId="08F7141F" w14:textId="77777777" w:rsidTr="00053FA0">
        <w:tc>
          <w:tcPr>
            <w:tcW w:w="1049" w:type="pct"/>
            <w:shd w:val="clear" w:color="auto" w:fill="FFFFFF" w:themeFill="background1"/>
          </w:tcPr>
          <w:p w14:paraId="4DC5A22B" w14:textId="1C80F2FC" w:rsidR="00A50F09" w:rsidRPr="003443C5" w:rsidRDefault="0097271E" w:rsidP="0097271E">
            <w:pPr>
              <w:rPr>
                <w:rFonts w:asciiTheme="minorHAnsi" w:hAnsiTheme="minorHAnsi" w:cstheme="minorHAnsi"/>
                <w:sz w:val="22"/>
                <w:szCs w:val="22"/>
              </w:rPr>
            </w:pPr>
            <w:r w:rsidRPr="003443C5">
              <w:rPr>
                <w:rFonts w:asciiTheme="minorHAnsi" w:hAnsiTheme="minorHAnsi" w:cstheme="minorHAnsi"/>
                <w:sz w:val="22"/>
                <w:szCs w:val="22"/>
                <w:u w:val="single"/>
              </w:rPr>
              <w:t xml:space="preserve">Recommendation 4: </w:t>
            </w:r>
            <w:r w:rsidRPr="003443C5">
              <w:rPr>
                <w:rFonts w:asciiTheme="minorHAnsi" w:hAnsiTheme="minorHAnsi" w:cstheme="minorHAnsi"/>
                <w:sz w:val="22"/>
                <w:szCs w:val="22"/>
              </w:rPr>
              <w:t>The SPA Steering Committee and Technical Working Group (TWG) to ensure that the consideration of ‘Value for Money’ in both the evaluability assessment and ToR for the End of SPA Phase 2 Review integrate attention to the quality, as well as the quantity of results and the adaptive principles and transformative approaches implemented by BRAC.</w:t>
            </w:r>
          </w:p>
        </w:tc>
        <w:tc>
          <w:tcPr>
            <w:tcW w:w="1624" w:type="pct"/>
            <w:shd w:val="clear" w:color="auto" w:fill="auto"/>
          </w:tcPr>
          <w:p w14:paraId="258FFD37" w14:textId="449EE357" w:rsidR="00776441" w:rsidRPr="003443C5" w:rsidRDefault="00776441" w:rsidP="00776441">
            <w:pPr>
              <w:pStyle w:val="BodyA"/>
              <w:pBdr>
                <w:top w:val="none" w:sz="0" w:space="0" w:color="auto"/>
                <w:left w:val="none" w:sz="0" w:space="0" w:color="auto"/>
                <w:bottom w:val="none" w:sz="0" w:space="0" w:color="auto"/>
                <w:right w:val="none" w:sz="0" w:space="0" w:color="auto"/>
              </w:pBdr>
              <w:spacing w:line="240" w:lineRule="auto"/>
              <w:rPr>
                <w:rFonts w:asciiTheme="minorHAnsi" w:hAnsiTheme="minorHAnsi" w:cstheme="minorHAnsi"/>
                <w:color w:val="auto"/>
              </w:rPr>
            </w:pPr>
            <w:r w:rsidRPr="003443C5">
              <w:rPr>
                <w:rFonts w:asciiTheme="minorHAnsi" w:hAnsiTheme="minorHAnsi" w:cstheme="minorHAnsi"/>
                <w:color w:val="auto"/>
              </w:rPr>
              <w:t>The core flexible funding and collaborative governance of the SPA partnership modality is delivering more value for money than other modalities.  The partnership has enabled BRAC to pilot and scale up programs in response to emerging needs; innovate within existing programs; sustain efforts and deliver outcomes in hard to fund rights-based programs, such as women’s empowerment;</w:t>
            </w:r>
            <w:r w:rsidR="003B0FDE">
              <w:rPr>
                <w:rFonts w:asciiTheme="minorHAnsi" w:hAnsiTheme="minorHAnsi" w:cstheme="minorHAnsi"/>
                <w:color w:val="auto"/>
              </w:rPr>
              <w:t xml:space="preserve"> pilot social enterprise approaches; </w:t>
            </w:r>
            <w:r w:rsidRPr="003443C5">
              <w:rPr>
                <w:rFonts w:asciiTheme="minorHAnsi" w:hAnsiTheme="minorHAnsi" w:cstheme="minorHAnsi"/>
                <w:color w:val="auto"/>
              </w:rPr>
              <w:t xml:space="preserve">and increase organisational efficiency </w:t>
            </w:r>
            <w:r w:rsidR="007215E7">
              <w:rPr>
                <w:rFonts w:asciiTheme="minorHAnsi" w:hAnsiTheme="minorHAnsi" w:cstheme="minorHAnsi"/>
                <w:color w:val="auto"/>
              </w:rPr>
              <w:t xml:space="preserve">and effectiveness </w:t>
            </w:r>
            <w:r w:rsidRPr="003443C5">
              <w:rPr>
                <w:rFonts w:asciiTheme="minorHAnsi" w:hAnsiTheme="minorHAnsi" w:cstheme="minorHAnsi"/>
                <w:color w:val="auto"/>
              </w:rPr>
              <w:t xml:space="preserve">by improving management systems.  </w:t>
            </w:r>
          </w:p>
          <w:p w14:paraId="31EB25B0" w14:textId="108A8697" w:rsidR="00A50F09" w:rsidRPr="003443C5" w:rsidRDefault="00A50F09" w:rsidP="00477164">
            <w:pPr>
              <w:pStyle w:val="Heading3"/>
              <w:spacing w:before="0" w:after="60"/>
              <w:outlineLvl w:val="2"/>
              <w:rPr>
                <w:rFonts w:asciiTheme="minorHAnsi" w:hAnsiTheme="minorHAnsi" w:cstheme="minorHAnsi"/>
                <w:color w:val="auto"/>
                <w:sz w:val="22"/>
                <w:szCs w:val="22"/>
              </w:rPr>
            </w:pPr>
          </w:p>
        </w:tc>
        <w:tc>
          <w:tcPr>
            <w:tcW w:w="1672" w:type="pct"/>
            <w:shd w:val="clear" w:color="auto" w:fill="FFFFFF" w:themeFill="background1"/>
          </w:tcPr>
          <w:p w14:paraId="4C2F81A1" w14:textId="77777777" w:rsidR="00A50F09" w:rsidRPr="003443C5" w:rsidRDefault="000727C2" w:rsidP="007215E7">
            <w:pPr>
              <w:pStyle w:val="BodyText"/>
              <w:rPr>
                <w:rFonts w:asciiTheme="minorHAnsi" w:hAnsiTheme="minorHAnsi" w:cstheme="minorHAnsi"/>
                <w:b/>
                <w:sz w:val="22"/>
                <w:szCs w:val="22"/>
              </w:rPr>
            </w:pPr>
            <w:r w:rsidRPr="003443C5">
              <w:rPr>
                <w:rFonts w:asciiTheme="minorHAnsi" w:hAnsiTheme="minorHAnsi" w:cstheme="minorHAnsi"/>
                <w:b/>
                <w:sz w:val="22"/>
                <w:szCs w:val="22"/>
              </w:rPr>
              <w:t xml:space="preserve">Agreed </w:t>
            </w:r>
          </w:p>
          <w:p w14:paraId="2DFA5232" w14:textId="6E88C408" w:rsidR="00776441" w:rsidRPr="003443C5" w:rsidRDefault="00776441" w:rsidP="007215E7">
            <w:pPr>
              <w:pStyle w:val="BodyText"/>
              <w:rPr>
                <w:rFonts w:asciiTheme="minorHAnsi" w:hAnsiTheme="minorHAnsi" w:cstheme="minorHAnsi"/>
                <w:sz w:val="22"/>
                <w:szCs w:val="22"/>
              </w:rPr>
            </w:pPr>
            <w:r w:rsidRPr="003443C5">
              <w:rPr>
                <w:rFonts w:asciiTheme="minorHAnsi" w:hAnsiTheme="minorHAnsi" w:cstheme="minorHAnsi"/>
                <w:sz w:val="22"/>
                <w:szCs w:val="22"/>
              </w:rPr>
              <w:t>DFID, as the lead on the end of SPA Phase 2 evaluation</w:t>
            </w:r>
            <w:r w:rsidR="00394A60" w:rsidRPr="003443C5">
              <w:rPr>
                <w:rFonts w:asciiTheme="minorHAnsi" w:hAnsiTheme="minorHAnsi" w:cstheme="minorHAnsi"/>
                <w:sz w:val="22"/>
                <w:szCs w:val="22"/>
              </w:rPr>
              <w:t>,</w:t>
            </w:r>
            <w:r w:rsidRPr="003443C5">
              <w:rPr>
                <w:rFonts w:asciiTheme="minorHAnsi" w:hAnsiTheme="minorHAnsi" w:cstheme="minorHAnsi"/>
                <w:sz w:val="22"/>
                <w:szCs w:val="22"/>
              </w:rPr>
              <w:t xml:space="preserve"> has agreed to explore the </w:t>
            </w:r>
            <w:r w:rsidR="00394A60" w:rsidRPr="003443C5">
              <w:rPr>
                <w:rFonts w:asciiTheme="minorHAnsi" w:hAnsiTheme="minorHAnsi" w:cstheme="minorHAnsi"/>
                <w:sz w:val="22"/>
                <w:szCs w:val="22"/>
              </w:rPr>
              <w:t xml:space="preserve">recommended approaches to VfM contained in the </w:t>
            </w:r>
            <w:r w:rsidR="009D31DE">
              <w:rPr>
                <w:rFonts w:asciiTheme="minorHAnsi" w:hAnsiTheme="minorHAnsi" w:cstheme="minorHAnsi"/>
                <w:sz w:val="22"/>
                <w:szCs w:val="22"/>
              </w:rPr>
              <w:t xml:space="preserve">UK </w:t>
            </w:r>
            <w:r w:rsidR="00394A60" w:rsidRPr="003443C5">
              <w:rPr>
                <w:rFonts w:asciiTheme="minorHAnsi" w:hAnsiTheme="minorHAnsi" w:cstheme="minorHAnsi"/>
                <w:sz w:val="22"/>
                <w:szCs w:val="22"/>
              </w:rPr>
              <w:t xml:space="preserve">Independent Commission for Aid Impact’s report – </w:t>
            </w:r>
            <w:r w:rsidR="00394A60" w:rsidRPr="003443C5">
              <w:rPr>
                <w:rFonts w:asciiTheme="minorHAnsi" w:hAnsiTheme="minorHAnsi" w:cstheme="minorHAnsi"/>
                <w:i/>
                <w:sz w:val="22"/>
                <w:szCs w:val="22"/>
              </w:rPr>
              <w:t>DFID’s approach to VfM in programme and portfolio management: a performance review</w:t>
            </w:r>
            <w:r w:rsidR="003B0FDE">
              <w:rPr>
                <w:rFonts w:asciiTheme="minorHAnsi" w:hAnsiTheme="minorHAnsi" w:cstheme="minorHAnsi"/>
                <w:i/>
                <w:sz w:val="22"/>
                <w:szCs w:val="22"/>
              </w:rPr>
              <w:t>,</w:t>
            </w:r>
            <w:r w:rsidR="003B0FDE" w:rsidRPr="003B0FDE">
              <w:rPr>
                <w:rFonts w:asciiTheme="minorHAnsi" w:hAnsiTheme="minorHAnsi" w:cstheme="minorHAnsi"/>
                <w:sz w:val="22"/>
                <w:szCs w:val="22"/>
              </w:rPr>
              <w:t xml:space="preserve"> which is referenced in the MTR</w:t>
            </w:r>
            <w:r w:rsidR="00394A60" w:rsidRPr="003B0FDE">
              <w:rPr>
                <w:rFonts w:asciiTheme="minorHAnsi" w:hAnsiTheme="minorHAnsi" w:cstheme="minorHAnsi"/>
                <w:sz w:val="22"/>
                <w:szCs w:val="22"/>
              </w:rPr>
              <w:t>.</w:t>
            </w:r>
            <w:r w:rsidRPr="003443C5">
              <w:rPr>
                <w:rFonts w:asciiTheme="minorHAnsi" w:hAnsiTheme="minorHAnsi" w:cstheme="minorHAnsi"/>
                <w:i/>
                <w:sz w:val="22"/>
                <w:szCs w:val="22"/>
              </w:rPr>
              <w:t xml:space="preserve"> </w:t>
            </w:r>
          </w:p>
        </w:tc>
        <w:tc>
          <w:tcPr>
            <w:tcW w:w="655" w:type="pct"/>
            <w:shd w:val="clear" w:color="auto" w:fill="FFFFFF" w:themeFill="background1"/>
          </w:tcPr>
          <w:p w14:paraId="0B02E425" w14:textId="0383D1D6" w:rsidR="00A50F09" w:rsidRPr="003443C5" w:rsidRDefault="007A798B"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Completed</w:t>
            </w:r>
          </w:p>
        </w:tc>
      </w:tr>
      <w:tr w:rsidR="00A50F09" w:rsidRPr="003F06E6" w14:paraId="17E54EFC" w14:textId="77777777" w:rsidTr="00053FA0">
        <w:tc>
          <w:tcPr>
            <w:tcW w:w="1049" w:type="pct"/>
            <w:shd w:val="clear" w:color="auto" w:fill="FFFFFF" w:themeFill="background1"/>
          </w:tcPr>
          <w:p w14:paraId="09CB90FA" w14:textId="35FF38E8" w:rsidR="00A50F09" w:rsidRPr="003443C5" w:rsidRDefault="0097271E" w:rsidP="007A798B">
            <w:pPr>
              <w:rPr>
                <w:rFonts w:asciiTheme="minorHAnsi" w:hAnsiTheme="minorHAnsi" w:cstheme="minorHAnsi"/>
                <w:sz w:val="22"/>
                <w:szCs w:val="22"/>
              </w:rPr>
            </w:pPr>
            <w:r w:rsidRPr="003443C5">
              <w:rPr>
                <w:rFonts w:asciiTheme="minorHAnsi" w:hAnsiTheme="minorHAnsi" w:cstheme="minorHAnsi"/>
                <w:sz w:val="22"/>
                <w:szCs w:val="22"/>
                <w:u w:val="single"/>
              </w:rPr>
              <w:t xml:space="preserve">Recommendation 5: </w:t>
            </w:r>
            <w:r w:rsidRPr="003443C5">
              <w:rPr>
                <w:rFonts w:asciiTheme="minorHAnsi" w:hAnsiTheme="minorHAnsi" w:cstheme="minorHAnsi"/>
                <w:sz w:val="22"/>
                <w:szCs w:val="22"/>
              </w:rPr>
              <w:t>The passive concept of a ‘knowledge partnership’ is replaced by the active concept of ‘expanding influence’ in all relevant SPA documents and the K</w:t>
            </w:r>
            <w:r w:rsidR="007A798B">
              <w:rPr>
                <w:rFonts w:asciiTheme="minorHAnsi" w:hAnsiTheme="minorHAnsi" w:cstheme="minorHAnsi"/>
                <w:sz w:val="22"/>
                <w:szCs w:val="22"/>
              </w:rPr>
              <w:t xml:space="preserve">nowledge </w:t>
            </w:r>
            <w:r w:rsidRPr="003443C5">
              <w:rPr>
                <w:rFonts w:asciiTheme="minorHAnsi" w:hAnsiTheme="minorHAnsi" w:cstheme="minorHAnsi"/>
                <w:sz w:val="22"/>
                <w:szCs w:val="22"/>
              </w:rPr>
              <w:t>P</w:t>
            </w:r>
            <w:r w:rsidR="007A798B">
              <w:rPr>
                <w:rFonts w:asciiTheme="minorHAnsi" w:hAnsiTheme="minorHAnsi" w:cstheme="minorHAnsi"/>
                <w:sz w:val="22"/>
                <w:szCs w:val="22"/>
              </w:rPr>
              <w:t xml:space="preserve">artnership </w:t>
            </w:r>
            <w:r w:rsidRPr="003443C5">
              <w:rPr>
                <w:rFonts w:asciiTheme="minorHAnsi" w:hAnsiTheme="minorHAnsi" w:cstheme="minorHAnsi"/>
                <w:sz w:val="22"/>
                <w:szCs w:val="22"/>
              </w:rPr>
              <w:t>A</w:t>
            </w:r>
            <w:r w:rsidR="007A798B">
              <w:rPr>
                <w:rFonts w:asciiTheme="minorHAnsi" w:hAnsiTheme="minorHAnsi" w:cstheme="minorHAnsi"/>
                <w:sz w:val="22"/>
                <w:szCs w:val="22"/>
              </w:rPr>
              <w:t xml:space="preserve">ction </w:t>
            </w:r>
            <w:r w:rsidRPr="003443C5">
              <w:rPr>
                <w:rFonts w:asciiTheme="minorHAnsi" w:hAnsiTheme="minorHAnsi" w:cstheme="minorHAnsi"/>
                <w:sz w:val="22"/>
                <w:szCs w:val="22"/>
              </w:rPr>
              <w:t>P</w:t>
            </w:r>
            <w:r w:rsidR="007A798B">
              <w:rPr>
                <w:rFonts w:asciiTheme="minorHAnsi" w:hAnsiTheme="minorHAnsi" w:cstheme="minorHAnsi"/>
                <w:sz w:val="22"/>
                <w:szCs w:val="22"/>
              </w:rPr>
              <w:t>lan</w:t>
            </w:r>
            <w:r w:rsidRPr="003443C5">
              <w:rPr>
                <w:rFonts w:asciiTheme="minorHAnsi" w:hAnsiTheme="minorHAnsi" w:cstheme="minorHAnsi"/>
                <w:sz w:val="22"/>
                <w:szCs w:val="22"/>
              </w:rPr>
              <w:t xml:space="preserve"> is replaced by a jointly developed and implemented Partnership Engagement and Policy Dialogue Framework (Appendix E) to give </w:t>
            </w:r>
            <w:r w:rsidRPr="003443C5">
              <w:rPr>
                <w:rFonts w:asciiTheme="minorHAnsi" w:hAnsiTheme="minorHAnsi" w:cstheme="minorHAnsi"/>
                <w:sz w:val="22"/>
                <w:szCs w:val="22"/>
              </w:rPr>
              <w:lastRenderedPageBreak/>
              <w:t>practical expression to the shared intent to expand the influence of BRAC approaches</w:t>
            </w:r>
            <w:r w:rsidR="00775B28" w:rsidRPr="003443C5">
              <w:rPr>
                <w:rFonts w:asciiTheme="minorHAnsi" w:hAnsiTheme="minorHAnsi" w:cstheme="minorHAnsi"/>
                <w:sz w:val="22"/>
                <w:szCs w:val="22"/>
              </w:rPr>
              <w:t>.</w:t>
            </w:r>
          </w:p>
        </w:tc>
        <w:tc>
          <w:tcPr>
            <w:tcW w:w="1624" w:type="pct"/>
            <w:shd w:val="clear" w:color="auto" w:fill="auto"/>
          </w:tcPr>
          <w:p w14:paraId="618584A2" w14:textId="503636D7" w:rsidR="00A50F09" w:rsidRPr="003443C5" w:rsidRDefault="0014432A" w:rsidP="003B0FDE">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lastRenderedPageBreak/>
              <w:t xml:space="preserve">There has been limited progress against </w:t>
            </w:r>
            <w:r w:rsidR="005D6697" w:rsidRPr="003443C5">
              <w:rPr>
                <w:rFonts w:asciiTheme="minorHAnsi" w:hAnsiTheme="minorHAnsi" w:cstheme="minorHAnsi"/>
                <w:color w:val="auto"/>
                <w:sz w:val="22"/>
                <w:szCs w:val="22"/>
              </w:rPr>
              <w:t xml:space="preserve">SPA objectives 3 and 4. A lack of specificity on the purpose of the knowledge partnership and a lack of practical mechanisms to achieve results hampered efforts. </w:t>
            </w:r>
            <w:r w:rsidRPr="003443C5">
              <w:rPr>
                <w:rFonts w:asciiTheme="minorHAnsi" w:hAnsiTheme="minorHAnsi" w:cstheme="minorHAnsi"/>
                <w:color w:val="auto"/>
                <w:sz w:val="22"/>
                <w:szCs w:val="22"/>
              </w:rPr>
              <w:t xml:space="preserve"> </w:t>
            </w:r>
            <w:r w:rsidR="005D6697" w:rsidRPr="003443C5">
              <w:rPr>
                <w:rFonts w:asciiTheme="minorHAnsi" w:hAnsiTheme="minorHAnsi" w:cstheme="minorHAnsi"/>
                <w:color w:val="auto"/>
                <w:sz w:val="22"/>
                <w:szCs w:val="22"/>
              </w:rPr>
              <w:t>Institutional factors also contributed (eg. staff turnover; changing institutional incentives</w:t>
            </w:r>
            <w:r w:rsidR="003B0FDE">
              <w:rPr>
                <w:rFonts w:asciiTheme="minorHAnsi" w:hAnsiTheme="minorHAnsi" w:cstheme="minorHAnsi"/>
                <w:color w:val="auto"/>
                <w:sz w:val="22"/>
                <w:szCs w:val="22"/>
              </w:rPr>
              <w:t>)</w:t>
            </w:r>
            <w:r w:rsidR="005D6697" w:rsidRPr="003443C5">
              <w:rPr>
                <w:rFonts w:asciiTheme="minorHAnsi" w:hAnsiTheme="minorHAnsi" w:cstheme="minorHAnsi"/>
                <w:color w:val="auto"/>
                <w:sz w:val="22"/>
                <w:szCs w:val="22"/>
              </w:rPr>
              <w:t xml:space="preserve">.  The </w:t>
            </w:r>
            <w:r w:rsidR="003B0FDE">
              <w:rPr>
                <w:rFonts w:asciiTheme="minorHAnsi" w:hAnsiTheme="minorHAnsi" w:cstheme="minorHAnsi"/>
                <w:color w:val="auto"/>
                <w:sz w:val="22"/>
                <w:szCs w:val="22"/>
              </w:rPr>
              <w:t xml:space="preserve">SPA </w:t>
            </w:r>
            <w:r w:rsidR="005D6697" w:rsidRPr="003443C5">
              <w:rPr>
                <w:rFonts w:asciiTheme="minorHAnsi" w:hAnsiTheme="minorHAnsi" w:cstheme="minorHAnsi"/>
                <w:color w:val="auto"/>
                <w:sz w:val="22"/>
                <w:szCs w:val="22"/>
              </w:rPr>
              <w:t>objectives have become disconn</w:t>
            </w:r>
            <w:r w:rsidR="003B0FDE">
              <w:rPr>
                <w:rFonts w:asciiTheme="minorHAnsi" w:hAnsiTheme="minorHAnsi" w:cstheme="minorHAnsi"/>
                <w:color w:val="auto"/>
                <w:sz w:val="22"/>
                <w:szCs w:val="22"/>
              </w:rPr>
              <w:t>ected from their anchor in the BRAC</w:t>
            </w:r>
            <w:r w:rsidR="005D6697" w:rsidRPr="003443C5">
              <w:rPr>
                <w:rFonts w:asciiTheme="minorHAnsi" w:hAnsiTheme="minorHAnsi" w:cstheme="minorHAnsi"/>
                <w:color w:val="auto"/>
                <w:sz w:val="22"/>
                <w:szCs w:val="22"/>
              </w:rPr>
              <w:t xml:space="preserve"> Strategy</w:t>
            </w:r>
            <w:r w:rsidR="003B0FDE">
              <w:rPr>
                <w:rFonts w:asciiTheme="minorHAnsi" w:hAnsiTheme="minorHAnsi" w:cstheme="minorHAnsi"/>
                <w:color w:val="auto"/>
                <w:sz w:val="22"/>
                <w:szCs w:val="22"/>
              </w:rPr>
              <w:t xml:space="preserve"> priority of in</w:t>
            </w:r>
            <w:r w:rsidR="005D6697" w:rsidRPr="003443C5">
              <w:rPr>
                <w:rFonts w:asciiTheme="minorHAnsi" w:hAnsiTheme="minorHAnsi" w:cstheme="minorHAnsi"/>
                <w:color w:val="auto"/>
                <w:sz w:val="22"/>
                <w:szCs w:val="22"/>
              </w:rPr>
              <w:t xml:space="preserve">creasing BRAC’s impact </w:t>
            </w:r>
            <w:r w:rsidR="003B0FDE">
              <w:rPr>
                <w:rFonts w:asciiTheme="minorHAnsi" w:hAnsiTheme="minorHAnsi" w:cstheme="minorHAnsi"/>
                <w:color w:val="auto"/>
                <w:sz w:val="22"/>
                <w:szCs w:val="22"/>
              </w:rPr>
              <w:t xml:space="preserve">by sharing </w:t>
            </w:r>
            <w:r w:rsidR="005D6697" w:rsidRPr="003443C5">
              <w:rPr>
                <w:rFonts w:asciiTheme="minorHAnsi" w:hAnsiTheme="minorHAnsi" w:cstheme="minorHAnsi"/>
                <w:color w:val="auto"/>
                <w:sz w:val="22"/>
                <w:szCs w:val="22"/>
              </w:rPr>
              <w:t>their proven development models</w:t>
            </w:r>
            <w:r w:rsidR="003B0FDE">
              <w:rPr>
                <w:rFonts w:asciiTheme="minorHAnsi" w:hAnsiTheme="minorHAnsi" w:cstheme="minorHAnsi"/>
                <w:color w:val="auto"/>
                <w:sz w:val="22"/>
                <w:szCs w:val="22"/>
              </w:rPr>
              <w:t>.</w:t>
            </w:r>
            <w:r w:rsidR="005D6697" w:rsidRPr="003443C5">
              <w:rPr>
                <w:rFonts w:asciiTheme="minorHAnsi" w:hAnsiTheme="minorHAnsi" w:cstheme="minorHAnsi"/>
                <w:color w:val="auto"/>
                <w:sz w:val="22"/>
                <w:szCs w:val="22"/>
              </w:rPr>
              <w:t xml:space="preserve">  </w:t>
            </w:r>
          </w:p>
        </w:tc>
        <w:tc>
          <w:tcPr>
            <w:tcW w:w="1672" w:type="pct"/>
            <w:shd w:val="clear" w:color="auto" w:fill="FFFFFF" w:themeFill="background1"/>
          </w:tcPr>
          <w:p w14:paraId="524FA019" w14:textId="38C66761" w:rsidR="00A50F09" w:rsidRPr="003443C5" w:rsidRDefault="005D6697" w:rsidP="003B0FDE">
            <w:pPr>
              <w:pStyle w:val="BodyText"/>
              <w:rPr>
                <w:rFonts w:asciiTheme="minorHAnsi" w:hAnsiTheme="minorHAnsi" w:cstheme="minorHAnsi"/>
                <w:b/>
                <w:sz w:val="22"/>
                <w:szCs w:val="22"/>
              </w:rPr>
            </w:pPr>
            <w:r w:rsidRPr="003443C5">
              <w:rPr>
                <w:rFonts w:asciiTheme="minorHAnsi" w:hAnsiTheme="minorHAnsi" w:cstheme="minorHAnsi"/>
                <w:b/>
                <w:sz w:val="22"/>
                <w:szCs w:val="22"/>
              </w:rPr>
              <w:t xml:space="preserve">Agreed </w:t>
            </w:r>
          </w:p>
          <w:p w14:paraId="291B3B11" w14:textId="67E76E60" w:rsidR="005D6697" w:rsidRPr="003443C5" w:rsidRDefault="00FB48E8" w:rsidP="001F553F">
            <w:pPr>
              <w:pStyle w:val="BodyText"/>
              <w:rPr>
                <w:rFonts w:asciiTheme="minorHAnsi" w:hAnsiTheme="minorHAnsi" w:cstheme="minorHAnsi"/>
                <w:sz w:val="22"/>
                <w:szCs w:val="22"/>
              </w:rPr>
            </w:pPr>
            <w:r w:rsidRPr="003443C5">
              <w:rPr>
                <w:rFonts w:asciiTheme="minorHAnsi" w:hAnsiTheme="minorHAnsi" w:cstheme="minorHAnsi"/>
                <w:sz w:val="22"/>
                <w:szCs w:val="22"/>
              </w:rPr>
              <w:t xml:space="preserve">The Steering Committee agreed to Recommendations 5 and 6 at the April 2019 meeting. </w:t>
            </w:r>
            <w:r w:rsidR="009D31DE">
              <w:rPr>
                <w:rFonts w:asciiTheme="minorHAnsi" w:hAnsiTheme="minorHAnsi" w:cstheme="minorHAnsi"/>
                <w:sz w:val="22"/>
                <w:szCs w:val="22"/>
              </w:rPr>
              <w:t xml:space="preserve"> </w:t>
            </w:r>
            <w:r w:rsidRPr="003443C5">
              <w:rPr>
                <w:rFonts w:asciiTheme="minorHAnsi" w:hAnsiTheme="minorHAnsi" w:cstheme="minorHAnsi"/>
                <w:sz w:val="22"/>
                <w:szCs w:val="22"/>
              </w:rPr>
              <w:t xml:space="preserve">Activities will focus on </w:t>
            </w:r>
            <w:r w:rsidR="003B0FDE">
              <w:rPr>
                <w:rFonts w:asciiTheme="minorHAnsi" w:hAnsiTheme="minorHAnsi" w:cstheme="minorHAnsi"/>
                <w:sz w:val="22"/>
                <w:szCs w:val="22"/>
              </w:rPr>
              <w:t xml:space="preserve">BRAC’s proven graduation model for extreme poverty reduction. </w:t>
            </w:r>
            <w:r w:rsidRPr="003443C5">
              <w:rPr>
                <w:rFonts w:asciiTheme="minorHAnsi" w:hAnsiTheme="minorHAnsi" w:cstheme="minorHAnsi"/>
                <w:sz w:val="22"/>
                <w:szCs w:val="22"/>
              </w:rPr>
              <w:t>A</w:t>
            </w:r>
            <w:r w:rsidR="003B0FDE">
              <w:rPr>
                <w:rFonts w:asciiTheme="minorHAnsi" w:hAnsiTheme="minorHAnsi" w:cstheme="minorHAnsi"/>
                <w:sz w:val="22"/>
                <w:szCs w:val="22"/>
              </w:rPr>
              <w:t xml:space="preserve"> policy dialogue </w:t>
            </w:r>
            <w:r w:rsidR="001F553F">
              <w:rPr>
                <w:rFonts w:asciiTheme="minorHAnsi" w:hAnsiTheme="minorHAnsi" w:cstheme="minorHAnsi"/>
                <w:sz w:val="22"/>
                <w:szCs w:val="22"/>
              </w:rPr>
              <w:t xml:space="preserve">action </w:t>
            </w:r>
            <w:r w:rsidR="003B0FDE">
              <w:rPr>
                <w:rFonts w:asciiTheme="minorHAnsi" w:hAnsiTheme="minorHAnsi" w:cstheme="minorHAnsi"/>
                <w:sz w:val="22"/>
                <w:szCs w:val="22"/>
              </w:rPr>
              <w:t xml:space="preserve">plan has been developed and is in implementation. </w:t>
            </w:r>
          </w:p>
        </w:tc>
        <w:tc>
          <w:tcPr>
            <w:tcW w:w="655" w:type="pct"/>
            <w:shd w:val="clear" w:color="auto" w:fill="FFFFFF" w:themeFill="background1"/>
          </w:tcPr>
          <w:p w14:paraId="1E860E75" w14:textId="4D2E081C" w:rsidR="00A50F09" w:rsidRPr="003443C5" w:rsidRDefault="005D6697" w:rsidP="00C02346">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Completed</w:t>
            </w:r>
          </w:p>
        </w:tc>
      </w:tr>
      <w:tr w:rsidR="00A50F09" w:rsidRPr="003F06E6" w14:paraId="0A195713" w14:textId="77777777" w:rsidTr="00053FA0">
        <w:tc>
          <w:tcPr>
            <w:tcW w:w="1049" w:type="pct"/>
            <w:shd w:val="clear" w:color="auto" w:fill="FFFFFF" w:themeFill="background1"/>
          </w:tcPr>
          <w:p w14:paraId="5313E107" w14:textId="6F6FC8F7" w:rsidR="00A50F09" w:rsidRPr="003443C5" w:rsidRDefault="0097271E" w:rsidP="005D6697">
            <w:pPr>
              <w:rPr>
                <w:rFonts w:asciiTheme="minorHAnsi" w:hAnsiTheme="minorHAnsi" w:cstheme="minorHAnsi"/>
                <w:sz w:val="22"/>
                <w:szCs w:val="22"/>
              </w:rPr>
            </w:pPr>
            <w:r w:rsidRPr="003443C5">
              <w:rPr>
                <w:rFonts w:asciiTheme="minorHAnsi" w:hAnsiTheme="minorHAnsi" w:cstheme="minorHAnsi"/>
                <w:sz w:val="22"/>
                <w:szCs w:val="22"/>
                <w:u w:val="single"/>
              </w:rPr>
              <w:t>Recommendation 6:</w:t>
            </w:r>
            <w:r w:rsidRPr="003443C5">
              <w:rPr>
                <w:rFonts w:asciiTheme="minorHAnsi" w:hAnsiTheme="minorHAnsi" w:cstheme="minorHAnsi"/>
                <w:sz w:val="22"/>
                <w:szCs w:val="22"/>
              </w:rPr>
              <w:t xml:space="preserve"> The SPA Steering Committee formally agree on the focus for a joint advocacy campaign to be carried out before the end of SPA Phase 2 and task the Communications / Advocacy staff in each agency to work together to design a campaign involving managemen</w:t>
            </w:r>
            <w:r w:rsidR="005D6697" w:rsidRPr="003443C5">
              <w:rPr>
                <w:rFonts w:asciiTheme="minorHAnsi" w:hAnsiTheme="minorHAnsi" w:cstheme="minorHAnsi"/>
                <w:sz w:val="22"/>
                <w:szCs w:val="22"/>
              </w:rPr>
              <w:t>t and staff at multiple levels.</w:t>
            </w:r>
          </w:p>
        </w:tc>
        <w:tc>
          <w:tcPr>
            <w:tcW w:w="1624" w:type="pct"/>
            <w:shd w:val="clear" w:color="auto" w:fill="auto"/>
          </w:tcPr>
          <w:p w14:paraId="3CACAE52" w14:textId="64AB6CF6" w:rsidR="00A50F09" w:rsidRPr="003443C5" w:rsidRDefault="00FB48E8" w:rsidP="00477164">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t xml:space="preserve">As above </w:t>
            </w:r>
          </w:p>
        </w:tc>
        <w:tc>
          <w:tcPr>
            <w:tcW w:w="1672" w:type="pct"/>
            <w:shd w:val="clear" w:color="auto" w:fill="FFFFFF" w:themeFill="background1"/>
          </w:tcPr>
          <w:p w14:paraId="4691E8FB" w14:textId="77777777" w:rsidR="005D6697" w:rsidRPr="003443C5" w:rsidRDefault="005D6697" w:rsidP="005D6697">
            <w:pPr>
              <w:pStyle w:val="BodyText"/>
              <w:spacing w:after="60"/>
              <w:rPr>
                <w:rFonts w:asciiTheme="minorHAnsi" w:hAnsiTheme="minorHAnsi" w:cstheme="minorHAnsi"/>
                <w:b/>
                <w:sz w:val="22"/>
                <w:szCs w:val="22"/>
              </w:rPr>
            </w:pPr>
            <w:r w:rsidRPr="003443C5">
              <w:rPr>
                <w:rFonts w:asciiTheme="minorHAnsi" w:hAnsiTheme="minorHAnsi" w:cstheme="minorHAnsi"/>
                <w:b/>
                <w:sz w:val="22"/>
                <w:szCs w:val="22"/>
              </w:rPr>
              <w:t xml:space="preserve">Agreed </w:t>
            </w:r>
          </w:p>
          <w:p w14:paraId="224692DC" w14:textId="022125F1" w:rsidR="00A50F09" w:rsidRPr="003443C5" w:rsidRDefault="00FB48E8" w:rsidP="008B78A9">
            <w:pPr>
              <w:pStyle w:val="BodyText"/>
              <w:spacing w:after="60"/>
              <w:rPr>
                <w:rFonts w:asciiTheme="minorHAnsi" w:hAnsiTheme="minorHAnsi" w:cstheme="minorHAnsi"/>
                <w:sz w:val="22"/>
                <w:szCs w:val="22"/>
              </w:rPr>
            </w:pPr>
            <w:r w:rsidRPr="003443C5">
              <w:rPr>
                <w:rFonts w:asciiTheme="minorHAnsi" w:hAnsiTheme="minorHAnsi" w:cstheme="minorHAnsi"/>
                <w:sz w:val="22"/>
                <w:szCs w:val="22"/>
              </w:rPr>
              <w:t>As above.</w:t>
            </w:r>
          </w:p>
        </w:tc>
        <w:tc>
          <w:tcPr>
            <w:tcW w:w="655" w:type="pct"/>
            <w:shd w:val="clear" w:color="auto" w:fill="FFFFFF" w:themeFill="background1"/>
          </w:tcPr>
          <w:p w14:paraId="33FCF394" w14:textId="6F98D774" w:rsidR="00A50F09" w:rsidRPr="003443C5" w:rsidRDefault="005D6697" w:rsidP="00C02346">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Completed</w:t>
            </w:r>
          </w:p>
        </w:tc>
      </w:tr>
      <w:tr w:rsidR="00A50F09" w:rsidRPr="00935A84" w14:paraId="3FB0C96F" w14:textId="77777777" w:rsidTr="00053FA0">
        <w:tc>
          <w:tcPr>
            <w:tcW w:w="1049" w:type="pct"/>
            <w:shd w:val="clear" w:color="auto" w:fill="FFFFFF" w:themeFill="background1"/>
          </w:tcPr>
          <w:p w14:paraId="092E335F" w14:textId="644179AA" w:rsidR="00A50F09" w:rsidRPr="003443C5" w:rsidRDefault="00B30B98" w:rsidP="00B30B98">
            <w:pPr>
              <w:rPr>
                <w:rFonts w:asciiTheme="minorHAnsi" w:hAnsiTheme="minorHAnsi" w:cstheme="minorHAnsi"/>
                <w:sz w:val="22"/>
                <w:szCs w:val="22"/>
              </w:rPr>
            </w:pPr>
            <w:r w:rsidRPr="003443C5">
              <w:rPr>
                <w:rFonts w:asciiTheme="minorHAnsi" w:hAnsiTheme="minorHAnsi" w:cstheme="minorHAnsi"/>
                <w:sz w:val="22"/>
                <w:szCs w:val="22"/>
                <w:u w:val="single"/>
              </w:rPr>
              <w:t>Recommendation 7:</w:t>
            </w:r>
            <w:r w:rsidRPr="003443C5">
              <w:rPr>
                <w:rFonts w:asciiTheme="minorHAnsi" w:hAnsiTheme="minorHAnsi" w:cstheme="minorHAnsi"/>
                <w:sz w:val="22"/>
                <w:szCs w:val="22"/>
              </w:rPr>
              <w:t xml:space="preserve">  The SPA Steering Committee to consider the ways in which DFID and DFAT might support BRAC  to gain access to the socially responsible investment markets in the UK and Australia (e.g. via the provision of technical assistance to assist BRAC to meet pre-requisites to receive ethical investment funds; to develop private sector partnerships / relationships).</w:t>
            </w:r>
          </w:p>
        </w:tc>
        <w:tc>
          <w:tcPr>
            <w:tcW w:w="1624" w:type="pct"/>
            <w:shd w:val="clear" w:color="auto" w:fill="auto"/>
          </w:tcPr>
          <w:p w14:paraId="4C757138" w14:textId="7E92C57E" w:rsidR="00A50F09" w:rsidRPr="003443C5" w:rsidRDefault="0089463F" w:rsidP="009D31DE">
            <w:pPr>
              <w:pStyle w:val="Heading3"/>
              <w:spacing w:before="0" w:after="60"/>
              <w:outlineLvl w:val="2"/>
              <w:rPr>
                <w:rFonts w:asciiTheme="minorHAnsi" w:hAnsiTheme="minorHAnsi" w:cstheme="minorHAnsi"/>
                <w:color w:val="auto"/>
                <w:sz w:val="22"/>
                <w:szCs w:val="22"/>
              </w:rPr>
            </w:pPr>
            <w:r>
              <w:rPr>
                <w:rFonts w:asciiTheme="minorHAnsi" w:hAnsiTheme="minorHAnsi" w:cstheme="minorHAnsi"/>
                <w:color w:val="auto"/>
                <w:sz w:val="22"/>
                <w:szCs w:val="22"/>
              </w:rPr>
              <w:t>There is an opportunity for BRAC to explore new financing in</w:t>
            </w:r>
            <w:r w:rsidR="009D31DE">
              <w:rPr>
                <w:rFonts w:asciiTheme="minorHAnsi" w:hAnsiTheme="minorHAnsi" w:cstheme="minorHAnsi"/>
                <w:color w:val="auto"/>
                <w:sz w:val="22"/>
                <w:szCs w:val="22"/>
              </w:rPr>
              <w:t>struments that leverage private capital</w:t>
            </w:r>
            <w:r>
              <w:rPr>
                <w:rFonts w:asciiTheme="minorHAnsi" w:hAnsiTheme="minorHAnsi" w:cstheme="minorHAnsi"/>
                <w:color w:val="auto"/>
                <w:sz w:val="22"/>
                <w:szCs w:val="22"/>
              </w:rPr>
              <w:t xml:space="preserve">. </w:t>
            </w:r>
          </w:p>
        </w:tc>
        <w:tc>
          <w:tcPr>
            <w:tcW w:w="1672" w:type="pct"/>
            <w:shd w:val="clear" w:color="auto" w:fill="FFFFFF" w:themeFill="background1"/>
          </w:tcPr>
          <w:p w14:paraId="7CEAE313" w14:textId="77777777" w:rsidR="00A50F09" w:rsidRDefault="0089463F" w:rsidP="0023359C">
            <w:pPr>
              <w:pStyle w:val="BodyText"/>
              <w:spacing w:after="60"/>
              <w:rPr>
                <w:rFonts w:asciiTheme="minorHAnsi" w:hAnsiTheme="minorHAnsi" w:cstheme="minorHAnsi"/>
                <w:b/>
                <w:sz w:val="22"/>
                <w:szCs w:val="22"/>
              </w:rPr>
            </w:pPr>
            <w:r w:rsidRPr="0089463F">
              <w:rPr>
                <w:rFonts w:asciiTheme="minorHAnsi" w:hAnsiTheme="minorHAnsi" w:cstheme="minorHAnsi"/>
                <w:b/>
                <w:sz w:val="22"/>
                <w:szCs w:val="22"/>
              </w:rPr>
              <w:t>Agreed</w:t>
            </w:r>
          </w:p>
          <w:p w14:paraId="237CE8F0" w14:textId="056B18E9" w:rsidR="0089463F" w:rsidRPr="0089463F" w:rsidRDefault="0089463F" w:rsidP="0023359C">
            <w:pPr>
              <w:pStyle w:val="BodyText"/>
              <w:spacing w:after="60"/>
              <w:rPr>
                <w:rFonts w:asciiTheme="minorHAnsi" w:hAnsiTheme="minorHAnsi" w:cstheme="minorHAnsi"/>
                <w:sz w:val="22"/>
                <w:szCs w:val="22"/>
              </w:rPr>
            </w:pPr>
            <w:r w:rsidRPr="0089463F">
              <w:rPr>
                <w:rFonts w:asciiTheme="minorHAnsi" w:hAnsiTheme="minorHAnsi" w:cstheme="minorHAnsi"/>
                <w:sz w:val="22"/>
                <w:szCs w:val="22"/>
              </w:rPr>
              <w:t xml:space="preserve">The Steering Committee discussed at their April 2019 meeting and </w:t>
            </w:r>
            <w:r>
              <w:rPr>
                <w:rFonts w:asciiTheme="minorHAnsi" w:hAnsiTheme="minorHAnsi" w:cstheme="minorHAnsi"/>
                <w:sz w:val="22"/>
                <w:szCs w:val="22"/>
              </w:rPr>
              <w:t xml:space="preserve">agreed that BRAC would advise partners of its interest in support as needed. </w:t>
            </w:r>
          </w:p>
        </w:tc>
        <w:tc>
          <w:tcPr>
            <w:tcW w:w="655" w:type="pct"/>
            <w:shd w:val="clear" w:color="auto" w:fill="FFFFFF" w:themeFill="background1"/>
          </w:tcPr>
          <w:p w14:paraId="66D976D5" w14:textId="26111F78" w:rsidR="00A50F09" w:rsidRPr="003443C5" w:rsidRDefault="0089463F"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Completed</w:t>
            </w:r>
          </w:p>
        </w:tc>
      </w:tr>
      <w:tr w:rsidR="002E553B" w:rsidRPr="00935A84" w14:paraId="184321F7" w14:textId="77777777" w:rsidTr="00053FA0">
        <w:tc>
          <w:tcPr>
            <w:tcW w:w="1049" w:type="pct"/>
            <w:shd w:val="clear" w:color="auto" w:fill="FFFFFF" w:themeFill="background1"/>
          </w:tcPr>
          <w:p w14:paraId="393FE495" w14:textId="43FFC3CF" w:rsidR="002E553B" w:rsidRPr="003443C5" w:rsidRDefault="002E553B" w:rsidP="002E553B">
            <w:pPr>
              <w:rPr>
                <w:rFonts w:asciiTheme="minorHAnsi" w:hAnsiTheme="minorHAnsi" w:cstheme="minorHAnsi"/>
                <w:sz w:val="22"/>
                <w:szCs w:val="22"/>
                <w:u w:val="single"/>
              </w:rPr>
            </w:pPr>
            <w:r w:rsidRPr="003443C5">
              <w:rPr>
                <w:rFonts w:asciiTheme="minorHAnsi" w:hAnsiTheme="minorHAnsi" w:cstheme="minorHAnsi"/>
                <w:sz w:val="22"/>
                <w:szCs w:val="22"/>
                <w:u w:val="single"/>
              </w:rPr>
              <w:lastRenderedPageBreak/>
              <w:t xml:space="preserve">Recommendation 8: </w:t>
            </w:r>
            <w:r w:rsidRPr="003443C5">
              <w:rPr>
                <w:rFonts w:asciiTheme="minorHAnsi" w:hAnsiTheme="minorHAnsi" w:cstheme="minorHAnsi"/>
                <w:sz w:val="22"/>
                <w:szCs w:val="22"/>
              </w:rPr>
              <w:t>The SPA Working Group review and modify the revised draft of the Terms of Engagement (Appendix G) and suggested amendments to the SPA Results Framework - Pillars 2 and 3 (Appendix H), with a view to submitting to the SPA Steering Committee for approval.</w:t>
            </w:r>
          </w:p>
        </w:tc>
        <w:tc>
          <w:tcPr>
            <w:tcW w:w="1624" w:type="pct"/>
            <w:shd w:val="clear" w:color="auto" w:fill="auto"/>
          </w:tcPr>
          <w:p w14:paraId="4607A734" w14:textId="77777777" w:rsidR="002E553B" w:rsidRPr="003443C5" w:rsidRDefault="002E553B" w:rsidP="002E553B">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t xml:space="preserve">SPA Terms of Engagement (ToE) - While the ToE objectives served a valuable purpose in building collaborative intent between the SPA partners, they are also being used to provide a framework for accountability purposes.  Given this purpose, the objectives could be reframed to increase clarity and measurability, and remove duplication. </w:t>
            </w:r>
          </w:p>
          <w:p w14:paraId="2EA648EA" w14:textId="77777777" w:rsidR="002E553B" w:rsidRPr="003443C5" w:rsidRDefault="002E553B" w:rsidP="002E553B">
            <w:pPr>
              <w:rPr>
                <w:rFonts w:asciiTheme="minorHAnsi" w:hAnsiTheme="minorHAnsi" w:cstheme="minorHAnsi"/>
                <w:sz w:val="22"/>
                <w:szCs w:val="22"/>
              </w:rPr>
            </w:pPr>
          </w:p>
          <w:p w14:paraId="63310689" w14:textId="31480175" w:rsidR="002E553B" w:rsidRDefault="002E553B" w:rsidP="002E553B">
            <w:pPr>
              <w:pStyle w:val="Heading3"/>
              <w:spacing w:before="0" w:after="60"/>
              <w:outlineLvl w:val="2"/>
              <w:rPr>
                <w:rFonts w:asciiTheme="minorHAnsi" w:hAnsiTheme="minorHAnsi" w:cstheme="minorHAnsi"/>
                <w:color w:val="auto"/>
                <w:sz w:val="22"/>
                <w:szCs w:val="22"/>
              </w:rPr>
            </w:pPr>
            <w:r w:rsidRPr="001B16FF">
              <w:rPr>
                <w:rFonts w:asciiTheme="minorHAnsi" w:hAnsiTheme="minorHAnsi" w:cstheme="minorHAnsi"/>
                <w:color w:val="auto"/>
                <w:sz w:val="22"/>
                <w:szCs w:val="22"/>
              </w:rPr>
              <w:t xml:space="preserve">SPA Results Framework (RF) - The development of the RF by SPA partners, and of the underpinning M&amp;E structures to gather and validate data by BRAC, is a significant achievement. The RF is </w:t>
            </w:r>
            <w:r w:rsidR="007A798B">
              <w:rPr>
                <w:rFonts w:asciiTheme="minorHAnsi" w:hAnsiTheme="minorHAnsi" w:cstheme="minorHAnsi"/>
                <w:color w:val="auto"/>
                <w:sz w:val="22"/>
                <w:szCs w:val="22"/>
              </w:rPr>
              <w:t xml:space="preserve">however </w:t>
            </w:r>
            <w:r w:rsidRPr="001B16FF">
              <w:rPr>
                <w:rFonts w:asciiTheme="minorHAnsi" w:hAnsiTheme="minorHAnsi" w:cstheme="minorHAnsi"/>
                <w:color w:val="auto"/>
                <w:sz w:val="22"/>
                <w:szCs w:val="22"/>
              </w:rPr>
              <w:t xml:space="preserve">being used primarily as an accountability tool focused on reporting quantitative program results with comparatively little attention to the collection and analysis of qualitative and strategic information.  </w:t>
            </w:r>
          </w:p>
        </w:tc>
        <w:tc>
          <w:tcPr>
            <w:tcW w:w="1672" w:type="pct"/>
            <w:shd w:val="clear" w:color="auto" w:fill="FFFFFF" w:themeFill="background1"/>
          </w:tcPr>
          <w:p w14:paraId="2FC391A6" w14:textId="77777777" w:rsidR="002E553B" w:rsidRPr="003443C5" w:rsidRDefault="002E553B" w:rsidP="002E553B">
            <w:pPr>
              <w:pStyle w:val="BodyText"/>
              <w:rPr>
                <w:rFonts w:asciiTheme="minorHAnsi" w:hAnsiTheme="minorHAnsi" w:cstheme="minorHAnsi"/>
                <w:b/>
                <w:sz w:val="22"/>
                <w:szCs w:val="22"/>
              </w:rPr>
            </w:pPr>
            <w:r w:rsidRPr="003443C5">
              <w:rPr>
                <w:rFonts w:asciiTheme="minorHAnsi" w:hAnsiTheme="minorHAnsi" w:cstheme="minorHAnsi"/>
                <w:b/>
                <w:sz w:val="22"/>
                <w:szCs w:val="22"/>
              </w:rPr>
              <w:t>Agreed.</w:t>
            </w:r>
          </w:p>
          <w:p w14:paraId="7CB75FCC" w14:textId="5AFDC016" w:rsidR="002E553B" w:rsidRPr="004C71C2" w:rsidRDefault="002E553B" w:rsidP="002E553B">
            <w:pPr>
              <w:pStyle w:val="BodyText"/>
              <w:rPr>
                <w:rFonts w:asciiTheme="minorHAnsi" w:hAnsiTheme="minorHAnsi" w:cstheme="minorHAnsi"/>
                <w:sz w:val="22"/>
                <w:szCs w:val="22"/>
              </w:rPr>
            </w:pPr>
            <w:r w:rsidRPr="003443C5">
              <w:rPr>
                <w:rFonts w:asciiTheme="minorHAnsi" w:hAnsiTheme="minorHAnsi" w:cstheme="minorHAnsi"/>
                <w:sz w:val="22"/>
                <w:szCs w:val="22"/>
              </w:rPr>
              <w:t xml:space="preserve">The Steering Committee formally agreed to new shared SPA Objectives in </w:t>
            </w:r>
            <w:r w:rsidRPr="004C71C2">
              <w:rPr>
                <w:rFonts w:asciiTheme="minorHAnsi" w:hAnsiTheme="minorHAnsi" w:cstheme="minorHAnsi"/>
                <w:sz w:val="22"/>
                <w:szCs w:val="22"/>
              </w:rPr>
              <w:t>April 2019.   The objectives reflect the agreed new approach to “expanding i</w:t>
            </w:r>
            <w:r w:rsidR="001F553F">
              <w:rPr>
                <w:rFonts w:asciiTheme="minorHAnsi" w:hAnsiTheme="minorHAnsi" w:cstheme="minorHAnsi"/>
                <w:sz w:val="22"/>
                <w:szCs w:val="22"/>
              </w:rPr>
              <w:t>nfluence</w:t>
            </w:r>
            <w:r w:rsidRPr="004C71C2">
              <w:rPr>
                <w:rFonts w:asciiTheme="minorHAnsi" w:hAnsiTheme="minorHAnsi" w:cstheme="minorHAnsi"/>
                <w:sz w:val="22"/>
                <w:szCs w:val="22"/>
              </w:rPr>
              <w:t xml:space="preserve">” in Recommendation 5.  </w:t>
            </w:r>
          </w:p>
          <w:p w14:paraId="21E314CA" w14:textId="77777777" w:rsidR="002E553B" w:rsidRPr="004C71C2" w:rsidRDefault="002E553B" w:rsidP="002E553B">
            <w:pPr>
              <w:pStyle w:val="BodyText"/>
              <w:spacing w:after="60"/>
              <w:rPr>
                <w:rFonts w:asciiTheme="minorHAnsi" w:hAnsiTheme="minorHAnsi" w:cstheme="minorHAnsi"/>
                <w:sz w:val="22"/>
                <w:szCs w:val="22"/>
              </w:rPr>
            </w:pPr>
          </w:p>
          <w:p w14:paraId="1FA150A4" w14:textId="77777777" w:rsidR="002E553B" w:rsidRPr="003A0239" w:rsidRDefault="002E553B" w:rsidP="002E553B">
            <w:pPr>
              <w:pStyle w:val="BodyText"/>
              <w:spacing w:after="60"/>
              <w:rPr>
                <w:rFonts w:asciiTheme="minorHAnsi" w:hAnsiTheme="minorHAnsi" w:cstheme="minorHAnsi"/>
                <w:sz w:val="22"/>
                <w:szCs w:val="22"/>
              </w:rPr>
            </w:pPr>
          </w:p>
          <w:p w14:paraId="78D1F3BC" w14:textId="0AD86742" w:rsidR="001F750A" w:rsidRDefault="002E553B" w:rsidP="002E553B">
            <w:pPr>
              <w:pStyle w:val="BodyText"/>
              <w:spacing w:after="60"/>
              <w:rPr>
                <w:rFonts w:asciiTheme="minorHAnsi" w:hAnsiTheme="minorHAnsi" w:cstheme="minorHAnsi"/>
                <w:sz w:val="22"/>
                <w:szCs w:val="22"/>
              </w:rPr>
            </w:pPr>
            <w:r w:rsidRPr="003A0239">
              <w:rPr>
                <w:rFonts w:asciiTheme="minorHAnsi" w:hAnsiTheme="minorHAnsi" w:cstheme="minorHAnsi"/>
                <w:sz w:val="22"/>
                <w:szCs w:val="22"/>
              </w:rPr>
              <w:t>The Steering Committee approved a revised RF, responding to the recommendation, in November</w:t>
            </w:r>
            <w:r w:rsidRPr="004C71C2">
              <w:rPr>
                <w:rFonts w:asciiTheme="minorHAnsi" w:hAnsiTheme="minorHAnsi" w:cstheme="minorHAnsi"/>
                <w:sz w:val="22"/>
                <w:szCs w:val="22"/>
              </w:rPr>
              <w:t xml:space="preserve"> 2019.  The Steering Committee </w:t>
            </w:r>
            <w:r w:rsidR="001F750A">
              <w:rPr>
                <w:rFonts w:asciiTheme="minorHAnsi" w:hAnsiTheme="minorHAnsi" w:cstheme="minorHAnsi"/>
                <w:sz w:val="22"/>
                <w:szCs w:val="22"/>
              </w:rPr>
              <w:t>noted the long term work required for BRAC’s M&amp;E to support reporting on the suggested approach to institution strengthening, and agreed that BRAC would progress this in the context of their next Strategy (2021-202</w:t>
            </w:r>
            <w:r w:rsidR="001F553F">
              <w:rPr>
                <w:rFonts w:asciiTheme="minorHAnsi" w:hAnsiTheme="minorHAnsi" w:cstheme="minorHAnsi"/>
                <w:sz w:val="22"/>
                <w:szCs w:val="22"/>
              </w:rPr>
              <w:t>5</w:t>
            </w:r>
            <w:r w:rsidR="001F750A">
              <w:rPr>
                <w:rFonts w:asciiTheme="minorHAnsi" w:hAnsiTheme="minorHAnsi" w:cstheme="minorHAnsi"/>
                <w:sz w:val="22"/>
                <w:szCs w:val="22"/>
              </w:rPr>
              <w:t>).</w:t>
            </w:r>
          </w:p>
          <w:p w14:paraId="6AD4B0E0" w14:textId="5B91848B" w:rsidR="002E553B" w:rsidRPr="0089463F" w:rsidRDefault="007A798B" w:rsidP="001F553F">
            <w:pPr>
              <w:pStyle w:val="BodyText"/>
              <w:spacing w:after="60"/>
              <w:rPr>
                <w:rFonts w:asciiTheme="minorHAnsi" w:hAnsiTheme="minorHAnsi" w:cstheme="minorHAnsi"/>
                <w:b/>
                <w:sz w:val="22"/>
                <w:szCs w:val="22"/>
              </w:rPr>
            </w:pPr>
            <w:r w:rsidRPr="001F553F">
              <w:rPr>
                <w:rFonts w:asciiTheme="minorHAnsi" w:hAnsiTheme="minorHAnsi" w:cstheme="minorHAnsi"/>
                <w:sz w:val="22"/>
                <w:szCs w:val="22"/>
              </w:rPr>
              <w:t xml:space="preserve">The Steering Committee also </w:t>
            </w:r>
            <w:r w:rsidR="002E553B" w:rsidRPr="001F553F">
              <w:rPr>
                <w:rFonts w:asciiTheme="minorHAnsi" w:hAnsiTheme="minorHAnsi" w:cstheme="minorHAnsi"/>
                <w:sz w:val="22"/>
                <w:szCs w:val="22"/>
              </w:rPr>
              <w:t xml:space="preserve">noted the connection between recommendation </w:t>
            </w:r>
            <w:r w:rsidR="001F553F" w:rsidRPr="001F553F">
              <w:rPr>
                <w:rFonts w:asciiTheme="minorHAnsi" w:hAnsiTheme="minorHAnsi" w:cstheme="minorHAnsi"/>
                <w:sz w:val="22"/>
                <w:szCs w:val="22"/>
              </w:rPr>
              <w:t xml:space="preserve">8 </w:t>
            </w:r>
            <w:r w:rsidR="002E553B" w:rsidRPr="001F553F">
              <w:rPr>
                <w:rFonts w:asciiTheme="minorHAnsi" w:hAnsiTheme="minorHAnsi" w:cstheme="minorHAnsi"/>
                <w:sz w:val="22"/>
                <w:szCs w:val="22"/>
              </w:rPr>
              <w:t>and recommendations 9 and 10 on BRAC’s approach to M&amp;E, and agreed that further opportunities to improve the strategic focus of the SPA RF would be pursued</w:t>
            </w:r>
            <w:r w:rsidR="001F553F">
              <w:rPr>
                <w:rFonts w:asciiTheme="minorHAnsi" w:hAnsiTheme="minorHAnsi" w:cstheme="minorHAnsi"/>
                <w:sz w:val="22"/>
                <w:szCs w:val="22"/>
              </w:rPr>
              <w:t xml:space="preserve"> as BRAC improves its M&amp;E frameworks</w:t>
            </w:r>
            <w:r w:rsidR="002E553B" w:rsidRPr="001F553F">
              <w:rPr>
                <w:rFonts w:asciiTheme="minorHAnsi" w:hAnsiTheme="minorHAnsi" w:cstheme="minorHAnsi"/>
                <w:sz w:val="22"/>
                <w:szCs w:val="22"/>
              </w:rPr>
              <w:t>.</w:t>
            </w:r>
          </w:p>
        </w:tc>
        <w:tc>
          <w:tcPr>
            <w:tcW w:w="655" w:type="pct"/>
            <w:shd w:val="clear" w:color="auto" w:fill="FFFFFF" w:themeFill="background1"/>
          </w:tcPr>
          <w:p w14:paraId="7C926BEB" w14:textId="221CF4BF" w:rsidR="002E553B" w:rsidRDefault="002E553B" w:rsidP="002E553B">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Completed</w:t>
            </w:r>
          </w:p>
        </w:tc>
      </w:tr>
      <w:tr w:rsidR="002E553B" w:rsidRPr="003443C5" w14:paraId="2421B5E5" w14:textId="77777777" w:rsidTr="000C082E">
        <w:tc>
          <w:tcPr>
            <w:tcW w:w="1049" w:type="pct"/>
            <w:shd w:val="clear" w:color="auto" w:fill="FFFFFF" w:themeFill="background1"/>
          </w:tcPr>
          <w:p w14:paraId="7D957ABB" w14:textId="77777777" w:rsidR="002E553B" w:rsidRPr="003443C5" w:rsidRDefault="002E553B" w:rsidP="000C082E">
            <w:pPr>
              <w:rPr>
                <w:rFonts w:asciiTheme="minorHAnsi" w:hAnsiTheme="minorHAnsi" w:cstheme="minorHAnsi"/>
                <w:sz w:val="22"/>
                <w:szCs w:val="22"/>
              </w:rPr>
            </w:pPr>
            <w:r w:rsidRPr="003443C5">
              <w:rPr>
                <w:rFonts w:asciiTheme="minorHAnsi" w:hAnsiTheme="minorHAnsi" w:cstheme="minorHAnsi"/>
                <w:sz w:val="22"/>
                <w:szCs w:val="22"/>
                <w:u w:val="single"/>
              </w:rPr>
              <w:lastRenderedPageBreak/>
              <w:t>Recommendation 9:</w:t>
            </w:r>
            <w:r w:rsidRPr="003443C5">
              <w:rPr>
                <w:rFonts w:asciiTheme="minorHAnsi" w:hAnsiTheme="minorHAnsi" w:cstheme="minorHAnsi"/>
                <w:sz w:val="22"/>
                <w:szCs w:val="22"/>
              </w:rPr>
              <w:t xml:space="preserve"> The SPA Steering Committee discuss BRAC’s current approach to M&amp;E and the need to re-engineer the approach to provide both a structure and standards for reporting on performance and quality  (including cross-cutting commitments) and to support strategic, programmatic and organisation-wide decision making.</w:t>
            </w:r>
          </w:p>
        </w:tc>
        <w:tc>
          <w:tcPr>
            <w:tcW w:w="1624" w:type="pct"/>
            <w:shd w:val="clear" w:color="auto" w:fill="auto"/>
          </w:tcPr>
          <w:p w14:paraId="6A925C68" w14:textId="77777777" w:rsidR="002E553B" w:rsidRPr="003443C5" w:rsidRDefault="002E553B" w:rsidP="000C082E">
            <w:pPr>
              <w:pStyle w:val="Heading3"/>
              <w:spacing w:before="0" w:after="60"/>
              <w:outlineLvl w:val="2"/>
              <w:rPr>
                <w:rFonts w:asciiTheme="minorHAnsi" w:hAnsiTheme="minorHAnsi" w:cstheme="minorHAnsi"/>
                <w:color w:val="auto"/>
                <w:sz w:val="22"/>
                <w:szCs w:val="22"/>
              </w:rPr>
            </w:pPr>
            <w:r w:rsidRPr="003443C5">
              <w:rPr>
                <w:rFonts w:asciiTheme="minorHAnsi" w:hAnsiTheme="minorHAnsi" w:cstheme="minorHAnsi"/>
                <w:color w:val="auto"/>
                <w:sz w:val="22"/>
                <w:szCs w:val="22"/>
              </w:rPr>
              <w:t xml:space="preserve">While BRAC’s Strategy </w:t>
            </w:r>
            <w:r>
              <w:rPr>
                <w:rFonts w:asciiTheme="minorHAnsi" w:hAnsiTheme="minorHAnsi" w:cstheme="minorHAnsi"/>
                <w:color w:val="auto"/>
                <w:sz w:val="22"/>
                <w:szCs w:val="22"/>
              </w:rPr>
              <w:t xml:space="preserve">(2016-2020) </w:t>
            </w:r>
            <w:r w:rsidRPr="003443C5">
              <w:rPr>
                <w:rFonts w:asciiTheme="minorHAnsi" w:hAnsiTheme="minorHAnsi" w:cstheme="minorHAnsi"/>
                <w:color w:val="auto"/>
                <w:sz w:val="22"/>
                <w:szCs w:val="22"/>
              </w:rPr>
              <w:t xml:space="preserve">prioritises the need to improve learning and evidence based decision making within programs, its current approach to M&amp;E describes progress (against quantitative targets), but does not provide insights into how results </w:t>
            </w:r>
            <w:r>
              <w:rPr>
                <w:rFonts w:asciiTheme="minorHAnsi" w:hAnsiTheme="minorHAnsi" w:cstheme="minorHAnsi"/>
                <w:color w:val="auto"/>
                <w:sz w:val="22"/>
                <w:szCs w:val="22"/>
              </w:rPr>
              <w:t>are achieved, and the success or</w:t>
            </w:r>
            <w:r w:rsidRPr="003443C5">
              <w:rPr>
                <w:rFonts w:asciiTheme="minorHAnsi" w:hAnsiTheme="minorHAnsi" w:cstheme="minorHAnsi"/>
                <w:color w:val="auto"/>
                <w:sz w:val="22"/>
                <w:szCs w:val="22"/>
              </w:rPr>
              <w:t xml:space="preserve"> otherwise of key program strategies and the BRAC strategy.  Quality measures could be introduced to assess progress against cross cutting commitments such as gender equality and disability inclusion. </w:t>
            </w:r>
          </w:p>
        </w:tc>
        <w:tc>
          <w:tcPr>
            <w:tcW w:w="1672" w:type="pct"/>
            <w:shd w:val="clear" w:color="auto" w:fill="FFFFFF" w:themeFill="background1"/>
          </w:tcPr>
          <w:p w14:paraId="0BEFE105" w14:textId="77777777" w:rsidR="002E553B" w:rsidRPr="003443C5" w:rsidRDefault="002E553B" w:rsidP="000C082E">
            <w:pPr>
              <w:pStyle w:val="BodyText"/>
              <w:rPr>
                <w:rFonts w:asciiTheme="minorHAnsi" w:hAnsiTheme="minorHAnsi" w:cstheme="minorHAnsi"/>
                <w:b/>
                <w:sz w:val="22"/>
                <w:szCs w:val="22"/>
              </w:rPr>
            </w:pPr>
            <w:r w:rsidRPr="003443C5">
              <w:rPr>
                <w:rFonts w:asciiTheme="minorHAnsi" w:hAnsiTheme="minorHAnsi" w:cstheme="minorHAnsi"/>
                <w:b/>
                <w:sz w:val="22"/>
                <w:szCs w:val="22"/>
              </w:rPr>
              <w:t>Agreed</w:t>
            </w:r>
          </w:p>
          <w:p w14:paraId="0C982B20" w14:textId="07194E15" w:rsidR="002E553B" w:rsidRPr="003443C5" w:rsidRDefault="002E553B" w:rsidP="000C082E">
            <w:pPr>
              <w:pStyle w:val="BodyText"/>
              <w:rPr>
                <w:rFonts w:asciiTheme="minorHAnsi" w:hAnsiTheme="minorHAnsi" w:cstheme="minorHAnsi"/>
                <w:sz w:val="22"/>
                <w:szCs w:val="22"/>
              </w:rPr>
            </w:pPr>
            <w:r w:rsidRPr="003443C5">
              <w:rPr>
                <w:rFonts w:asciiTheme="minorHAnsi" w:hAnsiTheme="minorHAnsi" w:cstheme="minorHAnsi"/>
                <w:sz w:val="22"/>
                <w:szCs w:val="22"/>
              </w:rPr>
              <w:t xml:space="preserve">The Steering Committee have discussed this recommendation and noted BRAC’s commitment to re-engineer </w:t>
            </w:r>
            <w:r w:rsidR="007A798B">
              <w:rPr>
                <w:rFonts w:asciiTheme="minorHAnsi" w:hAnsiTheme="minorHAnsi" w:cstheme="minorHAnsi"/>
                <w:sz w:val="22"/>
                <w:szCs w:val="22"/>
              </w:rPr>
              <w:t xml:space="preserve">its </w:t>
            </w:r>
            <w:r w:rsidRPr="003443C5">
              <w:rPr>
                <w:rFonts w:asciiTheme="minorHAnsi" w:hAnsiTheme="minorHAnsi" w:cstheme="minorHAnsi"/>
                <w:sz w:val="22"/>
                <w:szCs w:val="22"/>
              </w:rPr>
              <w:t>M&amp;E</w:t>
            </w:r>
            <w:r w:rsidR="007A798B">
              <w:rPr>
                <w:rFonts w:asciiTheme="minorHAnsi" w:hAnsiTheme="minorHAnsi" w:cstheme="minorHAnsi"/>
                <w:sz w:val="22"/>
                <w:szCs w:val="22"/>
              </w:rPr>
              <w:t xml:space="preserve"> frameworks</w:t>
            </w:r>
            <w:r w:rsidRPr="003443C5">
              <w:rPr>
                <w:rFonts w:asciiTheme="minorHAnsi" w:hAnsiTheme="minorHAnsi" w:cstheme="minorHAnsi"/>
                <w:sz w:val="22"/>
                <w:szCs w:val="22"/>
              </w:rPr>
              <w:t xml:space="preserve">.  </w:t>
            </w:r>
          </w:p>
          <w:p w14:paraId="44BB27D7" w14:textId="77777777" w:rsidR="002E553B" w:rsidRPr="003443C5" w:rsidRDefault="002E553B" w:rsidP="000C082E">
            <w:pPr>
              <w:pStyle w:val="BodyText"/>
              <w:rPr>
                <w:rFonts w:asciiTheme="minorHAnsi" w:hAnsiTheme="minorHAnsi" w:cstheme="minorHAnsi"/>
                <w:sz w:val="22"/>
                <w:szCs w:val="22"/>
              </w:rPr>
            </w:pPr>
            <w:r w:rsidRPr="003443C5">
              <w:rPr>
                <w:rFonts w:asciiTheme="minorHAnsi" w:hAnsiTheme="minorHAnsi" w:cstheme="minorHAnsi"/>
                <w:sz w:val="22"/>
                <w:szCs w:val="22"/>
              </w:rPr>
              <w:t xml:space="preserve">As a first step BRAC has engaged an M&amp;E consultant to develop a roadmap, and DFAT and DFID are providing technical support. </w:t>
            </w:r>
          </w:p>
          <w:p w14:paraId="5AF44C4E" w14:textId="77777777" w:rsidR="002E553B" w:rsidRPr="007215E7" w:rsidRDefault="002E553B" w:rsidP="000C082E">
            <w:pPr>
              <w:pStyle w:val="BodyText"/>
              <w:rPr>
                <w:rFonts w:asciiTheme="minorHAnsi" w:hAnsiTheme="minorHAnsi" w:cstheme="minorHAnsi"/>
                <w:b/>
                <w:sz w:val="22"/>
                <w:szCs w:val="22"/>
              </w:rPr>
            </w:pPr>
            <w:r w:rsidRPr="003443C5">
              <w:rPr>
                <w:rFonts w:asciiTheme="minorHAnsi" w:hAnsiTheme="minorHAnsi" w:cstheme="minorHAnsi"/>
                <w:sz w:val="22"/>
                <w:szCs w:val="22"/>
              </w:rPr>
              <w:t>BRAC will brief the Steering Committee on their proposed approach and timeline at their</w:t>
            </w:r>
            <w:r>
              <w:rPr>
                <w:rFonts w:asciiTheme="minorHAnsi" w:hAnsiTheme="minorHAnsi" w:cstheme="minorHAnsi"/>
                <w:sz w:val="22"/>
                <w:szCs w:val="22"/>
              </w:rPr>
              <w:t xml:space="preserve"> </w:t>
            </w:r>
            <w:r w:rsidRPr="003443C5">
              <w:rPr>
                <w:rFonts w:asciiTheme="minorHAnsi" w:hAnsiTheme="minorHAnsi" w:cstheme="minorHAnsi"/>
                <w:sz w:val="22"/>
                <w:szCs w:val="22"/>
              </w:rPr>
              <w:t xml:space="preserve">next meeting. </w:t>
            </w:r>
          </w:p>
        </w:tc>
        <w:tc>
          <w:tcPr>
            <w:tcW w:w="655" w:type="pct"/>
            <w:shd w:val="clear" w:color="auto" w:fill="FFFFFF" w:themeFill="background1"/>
          </w:tcPr>
          <w:p w14:paraId="69202712" w14:textId="1E8AF555" w:rsidR="002E553B" w:rsidRPr="003443C5" w:rsidRDefault="002E553B" w:rsidP="000C082E">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BRAC to brief Steering Committee</w:t>
            </w:r>
            <w:r w:rsidR="007A798B">
              <w:rPr>
                <w:rFonts w:asciiTheme="minorHAnsi" w:hAnsiTheme="minorHAnsi" w:cstheme="minorHAnsi"/>
                <w:color w:val="auto"/>
                <w:sz w:val="22"/>
                <w:szCs w:val="22"/>
              </w:rPr>
              <w:t xml:space="preserve"> on its M&amp;E Roadmap </w:t>
            </w:r>
            <w:r w:rsidRPr="003443C5">
              <w:rPr>
                <w:rFonts w:asciiTheme="minorHAnsi" w:hAnsiTheme="minorHAnsi" w:cstheme="minorHAnsi"/>
                <w:color w:val="auto"/>
                <w:sz w:val="22"/>
                <w:szCs w:val="22"/>
              </w:rPr>
              <w:t>by April 2020</w:t>
            </w:r>
          </w:p>
          <w:p w14:paraId="1187DC79" w14:textId="77777777" w:rsidR="002E553B" w:rsidRPr="003443C5" w:rsidRDefault="002E553B" w:rsidP="000C082E">
            <w:pPr>
              <w:pStyle w:val="Tablebullets"/>
              <w:numPr>
                <w:ilvl w:val="0"/>
                <w:numId w:val="0"/>
              </w:numPr>
              <w:spacing w:after="60"/>
              <w:rPr>
                <w:rFonts w:asciiTheme="minorHAnsi" w:hAnsiTheme="minorHAnsi" w:cstheme="minorHAnsi"/>
                <w:color w:val="auto"/>
                <w:sz w:val="22"/>
                <w:szCs w:val="22"/>
              </w:rPr>
            </w:pPr>
          </w:p>
        </w:tc>
      </w:tr>
      <w:tr w:rsidR="002E553B" w:rsidRPr="003443C5" w14:paraId="2B2FD65E" w14:textId="77777777" w:rsidTr="000C082E">
        <w:tc>
          <w:tcPr>
            <w:tcW w:w="1049" w:type="pct"/>
            <w:shd w:val="clear" w:color="auto" w:fill="FFFFFF" w:themeFill="background1"/>
          </w:tcPr>
          <w:p w14:paraId="3C4BE4EA" w14:textId="77777777" w:rsidR="002E553B" w:rsidRPr="003443C5" w:rsidRDefault="002E553B" w:rsidP="000C082E">
            <w:pPr>
              <w:rPr>
                <w:rFonts w:asciiTheme="minorHAnsi" w:hAnsiTheme="minorHAnsi" w:cstheme="minorHAnsi"/>
                <w:sz w:val="22"/>
                <w:szCs w:val="22"/>
              </w:rPr>
            </w:pPr>
            <w:r w:rsidRPr="003443C5">
              <w:rPr>
                <w:rFonts w:asciiTheme="minorHAnsi" w:hAnsiTheme="minorHAnsi" w:cstheme="minorHAnsi"/>
                <w:sz w:val="22"/>
                <w:szCs w:val="22"/>
                <w:u w:val="single"/>
              </w:rPr>
              <w:t>Recommendation 10:</w:t>
            </w:r>
            <w:r w:rsidRPr="003443C5">
              <w:rPr>
                <w:rFonts w:asciiTheme="minorHAnsi" w:hAnsiTheme="minorHAnsi" w:cstheme="minorHAnsi"/>
                <w:sz w:val="22"/>
                <w:szCs w:val="22"/>
              </w:rPr>
              <w:t xml:space="preserve"> The SPA Steering Committee discuss the level of investment in M&amp;E over the period 2016 to 2018 and consider whether this level of investment is adequate to facilitate the design and implementation of a comprehensive M&amp;E system for BRAC (Recommendation 9; Appendix I). </w:t>
            </w:r>
          </w:p>
        </w:tc>
        <w:tc>
          <w:tcPr>
            <w:tcW w:w="1624" w:type="pct"/>
            <w:shd w:val="clear" w:color="auto" w:fill="auto"/>
          </w:tcPr>
          <w:p w14:paraId="4699ACDD" w14:textId="77777777" w:rsidR="002E553B" w:rsidRPr="003443C5" w:rsidRDefault="002E553B" w:rsidP="000C082E">
            <w:pPr>
              <w:rPr>
                <w:rFonts w:asciiTheme="minorHAnsi" w:hAnsiTheme="minorHAnsi" w:cstheme="minorHAnsi"/>
                <w:sz w:val="22"/>
                <w:szCs w:val="22"/>
              </w:rPr>
            </w:pPr>
            <w:r w:rsidRPr="003443C5">
              <w:rPr>
                <w:rFonts w:asciiTheme="minorHAnsi" w:hAnsiTheme="minorHAnsi" w:cstheme="minorHAnsi"/>
                <w:sz w:val="22"/>
                <w:szCs w:val="22"/>
              </w:rPr>
              <w:t xml:space="preserve">BRAC’s investment in M&amp;E is below international M&amp;E standards of 4-7% of budget. </w:t>
            </w:r>
          </w:p>
        </w:tc>
        <w:tc>
          <w:tcPr>
            <w:tcW w:w="1672" w:type="pct"/>
            <w:shd w:val="clear" w:color="auto" w:fill="FFFFFF" w:themeFill="background1"/>
          </w:tcPr>
          <w:p w14:paraId="10897B8C" w14:textId="77777777" w:rsidR="002E553B" w:rsidRPr="007215E7" w:rsidRDefault="002E553B" w:rsidP="000C082E">
            <w:pPr>
              <w:spacing w:after="120"/>
              <w:rPr>
                <w:rFonts w:asciiTheme="minorHAnsi" w:hAnsiTheme="minorHAnsi" w:cstheme="minorHAnsi"/>
                <w:b/>
                <w:sz w:val="22"/>
                <w:szCs w:val="22"/>
              </w:rPr>
            </w:pPr>
            <w:r w:rsidRPr="007215E7">
              <w:rPr>
                <w:rFonts w:asciiTheme="minorHAnsi" w:hAnsiTheme="minorHAnsi" w:cstheme="minorHAnsi"/>
                <w:b/>
                <w:sz w:val="22"/>
                <w:szCs w:val="22"/>
              </w:rPr>
              <w:t>Agreed</w:t>
            </w:r>
          </w:p>
          <w:p w14:paraId="0555547F" w14:textId="5067F620" w:rsidR="002E553B" w:rsidRPr="003443C5" w:rsidRDefault="002E553B" w:rsidP="000C082E">
            <w:pPr>
              <w:spacing w:after="120"/>
              <w:rPr>
                <w:rFonts w:asciiTheme="minorHAnsi" w:hAnsiTheme="minorHAnsi" w:cstheme="minorHAnsi"/>
                <w:sz w:val="22"/>
                <w:szCs w:val="22"/>
              </w:rPr>
            </w:pPr>
            <w:r w:rsidRPr="003443C5">
              <w:rPr>
                <w:rFonts w:asciiTheme="minorHAnsi" w:hAnsiTheme="minorHAnsi" w:cstheme="minorHAnsi"/>
                <w:sz w:val="22"/>
                <w:szCs w:val="22"/>
              </w:rPr>
              <w:t xml:space="preserve">The Steering Committee have discussed this recommendation and noted BRAC’s intention to review their level of M&amp;E investment following consideration of the Roadmap that is being developed in response to Recommendation 9.   </w:t>
            </w:r>
            <w:r w:rsidR="001F553F">
              <w:rPr>
                <w:rFonts w:asciiTheme="minorHAnsi" w:hAnsiTheme="minorHAnsi" w:cstheme="minorHAnsi"/>
                <w:sz w:val="22"/>
                <w:szCs w:val="22"/>
              </w:rPr>
              <w:t xml:space="preserve"> The Steering Committee also noted that BRAC is developing a methodology to track all M&amp;E expenditure across the organisation.</w:t>
            </w:r>
          </w:p>
          <w:p w14:paraId="35974D2D" w14:textId="77777777" w:rsidR="002E553B" w:rsidRPr="003443C5" w:rsidRDefault="002E553B" w:rsidP="000C082E">
            <w:pPr>
              <w:rPr>
                <w:rFonts w:asciiTheme="minorHAnsi" w:eastAsia="MS Mincho" w:hAnsiTheme="minorHAnsi" w:cstheme="minorHAnsi"/>
                <w:sz w:val="22"/>
                <w:szCs w:val="22"/>
                <w:highlight w:val="yellow"/>
                <w:lang w:val="en-GB" w:eastAsia="ja-JP"/>
              </w:rPr>
            </w:pPr>
          </w:p>
          <w:p w14:paraId="0878844D" w14:textId="77777777" w:rsidR="002E553B" w:rsidRPr="003443C5" w:rsidRDefault="002E553B" w:rsidP="000C082E">
            <w:pPr>
              <w:rPr>
                <w:rFonts w:asciiTheme="minorHAnsi" w:hAnsiTheme="minorHAnsi" w:cstheme="minorHAnsi"/>
                <w:sz w:val="22"/>
                <w:szCs w:val="22"/>
              </w:rPr>
            </w:pPr>
          </w:p>
        </w:tc>
        <w:tc>
          <w:tcPr>
            <w:tcW w:w="655" w:type="pct"/>
            <w:shd w:val="clear" w:color="auto" w:fill="FFFFFF" w:themeFill="background1"/>
          </w:tcPr>
          <w:p w14:paraId="1278465B" w14:textId="77777777" w:rsidR="002E553B" w:rsidRPr="003443C5" w:rsidRDefault="002E553B" w:rsidP="000C082E">
            <w:pPr>
              <w:pStyle w:val="Tablebullets"/>
              <w:numPr>
                <w:ilvl w:val="0"/>
                <w:numId w:val="0"/>
              </w:numPr>
              <w:spacing w:after="60"/>
              <w:rPr>
                <w:rFonts w:asciiTheme="minorHAnsi" w:hAnsiTheme="minorHAnsi" w:cstheme="minorHAnsi"/>
                <w:color w:val="auto"/>
                <w:sz w:val="22"/>
                <w:szCs w:val="22"/>
              </w:rPr>
            </w:pPr>
            <w:r w:rsidRPr="003443C5">
              <w:rPr>
                <w:rFonts w:asciiTheme="minorHAnsi" w:hAnsiTheme="minorHAnsi" w:cstheme="minorHAnsi"/>
                <w:color w:val="auto"/>
                <w:sz w:val="22"/>
                <w:szCs w:val="22"/>
              </w:rPr>
              <w:t>BRAC to brief Steering Committee by April 2020.</w:t>
            </w:r>
          </w:p>
        </w:tc>
      </w:tr>
    </w:tbl>
    <w:p w14:paraId="7C2C6B0E" w14:textId="77777777" w:rsidR="000D2440" w:rsidRPr="00C02346" w:rsidRDefault="000D2440" w:rsidP="000D2440">
      <w:pPr>
        <w:pStyle w:val="Table-normal-text"/>
        <w:spacing w:before="0"/>
        <w:contextualSpacing/>
        <w:rPr>
          <w:rFonts w:ascii="Calibri" w:hAnsi="Calibri" w:cs="Calibri"/>
          <w:sz w:val="22"/>
        </w:rPr>
      </w:pPr>
    </w:p>
    <w:sectPr w:rsidR="000D2440" w:rsidRPr="00C02346" w:rsidSect="00C02346">
      <w:pgSz w:w="16838" w:h="11906" w:orient="landscape"/>
      <w:pgMar w:top="1134" w:right="1135" w:bottom="1274" w:left="851" w:header="28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C9ACC" w14:textId="77777777" w:rsidR="007F4917" w:rsidRDefault="007F4917" w:rsidP="00E2054F">
      <w:r>
        <w:separator/>
      </w:r>
    </w:p>
  </w:endnote>
  <w:endnote w:type="continuationSeparator" w:id="0">
    <w:p w14:paraId="262636AB" w14:textId="77777777" w:rsidR="007F4917" w:rsidRDefault="007F4917" w:rsidP="00E2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6F8F" w14:textId="77777777" w:rsidR="00527245" w:rsidRDefault="0052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8371"/>
      <w:docPartObj>
        <w:docPartGallery w:val="Page Numbers (Bottom of Page)"/>
        <w:docPartUnique/>
      </w:docPartObj>
    </w:sdtPr>
    <w:sdtEndPr>
      <w:rPr>
        <w:rFonts w:asciiTheme="minorHAnsi" w:hAnsiTheme="minorHAnsi" w:cstheme="minorHAnsi"/>
        <w:noProof/>
        <w:sz w:val="20"/>
      </w:rPr>
    </w:sdtEndPr>
    <w:sdtContent>
      <w:p w14:paraId="13605F67" w14:textId="377D2104" w:rsidR="00143F5A" w:rsidRPr="009C5213" w:rsidRDefault="00143F5A">
        <w:pPr>
          <w:pStyle w:val="Footer"/>
          <w:jc w:val="right"/>
          <w:rPr>
            <w:rFonts w:asciiTheme="minorHAnsi" w:hAnsiTheme="minorHAnsi" w:cstheme="minorHAnsi"/>
            <w:sz w:val="20"/>
          </w:rPr>
        </w:pPr>
        <w:r w:rsidRPr="009C5213">
          <w:rPr>
            <w:rFonts w:asciiTheme="minorHAnsi" w:hAnsiTheme="minorHAnsi" w:cstheme="minorHAnsi"/>
            <w:sz w:val="20"/>
          </w:rPr>
          <w:fldChar w:fldCharType="begin"/>
        </w:r>
        <w:r w:rsidRPr="009C5213">
          <w:rPr>
            <w:rFonts w:asciiTheme="minorHAnsi" w:hAnsiTheme="minorHAnsi" w:cstheme="minorHAnsi"/>
            <w:sz w:val="20"/>
          </w:rPr>
          <w:instrText xml:space="preserve"> PAGE   \* MERGEFORMAT </w:instrText>
        </w:r>
        <w:r w:rsidRPr="009C5213">
          <w:rPr>
            <w:rFonts w:asciiTheme="minorHAnsi" w:hAnsiTheme="minorHAnsi" w:cstheme="minorHAnsi"/>
            <w:sz w:val="20"/>
          </w:rPr>
          <w:fldChar w:fldCharType="separate"/>
        </w:r>
        <w:r w:rsidR="00267E21">
          <w:rPr>
            <w:rFonts w:asciiTheme="minorHAnsi" w:hAnsiTheme="minorHAnsi" w:cstheme="minorHAnsi"/>
            <w:noProof/>
            <w:sz w:val="20"/>
          </w:rPr>
          <w:t>3</w:t>
        </w:r>
        <w:r w:rsidRPr="009C5213">
          <w:rPr>
            <w:rFonts w:asciiTheme="minorHAnsi" w:hAnsiTheme="minorHAnsi" w:cstheme="minorHAnsi"/>
            <w:noProof/>
            <w:sz w:val="20"/>
          </w:rPr>
          <w:fldChar w:fldCharType="end"/>
        </w:r>
      </w:p>
    </w:sdtContent>
  </w:sdt>
  <w:p w14:paraId="7338B207" w14:textId="77777777" w:rsidR="00143F5A" w:rsidRPr="009C5213" w:rsidRDefault="00143F5A" w:rsidP="009C5213">
    <w:pPr>
      <w:pStyle w:val="Header"/>
      <w:jc w:val="center"/>
      <w:rPr>
        <w:rFonts w:asciiTheme="minorHAnsi" w:hAnsiTheme="minorHAnsi" w:cstheme="minorHAnsi"/>
      </w:rPr>
    </w:pPr>
    <w:r w:rsidRPr="009C5213">
      <w:rPr>
        <w:rFonts w:asciiTheme="minorHAnsi" w:hAnsiTheme="minorHAnsi" w:cstheme="minorHAnsi"/>
        <w:sz w:val="22"/>
      </w:rPr>
      <w:t>UNCLASSIFIED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E773" w14:textId="77777777" w:rsidR="00527245" w:rsidRDefault="0052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0E2A0" w14:textId="77777777" w:rsidR="007F4917" w:rsidRDefault="007F4917" w:rsidP="00E2054F">
      <w:r>
        <w:separator/>
      </w:r>
    </w:p>
  </w:footnote>
  <w:footnote w:type="continuationSeparator" w:id="0">
    <w:p w14:paraId="4DBBD136" w14:textId="77777777" w:rsidR="007F4917" w:rsidRDefault="007F4917" w:rsidP="00E2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3FB9" w14:textId="77777777" w:rsidR="00527245" w:rsidRDefault="00527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94C9" w14:textId="6E5BF2D7" w:rsidR="00143F5A" w:rsidRPr="009C5213" w:rsidRDefault="00143F5A" w:rsidP="009C5213">
    <w:pPr>
      <w:pStyle w:val="Header"/>
      <w:jc w:val="center"/>
      <w:rPr>
        <w:rFonts w:asciiTheme="minorHAnsi" w:hAnsiTheme="minorHAnsi" w:cstheme="minorHAnsi"/>
        <w:sz w:val="22"/>
      </w:rPr>
    </w:pPr>
    <w:r w:rsidRPr="009C5213">
      <w:rPr>
        <w:rFonts w:asciiTheme="minorHAnsi" w:hAnsiTheme="minorHAnsi" w:cstheme="minorHAnsi"/>
        <w:sz w:val="22"/>
      </w:rPr>
      <w:t>UNCLASSIFIED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7B17" w14:textId="77777777" w:rsidR="00527245" w:rsidRDefault="0052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EB6"/>
    <w:multiLevelType w:val="hybridMultilevel"/>
    <w:tmpl w:val="FA9E2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12574"/>
    <w:multiLevelType w:val="hybridMultilevel"/>
    <w:tmpl w:val="68142938"/>
    <w:lvl w:ilvl="0" w:tplc="96CA2F1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A69219D"/>
    <w:multiLevelType w:val="hybridMultilevel"/>
    <w:tmpl w:val="7700BAD0"/>
    <w:lvl w:ilvl="0" w:tplc="A3EE65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D0516"/>
    <w:multiLevelType w:val="hybridMultilevel"/>
    <w:tmpl w:val="0A6AF82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108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2520" w:hanging="360"/>
      </w:pPr>
      <w:rPr>
        <w:rFonts w:ascii="Courier New" w:hAnsi="Courier New" w:cs="Courier New" w:hint="default"/>
      </w:rPr>
    </w:lvl>
    <w:lvl w:ilvl="8" w:tplc="0C090005" w:tentative="1">
      <w:start w:val="1"/>
      <w:numFmt w:val="bullet"/>
      <w:lvlText w:val=""/>
      <w:lvlJc w:val="left"/>
      <w:pPr>
        <w:ind w:left="3240" w:hanging="360"/>
      </w:pPr>
      <w:rPr>
        <w:rFonts w:ascii="Wingdings" w:hAnsi="Wingdings" w:hint="default"/>
      </w:rPr>
    </w:lvl>
  </w:abstractNum>
  <w:abstractNum w:abstractNumId="4" w15:restartNumberingAfterBreak="0">
    <w:nsid w:val="0C097697"/>
    <w:multiLevelType w:val="hybridMultilevel"/>
    <w:tmpl w:val="47423080"/>
    <w:lvl w:ilvl="0" w:tplc="106099A4">
      <w:start w:val="1"/>
      <w:numFmt w:val="bullet"/>
      <w:pStyle w:val="Bullets"/>
      <w:lvlText w:val=""/>
      <w:lvlJc w:val="left"/>
      <w:pPr>
        <w:tabs>
          <w:tab w:val="num" w:pos="1814"/>
        </w:tabs>
        <w:ind w:left="1814" w:hanging="37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57D0B"/>
    <w:multiLevelType w:val="hybridMultilevel"/>
    <w:tmpl w:val="E6AE2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87B10"/>
    <w:multiLevelType w:val="hybridMultilevel"/>
    <w:tmpl w:val="EE86536C"/>
    <w:lvl w:ilvl="0" w:tplc="39FE300E">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262BA"/>
    <w:multiLevelType w:val="hybridMultilevel"/>
    <w:tmpl w:val="A40A83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2C6581"/>
    <w:multiLevelType w:val="hybridMultilevel"/>
    <w:tmpl w:val="CB74A0B6"/>
    <w:lvl w:ilvl="0" w:tplc="1F3A63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3B106E"/>
    <w:multiLevelType w:val="multilevel"/>
    <w:tmpl w:val="E63AF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B1139F"/>
    <w:multiLevelType w:val="hybridMultilevel"/>
    <w:tmpl w:val="BFB61CC0"/>
    <w:lvl w:ilvl="0" w:tplc="538ED9A8">
      <w:start w:val="1"/>
      <w:numFmt w:val="bullet"/>
      <w:lvlText w:val=""/>
      <w:lvlJc w:val="left"/>
      <w:pPr>
        <w:tabs>
          <w:tab w:val="num" w:pos="720"/>
        </w:tabs>
        <w:ind w:left="720" w:hanging="360"/>
      </w:pPr>
      <w:rPr>
        <w:rFonts w:ascii="Wingdings 2" w:hAnsi="Wingdings 2" w:hint="default"/>
      </w:rPr>
    </w:lvl>
    <w:lvl w:ilvl="1" w:tplc="C466FCBC">
      <w:start w:val="1"/>
      <w:numFmt w:val="bullet"/>
      <w:lvlText w:val=""/>
      <w:lvlJc w:val="left"/>
      <w:pPr>
        <w:tabs>
          <w:tab w:val="num" w:pos="1440"/>
        </w:tabs>
        <w:ind w:left="1440" w:hanging="360"/>
      </w:pPr>
      <w:rPr>
        <w:rFonts w:ascii="Wingdings 2" w:hAnsi="Wingdings 2" w:hint="default"/>
      </w:rPr>
    </w:lvl>
    <w:lvl w:ilvl="2" w:tplc="797604FC" w:tentative="1">
      <w:start w:val="1"/>
      <w:numFmt w:val="bullet"/>
      <w:lvlText w:val=""/>
      <w:lvlJc w:val="left"/>
      <w:pPr>
        <w:tabs>
          <w:tab w:val="num" w:pos="2160"/>
        </w:tabs>
        <w:ind w:left="2160" w:hanging="360"/>
      </w:pPr>
      <w:rPr>
        <w:rFonts w:ascii="Wingdings 2" w:hAnsi="Wingdings 2" w:hint="default"/>
      </w:rPr>
    </w:lvl>
    <w:lvl w:ilvl="3" w:tplc="71C07758" w:tentative="1">
      <w:start w:val="1"/>
      <w:numFmt w:val="bullet"/>
      <w:lvlText w:val=""/>
      <w:lvlJc w:val="left"/>
      <w:pPr>
        <w:tabs>
          <w:tab w:val="num" w:pos="2880"/>
        </w:tabs>
        <w:ind w:left="2880" w:hanging="360"/>
      </w:pPr>
      <w:rPr>
        <w:rFonts w:ascii="Wingdings 2" w:hAnsi="Wingdings 2" w:hint="default"/>
      </w:rPr>
    </w:lvl>
    <w:lvl w:ilvl="4" w:tplc="E2A20830" w:tentative="1">
      <w:start w:val="1"/>
      <w:numFmt w:val="bullet"/>
      <w:lvlText w:val=""/>
      <w:lvlJc w:val="left"/>
      <w:pPr>
        <w:tabs>
          <w:tab w:val="num" w:pos="3600"/>
        </w:tabs>
        <w:ind w:left="3600" w:hanging="360"/>
      </w:pPr>
      <w:rPr>
        <w:rFonts w:ascii="Wingdings 2" w:hAnsi="Wingdings 2" w:hint="default"/>
      </w:rPr>
    </w:lvl>
    <w:lvl w:ilvl="5" w:tplc="8A10EB92" w:tentative="1">
      <w:start w:val="1"/>
      <w:numFmt w:val="bullet"/>
      <w:lvlText w:val=""/>
      <w:lvlJc w:val="left"/>
      <w:pPr>
        <w:tabs>
          <w:tab w:val="num" w:pos="4320"/>
        </w:tabs>
        <w:ind w:left="4320" w:hanging="360"/>
      </w:pPr>
      <w:rPr>
        <w:rFonts w:ascii="Wingdings 2" w:hAnsi="Wingdings 2" w:hint="default"/>
      </w:rPr>
    </w:lvl>
    <w:lvl w:ilvl="6" w:tplc="CEBA60EC" w:tentative="1">
      <w:start w:val="1"/>
      <w:numFmt w:val="bullet"/>
      <w:lvlText w:val=""/>
      <w:lvlJc w:val="left"/>
      <w:pPr>
        <w:tabs>
          <w:tab w:val="num" w:pos="5040"/>
        </w:tabs>
        <w:ind w:left="5040" w:hanging="360"/>
      </w:pPr>
      <w:rPr>
        <w:rFonts w:ascii="Wingdings 2" w:hAnsi="Wingdings 2" w:hint="default"/>
      </w:rPr>
    </w:lvl>
    <w:lvl w:ilvl="7" w:tplc="A6D2476E" w:tentative="1">
      <w:start w:val="1"/>
      <w:numFmt w:val="bullet"/>
      <w:lvlText w:val=""/>
      <w:lvlJc w:val="left"/>
      <w:pPr>
        <w:tabs>
          <w:tab w:val="num" w:pos="5760"/>
        </w:tabs>
        <w:ind w:left="5760" w:hanging="360"/>
      </w:pPr>
      <w:rPr>
        <w:rFonts w:ascii="Wingdings 2" w:hAnsi="Wingdings 2" w:hint="default"/>
      </w:rPr>
    </w:lvl>
    <w:lvl w:ilvl="8" w:tplc="C646DD6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2D04E29"/>
    <w:multiLevelType w:val="hybridMultilevel"/>
    <w:tmpl w:val="A456E0F6"/>
    <w:lvl w:ilvl="0" w:tplc="0C090001">
      <w:start w:val="1"/>
      <w:numFmt w:val="bullet"/>
      <w:lvlText w:val=""/>
      <w:lvlJc w:val="left"/>
      <w:pPr>
        <w:ind w:left="720" w:hanging="360"/>
      </w:pPr>
      <w:rPr>
        <w:rFonts w:ascii="Symbol" w:hAnsi="Symbol" w:hint="default"/>
        <w:color w:val="CF5D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D5F54"/>
    <w:multiLevelType w:val="hybridMultilevel"/>
    <w:tmpl w:val="33B61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442C6D"/>
    <w:multiLevelType w:val="hybridMultilevel"/>
    <w:tmpl w:val="1FD44984"/>
    <w:lvl w:ilvl="0" w:tplc="A53EC748">
      <w:start w:val="7"/>
      <w:numFmt w:val="decimal"/>
      <w:lvlText w:val="%1."/>
      <w:lvlJc w:val="left"/>
      <w:pPr>
        <w:tabs>
          <w:tab w:val="num" w:pos="720"/>
        </w:tabs>
        <w:ind w:left="720" w:hanging="360"/>
      </w:pPr>
    </w:lvl>
    <w:lvl w:ilvl="1" w:tplc="8CE21C3C" w:tentative="1">
      <w:start w:val="1"/>
      <w:numFmt w:val="decimal"/>
      <w:lvlText w:val="%2."/>
      <w:lvlJc w:val="left"/>
      <w:pPr>
        <w:tabs>
          <w:tab w:val="num" w:pos="1440"/>
        </w:tabs>
        <w:ind w:left="1440" w:hanging="360"/>
      </w:pPr>
    </w:lvl>
    <w:lvl w:ilvl="2" w:tplc="6A629AE6" w:tentative="1">
      <w:start w:val="1"/>
      <w:numFmt w:val="decimal"/>
      <w:lvlText w:val="%3."/>
      <w:lvlJc w:val="left"/>
      <w:pPr>
        <w:tabs>
          <w:tab w:val="num" w:pos="2160"/>
        </w:tabs>
        <w:ind w:left="2160" w:hanging="360"/>
      </w:pPr>
    </w:lvl>
    <w:lvl w:ilvl="3" w:tplc="DD0E0DE4" w:tentative="1">
      <w:start w:val="1"/>
      <w:numFmt w:val="decimal"/>
      <w:lvlText w:val="%4."/>
      <w:lvlJc w:val="left"/>
      <w:pPr>
        <w:tabs>
          <w:tab w:val="num" w:pos="2880"/>
        </w:tabs>
        <w:ind w:left="2880" w:hanging="360"/>
      </w:pPr>
    </w:lvl>
    <w:lvl w:ilvl="4" w:tplc="52EA5CBC" w:tentative="1">
      <w:start w:val="1"/>
      <w:numFmt w:val="decimal"/>
      <w:lvlText w:val="%5."/>
      <w:lvlJc w:val="left"/>
      <w:pPr>
        <w:tabs>
          <w:tab w:val="num" w:pos="3600"/>
        </w:tabs>
        <w:ind w:left="3600" w:hanging="360"/>
      </w:pPr>
    </w:lvl>
    <w:lvl w:ilvl="5" w:tplc="F4E23D7C" w:tentative="1">
      <w:start w:val="1"/>
      <w:numFmt w:val="decimal"/>
      <w:lvlText w:val="%6."/>
      <w:lvlJc w:val="left"/>
      <w:pPr>
        <w:tabs>
          <w:tab w:val="num" w:pos="4320"/>
        </w:tabs>
        <w:ind w:left="4320" w:hanging="360"/>
      </w:pPr>
    </w:lvl>
    <w:lvl w:ilvl="6" w:tplc="496E6444" w:tentative="1">
      <w:start w:val="1"/>
      <w:numFmt w:val="decimal"/>
      <w:lvlText w:val="%7."/>
      <w:lvlJc w:val="left"/>
      <w:pPr>
        <w:tabs>
          <w:tab w:val="num" w:pos="5040"/>
        </w:tabs>
        <w:ind w:left="5040" w:hanging="360"/>
      </w:pPr>
    </w:lvl>
    <w:lvl w:ilvl="7" w:tplc="11949E70" w:tentative="1">
      <w:start w:val="1"/>
      <w:numFmt w:val="decimal"/>
      <w:lvlText w:val="%8."/>
      <w:lvlJc w:val="left"/>
      <w:pPr>
        <w:tabs>
          <w:tab w:val="num" w:pos="5760"/>
        </w:tabs>
        <w:ind w:left="5760" w:hanging="360"/>
      </w:pPr>
    </w:lvl>
    <w:lvl w:ilvl="8" w:tplc="ABF2D8EE" w:tentative="1">
      <w:start w:val="1"/>
      <w:numFmt w:val="decimal"/>
      <w:lvlText w:val="%9."/>
      <w:lvlJc w:val="left"/>
      <w:pPr>
        <w:tabs>
          <w:tab w:val="num" w:pos="6480"/>
        </w:tabs>
        <w:ind w:left="6480" w:hanging="360"/>
      </w:pPr>
    </w:lvl>
  </w:abstractNum>
  <w:abstractNum w:abstractNumId="14" w15:restartNumberingAfterBreak="0">
    <w:nsid w:val="3D7A1F35"/>
    <w:multiLevelType w:val="hybridMultilevel"/>
    <w:tmpl w:val="C5CE04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D96632A"/>
    <w:multiLevelType w:val="hybridMultilevel"/>
    <w:tmpl w:val="5E00B7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B85E20"/>
    <w:multiLevelType w:val="hybridMultilevel"/>
    <w:tmpl w:val="6548178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0A293C"/>
    <w:multiLevelType w:val="hybridMultilevel"/>
    <w:tmpl w:val="7E586AE4"/>
    <w:lvl w:ilvl="0" w:tplc="3B521914">
      <w:start w:val="1"/>
      <w:numFmt w:val="lowerRoman"/>
      <w:lvlText w:val="%1)"/>
      <w:lvlJc w:val="left"/>
      <w:pPr>
        <w:ind w:left="1146" w:hanging="72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18" w15:restartNumberingAfterBreak="0">
    <w:nsid w:val="3F0B433B"/>
    <w:multiLevelType w:val="hybridMultilevel"/>
    <w:tmpl w:val="E6AE2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AA6AD8"/>
    <w:multiLevelType w:val="hybridMultilevel"/>
    <w:tmpl w:val="3D2633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2156456"/>
    <w:multiLevelType w:val="hybridMultilevel"/>
    <w:tmpl w:val="EAEC0A2C"/>
    <w:lvl w:ilvl="0" w:tplc="BBA42190">
      <w:start w:val="5"/>
      <w:numFmt w:val="decimal"/>
      <w:lvlText w:val="%1."/>
      <w:lvlJc w:val="left"/>
      <w:pPr>
        <w:tabs>
          <w:tab w:val="num" w:pos="720"/>
        </w:tabs>
        <w:ind w:left="720" w:hanging="360"/>
      </w:pPr>
    </w:lvl>
    <w:lvl w:ilvl="1" w:tplc="0CAA5430" w:tentative="1">
      <w:start w:val="1"/>
      <w:numFmt w:val="decimal"/>
      <w:lvlText w:val="%2."/>
      <w:lvlJc w:val="left"/>
      <w:pPr>
        <w:tabs>
          <w:tab w:val="num" w:pos="1440"/>
        </w:tabs>
        <w:ind w:left="1440" w:hanging="360"/>
      </w:pPr>
    </w:lvl>
    <w:lvl w:ilvl="2" w:tplc="4C724ABA" w:tentative="1">
      <w:start w:val="1"/>
      <w:numFmt w:val="decimal"/>
      <w:lvlText w:val="%3."/>
      <w:lvlJc w:val="left"/>
      <w:pPr>
        <w:tabs>
          <w:tab w:val="num" w:pos="2160"/>
        </w:tabs>
        <w:ind w:left="2160" w:hanging="360"/>
      </w:pPr>
    </w:lvl>
    <w:lvl w:ilvl="3" w:tplc="15385ACA" w:tentative="1">
      <w:start w:val="1"/>
      <w:numFmt w:val="decimal"/>
      <w:lvlText w:val="%4."/>
      <w:lvlJc w:val="left"/>
      <w:pPr>
        <w:tabs>
          <w:tab w:val="num" w:pos="2880"/>
        </w:tabs>
        <w:ind w:left="2880" w:hanging="360"/>
      </w:pPr>
    </w:lvl>
    <w:lvl w:ilvl="4" w:tplc="89089FF0" w:tentative="1">
      <w:start w:val="1"/>
      <w:numFmt w:val="decimal"/>
      <w:lvlText w:val="%5."/>
      <w:lvlJc w:val="left"/>
      <w:pPr>
        <w:tabs>
          <w:tab w:val="num" w:pos="3600"/>
        </w:tabs>
        <w:ind w:left="3600" w:hanging="360"/>
      </w:pPr>
    </w:lvl>
    <w:lvl w:ilvl="5" w:tplc="6A04A2DA" w:tentative="1">
      <w:start w:val="1"/>
      <w:numFmt w:val="decimal"/>
      <w:lvlText w:val="%6."/>
      <w:lvlJc w:val="left"/>
      <w:pPr>
        <w:tabs>
          <w:tab w:val="num" w:pos="4320"/>
        </w:tabs>
        <w:ind w:left="4320" w:hanging="360"/>
      </w:pPr>
    </w:lvl>
    <w:lvl w:ilvl="6" w:tplc="3248456A" w:tentative="1">
      <w:start w:val="1"/>
      <w:numFmt w:val="decimal"/>
      <w:lvlText w:val="%7."/>
      <w:lvlJc w:val="left"/>
      <w:pPr>
        <w:tabs>
          <w:tab w:val="num" w:pos="5040"/>
        </w:tabs>
        <w:ind w:left="5040" w:hanging="360"/>
      </w:pPr>
    </w:lvl>
    <w:lvl w:ilvl="7" w:tplc="43F2EAC2" w:tentative="1">
      <w:start w:val="1"/>
      <w:numFmt w:val="decimal"/>
      <w:lvlText w:val="%8."/>
      <w:lvlJc w:val="left"/>
      <w:pPr>
        <w:tabs>
          <w:tab w:val="num" w:pos="5760"/>
        </w:tabs>
        <w:ind w:left="5760" w:hanging="360"/>
      </w:pPr>
    </w:lvl>
    <w:lvl w:ilvl="8" w:tplc="CD42EACC" w:tentative="1">
      <w:start w:val="1"/>
      <w:numFmt w:val="decimal"/>
      <w:lvlText w:val="%9."/>
      <w:lvlJc w:val="left"/>
      <w:pPr>
        <w:tabs>
          <w:tab w:val="num" w:pos="6480"/>
        </w:tabs>
        <w:ind w:left="6480" w:hanging="360"/>
      </w:pPr>
    </w:lvl>
  </w:abstractNum>
  <w:abstractNum w:abstractNumId="21" w15:restartNumberingAfterBreak="0">
    <w:nsid w:val="43F01F3B"/>
    <w:multiLevelType w:val="hybridMultilevel"/>
    <w:tmpl w:val="D840C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1672E6"/>
    <w:multiLevelType w:val="hybridMultilevel"/>
    <w:tmpl w:val="56BE2E74"/>
    <w:lvl w:ilvl="0" w:tplc="89E485AE">
      <w:numFmt w:val="bullet"/>
      <w:lvlText w:val="•"/>
      <w:lvlJc w:val="left"/>
      <w:pPr>
        <w:ind w:left="413" w:hanging="284"/>
      </w:pPr>
      <w:rPr>
        <w:rFonts w:ascii="Cambria" w:eastAsia="Cambria" w:hAnsi="Cambria" w:cs="Cambria" w:hint="default"/>
        <w:w w:val="104"/>
        <w:sz w:val="16"/>
        <w:szCs w:val="16"/>
      </w:rPr>
    </w:lvl>
    <w:lvl w:ilvl="1" w:tplc="DC4045CE">
      <w:numFmt w:val="bullet"/>
      <w:lvlText w:val="•"/>
      <w:lvlJc w:val="left"/>
      <w:pPr>
        <w:ind w:left="950" w:hanging="284"/>
      </w:pPr>
      <w:rPr>
        <w:rFonts w:hint="default"/>
      </w:rPr>
    </w:lvl>
    <w:lvl w:ilvl="2" w:tplc="804A1104">
      <w:numFmt w:val="bullet"/>
      <w:lvlText w:val="•"/>
      <w:lvlJc w:val="left"/>
      <w:pPr>
        <w:ind w:left="1480" w:hanging="284"/>
      </w:pPr>
      <w:rPr>
        <w:rFonts w:hint="default"/>
      </w:rPr>
    </w:lvl>
    <w:lvl w:ilvl="3" w:tplc="31FE522A">
      <w:numFmt w:val="bullet"/>
      <w:lvlText w:val="•"/>
      <w:lvlJc w:val="left"/>
      <w:pPr>
        <w:ind w:left="2011" w:hanging="284"/>
      </w:pPr>
      <w:rPr>
        <w:rFonts w:hint="default"/>
      </w:rPr>
    </w:lvl>
    <w:lvl w:ilvl="4" w:tplc="8FD0BE08">
      <w:numFmt w:val="bullet"/>
      <w:lvlText w:val="•"/>
      <w:lvlJc w:val="left"/>
      <w:pPr>
        <w:ind w:left="2541" w:hanging="284"/>
      </w:pPr>
      <w:rPr>
        <w:rFonts w:hint="default"/>
      </w:rPr>
    </w:lvl>
    <w:lvl w:ilvl="5" w:tplc="D4626CC4">
      <w:numFmt w:val="bullet"/>
      <w:lvlText w:val="•"/>
      <w:lvlJc w:val="left"/>
      <w:pPr>
        <w:ind w:left="3072" w:hanging="284"/>
      </w:pPr>
      <w:rPr>
        <w:rFonts w:hint="default"/>
      </w:rPr>
    </w:lvl>
    <w:lvl w:ilvl="6" w:tplc="2978601E">
      <w:numFmt w:val="bullet"/>
      <w:lvlText w:val="•"/>
      <w:lvlJc w:val="left"/>
      <w:pPr>
        <w:ind w:left="3602" w:hanging="284"/>
      </w:pPr>
      <w:rPr>
        <w:rFonts w:hint="default"/>
      </w:rPr>
    </w:lvl>
    <w:lvl w:ilvl="7" w:tplc="D682EAD8">
      <w:numFmt w:val="bullet"/>
      <w:lvlText w:val="•"/>
      <w:lvlJc w:val="left"/>
      <w:pPr>
        <w:ind w:left="4133" w:hanging="284"/>
      </w:pPr>
      <w:rPr>
        <w:rFonts w:hint="default"/>
      </w:rPr>
    </w:lvl>
    <w:lvl w:ilvl="8" w:tplc="258831AA">
      <w:numFmt w:val="bullet"/>
      <w:lvlText w:val="•"/>
      <w:lvlJc w:val="left"/>
      <w:pPr>
        <w:ind w:left="4663" w:hanging="284"/>
      </w:pPr>
      <w:rPr>
        <w:rFonts w:hint="default"/>
      </w:rPr>
    </w:lvl>
  </w:abstractNum>
  <w:abstractNum w:abstractNumId="23" w15:restartNumberingAfterBreak="0">
    <w:nsid w:val="482A253F"/>
    <w:multiLevelType w:val="hybridMultilevel"/>
    <w:tmpl w:val="14B240D8"/>
    <w:lvl w:ilvl="0" w:tplc="2F6C9104">
      <w:start w:val="1"/>
      <w:numFmt w:val="decimal"/>
      <w:lvlText w:val="%1."/>
      <w:lvlJc w:val="left"/>
      <w:pPr>
        <w:tabs>
          <w:tab w:val="num" w:pos="720"/>
        </w:tabs>
        <w:ind w:left="720" w:hanging="360"/>
      </w:pPr>
    </w:lvl>
    <w:lvl w:ilvl="1" w:tplc="B2E0B26C" w:tentative="1">
      <w:start w:val="1"/>
      <w:numFmt w:val="decimal"/>
      <w:lvlText w:val="%2."/>
      <w:lvlJc w:val="left"/>
      <w:pPr>
        <w:tabs>
          <w:tab w:val="num" w:pos="1440"/>
        </w:tabs>
        <w:ind w:left="1440" w:hanging="360"/>
      </w:pPr>
    </w:lvl>
    <w:lvl w:ilvl="2" w:tplc="738E80DA" w:tentative="1">
      <w:start w:val="1"/>
      <w:numFmt w:val="decimal"/>
      <w:lvlText w:val="%3."/>
      <w:lvlJc w:val="left"/>
      <w:pPr>
        <w:tabs>
          <w:tab w:val="num" w:pos="2160"/>
        </w:tabs>
        <w:ind w:left="2160" w:hanging="360"/>
      </w:pPr>
    </w:lvl>
    <w:lvl w:ilvl="3" w:tplc="A984D412" w:tentative="1">
      <w:start w:val="1"/>
      <w:numFmt w:val="decimal"/>
      <w:lvlText w:val="%4."/>
      <w:lvlJc w:val="left"/>
      <w:pPr>
        <w:tabs>
          <w:tab w:val="num" w:pos="2880"/>
        </w:tabs>
        <w:ind w:left="2880" w:hanging="360"/>
      </w:pPr>
    </w:lvl>
    <w:lvl w:ilvl="4" w:tplc="5D64448E" w:tentative="1">
      <w:start w:val="1"/>
      <w:numFmt w:val="decimal"/>
      <w:lvlText w:val="%5."/>
      <w:lvlJc w:val="left"/>
      <w:pPr>
        <w:tabs>
          <w:tab w:val="num" w:pos="3600"/>
        </w:tabs>
        <w:ind w:left="3600" w:hanging="360"/>
      </w:pPr>
    </w:lvl>
    <w:lvl w:ilvl="5" w:tplc="63D0A8C2" w:tentative="1">
      <w:start w:val="1"/>
      <w:numFmt w:val="decimal"/>
      <w:lvlText w:val="%6."/>
      <w:lvlJc w:val="left"/>
      <w:pPr>
        <w:tabs>
          <w:tab w:val="num" w:pos="4320"/>
        </w:tabs>
        <w:ind w:left="4320" w:hanging="360"/>
      </w:pPr>
    </w:lvl>
    <w:lvl w:ilvl="6" w:tplc="8FE00048" w:tentative="1">
      <w:start w:val="1"/>
      <w:numFmt w:val="decimal"/>
      <w:lvlText w:val="%7."/>
      <w:lvlJc w:val="left"/>
      <w:pPr>
        <w:tabs>
          <w:tab w:val="num" w:pos="5040"/>
        </w:tabs>
        <w:ind w:left="5040" w:hanging="360"/>
      </w:pPr>
    </w:lvl>
    <w:lvl w:ilvl="7" w:tplc="3BFA5F24" w:tentative="1">
      <w:start w:val="1"/>
      <w:numFmt w:val="decimal"/>
      <w:lvlText w:val="%8."/>
      <w:lvlJc w:val="left"/>
      <w:pPr>
        <w:tabs>
          <w:tab w:val="num" w:pos="5760"/>
        </w:tabs>
        <w:ind w:left="5760" w:hanging="360"/>
      </w:pPr>
    </w:lvl>
    <w:lvl w:ilvl="8" w:tplc="71FC7582" w:tentative="1">
      <w:start w:val="1"/>
      <w:numFmt w:val="decimal"/>
      <w:lvlText w:val="%9."/>
      <w:lvlJc w:val="left"/>
      <w:pPr>
        <w:tabs>
          <w:tab w:val="num" w:pos="6480"/>
        </w:tabs>
        <w:ind w:left="6480" w:hanging="360"/>
      </w:pPr>
    </w:lvl>
  </w:abstractNum>
  <w:abstractNum w:abstractNumId="24" w15:restartNumberingAfterBreak="0">
    <w:nsid w:val="4D085FE4"/>
    <w:multiLevelType w:val="hybridMultilevel"/>
    <w:tmpl w:val="E9121D24"/>
    <w:lvl w:ilvl="0" w:tplc="4D4E0DEE">
      <w:start w:val="1"/>
      <w:numFmt w:val="decimal"/>
      <w:lvlText w:val="%1."/>
      <w:lvlJc w:val="left"/>
      <w:pPr>
        <w:tabs>
          <w:tab w:val="num" w:pos="720"/>
        </w:tabs>
        <w:ind w:left="720" w:hanging="360"/>
      </w:pPr>
    </w:lvl>
    <w:lvl w:ilvl="1" w:tplc="BA5C0C6A" w:tentative="1">
      <w:start w:val="1"/>
      <w:numFmt w:val="decimal"/>
      <w:lvlText w:val="%2."/>
      <w:lvlJc w:val="left"/>
      <w:pPr>
        <w:tabs>
          <w:tab w:val="num" w:pos="1440"/>
        </w:tabs>
        <w:ind w:left="1440" w:hanging="360"/>
      </w:pPr>
    </w:lvl>
    <w:lvl w:ilvl="2" w:tplc="90FEDEB6" w:tentative="1">
      <w:start w:val="1"/>
      <w:numFmt w:val="decimal"/>
      <w:lvlText w:val="%3."/>
      <w:lvlJc w:val="left"/>
      <w:pPr>
        <w:tabs>
          <w:tab w:val="num" w:pos="2160"/>
        </w:tabs>
        <w:ind w:left="2160" w:hanging="360"/>
      </w:pPr>
    </w:lvl>
    <w:lvl w:ilvl="3" w:tplc="910A9C98" w:tentative="1">
      <w:start w:val="1"/>
      <w:numFmt w:val="decimal"/>
      <w:lvlText w:val="%4."/>
      <w:lvlJc w:val="left"/>
      <w:pPr>
        <w:tabs>
          <w:tab w:val="num" w:pos="2880"/>
        </w:tabs>
        <w:ind w:left="2880" w:hanging="360"/>
      </w:pPr>
    </w:lvl>
    <w:lvl w:ilvl="4" w:tplc="E81068A2" w:tentative="1">
      <w:start w:val="1"/>
      <w:numFmt w:val="decimal"/>
      <w:lvlText w:val="%5."/>
      <w:lvlJc w:val="left"/>
      <w:pPr>
        <w:tabs>
          <w:tab w:val="num" w:pos="3600"/>
        </w:tabs>
        <w:ind w:left="3600" w:hanging="360"/>
      </w:pPr>
    </w:lvl>
    <w:lvl w:ilvl="5" w:tplc="94445A68" w:tentative="1">
      <w:start w:val="1"/>
      <w:numFmt w:val="decimal"/>
      <w:lvlText w:val="%6."/>
      <w:lvlJc w:val="left"/>
      <w:pPr>
        <w:tabs>
          <w:tab w:val="num" w:pos="4320"/>
        </w:tabs>
        <w:ind w:left="4320" w:hanging="360"/>
      </w:pPr>
    </w:lvl>
    <w:lvl w:ilvl="6" w:tplc="B6764DD0" w:tentative="1">
      <w:start w:val="1"/>
      <w:numFmt w:val="decimal"/>
      <w:lvlText w:val="%7."/>
      <w:lvlJc w:val="left"/>
      <w:pPr>
        <w:tabs>
          <w:tab w:val="num" w:pos="5040"/>
        </w:tabs>
        <w:ind w:left="5040" w:hanging="360"/>
      </w:pPr>
    </w:lvl>
    <w:lvl w:ilvl="7" w:tplc="82A42E22" w:tentative="1">
      <w:start w:val="1"/>
      <w:numFmt w:val="decimal"/>
      <w:lvlText w:val="%8."/>
      <w:lvlJc w:val="left"/>
      <w:pPr>
        <w:tabs>
          <w:tab w:val="num" w:pos="5760"/>
        </w:tabs>
        <w:ind w:left="5760" w:hanging="360"/>
      </w:pPr>
    </w:lvl>
    <w:lvl w:ilvl="8" w:tplc="3D346F3C" w:tentative="1">
      <w:start w:val="1"/>
      <w:numFmt w:val="decimal"/>
      <w:lvlText w:val="%9."/>
      <w:lvlJc w:val="left"/>
      <w:pPr>
        <w:tabs>
          <w:tab w:val="num" w:pos="6480"/>
        </w:tabs>
        <w:ind w:left="6480" w:hanging="360"/>
      </w:pPr>
    </w:lvl>
  </w:abstractNum>
  <w:abstractNum w:abstractNumId="25" w15:restartNumberingAfterBreak="0">
    <w:nsid w:val="54C30FAA"/>
    <w:multiLevelType w:val="hybridMultilevel"/>
    <w:tmpl w:val="D30AD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A17430"/>
    <w:multiLevelType w:val="hybridMultilevel"/>
    <w:tmpl w:val="6332FE52"/>
    <w:lvl w:ilvl="0" w:tplc="E410DCE0">
      <w:start w:val="17"/>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F15360"/>
    <w:multiLevelType w:val="hybridMultilevel"/>
    <w:tmpl w:val="944A7086"/>
    <w:lvl w:ilvl="0" w:tplc="2EF8325C">
      <w:start w:val="1"/>
      <w:numFmt w:val="decimal"/>
      <w:lvlText w:val="%1."/>
      <w:lvlJc w:val="left"/>
      <w:pPr>
        <w:tabs>
          <w:tab w:val="num" w:pos="720"/>
        </w:tabs>
        <w:ind w:left="720" w:hanging="360"/>
      </w:pPr>
    </w:lvl>
    <w:lvl w:ilvl="1" w:tplc="560EEED6" w:tentative="1">
      <w:start w:val="1"/>
      <w:numFmt w:val="decimal"/>
      <w:lvlText w:val="%2."/>
      <w:lvlJc w:val="left"/>
      <w:pPr>
        <w:tabs>
          <w:tab w:val="num" w:pos="1440"/>
        </w:tabs>
        <w:ind w:left="1440" w:hanging="360"/>
      </w:pPr>
    </w:lvl>
    <w:lvl w:ilvl="2" w:tplc="1D3033DC" w:tentative="1">
      <w:start w:val="1"/>
      <w:numFmt w:val="decimal"/>
      <w:lvlText w:val="%3."/>
      <w:lvlJc w:val="left"/>
      <w:pPr>
        <w:tabs>
          <w:tab w:val="num" w:pos="2160"/>
        </w:tabs>
        <w:ind w:left="2160" w:hanging="360"/>
      </w:pPr>
    </w:lvl>
    <w:lvl w:ilvl="3" w:tplc="F288FA86" w:tentative="1">
      <w:start w:val="1"/>
      <w:numFmt w:val="decimal"/>
      <w:lvlText w:val="%4."/>
      <w:lvlJc w:val="left"/>
      <w:pPr>
        <w:tabs>
          <w:tab w:val="num" w:pos="2880"/>
        </w:tabs>
        <w:ind w:left="2880" w:hanging="360"/>
      </w:pPr>
    </w:lvl>
    <w:lvl w:ilvl="4" w:tplc="69D47D20" w:tentative="1">
      <w:start w:val="1"/>
      <w:numFmt w:val="decimal"/>
      <w:lvlText w:val="%5."/>
      <w:lvlJc w:val="left"/>
      <w:pPr>
        <w:tabs>
          <w:tab w:val="num" w:pos="3600"/>
        </w:tabs>
        <w:ind w:left="3600" w:hanging="360"/>
      </w:pPr>
    </w:lvl>
    <w:lvl w:ilvl="5" w:tplc="CB006616" w:tentative="1">
      <w:start w:val="1"/>
      <w:numFmt w:val="decimal"/>
      <w:lvlText w:val="%6."/>
      <w:lvlJc w:val="left"/>
      <w:pPr>
        <w:tabs>
          <w:tab w:val="num" w:pos="4320"/>
        </w:tabs>
        <w:ind w:left="4320" w:hanging="360"/>
      </w:pPr>
    </w:lvl>
    <w:lvl w:ilvl="6" w:tplc="F06E7018" w:tentative="1">
      <w:start w:val="1"/>
      <w:numFmt w:val="decimal"/>
      <w:lvlText w:val="%7."/>
      <w:lvlJc w:val="left"/>
      <w:pPr>
        <w:tabs>
          <w:tab w:val="num" w:pos="5040"/>
        </w:tabs>
        <w:ind w:left="5040" w:hanging="360"/>
      </w:pPr>
    </w:lvl>
    <w:lvl w:ilvl="7" w:tplc="A89631B4" w:tentative="1">
      <w:start w:val="1"/>
      <w:numFmt w:val="decimal"/>
      <w:lvlText w:val="%8."/>
      <w:lvlJc w:val="left"/>
      <w:pPr>
        <w:tabs>
          <w:tab w:val="num" w:pos="5760"/>
        </w:tabs>
        <w:ind w:left="5760" w:hanging="360"/>
      </w:pPr>
    </w:lvl>
    <w:lvl w:ilvl="8" w:tplc="33884E18" w:tentative="1">
      <w:start w:val="1"/>
      <w:numFmt w:val="decimal"/>
      <w:lvlText w:val="%9."/>
      <w:lvlJc w:val="left"/>
      <w:pPr>
        <w:tabs>
          <w:tab w:val="num" w:pos="6480"/>
        </w:tabs>
        <w:ind w:left="6480" w:hanging="360"/>
      </w:pPr>
    </w:lvl>
  </w:abstractNum>
  <w:abstractNum w:abstractNumId="28" w15:restartNumberingAfterBreak="0">
    <w:nsid w:val="5D56043A"/>
    <w:multiLevelType w:val="multilevel"/>
    <w:tmpl w:val="69AEB596"/>
    <w:numStyleLink w:val="BulletsList"/>
  </w:abstractNum>
  <w:abstractNum w:abstractNumId="29" w15:restartNumberingAfterBreak="0">
    <w:nsid w:val="69B63C42"/>
    <w:multiLevelType w:val="hybridMultilevel"/>
    <w:tmpl w:val="6B38D86A"/>
    <w:lvl w:ilvl="0" w:tplc="181079A2">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6A3DDD"/>
    <w:multiLevelType w:val="hybridMultilevel"/>
    <w:tmpl w:val="D652A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4F81BD" w:themeColor="accent1"/>
      </w:rPr>
    </w:lvl>
    <w:lvl w:ilvl="1">
      <w:start w:val="1"/>
      <w:numFmt w:val="bullet"/>
      <w:pStyle w:val="Bullet2"/>
      <w:lvlText w:val="–"/>
      <w:lvlJc w:val="left"/>
      <w:pPr>
        <w:tabs>
          <w:tab w:val="num" w:pos="568"/>
        </w:tabs>
        <w:ind w:left="568" w:hanging="284"/>
      </w:pPr>
      <w:rPr>
        <w:rFonts w:ascii="Arial" w:hAnsi="Arial" w:hint="default"/>
        <w:color w:val="4F81BD" w:themeColor="accent1"/>
      </w:rPr>
    </w:lvl>
    <w:lvl w:ilvl="2">
      <w:start w:val="1"/>
      <w:numFmt w:val="bullet"/>
      <w:pStyle w:val="Bullet3"/>
      <w:lvlText w:val="»"/>
      <w:lvlJc w:val="left"/>
      <w:pPr>
        <w:tabs>
          <w:tab w:val="num" w:pos="852"/>
        </w:tabs>
        <w:ind w:left="852" w:hanging="285"/>
      </w:pPr>
      <w:rPr>
        <w:rFonts w:ascii="Arial" w:hAnsi="Arial" w:hint="default"/>
        <w:color w:val="4F81BD"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2" w15:restartNumberingAfterBreak="0">
    <w:nsid w:val="756204B5"/>
    <w:multiLevelType w:val="hybridMultilevel"/>
    <w:tmpl w:val="068C6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726980"/>
    <w:multiLevelType w:val="hybridMultilevel"/>
    <w:tmpl w:val="24B484AA"/>
    <w:lvl w:ilvl="0" w:tplc="FC0C14CA">
      <w:start w:val="1"/>
      <w:numFmt w:val="bullet"/>
      <w:lvlText w:val=""/>
      <w:lvlJc w:val="left"/>
      <w:pPr>
        <w:tabs>
          <w:tab w:val="num" w:pos="720"/>
        </w:tabs>
        <w:ind w:left="720" w:hanging="360"/>
      </w:pPr>
      <w:rPr>
        <w:rFonts w:ascii="Wingdings" w:hAnsi="Wingdings" w:hint="default"/>
      </w:rPr>
    </w:lvl>
    <w:lvl w:ilvl="1" w:tplc="107EF388" w:tentative="1">
      <w:start w:val="1"/>
      <w:numFmt w:val="bullet"/>
      <w:lvlText w:val=""/>
      <w:lvlJc w:val="left"/>
      <w:pPr>
        <w:tabs>
          <w:tab w:val="num" w:pos="1440"/>
        </w:tabs>
        <w:ind w:left="1440" w:hanging="360"/>
      </w:pPr>
      <w:rPr>
        <w:rFonts w:ascii="Wingdings" w:hAnsi="Wingdings" w:hint="default"/>
      </w:rPr>
    </w:lvl>
    <w:lvl w:ilvl="2" w:tplc="6526FAA2" w:tentative="1">
      <w:start w:val="1"/>
      <w:numFmt w:val="bullet"/>
      <w:lvlText w:val=""/>
      <w:lvlJc w:val="left"/>
      <w:pPr>
        <w:tabs>
          <w:tab w:val="num" w:pos="2160"/>
        </w:tabs>
        <w:ind w:left="2160" w:hanging="360"/>
      </w:pPr>
      <w:rPr>
        <w:rFonts w:ascii="Wingdings" w:hAnsi="Wingdings" w:hint="default"/>
      </w:rPr>
    </w:lvl>
    <w:lvl w:ilvl="3" w:tplc="CA92BADA" w:tentative="1">
      <w:start w:val="1"/>
      <w:numFmt w:val="bullet"/>
      <w:lvlText w:val=""/>
      <w:lvlJc w:val="left"/>
      <w:pPr>
        <w:tabs>
          <w:tab w:val="num" w:pos="2880"/>
        </w:tabs>
        <w:ind w:left="2880" w:hanging="360"/>
      </w:pPr>
      <w:rPr>
        <w:rFonts w:ascii="Wingdings" w:hAnsi="Wingdings" w:hint="default"/>
      </w:rPr>
    </w:lvl>
    <w:lvl w:ilvl="4" w:tplc="B3682546" w:tentative="1">
      <w:start w:val="1"/>
      <w:numFmt w:val="bullet"/>
      <w:lvlText w:val=""/>
      <w:lvlJc w:val="left"/>
      <w:pPr>
        <w:tabs>
          <w:tab w:val="num" w:pos="3600"/>
        </w:tabs>
        <w:ind w:left="3600" w:hanging="360"/>
      </w:pPr>
      <w:rPr>
        <w:rFonts w:ascii="Wingdings" w:hAnsi="Wingdings" w:hint="default"/>
      </w:rPr>
    </w:lvl>
    <w:lvl w:ilvl="5" w:tplc="7A34B9B4" w:tentative="1">
      <w:start w:val="1"/>
      <w:numFmt w:val="bullet"/>
      <w:lvlText w:val=""/>
      <w:lvlJc w:val="left"/>
      <w:pPr>
        <w:tabs>
          <w:tab w:val="num" w:pos="4320"/>
        </w:tabs>
        <w:ind w:left="4320" w:hanging="360"/>
      </w:pPr>
      <w:rPr>
        <w:rFonts w:ascii="Wingdings" w:hAnsi="Wingdings" w:hint="default"/>
      </w:rPr>
    </w:lvl>
    <w:lvl w:ilvl="6" w:tplc="E408C9A6" w:tentative="1">
      <w:start w:val="1"/>
      <w:numFmt w:val="bullet"/>
      <w:lvlText w:val=""/>
      <w:lvlJc w:val="left"/>
      <w:pPr>
        <w:tabs>
          <w:tab w:val="num" w:pos="5040"/>
        </w:tabs>
        <w:ind w:left="5040" w:hanging="360"/>
      </w:pPr>
      <w:rPr>
        <w:rFonts w:ascii="Wingdings" w:hAnsi="Wingdings" w:hint="default"/>
      </w:rPr>
    </w:lvl>
    <w:lvl w:ilvl="7" w:tplc="645228AC" w:tentative="1">
      <w:start w:val="1"/>
      <w:numFmt w:val="bullet"/>
      <w:lvlText w:val=""/>
      <w:lvlJc w:val="left"/>
      <w:pPr>
        <w:tabs>
          <w:tab w:val="num" w:pos="5760"/>
        </w:tabs>
        <w:ind w:left="5760" w:hanging="360"/>
      </w:pPr>
      <w:rPr>
        <w:rFonts w:ascii="Wingdings" w:hAnsi="Wingdings" w:hint="default"/>
      </w:rPr>
    </w:lvl>
    <w:lvl w:ilvl="8" w:tplc="D0A25BA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800B75"/>
    <w:multiLevelType w:val="hybridMultilevel"/>
    <w:tmpl w:val="4C12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8E7AAD"/>
    <w:multiLevelType w:val="hybridMultilevel"/>
    <w:tmpl w:val="3D22A268"/>
    <w:lvl w:ilvl="0" w:tplc="0F626960">
      <w:start w:val="1"/>
      <w:numFmt w:val="bullet"/>
      <w:lvlText w:val=""/>
      <w:lvlJc w:val="left"/>
      <w:pPr>
        <w:tabs>
          <w:tab w:val="num" w:pos="720"/>
        </w:tabs>
        <w:ind w:left="720" w:hanging="360"/>
      </w:pPr>
      <w:rPr>
        <w:rFonts w:ascii="Wingdings 2" w:hAnsi="Wingdings 2" w:hint="default"/>
      </w:rPr>
    </w:lvl>
    <w:lvl w:ilvl="1" w:tplc="E604DF0C">
      <w:start w:val="1"/>
      <w:numFmt w:val="bullet"/>
      <w:lvlText w:val=""/>
      <w:lvlJc w:val="left"/>
      <w:pPr>
        <w:tabs>
          <w:tab w:val="num" w:pos="1440"/>
        </w:tabs>
        <w:ind w:left="1440" w:hanging="360"/>
      </w:pPr>
      <w:rPr>
        <w:rFonts w:ascii="Wingdings 2" w:hAnsi="Wingdings 2" w:hint="default"/>
      </w:rPr>
    </w:lvl>
    <w:lvl w:ilvl="2" w:tplc="934A048E" w:tentative="1">
      <w:start w:val="1"/>
      <w:numFmt w:val="bullet"/>
      <w:lvlText w:val=""/>
      <w:lvlJc w:val="left"/>
      <w:pPr>
        <w:tabs>
          <w:tab w:val="num" w:pos="2160"/>
        </w:tabs>
        <w:ind w:left="2160" w:hanging="360"/>
      </w:pPr>
      <w:rPr>
        <w:rFonts w:ascii="Wingdings 2" w:hAnsi="Wingdings 2" w:hint="default"/>
      </w:rPr>
    </w:lvl>
    <w:lvl w:ilvl="3" w:tplc="1E503954" w:tentative="1">
      <w:start w:val="1"/>
      <w:numFmt w:val="bullet"/>
      <w:lvlText w:val=""/>
      <w:lvlJc w:val="left"/>
      <w:pPr>
        <w:tabs>
          <w:tab w:val="num" w:pos="2880"/>
        </w:tabs>
        <w:ind w:left="2880" w:hanging="360"/>
      </w:pPr>
      <w:rPr>
        <w:rFonts w:ascii="Wingdings 2" w:hAnsi="Wingdings 2" w:hint="default"/>
      </w:rPr>
    </w:lvl>
    <w:lvl w:ilvl="4" w:tplc="B1DE3692" w:tentative="1">
      <w:start w:val="1"/>
      <w:numFmt w:val="bullet"/>
      <w:lvlText w:val=""/>
      <w:lvlJc w:val="left"/>
      <w:pPr>
        <w:tabs>
          <w:tab w:val="num" w:pos="3600"/>
        </w:tabs>
        <w:ind w:left="3600" w:hanging="360"/>
      </w:pPr>
      <w:rPr>
        <w:rFonts w:ascii="Wingdings 2" w:hAnsi="Wingdings 2" w:hint="default"/>
      </w:rPr>
    </w:lvl>
    <w:lvl w:ilvl="5" w:tplc="D1BCB70A" w:tentative="1">
      <w:start w:val="1"/>
      <w:numFmt w:val="bullet"/>
      <w:lvlText w:val=""/>
      <w:lvlJc w:val="left"/>
      <w:pPr>
        <w:tabs>
          <w:tab w:val="num" w:pos="4320"/>
        </w:tabs>
        <w:ind w:left="4320" w:hanging="360"/>
      </w:pPr>
      <w:rPr>
        <w:rFonts w:ascii="Wingdings 2" w:hAnsi="Wingdings 2" w:hint="default"/>
      </w:rPr>
    </w:lvl>
    <w:lvl w:ilvl="6" w:tplc="74E4F062" w:tentative="1">
      <w:start w:val="1"/>
      <w:numFmt w:val="bullet"/>
      <w:lvlText w:val=""/>
      <w:lvlJc w:val="left"/>
      <w:pPr>
        <w:tabs>
          <w:tab w:val="num" w:pos="5040"/>
        </w:tabs>
        <w:ind w:left="5040" w:hanging="360"/>
      </w:pPr>
      <w:rPr>
        <w:rFonts w:ascii="Wingdings 2" w:hAnsi="Wingdings 2" w:hint="default"/>
      </w:rPr>
    </w:lvl>
    <w:lvl w:ilvl="7" w:tplc="6B0C062A" w:tentative="1">
      <w:start w:val="1"/>
      <w:numFmt w:val="bullet"/>
      <w:lvlText w:val=""/>
      <w:lvlJc w:val="left"/>
      <w:pPr>
        <w:tabs>
          <w:tab w:val="num" w:pos="5760"/>
        </w:tabs>
        <w:ind w:left="5760" w:hanging="360"/>
      </w:pPr>
      <w:rPr>
        <w:rFonts w:ascii="Wingdings 2" w:hAnsi="Wingdings 2" w:hint="default"/>
      </w:rPr>
    </w:lvl>
    <w:lvl w:ilvl="8" w:tplc="C3A894AC"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71664A9"/>
    <w:multiLevelType w:val="hybridMultilevel"/>
    <w:tmpl w:val="03FAFDD2"/>
    <w:lvl w:ilvl="0" w:tplc="1F1AA386">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DA4EA9"/>
    <w:multiLevelType w:val="hybridMultilevel"/>
    <w:tmpl w:val="360CEE06"/>
    <w:lvl w:ilvl="0" w:tplc="DE2A7B1C">
      <w:start w:val="1"/>
      <w:numFmt w:val="bullet"/>
      <w:pStyle w:val="SDAbulletpoints"/>
      <w:lvlText w:val=""/>
      <w:lvlJc w:val="left"/>
      <w:pPr>
        <w:ind w:left="720" w:hanging="360"/>
      </w:pPr>
      <w:rPr>
        <w:rFonts w:ascii="Symbol" w:hAnsi="Symbol" w:hint="default"/>
        <w:color w:val="CF5D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32A19"/>
    <w:multiLevelType w:val="hybridMultilevel"/>
    <w:tmpl w:val="7BC6C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9A1695"/>
    <w:multiLevelType w:val="hybridMultilevel"/>
    <w:tmpl w:val="2D325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33"/>
  </w:num>
  <w:num w:numId="5">
    <w:abstractNumId w:val="13"/>
  </w:num>
  <w:num w:numId="6">
    <w:abstractNumId w:val="35"/>
  </w:num>
  <w:num w:numId="7">
    <w:abstractNumId w:val="10"/>
  </w:num>
  <w:num w:numId="8">
    <w:abstractNumId w:val="27"/>
  </w:num>
  <w:num w:numId="9">
    <w:abstractNumId w:val="20"/>
  </w:num>
  <w:num w:numId="10">
    <w:abstractNumId w:val="23"/>
  </w:num>
  <w:num w:numId="11">
    <w:abstractNumId w:val="1"/>
  </w:num>
  <w:num w:numId="12">
    <w:abstractNumId w:val="39"/>
  </w:num>
  <w:num w:numId="13">
    <w:abstractNumId w:val="21"/>
  </w:num>
  <w:num w:numId="14">
    <w:abstractNumId w:val="34"/>
  </w:num>
  <w:num w:numId="15">
    <w:abstractNumId w:val="26"/>
  </w:num>
  <w:num w:numId="16">
    <w:abstractNumId w:val="25"/>
  </w:num>
  <w:num w:numId="17">
    <w:abstractNumId w:val="18"/>
  </w:num>
  <w:num w:numId="18">
    <w:abstractNumId w:val="32"/>
  </w:num>
  <w:num w:numId="19">
    <w:abstractNumId w:val="15"/>
  </w:num>
  <w:num w:numId="20">
    <w:abstractNumId w:val="2"/>
  </w:num>
  <w:num w:numId="21">
    <w:abstractNumId w:val="36"/>
  </w:num>
  <w:num w:numId="22">
    <w:abstractNumId w:val="5"/>
  </w:num>
  <w:num w:numId="23">
    <w:abstractNumId w:val="6"/>
  </w:num>
  <w:num w:numId="24">
    <w:abstractNumId w:val="37"/>
  </w:num>
  <w:num w:numId="25">
    <w:abstractNumId w:val="11"/>
  </w:num>
  <w:num w:numId="26">
    <w:abstractNumId w:val="38"/>
  </w:num>
  <w:num w:numId="27">
    <w:abstractNumId w:val="19"/>
  </w:num>
  <w:num w:numId="28">
    <w:abstractNumId w:val="30"/>
  </w:num>
  <w:num w:numId="29">
    <w:abstractNumId w:val="22"/>
  </w:num>
  <w:num w:numId="30">
    <w:abstractNumId w:val="31"/>
  </w:num>
  <w:num w:numId="31">
    <w:abstractNumId w:val="28"/>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29"/>
  </w:num>
  <w:num w:numId="37">
    <w:abstractNumId w:val="7"/>
  </w:num>
  <w:num w:numId="38">
    <w:abstractNumId w:val="16"/>
  </w:num>
  <w:num w:numId="39">
    <w:abstractNumId w:val="3"/>
  </w:num>
  <w:num w:numId="40">
    <w:abstractNumId w:val="1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4F"/>
    <w:rsid w:val="00000668"/>
    <w:rsid w:val="0002728B"/>
    <w:rsid w:val="000337A4"/>
    <w:rsid w:val="000411F9"/>
    <w:rsid w:val="00043FAF"/>
    <w:rsid w:val="0004779C"/>
    <w:rsid w:val="00053FA0"/>
    <w:rsid w:val="0005523F"/>
    <w:rsid w:val="00057125"/>
    <w:rsid w:val="00064702"/>
    <w:rsid w:val="00066502"/>
    <w:rsid w:val="0006767D"/>
    <w:rsid w:val="000727C2"/>
    <w:rsid w:val="000760CE"/>
    <w:rsid w:val="00076BBD"/>
    <w:rsid w:val="000835A9"/>
    <w:rsid w:val="000956F7"/>
    <w:rsid w:val="00096F76"/>
    <w:rsid w:val="000B0D2F"/>
    <w:rsid w:val="000B2A79"/>
    <w:rsid w:val="000B64D8"/>
    <w:rsid w:val="000C398F"/>
    <w:rsid w:val="000D2440"/>
    <w:rsid w:val="000E271C"/>
    <w:rsid w:val="000E7AD0"/>
    <w:rsid w:val="000F0D4A"/>
    <w:rsid w:val="000F34FE"/>
    <w:rsid w:val="000F6048"/>
    <w:rsid w:val="00107D7A"/>
    <w:rsid w:val="001133AF"/>
    <w:rsid w:val="00116811"/>
    <w:rsid w:val="00125F80"/>
    <w:rsid w:val="00126A49"/>
    <w:rsid w:val="00130CCA"/>
    <w:rsid w:val="00131E1E"/>
    <w:rsid w:val="00140F34"/>
    <w:rsid w:val="0014153E"/>
    <w:rsid w:val="001434CB"/>
    <w:rsid w:val="001439D5"/>
    <w:rsid w:val="00143A3D"/>
    <w:rsid w:val="00143F5A"/>
    <w:rsid w:val="0014432A"/>
    <w:rsid w:val="00154A83"/>
    <w:rsid w:val="00170DDD"/>
    <w:rsid w:val="00181F20"/>
    <w:rsid w:val="0018463C"/>
    <w:rsid w:val="00185CF2"/>
    <w:rsid w:val="00192EF2"/>
    <w:rsid w:val="00193297"/>
    <w:rsid w:val="001A7DB0"/>
    <w:rsid w:val="001B139E"/>
    <w:rsid w:val="001B16FF"/>
    <w:rsid w:val="001B6839"/>
    <w:rsid w:val="001D74BC"/>
    <w:rsid w:val="001D7588"/>
    <w:rsid w:val="001F2158"/>
    <w:rsid w:val="001F553F"/>
    <w:rsid w:val="001F750A"/>
    <w:rsid w:val="0020133E"/>
    <w:rsid w:val="0020221A"/>
    <w:rsid w:val="00221FFA"/>
    <w:rsid w:val="0023359C"/>
    <w:rsid w:val="00246023"/>
    <w:rsid w:val="00254068"/>
    <w:rsid w:val="002551F2"/>
    <w:rsid w:val="002617FD"/>
    <w:rsid w:val="002639CD"/>
    <w:rsid w:val="002679C8"/>
    <w:rsid w:val="00267E21"/>
    <w:rsid w:val="00285950"/>
    <w:rsid w:val="002A1F7A"/>
    <w:rsid w:val="002A2173"/>
    <w:rsid w:val="002A3D64"/>
    <w:rsid w:val="002A3FE8"/>
    <w:rsid w:val="002B4626"/>
    <w:rsid w:val="002B72B5"/>
    <w:rsid w:val="002C2EBB"/>
    <w:rsid w:val="002E553B"/>
    <w:rsid w:val="0031228F"/>
    <w:rsid w:val="00312CB3"/>
    <w:rsid w:val="0034389F"/>
    <w:rsid w:val="003443C5"/>
    <w:rsid w:val="00344A74"/>
    <w:rsid w:val="00351327"/>
    <w:rsid w:val="00354933"/>
    <w:rsid w:val="00356268"/>
    <w:rsid w:val="00363A28"/>
    <w:rsid w:val="00365DEA"/>
    <w:rsid w:val="003679D9"/>
    <w:rsid w:val="003701AC"/>
    <w:rsid w:val="00394A60"/>
    <w:rsid w:val="003A0239"/>
    <w:rsid w:val="003B0FDE"/>
    <w:rsid w:val="003B54C4"/>
    <w:rsid w:val="003C66E3"/>
    <w:rsid w:val="003C7D2C"/>
    <w:rsid w:val="003E0FD1"/>
    <w:rsid w:val="003E1273"/>
    <w:rsid w:val="003E5BD7"/>
    <w:rsid w:val="003F06E6"/>
    <w:rsid w:val="003F3301"/>
    <w:rsid w:val="003F46E3"/>
    <w:rsid w:val="003F5D1E"/>
    <w:rsid w:val="00400D29"/>
    <w:rsid w:val="004157B5"/>
    <w:rsid w:val="00416A81"/>
    <w:rsid w:val="004213DA"/>
    <w:rsid w:val="0042565B"/>
    <w:rsid w:val="00441BCB"/>
    <w:rsid w:val="004737EF"/>
    <w:rsid w:val="00486381"/>
    <w:rsid w:val="004A0532"/>
    <w:rsid w:val="004A31D7"/>
    <w:rsid w:val="004A3F2F"/>
    <w:rsid w:val="004A7A30"/>
    <w:rsid w:val="004B1798"/>
    <w:rsid w:val="004B5FBC"/>
    <w:rsid w:val="004C3C51"/>
    <w:rsid w:val="004C71C2"/>
    <w:rsid w:val="004D0EC0"/>
    <w:rsid w:val="004D2159"/>
    <w:rsid w:val="004E0368"/>
    <w:rsid w:val="004E4CFC"/>
    <w:rsid w:val="004F121D"/>
    <w:rsid w:val="005043E7"/>
    <w:rsid w:val="00505C3A"/>
    <w:rsid w:val="005167B6"/>
    <w:rsid w:val="00520A60"/>
    <w:rsid w:val="00527245"/>
    <w:rsid w:val="005321BB"/>
    <w:rsid w:val="00536998"/>
    <w:rsid w:val="00541004"/>
    <w:rsid w:val="00544165"/>
    <w:rsid w:val="00570E07"/>
    <w:rsid w:val="00572CB0"/>
    <w:rsid w:val="005806F8"/>
    <w:rsid w:val="00585494"/>
    <w:rsid w:val="005B0127"/>
    <w:rsid w:val="005C1C00"/>
    <w:rsid w:val="005C3D38"/>
    <w:rsid w:val="005D3B6E"/>
    <w:rsid w:val="005D6697"/>
    <w:rsid w:val="005E585D"/>
    <w:rsid w:val="005F3340"/>
    <w:rsid w:val="00601713"/>
    <w:rsid w:val="00613203"/>
    <w:rsid w:val="00614E2E"/>
    <w:rsid w:val="0061597E"/>
    <w:rsid w:val="0061667A"/>
    <w:rsid w:val="006448F0"/>
    <w:rsid w:val="00652ADA"/>
    <w:rsid w:val="00666294"/>
    <w:rsid w:val="00672054"/>
    <w:rsid w:val="00676F85"/>
    <w:rsid w:val="00680C3E"/>
    <w:rsid w:val="006825DC"/>
    <w:rsid w:val="006833B9"/>
    <w:rsid w:val="006834AA"/>
    <w:rsid w:val="0068632C"/>
    <w:rsid w:val="00690747"/>
    <w:rsid w:val="006969A2"/>
    <w:rsid w:val="006A1B06"/>
    <w:rsid w:val="006A7F80"/>
    <w:rsid w:val="006D31FA"/>
    <w:rsid w:val="006E601B"/>
    <w:rsid w:val="006F41CE"/>
    <w:rsid w:val="00702409"/>
    <w:rsid w:val="0070647D"/>
    <w:rsid w:val="00720ABC"/>
    <w:rsid w:val="007215E7"/>
    <w:rsid w:val="0072715B"/>
    <w:rsid w:val="00727C7F"/>
    <w:rsid w:val="0073070F"/>
    <w:rsid w:val="0074108F"/>
    <w:rsid w:val="007438C8"/>
    <w:rsid w:val="00746DE9"/>
    <w:rsid w:val="007638F3"/>
    <w:rsid w:val="007702FA"/>
    <w:rsid w:val="007744C3"/>
    <w:rsid w:val="00775B28"/>
    <w:rsid w:val="00776441"/>
    <w:rsid w:val="00791E9E"/>
    <w:rsid w:val="007A798B"/>
    <w:rsid w:val="007B10E1"/>
    <w:rsid w:val="007B1964"/>
    <w:rsid w:val="007F1387"/>
    <w:rsid w:val="007F4917"/>
    <w:rsid w:val="007F5ADA"/>
    <w:rsid w:val="007F69E6"/>
    <w:rsid w:val="0080708D"/>
    <w:rsid w:val="00813B3F"/>
    <w:rsid w:val="00816C61"/>
    <w:rsid w:val="00816FDF"/>
    <w:rsid w:val="00824BFB"/>
    <w:rsid w:val="008476B1"/>
    <w:rsid w:val="00847CF5"/>
    <w:rsid w:val="00850AF9"/>
    <w:rsid w:val="0086449B"/>
    <w:rsid w:val="00867168"/>
    <w:rsid w:val="0087036D"/>
    <w:rsid w:val="0087200F"/>
    <w:rsid w:val="00877167"/>
    <w:rsid w:val="00890533"/>
    <w:rsid w:val="0089463F"/>
    <w:rsid w:val="00896AE4"/>
    <w:rsid w:val="008B069A"/>
    <w:rsid w:val="008B6468"/>
    <w:rsid w:val="008B78A9"/>
    <w:rsid w:val="008D3767"/>
    <w:rsid w:val="008D508F"/>
    <w:rsid w:val="008D5F9A"/>
    <w:rsid w:val="008F32B1"/>
    <w:rsid w:val="008F6EED"/>
    <w:rsid w:val="00900F97"/>
    <w:rsid w:val="00911D03"/>
    <w:rsid w:val="00913F38"/>
    <w:rsid w:val="00935A84"/>
    <w:rsid w:val="0094739B"/>
    <w:rsid w:val="00947A67"/>
    <w:rsid w:val="00952ED4"/>
    <w:rsid w:val="00962249"/>
    <w:rsid w:val="00962601"/>
    <w:rsid w:val="0096410B"/>
    <w:rsid w:val="009643D9"/>
    <w:rsid w:val="0097271E"/>
    <w:rsid w:val="0098196F"/>
    <w:rsid w:val="00983E53"/>
    <w:rsid w:val="00996051"/>
    <w:rsid w:val="00997537"/>
    <w:rsid w:val="00997C2A"/>
    <w:rsid w:val="009A0B64"/>
    <w:rsid w:val="009A6C64"/>
    <w:rsid w:val="009A7D30"/>
    <w:rsid w:val="009B69CB"/>
    <w:rsid w:val="009C0440"/>
    <w:rsid w:val="009C5213"/>
    <w:rsid w:val="009C5561"/>
    <w:rsid w:val="009D31DE"/>
    <w:rsid w:val="009D4261"/>
    <w:rsid w:val="009E1DBB"/>
    <w:rsid w:val="00A02882"/>
    <w:rsid w:val="00A14383"/>
    <w:rsid w:val="00A169F1"/>
    <w:rsid w:val="00A24CD9"/>
    <w:rsid w:val="00A30941"/>
    <w:rsid w:val="00A36E59"/>
    <w:rsid w:val="00A41611"/>
    <w:rsid w:val="00A50F09"/>
    <w:rsid w:val="00A63BFB"/>
    <w:rsid w:val="00A91E23"/>
    <w:rsid w:val="00A97EE1"/>
    <w:rsid w:val="00AC1770"/>
    <w:rsid w:val="00AD0732"/>
    <w:rsid w:val="00AD7660"/>
    <w:rsid w:val="00AE5CA6"/>
    <w:rsid w:val="00B021AF"/>
    <w:rsid w:val="00B155A0"/>
    <w:rsid w:val="00B24DCC"/>
    <w:rsid w:val="00B25807"/>
    <w:rsid w:val="00B30B98"/>
    <w:rsid w:val="00B36A1D"/>
    <w:rsid w:val="00B41375"/>
    <w:rsid w:val="00B450DD"/>
    <w:rsid w:val="00B62778"/>
    <w:rsid w:val="00B83B13"/>
    <w:rsid w:val="00B90DB1"/>
    <w:rsid w:val="00B96634"/>
    <w:rsid w:val="00BB5417"/>
    <w:rsid w:val="00BC7CFD"/>
    <w:rsid w:val="00BD5E39"/>
    <w:rsid w:val="00BE2912"/>
    <w:rsid w:val="00BE2B62"/>
    <w:rsid w:val="00BE702C"/>
    <w:rsid w:val="00BE7F7D"/>
    <w:rsid w:val="00C02346"/>
    <w:rsid w:val="00C17DEB"/>
    <w:rsid w:val="00C23142"/>
    <w:rsid w:val="00C40AF0"/>
    <w:rsid w:val="00C42DD2"/>
    <w:rsid w:val="00C50BE0"/>
    <w:rsid w:val="00C528EB"/>
    <w:rsid w:val="00C53914"/>
    <w:rsid w:val="00C5592D"/>
    <w:rsid w:val="00C63A5F"/>
    <w:rsid w:val="00C67CEC"/>
    <w:rsid w:val="00CA5C6D"/>
    <w:rsid w:val="00CD284F"/>
    <w:rsid w:val="00CD4BF0"/>
    <w:rsid w:val="00D03DA8"/>
    <w:rsid w:val="00D14107"/>
    <w:rsid w:val="00D1768A"/>
    <w:rsid w:val="00D3053A"/>
    <w:rsid w:val="00D32221"/>
    <w:rsid w:val="00D41B76"/>
    <w:rsid w:val="00D428F4"/>
    <w:rsid w:val="00D56CB5"/>
    <w:rsid w:val="00D64185"/>
    <w:rsid w:val="00D8069B"/>
    <w:rsid w:val="00DB4507"/>
    <w:rsid w:val="00DB649B"/>
    <w:rsid w:val="00DE5215"/>
    <w:rsid w:val="00DF2F6B"/>
    <w:rsid w:val="00DF7DAA"/>
    <w:rsid w:val="00E01732"/>
    <w:rsid w:val="00E06D27"/>
    <w:rsid w:val="00E2054F"/>
    <w:rsid w:val="00E3725B"/>
    <w:rsid w:val="00E4381E"/>
    <w:rsid w:val="00E470B0"/>
    <w:rsid w:val="00E52FF0"/>
    <w:rsid w:val="00E70085"/>
    <w:rsid w:val="00E727EB"/>
    <w:rsid w:val="00E76BB5"/>
    <w:rsid w:val="00E97532"/>
    <w:rsid w:val="00EA6236"/>
    <w:rsid w:val="00EB038C"/>
    <w:rsid w:val="00EC7B79"/>
    <w:rsid w:val="00ED1176"/>
    <w:rsid w:val="00EE439B"/>
    <w:rsid w:val="00EE69B3"/>
    <w:rsid w:val="00F26936"/>
    <w:rsid w:val="00F3558C"/>
    <w:rsid w:val="00F43F24"/>
    <w:rsid w:val="00F46D07"/>
    <w:rsid w:val="00F51EFA"/>
    <w:rsid w:val="00F74E5F"/>
    <w:rsid w:val="00F9570E"/>
    <w:rsid w:val="00FA268D"/>
    <w:rsid w:val="00FB04BD"/>
    <w:rsid w:val="00FB48E8"/>
    <w:rsid w:val="00FD64BB"/>
    <w:rsid w:val="00FE4F0A"/>
    <w:rsid w:val="00FF561E"/>
    <w:rsid w:val="00FF7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368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C52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9C5213"/>
    <w:pPr>
      <w:keepLines w:val="0"/>
      <w:spacing w:before="240" w:after="60"/>
      <w:outlineLvl w:val="1"/>
    </w:pPr>
    <w:rPr>
      <w:rFonts w:ascii="Arial" w:eastAsia="Times New Roman" w:hAnsi="Arial" w:cs="Arial"/>
      <w:bCs w:val="0"/>
      <w:iCs/>
      <w:color w:val="auto"/>
      <w:sz w:val="24"/>
      <w:szCs w:val="22"/>
      <w:lang w:eastAsia="en-AU"/>
    </w:rPr>
  </w:style>
  <w:style w:type="paragraph" w:styleId="Heading3">
    <w:name w:val="heading 3"/>
    <w:basedOn w:val="Normal"/>
    <w:next w:val="Normal"/>
    <w:link w:val="Heading3Char"/>
    <w:unhideWhenUsed/>
    <w:qFormat/>
    <w:rsid w:val="002B46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054F"/>
    <w:pPr>
      <w:pBdr>
        <w:bottom w:val="single" w:sz="8" w:space="4" w:color="215868" w:themeColor="accent5" w:themeShade="80"/>
      </w:pBdr>
      <w:spacing w:before="120" w:after="300"/>
      <w:contextualSpacing/>
    </w:pPr>
    <w:rPr>
      <w:rFonts w:asciiTheme="majorHAnsi" w:eastAsiaTheme="majorEastAsia" w:hAnsiTheme="majorHAnsi" w:cstheme="majorBidi"/>
      <w:color w:val="0F243E" w:themeColor="text2" w:themeShade="80"/>
      <w:spacing w:val="5"/>
      <w:kern w:val="28"/>
      <w:sz w:val="52"/>
      <w:szCs w:val="52"/>
      <w:lang w:eastAsia="en-AU"/>
    </w:rPr>
  </w:style>
  <w:style w:type="character" w:customStyle="1" w:styleId="TitleChar">
    <w:name w:val="Title Char"/>
    <w:basedOn w:val="DefaultParagraphFont"/>
    <w:link w:val="Title"/>
    <w:uiPriority w:val="10"/>
    <w:rsid w:val="00E2054F"/>
    <w:rPr>
      <w:rFonts w:asciiTheme="majorHAnsi" w:eastAsiaTheme="majorEastAsia" w:hAnsiTheme="majorHAnsi" w:cstheme="majorBidi"/>
      <w:color w:val="0F243E" w:themeColor="text2" w:themeShade="80"/>
      <w:spacing w:val="5"/>
      <w:kern w:val="28"/>
      <w:sz w:val="52"/>
      <w:szCs w:val="52"/>
    </w:rPr>
  </w:style>
  <w:style w:type="character" w:styleId="SubtleEmphasis">
    <w:name w:val="Subtle Emphasis"/>
    <w:basedOn w:val="DefaultParagraphFont"/>
    <w:uiPriority w:val="19"/>
    <w:qFormat/>
    <w:rsid w:val="00E2054F"/>
    <w:rPr>
      <w:i/>
      <w:iCs/>
      <w:color w:val="auto"/>
    </w:rPr>
  </w:style>
  <w:style w:type="character" w:styleId="FootnoteReference">
    <w:name w:val="footnote reference"/>
    <w:basedOn w:val="DefaultParagraphFont"/>
    <w:uiPriority w:val="99"/>
    <w:rsid w:val="00E2054F"/>
    <w:rPr>
      <w:rFonts w:ascii="Times New Roman" w:hAnsi="Times New Roman"/>
      <w:position w:val="6"/>
      <w:sz w:val="18"/>
      <w:vertAlign w:val="baseline"/>
    </w:rPr>
  </w:style>
  <w:style w:type="paragraph" w:styleId="FootnoteText">
    <w:name w:val="footnote text"/>
    <w:basedOn w:val="BodyText"/>
    <w:link w:val="FootnoteTextChar"/>
    <w:uiPriority w:val="99"/>
    <w:rsid w:val="00E2054F"/>
    <w:pPr>
      <w:tabs>
        <w:tab w:val="left" w:pos="284"/>
      </w:tabs>
      <w:spacing w:before="60" w:after="0" w:line="220" w:lineRule="exact"/>
      <w:ind w:left="284" w:hanging="284"/>
    </w:pPr>
    <w:rPr>
      <w:sz w:val="20"/>
      <w:szCs w:val="20"/>
      <w:lang w:eastAsia="en-AU"/>
    </w:rPr>
  </w:style>
  <w:style w:type="character" w:customStyle="1" w:styleId="FootnoteTextChar">
    <w:name w:val="Footnote Text Char"/>
    <w:basedOn w:val="DefaultParagraphFont"/>
    <w:link w:val="FootnoteText"/>
    <w:uiPriority w:val="99"/>
    <w:rsid w:val="00E2054F"/>
  </w:style>
  <w:style w:type="paragraph" w:styleId="List2">
    <w:name w:val="List 2"/>
    <w:basedOn w:val="Normal"/>
    <w:uiPriority w:val="99"/>
    <w:unhideWhenUsed/>
    <w:rsid w:val="00E2054F"/>
    <w:pPr>
      <w:spacing w:before="120" w:line="300" w:lineRule="atLeast"/>
      <w:ind w:left="568" w:hanging="284"/>
    </w:pPr>
    <w:rPr>
      <w:szCs w:val="20"/>
      <w:lang w:eastAsia="en-AU"/>
    </w:rPr>
  </w:style>
  <w:style w:type="paragraph" w:styleId="BodyText">
    <w:name w:val="Body Text"/>
    <w:basedOn w:val="Normal"/>
    <w:link w:val="BodyTextChar"/>
    <w:rsid w:val="00E2054F"/>
    <w:pPr>
      <w:spacing w:after="120"/>
    </w:pPr>
  </w:style>
  <w:style w:type="character" w:customStyle="1" w:styleId="BodyTextChar">
    <w:name w:val="Body Text Char"/>
    <w:basedOn w:val="DefaultParagraphFont"/>
    <w:link w:val="BodyText"/>
    <w:rsid w:val="00E2054F"/>
    <w:rPr>
      <w:sz w:val="24"/>
      <w:szCs w:val="24"/>
      <w:lang w:eastAsia="en-US"/>
    </w:rPr>
  </w:style>
  <w:style w:type="paragraph" w:styleId="List">
    <w:name w:val="List"/>
    <w:basedOn w:val="Normal"/>
    <w:rsid w:val="00877167"/>
    <w:pPr>
      <w:ind w:left="283" w:hanging="283"/>
      <w:contextualSpacing/>
    </w:pPr>
  </w:style>
  <w:style w:type="paragraph" w:styleId="ListParagraph">
    <w:name w:val="List Paragraph"/>
    <w:basedOn w:val="Normal"/>
    <w:uiPriority w:val="34"/>
    <w:qFormat/>
    <w:rsid w:val="002C2EBB"/>
    <w:pPr>
      <w:ind w:left="720"/>
      <w:contextualSpacing/>
    </w:pPr>
    <w:rPr>
      <w:lang w:val="fr-FR" w:eastAsia="fr-FR"/>
    </w:rPr>
  </w:style>
  <w:style w:type="paragraph" w:styleId="Header">
    <w:name w:val="header"/>
    <w:basedOn w:val="Normal"/>
    <w:link w:val="HeaderChar"/>
    <w:rsid w:val="000F0D4A"/>
    <w:pPr>
      <w:tabs>
        <w:tab w:val="center" w:pos="4513"/>
        <w:tab w:val="right" w:pos="9026"/>
      </w:tabs>
    </w:pPr>
  </w:style>
  <w:style w:type="character" w:customStyle="1" w:styleId="HeaderChar">
    <w:name w:val="Header Char"/>
    <w:basedOn w:val="DefaultParagraphFont"/>
    <w:link w:val="Header"/>
    <w:rsid w:val="000F0D4A"/>
    <w:rPr>
      <w:sz w:val="24"/>
      <w:szCs w:val="24"/>
      <w:lang w:eastAsia="en-US"/>
    </w:rPr>
  </w:style>
  <w:style w:type="paragraph" w:styleId="Footer">
    <w:name w:val="footer"/>
    <w:basedOn w:val="Normal"/>
    <w:link w:val="FooterChar"/>
    <w:uiPriority w:val="99"/>
    <w:rsid w:val="000F0D4A"/>
    <w:pPr>
      <w:tabs>
        <w:tab w:val="center" w:pos="4513"/>
        <w:tab w:val="right" w:pos="9026"/>
      </w:tabs>
    </w:pPr>
  </w:style>
  <w:style w:type="character" w:customStyle="1" w:styleId="FooterChar">
    <w:name w:val="Footer Char"/>
    <w:basedOn w:val="DefaultParagraphFont"/>
    <w:link w:val="Footer"/>
    <w:uiPriority w:val="99"/>
    <w:rsid w:val="000F0D4A"/>
    <w:rPr>
      <w:sz w:val="24"/>
      <w:szCs w:val="24"/>
      <w:lang w:eastAsia="en-US"/>
    </w:rPr>
  </w:style>
  <w:style w:type="character" w:styleId="CommentReference">
    <w:name w:val="annotation reference"/>
    <w:basedOn w:val="DefaultParagraphFont"/>
    <w:semiHidden/>
    <w:unhideWhenUsed/>
    <w:rsid w:val="00DF2F6B"/>
    <w:rPr>
      <w:sz w:val="16"/>
      <w:szCs w:val="16"/>
    </w:rPr>
  </w:style>
  <w:style w:type="paragraph" w:styleId="CommentText">
    <w:name w:val="annotation text"/>
    <w:basedOn w:val="Normal"/>
    <w:link w:val="CommentTextChar"/>
    <w:unhideWhenUsed/>
    <w:rsid w:val="00DF2F6B"/>
    <w:rPr>
      <w:sz w:val="20"/>
      <w:szCs w:val="20"/>
    </w:rPr>
  </w:style>
  <w:style w:type="character" w:customStyle="1" w:styleId="CommentTextChar">
    <w:name w:val="Comment Text Char"/>
    <w:basedOn w:val="DefaultParagraphFont"/>
    <w:link w:val="CommentText"/>
    <w:rsid w:val="00DF2F6B"/>
    <w:rPr>
      <w:lang w:eastAsia="en-US"/>
    </w:rPr>
  </w:style>
  <w:style w:type="paragraph" w:styleId="CommentSubject">
    <w:name w:val="annotation subject"/>
    <w:basedOn w:val="CommentText"/>
    <w:next w:val="CommentText"/>
    <w:link w:val="CommentSubjectChar"/>
    <w:semiHidden/>
    <w:unhideWhenUsed/>
    <w:rsid w:val="00DF2F6B"/>
    <w:rPr>
      <w:b/>
      <w:bCs/>
    </w:rPr>
  </w:style>
  <w:style w:type="character" w:customStyle="1" w:styleId="CommentSubjectChar">
    <w:name w:val="Comment Subject Char"/>
    <w:basedOn w:val="CommentTextChar"/>
    <w:link w:val="CommentSubject"/>
    <w:semiHidden/>
    <w:rsid w:val="00DF2F6B"/>
    <w:rPr>
      <w:b/>
      <w:bCs/>
      <w:lang w:eastAsia="en-US"/>
    </w:rPr>
  </w:style>
  <w:style w:type="paragraph" w:styleId="BalloonText">
    <w:name w:val="Balloon Text"/>
    <w:basedOn w:val="Normal"/>
    <w:link w:val="BalloonTextChar"/>
    <w:semiHidden/>
    <w:unhideWhenUsed/>
    <w:rsid w:val="00DF2F6B"/>
    <w:rPr>
      <w:rFonts w:ascii="Segoe UI" w:hAnsi="Segoe UI" w:cs="Segoe UI"/>
      <w:sz w:val="18"/>
      <w:szCs w:val="18"/>
    </w:rPr>
  </w:style>
  <w:style w:type="character" w:customStyle="1" w:styleId="BalloonTextChar">
    <w:name w:val="Balloon Text Char"/>
    <w:basedOn w:val="DefaultParagraphFont"/>
    <w:link w:val="BalloonText"/>
    <w:semiHidden/>
    <w:rsid w:val="00DF2F6B"/>
    <w:rPr>
      <w:rFonts w:ascii="Segoe UI" w:hAnsi="Segoe UI" w:cs="Segoe UI"/>
      <w:sz w:val="18"/>
      <w:szCs w:val="18"/>
      <w:lang w:eastAsia="en-US"/>
    </w:rPr>
  </w:style>
  <w:style w:type="paragraph" w:customStyle="1" w:styleId="DocName">
    <w:name w:val="DocName"/>
    <w:basedOn w:val="Normal"/>
    <w:link w:val="DocNameChar"/>
    <w:rsid w:val="009C5213"/>
    <w:pPr>
      <w:jc w:val="center"/>
    </w:pPr>
    <w:rPr>
      <w:rFonts w:ascii="Arial" w:hAnsi="Arial"/>
      <w:b/>
      <w:bCs/>
      <w:sz w:val="28"/>
    </w:rPr>
  </w:style>
  <w:style w:type="character" w:customStyle="1" w:styleId="DocNameChar">
    <w:name w:val="DocName Char"/>
    <w:link w:val="DocName"/>
    <w:rsid w:val="009C5213"/>
    <w:rPr>
      <w:rFonts w:ascii="Arial" w:hAnsi="Arial"/>
      <w:b/>
      <w:bCs/>
      <w:sz w:val="28"/>
      <w:szCs w:val="24"/>
      <w:lang w:eastAsia="en-US"/>
    </w:rPr>
  </w:style>
  <w:style w:type="character" w:customStyle="1" w:styleId="Heading2Char">
    <w:name w:val="Heading 2 Char"/>
    <w:basedOn w:val="DefaultParagraphFont"/>
    <w:link w:val="Heading2"/>
    <w:rsid w:val="009C5213"/>
    <w:rPr>
      <w:rFonts w:ascii="Arial" w:hAnsi="Arial" w:cs="Arial"/>
      <w:b/>
      <w:iCs/>
      <w:sz w:val="24"/>
      <w:szCs w:val="22"/>
    </w:rPr>
  </w:style>
  <w:style w:type="paragraph" w:customStyle="1" w:styleId="Table-normal-text">
    <w:name w:val="Table-normal-text"/>
    <w:basedOn w:val="Normal"/>
    <w:rsid w:val="009C5213"/>
    <w:pPr>
      <w:spacing w:before="60"/>
    </w:pPr>
    <w:rPr>
      <w:rFonts w:ascii="Arial" w:hAnsi="Arial"/>
      <w:sz w:val="20"/>
    </w:rPr>
  </w:style>
  <w:style w:type="character" w:customStyle="1" w:styleId="Heading1Char">
    <w:name w:val="Heading 1 Char"/>
    <w:basedOn w:val="DefaultParagraphFont"/>
    <w:link w:val="Heading1"/>
    <w:rsid w:val="009C5213"/>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semiHidden/>
    <w:unhideWhenUsed/>
    <w:rsid w:val="00813B3F"/>
    <w:rPr>
      <w:rFonts w:ascii="Times New Roman" w:hAnsi="Times New Roman" w:cs="Times New Roman" w:hint="default"/>
      <w:color w:val="000000"/>
      <w:u w:val="single"/>
    </w:rPr>
  </w:style>
  <w:style w:type="paragraph" w:customStyle="1" w:styleId="SDAbodytext">
    <w:name w:val="SDA body text"/>
    <w:basedOn w:val="Normal"/>
    <w:link w:val="SDAbodytextChar"/>
    <w:qFormat/>
    <w:rsid w:val="000F34FE"/>
    <w:pPr>
      <w:spacing w:before="120" w:after="120"/>
    </w:pPr>
    <w:rPr>
      <w:rFonts w:asciiTheme="minorHAnsi" w:eastAsiaTheme="minorHAnsi" w:hAnsiTheme="minorHAnsi" w:cstheme="minorBidi"/>
      <w:sz w:val="22"/>
      <w:szCs w:val="22"/>
    </w:rPr>
  </w:style>
  <w:style w:type="character" w:customStyle="1" w:styleId="SDAbodytextChar">
    <w:name w:val="SDA body text Char"/>
    <w:basedOn w:val="DefaultParagraphFont"/>
    <w:link w:val="SDAbodytext"/>
    <w:rsid w:val="000F34FE"/>
    <w:rPr>
      <w:rFonts w:asciiTheme="minorHAnsi" w:eastAsiaTheme="minorHAnsi" w:hAnsiTheme="minorHAnsi" w:cstheme="minorBidi"/>
      <w:sz w:val="22"/>
      <w:szCs w:val="22"/>
      <w:lang w:eastAsia="en-US"/>
    </w:rPr>
  </w:style>
  <w:style w:type="paragraph" w:customStyle="1" w:styleId="SDAbulletpoints">
    <w:name w:val="SDA bullet points"/>
    <w:basedOn w:val="SDAbodytext"/>
    <w:link w:val="SDAbulletpointsChar"/>
    <w:qFormat/>
    <w:rsid w:val="000F34FE"/>
    <w:pPr>
      <w:numPr>
        <w:numId w:val="24"/>
      </w:numPr>
    </w:pPr>
  </w:style>
  <w:style w:type="character" w:customStyle="1" w:styleId="SDAbulletpointsChar">
    <w:name w:val="SDA bullet points Char"/>
    <w:basedOn w:val="SDAbodytextChar"/>
    <w:link w:val="SDAbulletpoints"/>
    <w:rsid w:val="000F34F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81F20"/>
    <w:rPr>
      <w:b/>
      <w:bCs/>
    </w:rPr>
  </w:style>
  <w:style w:type="paragraph" w:customStyle="1" w:styleId="TableParagraph">
    <w:name w:val="Table Paragraph"/>
    <w:basedOn w:val="Normal"/>
    <w:uiPriority w:val="1"/>
    <w:qFormat/>
    <w:rsid w:val="004A3F2F"/>
    <w:pPr>
      <w:widowControl w:val="0"/>
      <w:autoSpaceDE w:val="0"/>
      <w:autoSpaceDN w:val="0"/>
    </w:pPr>
    <w:rPr>
      <w:rFonts w:ascii="Arial" w:eastAsia="Arial" w:hAnsi="Arial" w:cs="Arial"/>
      <w:sz w:val="22"/>
      <w:szCs w:val="22"/>
      <w:lang w:val="en-US"/>
    </w:rPr>
  </w:style>
  <w:style w:type="paragraph" w:styleId="Revision">
    <w:name w:val="Revision"/>
    <w:hidden/>
    <w:uiPriority w:val="99"/>
    <w:semiHidden/>
    <w:rsid w:val="001B6839"/>
    <w:rPr>
      <w:sz w:val="24"/>
      <w:szCs w:val="24"/>
      <w:lang w:eastAsia="en-US"/>
    </w:rPr>
  </w:style>
  <w:style w:type="paragraph" w:customStyle="1" w:styleId="Bullet1">
    <w:name w:val="Bullet 1"/>
    <w:basedOn w:val="Normal"/>
    <w:qFormat/>
    <w:rsid w:val="00B24DCC"/>
    <w:pPr>
      <w:numPr>
        <w:numId w:val="31"/>
      </w:numPr>
      <w:tabs>
        <w:tab w:val="left" w:pos="567"/>
      </w:tabs>
      <w:suppressAutoHyphens/>
      <w:spacing w:before="60" w:after="60" w:line="260" w:lineRule="atLeast"/>
    </w:pPr>
    <w:rPr>
      <w:rFonts w:asciiTheme="minorHAnsi" w:eastAsiaTheme="minorHAnsi" w:hAnsiTheme="minorHAnsi" w:cstheme="minorBidi"/>
      <w:color w:val="1F497D" w:themeColor="text2"/>
      <w:sz w:val="22"/>
      <w:szCs w:val="22"/>
      <w:lang w:val="en-GB"/>
    </w:rPr>
  </w:style>
  <w:style w:type="paragraph" w:customStyle="1" w:styleId="Bullet2">
    <w:name w:val="Bullet 2"/>
    <w:basedOn w:val="Bullet1"/>
    <w:qFormat/>
    <w:rsid w:val="00B24DCC"/>
    <w:pPr>
      <w:numPr>
        <w:ilvl w:val="1"/>
      </w:numPr>
      <w:tabs>
        <w:tab w:val="clear" w:pos="568"/>
        <w:tab w:val="left" w:pos="851"/>
      </w:tabs>
    </w:pPr>
  </w:style>
  <w:style w:type="paragraph" w:customStyle="1" w:styleId="Bullet3">
    <w:name w:val="Bullet 3"/>
    <w:basedOn w:val="Bullet2"/>
    <w:qFormat/>
    <w:rsid w:val="00B24DCC"/>
    <w:pPr>
      <w:numPr>
        <w:ilvl w:val="2"/>
      </w:numPr>
      <w:tabs>
        <w:tab w:val="clear" w:pos="852"/>
        <w:tab w:val="left" w:pos="1134"/>
      </w:tabs>
    </w:pPr>
  </w:style>
  <w:style w:type="numbering" w:customStyle="1" w:styleId="BulletsList">
    <w:name w:val="Bullets List"/>
    <w:uiPriority w:val="99"/>
    <w:rsid w:val="00B24DCC"/>
    <w:pPr>
      <w:numPr>
        <w:numId w:val="30"/>
      </w:numPr>
    </w:pPr>
  </w:style>
  <w:style w:type="character" w:customStyle="1" w:styleId="Heading3Char">
    <w:name w:val="Heading 3 Char"/>
    <w:basedOn w:val="DefaultParagraphFont"/>
    <w:link w:val="Heading3"/>
    <w:rsid w:val="002B4626"/>
    <w:rPr>
      <w:rFonts w:asciiTheme="majorHAnsi" w:eastAsiaTheme="majorEastAsia" w:hAnsiTheme="majorHAnsi" w:cstheme="majorBidi"/>
      <w:color w:val="243F60" w:themeColor="accent1" w:themeShade="7F"/>
      <w:sz w:val="24"/>
      <w:szCs w:val="24"/>
      <w:lang w:eastAsia="en-US"/>
    </w:rPr>
  </w:style>
  <w:style w:type="character" w:styleId="IntenseReference">
    <w:name w:val="Intense Reference"/>
    <w:basedOn w:val="DefaultParagraphFont"/>
    <w:uiPriority w:val="32"/>
    <w:qFormat/>
    <w:rsid w:val="002B4626"/>
    <w:rPr>
      <w:rFonts w:asciiTheme="minorHAnsi" w:hAnsiTheme="minorHAnsi"/>
      <w:b/>
      <w:bCs/>
      <w:caps w:val="0"/>
      <w:smallCaps/>
      <w:color w:val="F79646" w:themeColor="accent6"/>
      <w:spacing w:val="5"/>
    </w:rPr>
  </w:style>
  <w:style w:type="table" w:customStyle="1" w:styleId="ODETable">
    <w:name w:val="ODE Table"/>
    <w:basedOn w:val="TableNormal"/>
    <w:uiPriority w:val="99"/>
    <w:rsid w:val="002B4626"/>
    <w:rPr>
      <w:rFonts w:ascii="Courier" w:hAnsi="Courie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57" w:type="dxa"/>
        <w:bottom w:w="113" w:type="dxa"/>
        <w:right w:w="57" w:type="dxa"/>
      </w:tblCellMar>
    </w:tblPr>
    <w:tcPr>
      <w:shd w:val="clear" w:color="auto" w:fill="8064A2" w:themeFill="accent4"/>
    </w:tcPr>
    <w:tblStylePr w:type="firstRow">
      <w:tblPr/>
      <w:tcPr>
        <w:shd w:val="clear" w:color="auto" w:fill="C0504D" w:themeFill="accent2"/>
      </w:tcPr>
    </w:tblStylePr>
  </w:style>
  <w:style w:type="paragraph" w:customStyle="1" w:styleId="Tablebullets">
    <w:name w:val="Table bullets"/>
    <w:link w:val="TablebulletsChar"/>
    <w:qFormat/>
    <w:rsid w:val="002B4626"/>
    <w:pPr>
      <w:numPr>
        <w:numId w:val="32"/>
      </w:numPr>
    </w:pPr>
    <w:rPr>
      <w:rFonts w:ascii="Helvetica" w:hAnsi="Helvetica" w:cs="Helvetica"/>
      <w:color w:val="000000" w:themeColor="text1"/>
      <w:sz w:val="24"/>
      <w:szCs w:val="24"/>
      <w:lang w:val="en-GB" w:eastAsia="en-US"/>
    </w:rPr>
  </w:style>
  <w:style w:type="character" w:customStyle="1" w:styleId="TablebulletsChar">
    <w:name w:val="Table bullets Char"/>
    <w:basedOn w:val="BodyTextChar"/>
    <w:link w:val="Tablebullets"/>
    <w:rsid w:val="002B4626"/>
    <w:rPr>
      <w:rFonts w:ascii="Helvetica" w:hAnsi="Helvetica" w:cs="Helvetica"/>
      <w:color w:val="000000" w:themeColor="text1"/>
      <w:sz w:val="24"/>
      <w:szCs w:val="24"/>
      <w:lang w:val="en-GB" w:eastAsia="en-US"/>
    </w:rPr>
  </w:style>
  <w:style w:type="paragraph" w:customStyle="1" w:styleId="Bodytxt">
    <w:name w:val="Bodytxt"/>
    <w:basedOn w:val="Normal"/>
    <w:link w:val="BodytxtChar"/>
    <w:rsid w:val="00363A28"/>
    <w:pPr>
      <w:spacing w:after="120"/>
      <w:ind w:left="720"/>
      <w:jc w:val="both"/>
    </w:pPr>
    <w:rPr>
      <w:rFonts w:ascii="Calibri" w:hAnsi="Calibri"/>
      <w:sz w:val="22"/>
    </w:rPr>
  </w:style>
  <w:style w:type="paragraph" w:customStyle="1" w:styleId="Bullets">
    <w:name w:val="Bullets"/>
    <w:basedOn w:val="Bodytxt"/>
    <w:rsid w:val="00363A28"/>
    <w:pPr>
      <w:numPr>
        <w:numId w:val="35"/>
      </w:numPr>
      <w:tabs>
        <w:tab w:val="clear" w:pos="1814"/>
        <w:tab w:val="num" w:pos="720"/>
      </w:tabs>
      <w:spacing w:after="60"/>
      <w:ind w:left="720" w:hanging="360"/>
    </w:pPr>
    <w:rPr>
      <w:lang w:val="en-GB"/>
    </w:rPr>
  </w:style>
  <w:style w:type="paragraph" w:customStyle="1" w:styleId="Bullets-last">
    <w:name w:val="Bullets - last"/>
    <w:basedOn w:val="Bullets"/>
    <w:next w:val="Bodytxt"/>
    <w:rsid w:val="00363A28"/>
    <w:pPr>
      <w:spacing w:after="120"/>
    </w:pPr>
  </w:style>
  <w:style w:type="character" w:customStyle="1" w:styleId="BodytxtChar">
    <w:name w:val="Bodytxt Char"/>
    <w:link w:val="Bodytxt"/>
    <w:rsid w:val="00363A28"/>
    <w:rPr>
      <w:rFonts w:ascii="Calibri" w:hAnsi="Calibri"/>
      <w:sz w:val="22"/>
      <w:szCs w:val="24"/>
      <w:lang w:eastAsia="en-US"/>
    </w:rPr>
  </w:style>
  <w:style w:type="paragraph" w:customStyle="1" w:styleId="BodyA">
    <w:name w:val="Body A"/>
    <w:rsid w:val="00776441"/>
    <w:pPr>
      <w:pBdr>
        <w:top w:val="nil"/>
        <w:left w:val="nil"/>
        <w:bottom w:val="nil"/>
        <w:right w:val="nil"/>
        <w:between w:val="nil"/>
        <w:bar w:val="nil"/>
      </w:pBdr>
      <w:suppressAutoHyphens/>
      <w:spacing w:before="120" w:after="60" w:line="230" w:lineRule="atLeast"/>
    </w:pPr>
    <w:rPr>
      <w:rFonts w:ascii="Calibri Light" w:eastAsia="Calibri Light" w:hAnsi="Calibri Light" w:cs="Calibri Light"/>
      <w:color w:val="495965"/>
      <w:sz w:val="22"/>
      <w:szCs w:val="22"/>
      <w:u w:color="495965"/>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7270">
      <w:bodyDiv w:val="1"/>
      <w:marLeft w:val="0"/>
      <w:marRight w:val="0"/>
      <w:marTop w:val="0"/>
      <w:marBottom w:val="0"/>
      <w:divBdr>
        <w:top w:val="none" w:sz="0" w:space="0" w:color="auto"/>
        <w:left w:val="none" w:sz="0" w:space="0" w:color="auto"/>
        <w:bottom w:val="none" w:sz="0" w:space="0" w:color="auto"/>
        <w:right w:val="none" w:sz="0" w:space="0" w:color="auto"/>
      </w:divBdr>
      <w:divsChild>
        <w:div w:id="530604466">
          <w:marLeft w:val="1008"/>
          <w:marRight w:val="0"/>
          <w:marTop w:val="101"/>
          <w:marBottom w:val="0"/>
          <w:divBdr>
            <w:top w:val="none" w:sz="0" w:space="0" w:color="auto"/>
            <w:left w:val="none" w:sz="0" w:space="0" w:color="auto"/>
            <w:bottom w:val="none" w:sz="0" w:space="0" w:color="auto"/>
            <w:right w:val="none" w:sz="0" w:space="0" w:color="auto"/>
          </w:divBdr>
        </w:div>
        <w:div w:id="1254123615">
          <w:marLeft w:val="1008"/>
          <w:marRight w:val="0"/>
          <w:marTop w:val="101"/>
          <w:marBottom w:val="0"/>
          <w:divBdr>
            <w:top w:val="none" w:sz="0" w:space="0" w:color="auto"/>
            <w:left w:val="none" w:sz="0" w:space="0" w:color="auto"/>
            <w:bottom w:val="none" w:sz="0" w:space="0" w:color="auto"/>
            <w:right w:val="none" w:sz="0" w:space="0" w:color="auto"/>
          </w:divBdr>
        </w:div>
      </w:divsChild>
    </w:div>
    <w:div w:id="283930838">
      <w:bodyDiv w:val="1"/>
      <w:marLeft w:val="0"/>
      <w:marRight w:val="0"/>
      <w:marTop w:val="0"/>
      <w:marBottom w:val="0"/>
      <w:divBdr>
        <w:top w:val="none" w:sz="0" w:space="0" w:color="auto"/>
        <w:left w:val="none" w:sz="0" w:space="0" w:color="auto"/>
        <w:bottom w:val="none" w:sz="0" w:space="0" w:color="auto"/>
        <w:right w:val="none" w:sz="0" w:space="0" w:color="auto"/>
      </w:divBdr>
      <w:divsChild>
        <w:div w:id="663584375">
          <w:marLeft w:val="720"/>
          <w:marRight w:val="0"/>
          <w:marTop w:val="120"/>
          <w:marBottom w:val="0"/>
          <w:divBdr>
            <w:top w:val="none" w:sz="0" w:space="0" w:color="auto"/>
            <w:left w:val="none" w:sz="0" w:space="0" w:color="auto"/>
            <w:bottom w:val="none" w:sz="0" w:space="0" w:color="auto"/>
            <w:right w:val="none" w:sz="0" w:space="0" w:color="auto"/>
          </w:divBdr>
        </w:div>
        <w:div w:id="1617441214">
          <w:marLeft w:val="720"/>
          <w:marRight w:val="0"/>
          <w:marTop w:val="120"/>
          <w:marBottom w:val="0"/>
          <w:divBdr>
            <w:top w:val="none" w:sz="0" w:space="0" w:color="auto"/>
            <w:left w:val="none" w:sz="0" w:space="0" w:color="auto"/>
            <w:bottom w:val="none" w:sz="0" w:space="0" w:color="auto"/>
            <w:right w:val="none" w:sz="0" w:space="0" w:color="auto"/>
          </w:divBdr>
        </w:div>
        <w:div w:id="1621959636">
          <w:marLeft w:val="720"/>
          <w:marRight w:val="0"/>
          <w:marTop w:val="120"/>
          <w:marBottom w:val="0"/>
          <w:divBdr>
            <w:top w:val="none" w:sz="0" w:space="0" w:color="auto"/>
            <w:left w:val="none" w:sz="0" w:space="0" w:color="auto"/>
            <w:bottom w:val="none" w:sz="0" w:space="0" w:color="auto"/>
            <w:right w:val="none" w:sz="0" w:space="0" w:color="auto"/>
          </w:divBdr>
        </w:div>
        <w:div w:id="1720665478">
          <w:marLeft w:val="720"/>
          <w:marRight w:val="0"/>
          <w:marTop w:val="120"/>
          <w:marBottom w:val="0"/>
          <w:divBdr>
            <w:top w:val="none" w:sz="0" w:space="0" w:color="auto"/>
            <w:left w:val="none" w:sz="0" w:space="0" w:color="auto"/>
            <w:bottom w:val="none" w:sz="0" w:space="0" w:color="auto"/>
            <w:right w:val="none" w:sz="0" w:space="0" w:color="auto"/>
          </w:divBdr>
        </w:div>
      </w:divsChild>
    </w:div>
    <w:div w:id="817187854">
      <w:bodyDiv w:val="1"/>
      <w:marLeft w:val="0"/>
      <w:marRight w:val="0"/>
      <w:marTop w:val="0"/>
      <w:marBottom w:val="0"/>
      <w:divBdr>
        <w:top w:val="none" w:sz="0" w:space="0" w:color="auto"/>
        <w:left w:val="none" w:sz="0" w:space="0" w:color="auto"/>
        <w:bottom w:val="none" w:sz="0" w:space="0" w:color="auto"/>
        <w:right w:val="none" w:sz="0" w:space="0" w:color="auto"/>
      </w:divBdr>
    </w:div>
    <w:div w:id="1079601284">
      <w:bodyDiv w:val="1"/>
      <w:marLeft w:val="0"/>
      <w:marRight w:val="0"/>
      <w:marTop w:val="0"/>
      <w:marBottom w:val="0"/>
      <w:divBdr>
        <w:top w:val="none" w:sz="0" w:space="0" w:color="auto"/>
        <w:left w:val="none" w:sz="0" w:space="0" w:color="auto"/>
        <w:bottom w:val="none" w:sz="0" w:space="0" w:color="auto"/>
        <w:right w:val="none" w:sz="0" w:space="0" w:color="auto"/>
      </w:divBdr>
    </w:div>
    <w:div w:id="1114713685">
      <w:bodyDiv w:val="1"/>
      <w:marLeft w:val="0"/>
      <w:marRight w:val="0"/>
      <w:marTop w:val="0"/>
      <w:marBottom w:val="0"/>
      <w:divBdr>
        <w:top w:val="none" w:sz="0" w:space="0" w:color="auto"/>
        <w:left w:val="none" w:sz="0" w:space="0" w:color="auto"/>
        <w:bottom w:val="none" w:sz="0" w:space="0" w:color="auto"/>
        <w:right w:val="none" w:sz="0" w:space="0" w:color="auto"/>
      </w:divBdr>
      <w:divsChild>
        <w:div w:id="12847539">
          <w:marLeft w:val="1008"/>
          <w:marRight w:val="0"/>
          <w:marTop w:val="101"/>
          <w:marBottom w:val="0"/>
          <w:divBdr>
            <w:top w:val="none" w:sz="0" w:space="0" w:color="auto"/>
            <w:left w:val="none" w:sz="0" w:space="0" w:color="auto"/>
            <w:bottom w:val="none" w:sz="0" w:space="0" w:color="auto"/>
            <w:right w:val="none" w:sz="0" w:space="0" w:color="auto"/>
          </w:divBdr>
        </w:div>
        <w:div w:id="440876385">
          <w:marLeft w:val="1008"/>
          <w:marRight w:val="0"/>
          <w:marTop w:val="101"/>
          <w:marBottom w:val="0"/>
          <w:divBdr>
            <w:top w:val="none" w:sz="0" w:space="0" w:color="auto"/>
            <w:left w:val="none" w:sz="0" w:space="0" w:color="auto"/>
            <w:bottom w:val="none" w:sz="0" w:space="0" w:color="auto"/>
            <w:right w:val="none" w:sz="0" w:space="0" w:color="auto"/>
          </w:divBdr>
        </w:div>
        <w:div w:id="562256230">
          <w:marLeft w:val="1008"/>
          <w:marRight w:val="0"/>
          <w:marTop w:val="101"/>
          <w:marBottom w:val="0"/>
          <w:divBdr>
            <w:top w:val="none" w:sz="0" w:space="0" w:color="auto"/>
            <w:left w:val="none" w:sz="0" w:space="0" w:color="auto"/>
            <w:bottom w:val="none" w:sz="0" w:space="0" w:color="auto"/>
            <w:right w:val="none" w:sz="0" w:space="0" w:color="auto"/>
          </w:divBdr>
        </w:div>
        <w:div w:id="1866211362">
          <w:marLeft w:val="1008"/>
          <w:marRight w:val="0"/>
          <w:marTop w:val="101"/>
          <w:marBottom w:val="0"/>
          <w:divBdr>
            <w:top w:val="none" w:sz="0" w:space="0" w:color="auto"/>
            <w:left w:val="none" w:sz="0" w:space="0" w:color="auto"/>
            <w:bottom w:val="none" w:sz="0" w:space="0" w:color="auto"/>
            <w:right w:val="none" w:sz="0" w:space="0" w:color="auto"/>
          </w:divBdr>
        </w:div>
        <w:div w:id="2115392412">
          <w:marLeft w:val="1008"/>
          <w:marRight w:val="0"/>
          <w:marTop w:val="101"/>
          <w:marBottom w:val="0"/>
          <w:divBdr>
            <w:top w:val="none" w:sz="0" w:space="0" w:color="auto"/>
            <w:left w:val="none" w:sz="0" w:space="0" w:color="auto"/>
            <w:bottom w:val="none" w:sz="0" w:space="0" w:color="auto"/>
            <w:right w:val="none" w:sz="0" w:space="0" w:color="auto"/>
          </w:divBdr>
        </w:div>
      </w:divsChild>
    </w:div>
    <w:div w:id="1131631500">
      <w:bodyDiv w:val="1"/>
      <w:marLeft w:val="0"/>
      <w:marRight w:val="0"/>
      <w:marTop w:val="0"/>
      <w:marBottom w:val="0"/>
      <w:divBdr>
        <w:top w:val="none" w:sz="0" w:space="0" w:color="auto"/>
        <w:left w:val="none" w:sz="0" w:space="0" w:color="auto"/>
        <w:bottom w:val="none" w:sz="0" w:space="0" w:color="auto"/>
        <w:right w:val="none" w:sz="0" w:space="0" w:color="auto"/>
      </w:divBdr>
      <w:divsChild>
        <w:div w:id="268664522">
          <w:marLeft w:val="720"/>
          <w:marRight w:val="0"/>
          <w:marTop w:val="120"/>
          <w:marBottom w:val="0"/>
          <w:divBdr>
            <w:top w:val="none" w:sz="0" w:space="0" w:color="auto"/>
            <w:left w:val="none" w:sz="0" w:space="0" w:color="auto"/>
            <w:bottom w:val="none" w:sz="0" w:space="0" w:color="auto"/>
            <w:right w:val="none" w:sz="0" w:space="0" w:color="auto"/>
          </w:divBdr>
        </w:div>
        <w:div w:id="604460832">
          <w:marLeft w:val="720"/>
          <w:marRight w:val="0"/>
          <w:marTop w:val="120"/>
          <w:marBottom w:val="0"/>
          <w:divBdr>
            <w:top w:val="none" w:sz="0" w:space="0" w:color="auto"/>
            <w:left w:val="none" w:sz="0" w:space="0" w:color="auto"/>
            <w:bottom w:val="none" w:sz="0" w:space="0" w:color="auto"/>
            <w:right w:val="none" w:sz="0" w:space="0" w:color="auto"/>
          </w:divBdr>
        </w:div>
        <w:div w:id="782963598">
          <w:marLeft w:val="432"/>
          <w:marRight w:val="0"/>
          <w:marTop w:val="120"/>
          <w:marBottom w:val="0"/>
          <w:divBdr>
            <w:top w:val="none" w:sz="0" w:space="0" w:color="auto"/>
            <w:left w:val="none" w:sz="0" w:space="0" w:color="auto"/>
            <w:bottom w:val="none" w:sz="0" w:space="0" w:color="auto"/>
            <w:right w:val="none" w:sz="0" w:space="0" w:color="auto"/>
          </w:divBdr>
        </w:div>
        <w:div w:id="1103376352">
          <w:marLeft w:val="720"/>
          <w:marRight w:val="0"/>
          <w:marTop w:val="120"/>
          <w:marBottom w:val="0"/>
          <w:divBdr>
            <w:top w:val="none" w:sz="0" w:space="0" w:color="auto"/>
            <w:left w:val="none" w:sz="0" w:space="0" w:color="auto"/>
            <w:bottom w:val="none" w:sz="0" w:space="0" w:color="auto"/>
            <w:right w:val="none" w:sz="0" w:space="0" w:color="auto"/>
          </w:divBdr>
        </w:div>
        <w:div w:id="1328316378">
          <w:marLeft w:val="720"/>
          <w:marRight w:val="0"/>
          <w:marTop w:val="120"/>
          <w:marBottom w:val="0"/>
          <w:divBdr>
            <w:top w:val="none" w:sz="0" w:space="0" w:color="auto"/>
            <w:left w:val="none" w:sz="0" w:space="0" w:color="auto"/>
            <w:bottom w:val="none" w:sz="0" w:space="0" w:color="auto"/>
            <w:right w:val="none" w:sz="0" w:space="0" w:color="auto"/>
          </w:divBdr>
        </w:div>
        <w:div w:id="1337610287">
          <w:marLeft w:val="720"/>
          <w:marRight w:val="0"/>
          <w:marTop w:val="120"/>
          <w:marBottom w:val="0"/>
          <w:divBdr>
            <w:top w:val="none" w:sz="0" w:space="0" w:color="auto"/>
            <w:left w:val="none" w:sz="0" w:space="0" w:color="auto"/>
            <w:bottom w:val="none" w:sz="0" w:space="0" w:color="auto"/>
            <w:right w:val="none" w:sz="0" w:space="0" w:color="auto"/>
          </w:divBdr>
        </w:div>
        <w:div w:id="1769695073">
          <w:marLeft w:val="720"/>
          <w:marRight w:val="0"/>
          <w:marTop w:val="120"/>
          <w:marBottom w:val="0"/>
          <w:divBdr>
            <w:top w:val="none" w:sz="0" w:space="0" w:color="auto"/>
            <w:left w:val="none" w:sz="0" w:space="0" w:color="auto"/>
            <w:bottom w:val="none" w:sz="0" w:space="0" w:color="auto"/>
            <w:right w:val="none" w:sz="0" w:space="0" w:color="auto"/>
          </w:divBdr>
        </w:div>
        <w:div w:id="1786540657">
          <w:marLeft w:val="720"/>
          <w:marRight w:val="0"/>
          <w:marTop w:val="120"/>
          <w:marBottom w:val="0"/>
          <w:divBdr>
            <w:top w:val="none" w:sz="0" w:space="0" w:color="auto"/>
            <w:left w:val="none" w:sz="0" w:space="0" w:color="auto"/>
            <w:bottom w:val="none" w:sz="0" w:space="0" w:color="auto"/>
            <w:right w:val="none" w:sz="0" w:space="0" w:color="auto"/>
          </w:divBdr>
        </w:div>
        <w:div w:id="2009022193">
          <w:marLeft w:val="720"/>
          <w:marRight w:val="0"/>
          <w:marTop w:val="120"/>
          <w:marBottom w:val="0"/>
          <w:divBdr>
            <w:top w:val="none" w:sz="0" w:space="0" w:color="auto"/>
            <w:left w:val="none" w:sz="0" w:space="0" w:color="auto"/>
            <w:bottom w:val="none" w:sz="0" w:space="0" w:color="auto"/>
            <w:right w:val="none" w:sz="0" w:space="0" w:color="auto"/>
          </w:divBdr>
        </w:div>
      </w:divsChild>
    </w:div>
    <w:div w:id="1271162752">
      <w:bodyDiv w:val="1"/>
      <w:marLeft w:val="0"/>
      <w:marRight w:val="0"/>
      <w:marTop w:val="0"/>
      <w:marBottom w:val="0"/>
      <w:divBdr>
        <w:top w:val="none" w:sz="0" w:space="0" w:color="auto"/>
        <w:left w:val="none" w:sz="0" w:space="0" w:color="auto"/>
        <w:bottom w:val="none" w:sz="0" w:space="0" w:color="auto"/>
        <w:right w:val="none" w:sz="0" w:space="0" w:color="auto"/>
      </w:divBdr>
    </w:div>
    <w:div w:id="1425687314">
      <w:bodyDiv w:val="1"/>
      <w:marLeft w:val="0"/>
      <w:marRight w:val="0"/>
      <w:marTop w:val="0"/>
      <w:marBottom w:val="0"/>
      <w:divBdr>
        <w:top w:val="none" w:sz="0" w:space="0" w:color="auto"/>
        <w:left w:val="none" w:sz="0" w:space="0" w:color="auto"/>
        <w:bottom w:val="none" w:sz="0" w:space="0" w:color="auto"/>
        <w:right w:val="none" w:sz="0" w:space="0" w:color="auto"/>
      </w:divBdr>
      <w:divsChild>
        <w:div w:id="375005649">
          <w:marLeft w:val="720"/>
          <w:marRight w:val="0"/>
          <w:marTop w:val="120"/>
          <w:marBottom w:val="0"/>
          <w:divBdr>
            <w:top w:val="none" w:sz="0" w:space="0" w:color="auto"/>
            <w:left w:val="none" w:sz="0" w:space="0" w:color="auto"/>
            <w:bottom w:val="none" w:sz="0" w:space="0" w:color="auto"/>
            <w:right w:val="none" w:sz="0" w:space="0" w:color="auto"/>
          </w:divBdr>
        </w:div>
        <w:div w:id="376052654">
          <w:marLeft w:val="720"/>
          <w:marRight w:val="0"/>
          <w:marTop w:val="120"/>
          <w:marBottom w:val="0"/>
          <w:divBdr>
            <w:top w:val="none" w:sz="0" w:space="0" w:color="auto"/>
            <w:left w:val="none" w:sz="0" w:space="0" w:color="auto"/>
            <w:bottom w:val="none" w:sz="0" w:space="0" w:color="auto"/>
            <w:right w:val="none" w:sz="0" w:space="0" w:color="auto"/>
          </w:divBdr>
        </w:div>
        <w:div w:id="986085009">
          <w:marLeft w:val="720"/>
          <w:marRight w:val="0"/>
          <w:marTop w:val="120"/>
          <w:marBottom w:val="0"/>
          <w:divBdr>
            <w:top w:val="none" w:sz="0" w:space="0" w:color="auto"/>
            <w:left w:val="none" w:sz="0" w:space="0" w:color="auto"/>
            <w:bottom w:val="none" w:sz="0" w:space="0" w:color="auto"/>
            <w:right w:val="none" w:sz="0" w:space="0" w:color="auto"/>
          </w:divBdr>
        </w:div>
        <w:div w:id="1777868559">
          <w:marLeft w:val="720"/>
          <w:marRight w:val="0"/>
          <w:marTop w:val="120"/>
          <w:marBottom w:val="0"/>
          <w:divBdr>
            <w:top w:val="none" w:sz="0" w:space="0" w:color="auto"/>
            <w:left w:val="none" w:sz="0" w:space="0" w:color="auto"/>
            <w:bottom w:val="none" w:sz="0" w:space="0" w:color="auto"/>
            <w:right w:val="none" w:sz="0" w:space="0" w:color="auto"/>
          </w:divBdr>
        </w:div>
      </w:divsChild>
    </w:div>
    <w:div w:id="1830056821">
      <w:bodyDiv w:val="1"/>
      <w:marLeft w:val="0"/>
      <w:marRight w:val="0"/>
      <w:marTop w:val="0"/>
      <w:marBottom w:val="0"/>
      <w:divBdr>
        <w:top w:val="none" w:sz="0" w:space="0" w:color="auto"/>
        <w:left w:val="none" w:sz="0" w:space="0" w:color="auto"/>
        <w:bottom w:val="none" w:sz="0" w:space="0" w:color="auto"/>
        <w:right w:val="none" w:sz="0" w:space="0" w:color="auto"/>
      </w:divBdr>
    </w:div>
    <w:div w:id="1968967519">
      <w:bodyDiv w:val="1"/>
      <w:marLeft w:val="0"/>
      <w:marRight w:val="0"/>
      <w:marTop w:val="0"/>
      <w:marBottom w:val="0"/>
      <w:divBdr>
        <w:top w:val="none" w:sz="0" w:space="0" w:color="auto"/>
        <w:left w:val="none" w:sz="0" w:space="0" w:color="auto"/>
        <w:bottom w:val="none" w:sz="0" w:space="0" w:color="auto"/>
        <w:right w:val="none" w:sz="0" w:space="0" w:color="auto"/>
      </w:divBdr>
    </w:div>
    <w:div w:id="2102292290">
      <w:bodyDiv w:val="1"/>
      <w:marLeft w:val="0"/>
      <w:marRight w:val="0"/>
      <w:marTop w:val="0"/>
      <w:marBottom w:val="0"/>
      <w:divBdr>
        <w:top w:val="none" w:sz="0" w:space="0" w:color="auto"/>
        <w:left w:val="none" w:sz="0" w:space="0" w:color="auto"/>
        <w:bottom w:val="none" w:sz="0" w:space="0" w:color="auto"/>
        <w:right w:val="none" w:sz="0" w:space="0" w:color="auto"/>
      </w:divBdr>
    </w:div>
    <w:div w:id="2136215964">
      <w:bodyDiv w:val="1"/>
      <w:marLeft w:val="0"/>
      <w:marRight w:val="0"/>
      <w:marTop w:val="0"/>
      <w:marBottom w:val="0"/>
      <w:divBdr>
        <w:top w:val="none" w:sz="0" w:space="0" w:color="auto"/>
        <w:left w:val="none" w:sz="0" w:space="0" w:color="auto"/>
        <w:bottom w:val="none" w:sz="0" w:space="0" w:color="auto"/>
        <w:right w:val="none" w:sz="0" w:space="0" w:color="auto"/>
      </w:divBdr>
      <w:divsChild>
        <w:div w:id="82846996">
          <w:marLeft w:val="720"/>
          <w:marRight w:val="0"/>
          <w:marTop w:val="120"/>
          <w:marBottom w:val="0"/>
          <w:divBdr>
            <w:top w:val="none" w:sz="0" w:space="0" w:color="auto"/>
            <w:left w:val="none" w:sz="0" w:space="0" w:color="auto"/>
            <w:bottom w:val="none" w:sz="0" w:space="0" w:color="auto"/>
            <w:right w:val="none" w:sz="0" w:space="0" w:color="auto"/>
          </w:divBdr>
        </w:div>
        <w:div w:id="1047413247">
          <w:marLeft w:val="720"/>
          <w:marRight w:val="0"/>
          <w:marTop w:val="120"/>
          <w:marBottom w:val="0"/>
          <w:divBdr>
            <w:top w:val="none" w:sz="0" w:space="0" w:color="auto"/>
            <w:left w:val="none" w:sz="0" w:space="0" w:color="auto"/>
            <w:bottom w:val="none" w:sz="0" w:space="0" w:color="auto"/>
            <w:right w:val="none" w:sz="0" w:space="0" w:color="auto"/>
          </w:divBdr>
        </w:div>
        <w:div w:id="1471556733">
          <w:marLeft w:val="720"/>
          <w:marRight w:val="0"/>
          <w:marTop w:val="120"/>
          <w:marBottom w:val="0"/>
          <w:divBdr>
            <w:top w:val="none" w:sz="0" w:space="0" w:color="auto"/>
            <w:left w:val="none" w:sz="0" w:space="0" w:color="auto"/>
            <w:bottom w:val="none" w:sz="0" w:space="0" w:color="auto"/>
            <w:right w:val="none" w:sz="0" w:space="0" w:color="auto"/>
          </w:divBdr>
        </w:div>
        <w:div w:id="1730223853">
          <w:marLeft w:val="720"/>
          <w:marRight w:val="0"/>
          <w:marTop w:val="120"/>
          <w:marBottom w:val="0"/>
          <w:divBdr>
            <w:top w:val="none" w:sz="0" w:space="0" w:color="auto"/>
            <w:left w:val="none" w:sz="0" w:space="0" w:color="auto"/>
            <w:bottom w:val="none" w:sz="0" w:space="0" w:color="auto"/>
            <w:right w:val="none" w:sz="0" w:space="0" w:color="auto"/>
          </w:divBdr>
        </w:div>
        <w:div w:id="190606612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41B3-C1DA-4866-877E-0D919DE0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2337</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2020-03-01T00:24:00Z</dcterms:created>
  <dcterms:modified xsi:type="dcterms:W3CDTF">2020-03-01T00:24:00Z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8a430b94-620d-4345-9609-dccf289e343f</vt:lpwstr>
  </property>
  <property fmtid="{D5CDD505-2E9C-101B-9397-08002B2CF9AE}" pid="3" name="SEC">
    <vt:lpwstr>UNCLASSIFIED</vt:lpwstr>
  </property>
  <property fmtid="{D5CDD505-2E9C-101B-9397-08002B2CF9AE}" pid="4" name="DLM">
    <vt:lpwstr>No DLM</vt:lpwstr>
  </property>
</Properties>
</file>