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AEC98" w14:textId="77777777" w:rsidR="00230777" w:rsidRPr="00867443" w:rsidRDefault="00230777" w:rsidP="00230777">
      <w:pPr>
        <w:pStyle w:val="Title"/>
        <w:rPr>
          <w:sz w:val="16"/>
          <w:szCs w:val="16"/>
        </w:rPr>
      </w:pPr>
    </w:p>
    <w:p w14:paraId="02E341DD" w14:textId="77777777" w:rsidR="00EB398C" w:rsidRDefault="00494F98" w:rsidP="00EB398C">
      <w:pPr>
        <w:pStyle w:val="Title"/>
        <w:rPr>
          <w:sz w:val="36"/>
          <w:szCs w:val="36"/>
        </w:rPr>
      </w:pPr>
      <w:r>
        <w:rPr>
          <w:sz w:val="36"/>
          <w:szCs w:val="36"/>
        </w:rPr>
        <w:t xml:space="preserve">2019-20 </w:t>
      </w:r>
      <w:r w:rsidR="000E7095">
        <w:rPr>
          <w:sz w:val="36"/>
          <w:szCs w:val="36"/>
        </w:rPr>
        <w:t>Bangladesh</w:t>
      </w:r>
      <w:r w:rsidR="00235EAB">
        <w:rPr>
          <w:sz w:val="36"/>
          <w:szCs w:val="36"/>
        </w:rPr>
        <w:t xml:space="preserve"> </w:t>
      </w:r>
      <w:r w:rsidR="004C5598">
        <w:rPr>
          <w:sz w:val="36"/>
          <w:szCs w:val="36"/>
        </w:rPr>
        <w:t>development program progress report</w:t>
      </w:r>
      <w:r w:rsidR="00660121">
        <w:rPr>
          <w:sz w:val="36"/>
          <w:szCs w:val="36"/>
        </w:rPr>
        <w:t xml:space="preserve">  </w:t>
      </w:r>
    </w:p>
    <w:p w14:paraId="63626911" w14:textId="77777777" w:rsidR="00452298" w:rsidRDefault="00230777" w:rsidP="00EB398C">
      <w:pPr>
        <w:pStyle w:val="Title"/>
        <w:rPr>
          <w:noProof/>
          <w:sz w:val="36"/>
          <w:szCs w:val="36"/>
          <w:lang w:val="en-AU" w:eastAsia="en-AU"/>
        </w:rPr>
        <w:sectPr w:rsidR="00452298" w:rsidSect="00ED68D1">
          <w:headerReference w:type="default" r:id="rId11"/>
          <w:footerReference w:type="default" r:id="rId12"/>
          <w:headerReference w:type="first" r:id="rId13"/>
          <w:footerReference w:type="first" r:id="rId14"/>
          <w:pgSz w:w="11906" w:h="16838" w:code="9"/>
          <w:pgMar w:top="1701" w:right="140" w:bottom="1418" w:left="709" w:header="142" w:footer="493" w:gutter="0"/>
          <w:cols w:space="397"/>
          <w:titlePg/>
          <w:docGrid w:linePitch="360"/>
        </w:sectPr>
      </w:pPr>
      <w:r w:rsidRPr="0090092E">
        <w:rPr>
          <w:noProof/>
          <w:sz w:val="36"/>
          <w:szCs w:val="36"/>
          <w:lang w:val="en-AU" w:eastAsia="en-AU"/>
        </w:rPr>
        <w:t xml:space="preserve"> </w:t>
      </w:r>
    </w:p>
    <w:tbl>
      <w:tblPr>
        <w:tblStyle w:val="TableGrid"/>
        <w:tblW w:w="5266" w:type="dxa"/>
        <w:tblBorders>
          <w:top w:val="single" w:sz="2" w:space="0" w:color="65C5B4" w:themeColor="accent1"/>
          <w:left w:val="single" w:sz="2" w:space="0" w:color="65C5B4" w:themeColor="accent1"/>
          <w:bottom w:val="single" w:sz="2" w:space="0" w:color="65C5B4" w:themeColor="accent1"/>
          <w:right w:val="single" w:sz="2" w:space="0" w:color="65C5B4" w:themeColor="accent1"/>
          <w:insideH w:val="single" w:sz="2" w:space="0" w:color="65C5B4" w:themeColor="accent1"/>
          <w:insideV w:val="single" w:sz="2" w:space="0" w:color="65C5B4" w:themeColor="accent1"/>
        </w:tblBorders>
        <w:tblLook w:val="04A0" w:firstRow="1" w:lastRow="0" w:firstColumn="1" w:lastColumn="0" w:noHBand="0" w:noVBand="1"/>
        <w:tblCaption w:val="201-20 Budget Estimate"/>
        <w:tblDescription w:val="Bilateral – 38.5&#10;Regional – 5.9&#10;Global – 23.3&#10;Other Government Departments – 2.5&#10;Total Australian ODA – 70.1&#10;Note. Actual expenditure is expected to be available in December 2020&#10;"/>
      </w:tblPr>
      <w:tblGrid>
        <w:gridCol w:w="3715"/>
        <w:gridCol w:w="1551"/>
      </w:tblGrid>
      <w:tr w:rsidR="00262B1A" w14:paraId="43D1B908" w14:textId="77777777" w:rsidTr="00BC41A8">
        <w:trPr>
          <w:trHeight w:hRule="exact" w:val="680"/>
          <w:tblHeader/>
        </w:trPr>
        <w:tc>
          <w:tcPr>
            <w:tcW w:w="3715" w:type="dxa"/>
            <w:shd w:val="clear" w:color="auto" w:fill="C1E7E0" w:themeFill="accent1" w:themeFillTint="66"/>
            <w:vAlign w:val="center"/>
          </w:tcPr>
          <w:p w14:paraId="6C27CBB9" w14:textId="77777777" w:rsidR="00262B1A" w:rsidRPr="00401FEF" w:rsidRDefault="00262B1A" w:rsidP="00F857E7">
            <w:pPr>
              <w:pStyle w:val="NormalWeb"/>
              <w:spacing w:before="120" w:beforeAutospacing="0" w:after="60" w:afterAutospacing="0" w:line="200" w:lineRule="exact"/>
              <w:jc w:val="center"/>
              <w:rPr>
                <w:rFonts w:asciiTheme="minorHAnsi" w:hAnsiTheme="minorHAnsi" w:cstheme="minorHAnsi"/>
                <w:b/>
                <w:bCs/>
                <w:kern w:val="24"/>
                <w:sz w:val="22"/>
                <w:szCs w:val="22"/>
              </w:rPr>
            </w:pPr>
            <w:r w:rsidRPr="00401FEF">
              <w:rPr>
                <w:rFonts w:asciiTheme="minorHAnsi" w:hAnsiTheme="minorHAnsi" w:cstheme="minorHAnsi"/>
                <w:b/>
                <w:sz w:val="22"/>
                <w:szCs w:val="22"/>
              </w:rPr>
              <w:t>Program Budget</w:t>
            </w:r>
          </w:p>
        </w:tc>
        <w:tc>
          <w:tcPr>
            <w:tcW w:w="1551" w:type="dxa"/>
            <w:shd w:val="clear" w:color="auto" w:fill="C1E7E0" w:themeFill="accent1" w:themeFillTint="66"/>
            <w:vAlign w:val="center"/>
          </w:tcPr>
          <w:p w14:paraId="4DBF6D52" w14:textId="77777777" w:rsidR="00262B1A" w:rsidRPr="00401FEF" w:rsidRDefault="00262B1A" w:rsidP="00F857E7">
            <w:pPr>
              <w:pStyle w:val="NormalWeb"/>
              <w:spacing w:before="120" w:beforeAutospacing="0" w:after="60" w:afterAutospacing="0" w:line="200" w:lineRule="exact"/>
              <w:jc w:val="center"/>
              <w:rPr>
                <w:rFonts w:asciiTheme="minorHAnsi" w:hAnsiTheme="minorHAnsi" w:cstheme="minorHAnsi"/>
                <w:b/>
                <w:sz w:val="36"/>
                <w:szCs w:val="36"/>
              </w:rPr>
            </w:pPr>
            <w:r w:rsidRPr="00401FEF">
              <w:rPr>
                <w:rFonts w:asciiTheme="minorHAnsi" w:hAnsiTheme="minorHAnsi" w:cstheme="minorHAnsi"/>
                <w:b/>
                <w:bCs/>
                <w:kern w:val="24"/>
                <w:sz w:val="20"/>
                <w:szCs w:val="20"/>
              </w:rPr>
              <w:t>2019-20 Budget Estimate ($m)</w:t>
            </w:r>
            <w:r w:rsidRPr="00063511">
              <w:rPr>
                <w:rFonts w:asciiTheme="minorHAnsi" w:hAnsiTheme="minorHAnsi" w:cstheme="minorHAnsi"/>
                <w:b/>
                <w:bCs/>
                <w:kern w:val="24"/>
                <w:sz w:val="20"/>
                <w:szCs w:val="20"/>
                <w:vertAlign w:val="superscript"/>
              </w:rPr>
              <w:t>*</w:t>
            </w:r>
          </w:p>
        </w:tc>
      </w:tr>
      <w:tr w:rsidR="00262B1A" w14:paraId="6B07A902" w14:textId="77777777" w:rsidTr="00BC41A8">
        <w:trPr>
          <w:trHeight w:hRule="exact" w:val="454"/>
          <w:tblHeader/>
        </w:trPr>
        <w:tc>
          <w:tcPr>
            <w:tcW w:w="3715" w:type="dxa"/>
            <w:shd w:val="clear" w:color="auto" w:fill="auto"/>
            <w:vAlign w:val="bottom"/>
          </w:tcPr>
          <w:p w14:paraId="5FB4445E" w14:textId="77777777" w:rsidR="00262B1A" w:rsidRPr="00232E53" w:rsidRDefault="00262B1A" w:rsidP="00F857E7">
            <w:pPr>
              <w:pStyle w:val="NormalWeb"/>
              <w:spacing w:before="20" w:beforeAutospacing="0" w:after="20" w:afterAutospacing="0"/>
              <w:ind w:right="172"/>
              <w:rPr>
                <w:rFonts w:asciiTheme="minorHAnsi" w:hAnsiTheme="minorHAnsi" w:cstheme="majorHAnsi"/>
                <w:sz w:val="22"/>
                <w:szCs w:val="22"/>
              </w:rPr>
            </w:pPr>
            <w:r w:rsidRPr="00232E53">
              <w:rPr>
                <w:rFonts w:ascii="Calibri" w:hAnsi="Calibri" w:cs="Calibri"/>
                <w:color w:val="000000" w:themeColor="dark1"/>
                <w:kern w:val="24"/>
                <w:sz w:val="22"/>
                <w:szCs w:val="22"/>
              </w:rPr>
              <w:t>Bilateral</w:t>
            </w:r>
          </w:p>
        </w:tc>
        <w:tc>
          <w:tcPr>
            <w:tcW w:w="1551" w:type="dxa"/>
            <w:vAlign w:val="bottom"/>
          </w:tcPr>
          <w:p w14:paraId="21AFA989" w14:textId="77777777" w:rsidR="00262B1A" w:rsidRPr="003042B6" w:rsidRDefault="00262B1A" w:rsidP="00F857E7">
            <w:pPr>
              <w:pStyle w:val="NormalWeb"/>
              <w:spacing w:before="20" w:beforeAutospacing="0" w:after="20" w:afterAutospacing="0"/>
              <w:jc w:val="right"/>
              <w:rPr>
                <w:rFonts w:asciiTheme="minorHAnsi" w:hAnsiTheme="minorHAnsi" w:cstheme="majorHAnsi"/>
                <w:sz w:val="20"/>
                <w:szCs w:val="20"/>
              </w:rPr>
            </w:pPr>
            <w:r w:rsidRPr="003042B6">
              <w:rPr>
                <w:rFonts w:asciiTheme="minorHAnsi" w:hAnsiTheme="minorHAnsi" w:cstheme="majorHAnsi"/>
                <w:sz w:val="20"/>
                <w:szCs w:val="20"/>
              </w:rPr>
              <w:t>38.5</w:t>
            </w:r>
          </w:p>
        </w:tc>
      </w:tr>
      <w:tr w:rsidR="00262B1A" w14:paraId="6C551C6C" w14:textId="77777777" w:rsidTr="00BC41A8">
        <w:trPr>
          <w:trHeight w:hRule="exact" w:val="454"/>
          <w:tblHeader/>
        </w:trPr>
        <w:tc>
          <w:tcPr>
            <w:tcW w:w="3715" w:type="dxa"/>
            <w:shd w:val="clear" w:color="auto" w:fill="auto"/>
            <w:vAlign w:val="bottom"/>
          </w:tcPr>
          <w:p w14:paraId="1FEBB36E" w14:textId="77777777" w:rsidR="00262B1A" w:rsidRPr="003042B6" w:rsidRDefault="00262B1A" w:rsidP="00F857E7">
            <w:pPr>
              <w:pStyle w:val="NormalWeb"/>
              <w:spacing w:before="20" w:beforeAutospacing="0" w:after="20" w:afterAutospacing="0"/>
              <w:ind w:right="172"/>
              <w:rPr>
                <w:rFonts w:asciiTheme="minorHAnsi" w:hAnsiTheme="minorHAnsi" w:cstheme="majorHAnsi"/>
                <w:sz w:val="20"/>
                <w:szCs w:val="20"/>
              </w:rPr>
            </w:pPr>
            <w:r>
              <w:rPr>
                <w:rFonts w:ascii="Calibri" w:hAnsi="Calibri" w:cs="Calibri"/>
                <w:color w:val="000000" w:themeColor="dark1"/>
                <w:kern w:val="24"/>
                <w:sz w:val="20"/>
                <w:szCs w:val="20"/>
              </w:rPr>
              <w:t>Regional</w:t>
            </w:r>
          </w:p>
        </w:tc>
        <w:tc>
          <w:tcPr>
            <w:tcW w:w="1551" w:type="dxa"/>
            <w:vAlign w:val="bottom"/>
          </w:tcPr>
          <w:p w14:paraId="304F469F" w14:textId="77777777" w:rsidR="00262B1A" w:rsidRPr="003042B6" w:rsidRDefault="00262B1A" w:rsidP="00F857E7">
            <w:pPr>
              <w:pStyle w:val="NormalWeb"/>
              <w:spacing w:before="20" w:beforeAutospacing="0" w:after="20" w:afterAutospacing="0"/>
              <w:jc w:val="right"/>
              <w:rPr>
                <w:rFonts w:asciiTheme="minorHAnsi" w:hAnsiTheme="minorHAnsi" w:cstheme="majorHAnsi"/>
                <w:sz w:val="20"/>
                <w:szCs w:val="20"/>
              </w:rPr>
            </w:pPr>
            <w:r w:rsidRPr="003042B6">
              <w:rPr>
                <w:rFonts w:asciiTheme="minorHAnsi" w:hAnsiTheme="minorHAnsi" w:cstheme="majorHAnsi"/>
                <w:sz w:val="20"/>
                <w:szCs w:val="20"/>
              </w:rPr>
              <w:t>5.9</w:t>
            </w:r>
          </w:p>
        </w:tc>
      </w:tr>
      <w:tr w:rsidR="00262B1A" w14:paraId="0D9F67B6" w14:textId="77777777" w:rsidTr="00BC41A8">
        <w:trPr>
          <w:trHeight w:hRule="exact" w:val="454"/>
          <w:tblHeader/>
        </w:trPr>
        <w:tc>
          <w:tcPr>
            <w:tcW w:w="3715" w:type="dxa"/>
            <w:shd w:val="clear" w:color="auto" w:fill="auto"/>
            <w:vAlign w:val="bottom"/>
          </w:tcPr>
          <w:p w14:paraId="18305333" w14:textId="77777777" w:rsidR="00262B1A" w:rsidRPr="003042B6" w:rsidRDefault="00262B1A" w:rsidP="00F857E7">
            <w:pPr>
              <w:pStyle w:val="NormalWeb"/>
              <w:spacing w:before="20" w:beforeAutospacing="0" w:after="20" w:afterAutospacing="0"/>
              <w:ind w:right="172"/>
              <w:rPr>
                <w:rFonts w:asciiTheme="minorHAnsi" w:hAnsiTheme="minorHAnsi" w:cstheme="majorHAnsi"/>
                <w:sz w:val="20"/>
                <w:szCs w:val="20"/>
              </w:rPr>
            </w:pPr>
            <w:r>
              <w:rPr>
                <w:rFonts w:ascii="Calibri" w:hAnsi="Calibri" w:cs="Calibri"/>
                <w:color w:val="000000" w:themeColor="dark1"/>
                <w:kern w:val="24"/>
                <w:sz w:val="20"/>
                <w:szCs w:val="20"/>
              </w:rPr>
              <w:t>Global</w:t>
            </w:r>
          </w:p>
        </w:tc>
        <w:tc>
          <w:tcPr>
            <w:tcW w:w="1551" w:type="dxa"/>
            <w:vAlign w:val="bottom"/>
          </w:tcPr>
          <w:p w14:paraId="10F477AA" w14:textId="77777777" w:rsidR="00262B1A" w:rsidRPr="003042B6" w:rsidRDefault="00262B1A" w:rsidP="00F857E7">
            <w:pPr>
              <w:pStyle w:val="NormalWeb"/>
              <w:spacing w:before="20" w:beforeAutospacing="0" w:after="20" w:afterAutospacing="0"/>
              <w:jc w:val="right"/>
              <w:rPr>
                <w:rFonts w:asciiTheme="minorHAnsi" w:hAnsiTheme="minorHAnsi" w:cstheme="majorHAnsi"/>
                <w:sz w:val="20"/>
                <w:szCs w:val="20"/>
              </w:rPr>
            </w:pPr>
            <w:r w:rsidRPr="003042B6">
              <w:rPr>
                <w:rFonts w:asciiTheme="minorHAnsi" w:hAnsiTheme="minorHAnsi" w:cstheme="majorHAnsi"/>
                <w:sz w:val="20"/>
                <w:szCs w:val="20"/>
              </w:rPr>
              <w:t>23.3</w:t>
            </w:r>
          </w:p>
        </w:tc>
      </w:tr>
      <w:tr w:rsidR="00262B1A" w14:paraId="4616F35A" w14:textId="77777777" w:rsidTr="00BC41A8">
        <w:trPr>
          <w:trHeight w:hRule="exact" w:val="454"/>
          <w:tblHeader/>
        </w:trPr>
        <w:tc>
          <w:tcPr>
            <w:tcW w:w="3715" w:type="dxa"/>
            <w:shd w:val="clear" w:color="auto" w:fill="auto"/>
            <w:vAlign w:val="bottom"/>
          </w:tcPr>
          <w:p w14:paraId="375A7860" w14:textId="77777777" w:rsidR="00262B1A" w:rsidRPr="003042B6" w:rsidRDefault="00262B1A" w:rsidP="00F857E7">
            <w:pPr>
              <w:pStyle w:val="NormalWeb"/>
              <w:spacing w:before="20" w:beforeAutospacing="0" w:after="20" w:afterAutospacing="0"/>
              <w:ind w:right="172"/>
              <w:rPr>
                <w:rFonts w:asciiTheme="minorHAnsi" w:hAnsiTheme="minorHAnsi" w:cstheme="majorHAnsi"/>
                <w:sz w:val="20"/>
                <w:szCs w:val="20"/>
              </w:rPr>
            </w:pPr>
            <w:r>
              <w:rPr>
                <w:rFonts w:ascii="Calibri" w:hAnsi="Calibri" w:cs="Calibri"/>
                <w:color w:val="000000" w:themeColor="dark1"/>
                <w:kern w:val="24"/>
                <w:sz w:val="20"/>
                <w:szCs w:val="20"/>
              </w:rPr>
              <w:t>Other Government Departments</w:t>
            </w:r>
          </w:p>
        </w:tc>
        <w:tc>
          <w:tcPr>
            <w:tcW w:w="1551" w:type="dxa"/>
            <w:vAlign w:val="bottom"/>
          </w:tcPr>
          <w:p w14:paraId="24C8CAC0" w14:textId="77777777" w:rsidR="00262B1A" w:rsidRPr="003042B6" w:rsidRDefault="00262B1A" w:rsidP="00F857E7">
            <w:pPr>
              <w:pStyle w:val="NormalWeb"/>
              <w:spacing w:before="20" w:beforeAutospacing="0" w:after="20" w:afterAutospacing="0"/>
              <w:jc w:val="right"/>
              <w:rPr>
                <w:rFonts w:asciiTheme="minorHAnsi" w:hAnsiTheme="minorHAnsi" w:cstheme="majorHAnsi"/>
                <w:sz w:val="20"/>
                <w:szCs w:val="20"/>
              </w:rPr>
            </w:pPr>
            <w:r w:rsidRPr="003042B6">
              <w:rPr>
                <w:rFonts w:asciiTheme="minorHAnsi" w:hAnsiTheme="minorHAnsi" w:cstheme="majorHAnsi"/>
                <w:sz w:val="20"/>
                <w:szCs w:val="20"/>
              </w:rPr>
              <w:t>2.5</w:t>
            </w:r>
          </w:p>
        </w:tc>
      </w:tr>
      <w:tr w:rsidR="00262B1A" w14:paraId="1EAFB51A" w14:textId="77777777" w:rsidTr="00BC41A8">
        <w:trPr>
          <w:trHeight w:hRule="exact" w:val="454"/>
          <w:tblHeader/>
        </w:trPr>
        <w:tc>
          <w:tcPr>
            <w:tcW w:w="3715" w:type="dxa"/>
            <w:tcBorders>
              <w:bottom w:val="single" w:sz="2" w:space="0" w:color="65C5B4" w:themeColor="accent1"/>
            </w:tcBorders>
            <w:shd w:val="clear" w:color="auto" w:fill="auto"/>
            <w:vAlign w:val="bottom"/>
          </w:tcPr>
          <w:p w14:paraId="7982A819" w14:textId="77777777" w:rsidR="00262B1A" w:rsidRPr="003B559A" w:rsidRDefault="00262B1A" w:rsidP="00F857E7">
            <w:pPr>
              <w:pStyle w:val="NormalWeb"/>
              <w:spacing w:before="20" w:beforeAutospacing="0" w:after="20" w:afterAutospacing="0"/>
              <w:rPr>
                <w:rFonts w:asciiTheme="majorHAnsi" w:hAnsiTheme="majorHAnsi" w:cstheme="majorHAnsi"/>
                <w:b/>
                <w:sz w:val="20"/>
                <w:szCs w:val="20"/>
              </w:rPr>
            </w:pPr>
            <w:r>
              <w:rPr>
                <w:rFonts w:ascii="Calibri" w:hAnsi="Calibri" w:cs="Calibri"/>
                <w:b/>
                <w:bCs/>
                <w:color w:val="000000" w:themeColor="dark1"/>
                <w:kern w:val="24"/>
                <w:sz w:val="20"/>
                <w:szCs w:val="20"/>
              </w:rPr>
              <w:t>Total Australian ODA to Bangladesh</w:t>
            </w:r>
          </w:p>
        </w:tc>
        <w:tc>
          <w:tcPr>
            <w:tcW w:w="1551" w:type="dxa"/>
            <w:tcBorders>
              <w:bottom w:val="single" w:sz="2" w:space="0" w:color="65C5B4" w:themeColor="accent1"/>
            </w:tcBorders>
            <w:vAlign w:val="bottom"/>
          </w:tcPr>
          <w:p w14:paraId="2477B035" w14:textId="77777777" w:rsidR="00262B1A" w:rsidRPr="003B559A" w:rsidRDefault="00262B1A" w:rsidP="00F857E7">
            <w:pPr>
              <w:pStyle w:val="NormalWeb"/>
              <w:spacing w:before="20" w:beforeAutospacing="0" w:after="20" w:afterAutospacing="0"/>
              <w:jc w:val="right"/>
              <w:rPr>
                <w:rFonts w:asciiTheme="majorHAnsi" w:hAnsiTheme="majorHAnsi" w:cstheme="majorHAnsi"/>
                <w:b/>
                <w:sz w:val="20"/>
                <w:szCs w:val="20"/>
              </w:rPr>
            </w:pPr>
            <w:r w:rsidRPr="003B559A">
              <w:rPr>
                <w:rFonts w:asciiTheme="majorHAnsi" w:hAnsiTheme="majorHAnsi" w:cstheme="majorHAnsi"/>
                <w:b/>
                <w:sz w:val="20"/>
                <w:szCs w:val="20"/>
              </w:rPr>
              <w:t>70.1</w:t>
            </w:r>
          </w:p>
        </w:tc>
      </w:tr>
    </w:tbl>
    <w:p w14:paraId="126FC22A" w14:textId="189B61D1" w:rsidR="00452298" w:rsidRDefault="00262B1A" w:rsidP="00494F98">
      <w:pPr>
        <w:spacing w:before="0" w:after="0"/>
        <w:rPr>
          <w:rFonts w:asciiTheme="majorHAnsi" w:hAnsiTheme="majorHAnsi" w:cstheme="majorHAnsi"/>
          <w:sz w:val="16"/>
          <w:szCs w:val="20"/>
        </w:rPr>
      </w:pPr>
      <w:r w:rsidRPr="00135409">
        <w:rPr>
          <w:rFonts w:asciiTheme="majorHAnsi" w:hAnsiTheme="majorHAnsi" w:cstheme="majorHAnsi"/>
          <w:sz w:val="16"/>
          <w:szCs w:val="20"/>
        </w:rPr>
        <w:t>* Actual expenditure is expected to be available in December 2020</w:t>
      </w:r>
    </w:p>
    <w:p w14:paraId="3E678EF2" w14:textId="0EEEE860" w:rsidR="00262B1A" w:rsidRDefault="00262B1A" w:rsidP="00494F98">
      <w:pPr>
        <w:spacing w:before="0" w:after="0"/>
      </w:pPr>
      <w:r>
        <w:rPr>
          <w:noProof/>
          <w:lang w:val="en-AU" w:eastAsia="en-AU"/>
        </w:rPr>
        <w:drawing>
          <wp:inline distT="0" distB="0" distL="0" distR="0" wp14:anchorId="7E55659E" wp14:editId="3F4CBA5A">
            <wp:extent cx="3372723" cy="2051050"/>
            <wp:effectExtent l="0" t="0" r="0" b="6350"/>
            <wp:docPr id="4" name="Picture 4" descr="Infrastructure and trade – 0.3%&#10;Agriculture, fisheries and water – 7%&#10;Governance – 1%&#10;Education – 40%&#10;Health – 18%&#10;Building resilience – 34%&#10;General development support – 0.1%&#10;Due to rounding total percentage may not add up to 100 per cent&#10;" title="Estimated ODA by Sector,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7356" cy="2059949"/>
                    </a:xfrm>
                    <a:prstGeom prst="rect">
                      <a:avLst/>
                    </a:prstGeom>
                    <a:noFill/>
                  </pic:spPr>
                </pic:pic>
              </a:graphicData>
            </a:graphic>
          </wp:inline>
        </w:drawing>
      </w:r>
    </w:p>
    <w:p w14:paraId="0BA36A6C" w14:textId="08E77FBD" w:rsidR="00262B1A" w:rsidRDefault="00262B1A" w:rsidP="00494F98">
      <w:pPr>
        <w:spacing w:before="0" w:after="0"/>
      </w:pPr>
    </w:p>
    <w:p w14:paraId="341C256E" w14:textId="77777777" w:rsidR="00262B1A" w:rsidRPr="00452298" w:rsidRDefault="00262B1A" w:rsidP="00494F98">
      <w:pPr>
        <w:spacing w:before="0" w:after="0"/>
        <w:sectPr w:rsidR="00262B1A" w:rsidRPr="00452298" w:rsidSect="00262B1A">
          <w:type w:val="continuous"/>
          <w:pgSz w:w="11906" w:h="16838" w:code="9"/>
          <w:pgMar w:top="1701" w:right="140" w:bottom="1418" w:left="709" w:header="142" w:footer="493" w:gutter="0"/>
          <w:cols w:num="2" w:space="397"/>
          <w:titlePg/>
          <w:docGrid w:linePitch="360"/>
        </w:sectPr>
      </w:pPr>
    </w:p>
    <w:p w14:paraId="64787CA1" w14:textId="77777777" w:rsidR="003500CF" w:rsidRPr="00C33096" w:rsidRDefault="00651213" w:rsidP="00C32299">
      <w:pPr>
        <w:rPr>
          <w:b/>
          <w:color w:val="auto"/>
        </w:rPr>
      </w:pPr>
      <w:r w:rsidRPr="00C33096">
        <w:rPr>
          <w:b/>
          <w:color w:val="auto"/>
          <w:sz w:val="24"/>
        </w:rPr>
        <w:t>COVID-19 Development Response</w:t>
      </w:r>
      <w:r w:rsidR="003500CF" w:rsidRPr="00C33096">
        <w:rPr>
          <w:b/>
          <w:color w:val="auto"/>
        </w:rPr>
        <w:tab/>
      </w:r>
    </w:p>
    <w:p w14:paraId="7D520F3E" w14:textId="4C0F1FF9" w:rsidR="00C03095" w:rsidRPr="00FD4D7E" w:rsidRDefault="006713EC" w:rsidP="00FD4D7E">
      <w:pPr>
        <w:rPr>
          <w:color w:val="auto"/>
        </w:rPr>
      </w:pPr>
      <w:r w:rsidRPr="00FD4D7E">
        <w:rPr>
          <w:color w:val="auto"/>
        </w:rPr>
        <w:t xml:space="preserve">In 2019-20, </w:t>
      </w:r>
      <w:r w:rsidR="00D649EC" w:rsidRPr="00FD4D7E">
        <w:rPr>
          <w:color w:val="auto"/>
        </w:rPr>
        <w:t>Australian-</w:t>
      </w:r>
      <w:r w:rsidR="00774431" w:rsidRPr="00FD4D7E">
        <w:rPr>
          <w:color w:val="auto"/>
        </w:rPr>
        <w:t xml:space="preserve">funded </w:t>
      </w:r>
      <w:r w:rsidR="009E770A" w:rsidRPr="00FD4D7E">
        <w:rPr>
          <w:color w:val="auto"/>
        </w:rPr>
        <w:t>development and humanitarian partners moved quickly to support Bangladesh’s emergency response to COVID-19</w:t>
      </w:r>
      <w:r w:rsidR="00C03095" w:rsidRPr="00FD4D7E">
        <w:rPr>
          <w:color w:val="auto"/>
        </w:rPr>
        <w:t>.</w:t>
      </w:r>
      <w:r w:rsidR="00FD4D7E">
        <w:rPr>
          <w:color w:val="auto"/>
        </w:rPr>
        <w:t xml:space="preserve"> Australia:</w:t>
      </w:r>
      <w:r w:rsidR="00C03095" w:rsidRPr="00FD4D7E">
        <w:rPr>
          <w:color w:val="auto"/>
        </w:rPr>
        <w:t xml:space="preserve"> </w:t>
      </w:r>
    </w:p>
    <w:p w14:paraId="501FA6CC" w14:textId="77777777" w:rsidR="00C03095" w:rsidRDefault="00C03095" w:rsidP="001E61F6">
      <w:pPr>
        <w:pStyle w:val="ListParagraph"/>
        <w:numPr>
          <w:ilvl w:val="0"/>
          <w:numId w:val="11"/>
        </w:numPr>
        <w:rPr>
          <w:color w:val="auto"/>
        </w:rPr>
      </w:pPr>
      <w:r>
        <w:rPr>
          <w:color w:val="auto"/>
        </w:rPr>
        <w:t>S</w:t>
      </w:r>
      <w:r w:rsidR="009E770A" w:rsidRPr="00C03095">
        <w:rPr>
          <w:color w:val="auto"/>
        </w:rPr>
        <w:t xml:space="preserve">upplied emergency </w:t>
      </w:r>
      <w:r w:rsidR="00E43E5D" w:rsidRPr="00C03095">
        <w:rPr>
          <w:color w:val="auto"/>
        </w:rPr>
        <w:t xml:space="preserve">health </w:t>
      </w:r>
      <w:r w:rsidR="009E770A" w:rsidRPr="00C03095">
        <w:rPr>
          <w:color w:val="auto"/>
        </w:rPr>
        <w:t>equipment</w:t>
      </w:r>
      <w:r w:rsidR="009D4C09" w:rsidRPr="00C03095">
        <w:rPr>
          <w:color w:val="auto"/>
        </w:rPr>
        <w:t xml:space="preserve"> for</w:t>
      </w:r>
      <w:r w:rsidR="001763B0" w:rsidRPr="00C03095">
        <w:rPr>
          <w:color w:val="auto"/>
        </w:rPr>
        <w:t xml:space="preserve"> personal</w:t>
      </w:r>
      <w:r w:rsidR="009D4C09" w:rsidRPr="00C03095">
        <w:rPr>
          <w:color w:val="auto"/>
        </w:rPr>
        <w:t xml:space="preserve"> </w:t>
      </w:r>
      <w:r w:rsidR="000B7816" w:rsidRPr="00C03095">
        <w:rPr>
          <w:color w:val="auto"/>
        </w:rPr>
        <w:t xml:space="preserve">protection, </w:t>
      </w:r>
      <w:r w:rsidR="00D649EC" w:rsidRPr="00C03095">
        <w:rPr>
          <w:color w:val="auto"/>
        </w:rPr>
        <w:t xml:space="preserve">supported </w:t>
      </w:r>
      <w:r w:rsidR="00774431" w:rsidRPr="00C03095">
        <w:rPr>
          <w:color w:val="auto"/>
        </w:rPr>
        <w:t xml:space="preserve">COVID-19 </w:t>
      </w:r>
      <w:r w:rsidR="009D4C09" w:rsidRPr="00C03095">
        <w:rPr>
          <w:color w:val="auto"/>
        </w:rPr>
        <w:t>treatment and</w:t>
      </w:r>
      <w:r w:rsidR="00DA43C2" w:rsidRPr="00C03095">
        <w:rPr>
          <w:color w:val="auto"/>
        </w:rPr>
        <w:t xml:space="preserve"> </w:t>
      </w:r>
      <w:r w:rsidR="009D4C09" w:rsidRPr="00C03095">
        <w:rPr>
          <w:color w:val="auto"/>
        </w:rPr>
        <w:t>testing,</w:t>
      </w:r>
      <w:r w:rsidR="00DA43C2" w:rsidRPr="00C03095">
        <w:rPr>
          <w:color w:val="auto"/>
        </w:rPr>
        <w:t xml:space="preserve"> and provided </w:t>
      </w:r>
      <w:r w:rsidR="00E61746" w:rsidRPr="00C03095">
        <w:rPr>
          <w:color w:val="auto"/>
        </w:rPr>
        <w:t>food-</w:t>
      </w:r>
      <w:r w:rsidR="009D4C09" w:rsidRPr="00C03095">
        <w:rPr>
          <w:color w:val="auto"/>
        </w:rPr>
        <w:t>security</w:t>
      </w:r>
      <w:r w:rsidR="00F2194B" w:rsidRPr="00C03095">
        <w:rPr>
          <w:color w:val="auto"/>
        </w:rPr>
        <w:t xml:space="preserve"> assistance</w:t>
      </w:r>
      <w:r w:rsidR="009D4C09" w:rsidRPr="00C03095">
        <w:rPr>
          <w:color w:val="auto"/>
        </w:rPr>
        <w:t xml:space="preserve"> for 6,000 people in quarantine</w:t>
      </w:r>
      <w:r w:rsidR="00774431" w:rsidRPr="00C03095">
        <w:rPr>
          <w:color w:val="auto"/>
        </w:rPr>
        <w:t>.</w:t>
      </w:r>
      <w:r w:rsidR="00393E35" w:rsidRPr="00C03095">
        <w:rPr>
          <w:color w:val="auto"/>
        </w:rPr>
        <w:t xml:space="preserve"> </w:t>
      </w:r>
    </w:p>
    <w:p w14:paraId="694EC1E3" w14:textId="77777777" w:rsidR="00C03095" w:rsidRDefault="00C03095" w:rsidP="001E61F6">
      <w:pPr>
        <w:pStyle w:val="ListParagraph"/>
        <w:numPr>
          <w:ilvl w:val="0"/>
          <w:numId w:val="11"/>
        </w:numPr>
        <w:rPr>
          <w:color w:val="auto"/>
        </w:rPr>
      </w:pPr>
      <w:r>
        <w:rPr>
          <w:color w:val="auto"/>
        </w:rPr>
        <w:t>C</w:t>
      </w:r>
      <w:r w:rsidR="001C2907" w:rsidRPr="00C03095">
        <w:rPr>
          <w:color w:val="auto"/>
        </w:rPr>
        <w:t xml:space="preserve">ontributed to improving </w:t>
      </w:r>
      <w:r w:rsidR="00D649EC" w:rsidRPr="00C03095">
        <w:rPr>
          <w:color w:val="auto"/>
        </w:rPr>
        <w:t>water, s</w:t>
      </w:r>
      <w:r w:rsidR="00774431" w:rsidRPr="00C03095">
        <w:rPr>
          <w:color w:val="auto"/>
        </w:rPr>
        <w:t>anitation and hygiene (WASH) services and increased community awareness to control the spread of infection.</w:t>
      </w:r>
    </w:p>
    <w:p w14:paraId="0D71233E" w14:textId="77777777" w:rsidR="00C03095" w:rsidRDefault="00891B77" w:rsidP="001E61F6">
      <w:pPr>
        <w:pStyle w:val="ListParagraph"/>
        <w:numPr>
          <w:ilvl w:val="0"/>
          <w:numId w:val="11"/>
        </w:numPr>
        <w:rPr>
          <w:color w:val="auto"/>
        </w:rPr>
      </w:pPr>
      <w:r>
        <w:rPr>
          <w:color w:val="auto"/>
        </w:rPr>
        <w:t>L</w:t>
      </w:r>
      <w:r w:rsidR="00393E35" w:rsidRPr="00C03095">
        <w:rPr>
          <w:color w:val="auto"/>
        </w:rPr>
        <w:t xml:space="preserve">everaged existing partners </w:t>
      </w:r>
      <w:r w:rsidR="00F2194B" w:rsidRPr="00C03095">
        <w:rPr>
          <w:color w:val="auto"/>
        </w:rPr>
        <w:t xml:space="preserve">to strengthen </w:t>
      </w:r>
      <w:r w:rsidR="00DA43C2" w:rsidRPr="00C03095">
        <w:rPr>
          <w:color w:val="auto"/>
        </w:rPr>
        <w:t>social protection</w:t>
      </w:r>
      <w:r w:rsidR="00F2194B" w:rsidRPr="00C03095">
        <w:rPr>
          <w:color w:val="auto"/>
        </w:rPr>
        <w:t xml:space="preserve"> system </w:t>
      </w:r>
      <w:r>
        <w:rPr>
          <w:color w:val="auto"/>
        </w:rPr>
        <w:t>a</w:t>
      </w:r>
      <w:r w:rsidR="00F2194B" w:rsidRPr="00C03095">
        <w:rPr>
          <w:color w:val="auto"/>
        </w:rPr>
        <w:t xml:space="preserve">nd </w:t>
      </w:r>
      <w:r w:rsidR="00D649EC" w:rsidRPr="00C03095">
        <w:rPr>
          <w:color w:val="auto"/>
        </w:rPr>
        <w:t>directly assis</w:t>
      </w:r>
      <w:r w:rsidR="00DA43C2" w:rsidRPr="00C03095">
        <w:rPr>
          <w:color w:val="auto"/>
        </w:rPr>
        <w:t xml:space="preserve">ted over 5,000 highly vulnerable </w:t>
      </w:r>
      <w:r w:rsidR="006919C5" w:rsidRPr="00C03095">
        <w:rPr>
          <w:color w:val="auto"/>
        </w:rPr>
        <w:t xml:space="preserve">female-headed households </w:t>
      </w:r>
      <w:r w:rsidR="00DA43C2" w:rsidRPr="00C03095">
        <w:rPr>
          <w:color w:val="auto"/>
        </w:rPr>
        <w:t>with</w:t>
      </w:r>
      <w:r w:rsidR="004227FF" w:rsidRPr="00C03095">
        <w:rPr>
          <w:color w:val="auto"/>
        </w:rPr>
        <w:t xml:space="preserve"> livelihoods and</w:t>
      </w:r>
      <w:r w:rsidR="00DA43C2" w:rsidRPr="00C03095">
        <w:rPr>
          <w:color w:val="auto"/>
        </w:rPr>
        <w:t xml:space="preserve"> </w:t>
      </w:r>
      <w:r w:rsidR="000B7816" w:rsidRPr="00C03095">
        <w:rPr>
          <w:color w:val="auto"/>
        </w:rPr>
        <w:t>income support</w:t>
      </w:r>
      <w:r w:rsidR="00774431" w:rsidRPr="00C03095">
        <w:rPr>
          <w:color w:val="auto"/>
        </w:rPr>
        <w:t>.</w:t>
      </w:r>
    </w:p>
    <w:p w14:paraId="4861CC14" w14:textId="77777777" w:rsidR="00452298" w:rsidRDefault="00C03095" w:rsidP="001E61F6">
      <w:pPr>
        <w:pStyle w:val="ListParagraph"/>
        <w:numPr>
          <w:ilvl w:val="0"/>
          <w:numId w:val="11"/>
        </w:numPr>
        <w:rPr>
          <w:color w:val="auto"/>
        </w:rPr>
      </w:pPr>
      <w:r>
        <w:rPr>
          <w:color w:val="auto"/>
        </w:rPr>
        <w:t>C</w:t>
      </w:r>
      <w:r w:rsidR="006713EC" w:rsidRPr="00C03095">
        <w:rPr>
          <w:color w:val="auto"/>
        </w:rPr>
        <w:t xml:space="preserve">ontributed to the international community’s support for 1.3 million vulnerable Rohingya and </w:t>
      </w:r>
      <w:r w:rsidR="004227FF" w:rsidRPr="00C03095">
        <w:rPr>
          <w:color w:val="auto"/>
        </w:rPr>
        <w:t>host community members</w:t>
      </w:r>
      <w:r>
        <w:rPr>
          <w:color w:val="auto"/>
        </w:rPr>
        <w:t xml:space="preserve">, </w:t>
      </w:r>
      <w:r w:rsidR="004227FF" w:rsidRPr="00C03095">
        <w:rPr>
          <w:color w:val="auto"/>
        </w:rPr>
        <w:t>providing</w:t>
      </w:r>
      <w:r w:rsidR="006713EC" w:rsidRPr="00C03095">
        <w:rPr>
          <w:color w:val="auto"/>
        </w:rPr>
        <w:t xml:space="preserve"> basic </w:t>
      </w:r>
      <w:r w:rsidR="009E770A" w:rsidRPr="00C03095">
        <w:rPr>
          <w:color w:val="auto"/>
        </w:rPr>
        <w:t>nutrition, education, protection and WASH services and</w:t>
      </w:r>
      <w:r w:rsidR="00D649EC" w:rsidRPr="00C03095">
        <w:rPr>
          <w:color w:val="auto"/>
        </w:rPr>
        <w:t xml:space="preserve"> contributing to</w:t>
      </w:r>
      <w:r w:rsidR="009E770A" w:rsidRPr="00C03095">
        <w:rPr>
          <w:color w:val="auto"/>
        </w:rPr>
        <w:t xml:space="preserve"> </w:t>
      </w:r>
      <w:r w:rsidR="006713EC" w:rsidRPr="00C03095">
        <w:rPr>
          <w:color w:val="auto"/>
        </w:rPr>
        <w:t>the construction of</w:t>
      </w:r>
      <w:r w:rsidR="00F05D00" w:rsidRPr="00C03095">
        <w:rPr>
          <w:color w:val="auto"/>
        </w:rPr>
        <w:t xml:space="preserve"> </w:t>
      </w:r>
      <w:r w:rsidR="006713EC" w:rsidRPr="00C03095">
        <w:rPr>
          <w:color w:val="auto"/>
        </w:rPr>
        <w:t xml:space="preserve">COVID-19 </w:t>
      </w:r>
      <w:r w:rsidR="009E770A" w:rsidRPr="00C03095">
        <w:rPr>
          <w:color w:val="auto"/>
        </w:rPr>
        <w:t>treatment facilities with capacity for 1,900 beds.</w:t>
      </w:r>
    </w:p>
    <w:p w14:paraId="71D9C812" w14:textId="74714DAD" w:rsidR="00FD4D7E" w:rsidRDefault="00FD4D7E" w:rsidP="00FD4D7E">
      <w:pPr>
        <w:rPr>
          <w:b/>
          <w:color w:val="auto"/>
          <w:sz w:val="24"/>
        </w:rPr>
      </w:pPr>
    </w:p>
    <w:p w14:paraId="39BDD1D2" w14:textId="42273563" w:rsidR="00082CB9" w:rsidRDefault="00082CB9" w:rsidP="00FD4D7E">
      <w:pPr>
        <w:rPr>
          <w:b/>
          <w:color w:val="auto"/>
          <w:sz w:val="24"/>
        </w:rPr>
      </w:pPr>
    </w:p>
    <w:p w14:paraId="7537F778" w14:textId="77777777" w:rsidR="00082CB9" w:rsidRDefault="00082CB9" w:rsidP="00FD4D7E">
      <w:pPr>
        <w:rPr>
          <w:b/>
          <w:color w:val="auto"/>
          <w:sz w:val="24"/>
        </w:rPr>
      </w:pPr>
    </w:p>
    <w:p w14:paraId="04E41034" w14:textId="7B4A70E4" w:rsidR="003500CF" w:rsidRPr="00FA2BBF" w:rsidRDefault="00651213" w:rsidP="00FD4D7E">
      <w:pPr>
        <w:rPr>
          <w:b/>
          <w:color w:val="auto"/>
          <w:sz w:val="24"/>
        </w:rPr>
      </w:pPr>
      <w:r w:rsidRPr="00FA2BBF">
        <w:rPr>
          <w:b/>
          <w:color w:val="auto"/>
          <w:sz w:val="24"/>
        </w:rPr>
        <w:t>Other program highlights</w:t>
      </w:r>
    </w:p>
    <w:p w14:paraId="3C4E4321" w14:textId="77777777" w:rsidR="00C03095" w:rsidRPr="00C03095" w:rsidRDefault="00F05D00" w:rsidP="001E61F6">
      <w:pPr>
        <w:pStyle w:val="ListParagraph"/>
        <w:numPr>
          <w:ilvl w:val="0"/>
          <w:numId w:val="12"/>
        </w:numPr>
        <w:suppressAutoHyphens w:val="0"/>
        <w:spacing w:before="0" w:after="0" w:line="254" w:lineRule="auto"/>
        <w:rPr>
          <w:rFonts w:cstheme="minorHAnsi"/>
          <w:color w:val="auto"/>
          <w:lang w:val="en-AU"/>
        </w:rPr>
      </w:pPr>
      <w:r w:rsidRPr="00C03095">
        <w:rPr>
          <w:color w:val="auto"/>
        </w:rPr>
        <w:t xml:space="preserve">In 2019-20, Australia supported </w:t>
      </w:r>
      <w:r w:rsidR="00DA4C1C" w:rsidRPr="00C03095">
        <w:rPr>
          <w:rFonts w:eastAsia="Times New Roman" w:cstheme="minorHAnsi"/>
          <w:color w:val="auto"/>
        </w:rPr>
        <w:t>1.</w:t>
      </w:r>
      <w:r w:rsidR="003D3C1E" w:rsidRPr="00C03095">
        <w:rPr>
          <w:rFonts w:eastAsia="Times New Roman" w:cstheme="minorHAnsi"/>
          <w:color w:val="auto"/>
        </w:rPr>
        <w:t xml:space="preserve">4 million </w:t>
      </w:r>
      <w:r w:rsidR="0048439D" w:rsidRPr="00C03095">
        <w:rPr>
          <w:rFonts w:eastAsia="Times New Roman" w:cstheme="minorHAnsi"/>
          <w:color w:val="auto"/>
        </w:rPr>
        <w:t>young people (55</w:t>
      </w:r>
      <w:r w:rsidR="00E61746" w:rsidRPr="00C03095">
        <w:rPr>
          <w:rFonts w:eastAsia="Times New Roman" w:cstheme="minorHAnsi"/>
          <w:color w:val="auto"/>
        </w:rPr>
        <w:t xml:space="preserve"> per cent</w:t>
      </w:r>
      <w:r w:rsidR="0048439D" w:rsidRPr="00C03095">
        <w:rPr>
          <w:rFonts w:eastAsia="Times New Roman" w:cstheme="minorHAnsi"/>
          <w:color w:val="auto"/>
        </w:rPr>
        <w:t xml:space="preserve"> women and girls)</w:t>
      </w:r>
      <w:r w:rsidR="003D3C1E" w:rsidRPr="00C03095">
        <w:rPr>
          <w:rFonts w:eastAsia="Times New Roman" w:cstheme="minorHAnsi"/>
          <w:color w:val="auto"/>
        </w:rPr>
        <w:t xml:space="preserve"> </w:t>
      </w:r>
      <w:r w:rsidRPr="00C03095">
        <w:rPr>
          <w:color w:val="auto"/>
        </w:rPr>
        <w:t>to access skills training</w:t>
      </w:r>
      <w:r w:rsidR="0048439D" w:rsidRPr="00C03095">
        <w:rPr>
          <w:color w:val="auto"/>
        </w:rPr>
        <w:t>,</w:t>
      </w:r>
      <w:r w:rsidRPr="00C03095">
        <w:rPr>
          <w:color w:val="auto"/>
        </w:rPr>
        <w:t xml:space="preserve"> and </w:t>
      </w:r>
      <w:r w:rsidR="003D3C1E" w:rsidRPr="00C03095">
        <w:rPr>
          <w:color w:val="auto"/>
        </w:rPr>
        <w:t>half a million children (50</w:t>
      </w:r>
      <w:r w:rsidR="00E61746" w:rsidRPr="00C03095">
        <w:rPr>
          <w:color w:val="auto"/>
        </w:rPr>
        <w:t xml:space="preserve"> per cent</w:t>
      </w:r>
      <w:r w:rsidR="003D3C1E" w:rsidRPr="00C03095">
        <w:rPr>
          <w:color w:val="auto"/>
        </w:rPr>
        <w:t xml:space="preserve"> girls) </w:t>
      </w:r>
      <w:r w:rsidR="004227FF" w:rsidRPr="00C03095">
        <w:rPr>
          <w:color w:val="auto"/>
        </w:rPr>
        <w:t>to complete</w:t>
      </w:r>
      <w:r w:rsidR="003D3C1E" w:rsidRPr="00C03095">
        <w:rPr>
          <w:color w:val="auto"/>
        </w:rPr>
        <w:t xml:space="preserve"> primary or pre-primary education courses </w:t>
      </w:r>
      <w:r w:rsidRPr="00C03095">
        <w:rPr>
          <w:color w:val="auto"/>
        </w:rPr>
        <w:t>(SDG4)</w:t>
      </w:r>
      <w:r w:rsidR="00E43E5D" w:rsidRPr="00C03095">
        <w:rPr>
          <w:color w:val="auto"/>
        </w:rPr>
        <w:t>.</w:t>
      </w:r>
    </w:p>
    <w:p w14:paraId="21721139" w14:textId="77777777" w:rsidR="00C03095" w:rsidRPr="00C03095" w:rsidRDefault="00D649EC" w:rsidP="001E61F6">
      <w:pPr>
        <w:pStyle w:val="ListParagraph"/>
        <w:numPr>
          <w:ilvl w:val="0"/>
          <w:numId w:val="12"/>
        </w:numPr>
        <w:suppressAutoHyphens w:val="0"/>
        <w:spacing w:before="0" w:after="0" w:line="254" w:lineRule="auto"/>
        <w:rPr>
          <w:rFonts w:cstheme="minorHAnsi"/>
          <w:color w:val="auto"/>
          <w:lang w:val="en-AU"/>
        </w:rPr>
      </w:pPr>
      <w:r w:rsidRPr="00C03095">
        <w:rPr>
          <w:color w:val="auto"/>
        </w:rPr>
        <w:t>Australia provided assistance to</w:t>
      </w:r>
      <w:r w:rsidR="008223AB" w:rsidRPr="00C03095">
        <w:rPr>
          <w:color w:val="auto"/>
        </w:rPr>
        <w:t xml:space="preserve"> over </w:t>
      </w:r>
      <w:r w:rsidR="008223AB" w:rsidRPr="00C03095">
        <w:rPr>
          <w:rFonts w:eastAsiaTheme="majorEastAsia" w:cstheme="minorHAnsi"/>
          <w:caps/>
          <w:color w:val="auto"/>
        </w:rPr>
        <w:t xml:space="preserve">111,000 </w:t>
      </w:r>
      <w:r w:rsidR="008223AB" w:rsidRPr="00C03095">
        <w:rPr>
          <w:color w:val="auto"/>
        </w:rPr>
        <w:t xml:space="preserve">households to </w:t>
      </w:r>
      <w:r w:rsidRPr="00C03095">
        <w:rPr>
          <w:color w:val="auto"/>
        </w:rPr>
        <w:t xml:space="preserve">help them </w:t>
      </w:r>
      <w:r w:rsidR="008223AB" w:rsidRPr="00C03095">
        <w:rPr>
          <w:color w:val="auto"/>
        </w:rPr>
        <w:t>graduate from ultra-poverty,</w:t>
      </w:r>
      <w:r w:rsidR="004227FF" w:rsidRPr="00C03095">
        <w:rPr>
          <w:color w:val="auto"/>
        </w:rPr>
        <w:t xml:space="preserve"> making a significant improvement</w:t>
      </w:r>
      <w:r w:rsidR="008223AB" w:rsidRPr="00C03095">
        <w:rPr>
          <w:color w:val="auto"/>
        </w:rPr>
        <w:t xml:space="preserve"> to the lives of poor people (SDG 1 and 5)</w:t>
      </w:r>
      <w:r w:rsidR="00D86466" w:rsidRPr="00C03095">
        <w:rPr>
          <w:color w:val="auto"/>
        </w:rPr>
        <w:t>.</w:t>
      </w:r>
      <w:r w:rsidR="00F05D00" w:rsidRPr="00C03095">
        <w:rPr>
          <w:color w:val="auto"/>
        </w:rPr>
        <w:t xml:space="preserve"> </w:t>
      </w:r>
    </w:p>
    <w:p w14:paraId="300B6F15" w14:textId="74CBE6C4" w:rsidR="00C03095" w:rsidRPr="00C03095" w:rsidRDefault="004227FF" w:rsidP="001E61F6">
      <w:pPr>
        <w:pStyle w:val="ListParagraph"/>
        <w:numPr>
          <w:ilvl w:val="0"/>
          <w:numId w:val="12"/>
        </w:numPr>
        <w:suppressAutoHyphens w:val="0"/>
        <w:spacing w:before="0" w:after="0" w:line="254" w:lineRule="auto"/>
        <w:rPr>
          <w:rFonts w:cstheme="minorHAnsi"/>
          <w:color w:val="auto"/>
          <w:lang w:val="en-AU"/>
        </w:rPr>
      </w:pPr>
      <w:r w:rsidRPr="00C03095">
        <w:rPr>
          <w:color w:val="auto"/>
          <w:lang w:val="en-AU"/>
        </w:rPr>
        <w:t>Australia</w:t>
      </w:r>
      <w:r w:rsidR="008223AB" w:rsidRPr="00C03095">
        <w:rPr>
          <w:color w:val="auto"/>
          <w:lang w:val="en-AU"/>
        </w:rPr>
        <w:t xml:space="preserve"> w</w:t>
      </w:r>
      <w:r w:rsidR="00DC4041" w:rsidRPr="00C03095">
        <w:rPr>
          <w:color w:val="auto"/>
          <w:lang w:val="en-AU"/>
        </w:rPr>
        <w:t xml:space="preserve">orked in partnership with </w:t>
      </w:r>
      <w:r w:rsidR="00D649EC" w:rsidRPr="00C03095">
        <w:rPr>
          <w:color w:val="auto"/>
          <w:lang w:val="en-AU"/>
        </w:rPr>
        <w:t xml:space="preserve">the </w:t>
      </w:r>
      <w:r w:rsidR="00DC4041" w:rsidRPr="00C03095">
        <w:rPr>
          <w:color w:val="auto"/>
          <w:lang w:val="en-AU"/>
        </w:rPr>
        <w:t>Bangladesh</w:t>
      </w:r>
      <w:r w:rsidR="00D649EC" w:rsidRPr="00C03095">
        <w:rPr>
          <w:color w:val="auto"/>
          <w:lang w:val="en-AU"/>
        </w:rPr>
        <w:t xml:space="preserve"> Government</w:t>
      </w:r>
      <w:r w:rsidR="00DC4041" w:rsidRPr="00C03095">
        <w:rPr>
          <w:color w:val="auto"/>
          <w:lang w:val="en-AU"/>
        </w:rPr>
        <w:t xml:space="preserve"> to </w:t>
      </w:r>
      <w:r w:rsidR="006713EC" w:rsidRPr="00C03095">
        <w:rPr>
          <w:color w:val="auto"/>
          <w:lang w:val="en-AU"/>
        </w:rPr>
        <w:t xml:space="preserve">build </w:t>
      </w:r>
      <w:r w:rsidR="002E2839" w:rsidRPr="00C03095">
        <w:rPr>
          <w:color w:val="auto"/>
          <w:lang w:val="en-AU"/>
        </w:rPr>
        <w:t xml:space="preserve">capacity and strengthen governance processes for the national social protection system, including training </w:t>
      </w:r>
      <w:r w:rsidR="00E2129C" w:rsidRPr="00C03095">
        <w:rPr>
          <w:color w:val="auto"/>
          <w:lang w:val="en-AU"/>
        </w:rPr>
        <w:t>1</w:t>
      </w:r>
      <w:r w:rsidR="000E7095" w:rsidRPr="00C03095">
        <w:rPr>
          <w:color w:val="auto"/>
          <w:lang w:val="en-AU"/>
        </w:rPr>
        <w:t>,</w:t>
      </w:r>
      <w:r w:rsidR="00E2129C" w:rsidRPr="00C03095">
        <w:rPr>
          <w:color w:val="auto"/>
          <w:lang w:val="en-AU"/>
        </w:rPr>
        <w:t>156 government</w:t>
      </w:r>
      <w:r w:rsidR="002E2839" w:rsidRPr="00C03095">
        <w:rPr>
          <w:color w:val="auto"/>
          <w:lang w:val="en-AU"/>
        </w:rPr>
        <w:t xml:space="preserve"> officials</w:t>
      </w:r>
      <w:r w:rsidR="00E2129C" w:rsidRPr="00C03095">
        <w:rPr>
          <w:color w:val="auto"/>
          <w:lang w:val="en-AU"/>
        </w:rPr>
        <w:t xml:space="preserve"> and members of parliament (of 96 </w:t>
      </w:r>
      <w:r w:rsidR="00E61746" w:rsidRPr="00C03095">
        <w:rPr>
          <w:color w:val="auto"/>
          <w:lang w:val="en-AU"/>
        </w:rPr>
        <w:t xml:space="preserve">participating </w:t>
      </w:r>
      <w:r w:rsidR="00E2129C" w:rsidRPr="00C03095">
        <w:rPr>
          <w:color w:val="auto"/>
          <w:lang w:val="en-AU"/>
        </w:rPr>
        <w:t>MPs, 52</w:t>
      </w:r>
      <w:r w:rsidR="00E61746" w:rsidRPr="00C03095">
        <w:rPr>
          <w:color w:val="auto"/>
          <w:lang w:val="en-AU"/>
        </w:rPr>
        <w:t xml:space="preserve"> per cent</w:t>
      </w:r>
      <w:r w:rsidR="00E2129C" w:rsidRPr="00C03095">
        <w:rPr>
          <w:color w:val="auto"/>
          <w:lang w:val="en-AU"/>
        </w:rPr>
        <w:t xml:space="preserve"> were women). </w:t>
      </w:r>
      <w:r w:rsidR="0037688F" w:rsidRPr="0037688F">
        <w:t xml:space="preserve"> </w:t>
      </w:r>
    </w:p>
    <w:p w14:paraId="41B13505" w14:textId="4D60F473" w:rsidR="00891B77" w:rsidRPr="00891B77" w:rsidRDefault="004227FF" w:rsidP="001E61F6">
      <w:pPr>
        <w:pStyle w:val="ListParagraph"/>
        <w:numPr>
          <w:ilvl w:val="0"/>
          <w:numId w:val="12"/>
        </w:numPr>
        <w:suppressAutoHyphens w:val="0"/>
        <w:spacing w:before="0" w:after="0" w:line="254" w:lineRule="auto"/>
        <w:rPr>
          <w:rFonts w:cstheme="minorHAnsi"/>
          <w:color w:val="auto"/>
          <w:lang w:val="en-AU"/>
        </w:rPr>
      </w:pPr>
      <w:r w:rsidRPr="00C03095">
        <w:rPr>
          <w:color w:val="auto"/>
        </w:rPr>
        <w:t>Australia</w:t>
      </w:r>
      <w:r w:rsidR="00D86466" w:rsidRPr="00C03095">
        <w:rPr>
          <w:color w:val="auto"/>
        </w:rPr>
        <w:t xml:space="preserve"> </w:t>
      </w:r>
      <w:r w:rsidR="009B7D19">
        <w:rPr>
          <w:color w:val="auto"/>
        </w:rPr>
        <w:t>contributed to</w:t>
      </w:r>
      <w:r w:rsidR="008223AB" w:rsidRPr="00C03095">
        <w:rPr>
          <w:color w:val="auto"/>
        </w:rPr>
        <w:t xml:space="preserve"> </w:t>
      </w:r>
      <w:r w:rsidR="008223AB" w:rsidRPr="00C03095">
        <w:rPr>
          <w:color w:val="auto"/>
          <w:lang w:val="en-AU"/>
        </w:rPr>
        <w:t xml:space="preserve">leadership skills </w:t>
      </w:r>
      <w:r w:rsidR="00D649EC" w:rsidRPr="00C03095">
        <w:rPr>
          <w:color w:val="auto"/>
          <w:lang w:val="en-AU"/>
        </w:rPr>
        <w:t xml:space="preserve">and enhanced </w:t>
      </w:r>
      <w:r w:rsidR="008223AB" w:rsidRPr="00C03095">
        <w:rPr>
          <w:color w:val="auto"/>
          <w:lang w:val="en-AU"/>
        </w:rPr>
        <w:t xml:space="preserve">people-to-people links between Australia and Bangladesh </w:t>
      </w:r>
      <w:r w:rsidR="00D86466" w:rsidRPr="00C03095">
        <w:rPr>
          <w:color w:val="auto"/>
          <w:lang w:val="en-AU"/>
        </w:rPr>
        <w:t xml:space="preserve">by supporting </w:t>
      </w:r>
      <w:r w:rsidR="002E2839" w:rsidRPr="00C03095">
        <w:rPr>
          <w:color w:val="auto"/>
          <w:lang w:val="en-AU"/>
        </w:rPr>
        <w:t>50 scholarships (25 to women) under the Australia Awards program.</w:t>
      </w:r>
    </w:p>
    <w:p w14:paraId="464BEA17" w14:textId="77777777" w:rsidR="00977676" w:rsidRPr="00891B77" w:rsidRDefault="0092150F" w:rsidP="001E61F6">
      <w:pPr>
        <w:pStyle w:val="ListParagraph"/>
        <w:numPr>
          <w:ilvl w:val="0"/>
          <w:numId w:val="12"/>
        </w:numPr>
        <w:suppressAutoHyphens w:val="0"/>
        <w:spacing w:before="0" w:after="0" w:line="254" w:lineRule="auto"/>
        <w:rPr>
          <w:rFonts w:cstheme="minorHAnsi"/>
          <w:color w:val="auto"/>
          <w:lang w:val="en-AU"/>
        </w:rPr>
        <w:sectPr w:rsidR="00977676" w:rsidRPr="00891B77" w:rsidSect="00EE0629">
          <w:headerReference w:type="default" r:id="rId16"/>
          <w:footerReference w:type="default" r:id="rId17"/>
          <w:headerReference w:type="first" r:id="rId18"/>
          <w:footerReference w:type="first" r:id="rId19"/>
          <w:type w:val="continuous"/>
          <w:pgSz w:w="11906" w:h="16838" w:code="9"/>
          <w:pgMar w:top="1701" w:right="849" w:bottom="1418" w:left="851" w:header="425" w:footer="493" w:gutter="0"/>
          <w:cols w:num="2" w:space="397"/>
          <w:titlePg/>
          <w:docGrid w:linePitch="360"/>
        </w:sectPr>
      </w:pPr>
      <w:r>
        <w:rPr>
          <w:color w:val="auto"/>
        </w:rPr>
        <w:t>In 2019-20</w:t>
      </w:r>
      <w:r w:rsidR="008223AB" w:rsidRPr="00891B77">
        <w:rPr>
          <w:color w:val="auto"/>
        </w:rPr>
        <w:t xml:space="preserve">, Australia has provided </w:t>
      </w:r>
      <w:r w:rsidR="00D05A80">
        <w:rPr>
          <w:color w:val="auto"/>
        </w:rPr>
        <w:t xml:space="preserve">over $53 million </w:t>
      </w:r>
      <w:r w:rsidR="008223AB" w:rsidRPr="00891B77">
        <w:rPr>
          <w:color w:val="auto"/>
        </w:rPr>
        <w:t>in Bangladesh to</w:t>
      </w:r>
      <w:r w:rsidR="00F15B18" w:rsidRPr="00891B77">
        <w:rPr>
          <w:color w:val="auto"/>
        </w:rPr>
        <w:t xml:space="preserve"> respond to the Rohingya crisis, saving lives and improving resilience.</w:t>
      </w:r>
    </w:p>
    <w:p w14:paraId="6960560F" w14:textId="77777777" w:rsidR="004C5598" w:rsidRPr="001763B0" w:rsidRDefault="00D00153" w:rsidP="004C5598">
      <w:pPr>
        <w:pStyle w:val="Heading2"/>
        <w:spacing w:before="360" w:line="300" w:lineRule="exact"/>
        <w:contextualSpacing w:val="0"/>
        <w:rPr>
          <w:color w:val="auto"/>
          <w:sz w:val="24"/>
          <w:szCs w:val="24"/>
        </w:rPr>
      </w:pPr>
      <w:r w:rsidRPr="001763B0">
        <w:rPr>
          <w:color w:val="auto"/>
        </w:rPr>
        <w:lastRenderedPageBreak/>
        <w:t>P</w:t>
      </w:r>
      <w:r w:rsidR="004C5598" w:rsidRPr="001763B0">
        <w:rPr>
          <w:color w:val="auto"/>
        </w:rPr>
        <w:t>rogress against 2019-20 performance indicators</w:t>
      </w:r>
      <w:r w:rsidR="00C32299" w:rsidRPr="001763B0">
        <w:rPr>
          <w:color w:val="auto"/>
        </w:rPr>
        <w:br/>
      </w:r>
    </w:p>
    <w:tbl>
      <w:tblPr>
        <w:tblStyle w:val="TableGrid"/>
        <w:tblW w:w="10201" w:type="dxa"/>
        <w:tblLook w:val="04A0" w:firstRow="1" w:lastRow="0" w:firstColumn="1" w:lastColumn="0" w:noHBand="0" w:noVBand="1"/>
        <w:tblCaption w:val="Performance Assessment Framework"/>
        <w:tblDescription w:val="This program has three strategic objectives and eight performance benchmark, indicators that are used to measure progress."/>
      </w:tblPr>
      <w:tblGrid>
        <w:gridCol w:w="1980"/>
        <w:gridCol w:w="3969"/>
        <w:gridCol w:w="4252"/>
      </w:tblGrid>
      <w:tr w:rsidR="00602291" w:rsidRPr="00602291" w14:paraId="2EA29944" w14:textId="77777777" w:rsidTr="00067FF0">
        <w:trPr>
          <w:tblHeader/>
        </w:trPr>
        <w:tc>
          <w:tcPr>
            <w:tcW w:w="1980" w:type="dxa"/>
            <w:shd w:val="clear" w:color="auto" w:fill="C1E7E0" w:themeFill="accent1" w:themeFillTint="66"/>
          </w:tcPr>
          <w:p w14:paraId="2FD27842" w14:textId="77777777" w:rsidR="004C5598" w:rsidRPr="001763B0" w:rsidRDefault="004C5598" w:rsidP="00ED68D1">
            <w:pPr>
              <w:pStyle w:val="BodyText"/>
              <w:spacing w:before="40" w:after="40" w:line="240" w:lineRule="auto"/>
              <w:rPr>
                <w:rFonts w:asciiTheme="majorHAnsi" w:eastAsiaTheme="majorEastAsia" w:hAnsiTheme="majorHAnsi" w:cstheme="majorHAnsi"/>
                <w:b/>
                <w:caps/>
                <w:color w:val="auto"/>
                <w:sz w:val="20"/>
                <w:szCs w:val="20"/>
              </w:rPr>
            </w:pPr>
            <w:r w:rsidRPr="001763B0">
              <w:rPr>
                <w:rFonts w:asciiTheme="majorHAnsi" w:eastAsiaTheme="majorEastAsia" w:hAnsiTheme="majorHAnsi" w:cstheme="majorHAnsi"/>
                <w:b/>
                <w:caps/>
                <w:color w:val="auto"/>
                <w:sz w:val="20"/>
                <w:szCs w:val="20"/>
              </w:rPr>
              <w:t>title of strategic OBJECTIVE</w:t>
            </w:r>
          </w:p>
        </w:tc>
        <w:tc>
          <w:tcPr>
            <w:tcW w:w="3969" w:type="dxa"/>
            <w:shd w:val="clear" w:color="auto" w:fill="C1E7E0" w:themeFill="accent1" w:themeFillTint="66"/>
          </w:tcPr>
          <w:p w14:paraId="385C4AA7" w14:textId="77777777" w:rsidR="004C5598" w:rsidRPr="001763B0" w:rsidRDefault="004C5598" w:rsidP="00ED68D1">
            <w:pPr>
              <w:pStyle w:val="BodyText"/>
              <w:spacing w:before="40" w:after="40" w:line="240" w:lineRule="auto"/>
              <w:rPr>
                <w:rFonts w:asciiTheme="majorHAnsi" w:eastAsiaTheme="majorEastAsia" w:hAnsiTheme="majorHAnsi" w:cstheme="majorHAnsi"/>
                <w:b/>
                <w:caps/>
                <w:color w:val="auto"/>
                <w:sz w:val="20"/>
                <w:szCs w:val="20"/>
              </w:rPr>
            </w:pPr>
            <w:r w:rsidRPr="001763B0">
              <w:rPr>
                <w:rFonts w:asciiTheme="majorHAnsi" w:eastAsiaTheme="majorEastAsia" w:hAnsiTheme="majorHAnsi" w:cstheme="majorHAnsi"/>
                <w:b/>
                <w:caps/>
                <w:color w:val="auto"/>
                <w:sz w:val="20"/>
                <w:szCs w:val="20"/>
              </w:rPr>
              <w:t>Performance assessment framework indicator/benchmark</w:t>
            </w:r>
            <w:r w:rsidR="00A72A83" w:rsidRPr="001763B0">
              <w:rPr>
                <w:rFonts w:asciiTheme="majorHAnsi" w:eastAsiaTheme="majorEastAsia" w:hAnsiTheme="majorHAnsi" w:cstheme="majorHAnsi"/>
                <w:b/>
                <w:caps/>
                <w:color w:val="auto"/>
                <w:sz w:val="20"/>
                <w:szCs w:val="20"/>
              </w:rPr>
              <w:t>*</w:t>
            </w:r>
          </w:p>
        </w:tc>
        <w:tc>
          <w:tcPr>
            <w:tcW w:w="4252" w:type="dxa"/>
            <w:shd w:val="clear" w:color="auto" w:fill="C1E7E0" w:themeFill="accent1" w:themeFillTint="66"/>
          </w:tcPr>
          <w:p w14:paraId="47A8B7DE" w14:textId="77777777" w:rsidR="004C5598" w:rsidRPr="001763B0" w:rsidRDefault="004C5598" w:rsidP="001A7ED5">
            <w:pPr>
              <w:pStyle w:val="BodyText"/>
              <w:spacing w:before="40" w:after="40" w:line="240" w:lineRule="auto"/>
              <w:rPr>
                <w:rFonts w:asciiTheme="majorHAnsi" w:eastAsiaTheme="majorEastAsia" w:hAnsiTheme="majorHAnsi" w:cstheme="majorHAnsi"/>
                <w:b/>
                <w:caps/>
                <w:color w:val="auto"/>
                <w:sz w:val="20"/>
                <w:szCs w:val="20"/>
              </w:rPr>
            </w:pPr>
            <w:r w:rsidRPr="001763B0">
              <w:rPr>
                <w:rFonts w:asciiTheme="majorHAnsi" w:eastAsiaTheme="majorEastAsia" w:hAnsiTheme="majorHAnsi" w:cstheme="majorHAnsi"/>
                <w:b/>
                <w:caps/>
                <w:color w:val="auto"/>
                <w:sz w:val="20"/>
                <w:szCs w:val="20"/>
              </w:rPr>
              <w:t>Brief summary of progress against indicator/ben</w:t>
            </w:r>
            <w:r w:rsidR="001A7ED5" w:rsidRPr="001763B0">
              <w:rPr>
                <w:rFonts w:asciiTheme="majorHAnsi" w:eastAsiaTheme="majorEastAsia" w:hAnsiTheme="majorHAnsi" w:cstheme="majorHAnsi"/>
                <w:b/>
                <w:caps/>
                <w:color w:val="auto"/>
                <w:sz w:val="20"/>
                <w:szCs w:val="20"/>
              </w:rPr>
              <w:t>ch</w:t>
            </w:r>
            <w:r w:rsidRPr="001763B0">
              <w:rPr>
                <w:rFonts w:asciiTheme="majorHAnsi" w:eastAsiaTheme="majorEastAsia" w:hAnsiTheme="majorHAnsi" w:cstheme="majorHAnsi"/>
                <w:b/>
                <w:caps/>
                <w:color w:val="auto"/>
                <w:sz w:val="20"/>
                <w:szCs w:val="20"/>
              </w:rPr>
              <w:t>mark</w:t>
            </w:r>
          </w:p>
        </w:tc>
      </w:tr>
      <w:tr w:rsidR="00602291" w:rsidRPr="00602291" w14:paraId="311262A5" w14:textId="77777777" w:rsidTr="00067FF0">
        <w:trPr>
          <w:tblHeader/>
        </w:trPr>
        <w:tc>
          <w:tcPr>
            <w:tcW w:w="1980" w:type="dxa"/>
          </w:tcPr>
          <w:p w14:paraId="2EDE8279" w14:textId="4BDBD22A" w:rsidR="00480546" w:rsidRPr="00C23D75" w:rsidRDefault="00480546" w:rsidP="004A5D93">
            <w:pPr>
              <w:pStyle w:val="BodyText"/>
              <w:spacing w:before="40" w:after="40" w:line="240" w:lineRule="auto"/>
              <w:rPr>
                <w:rFonts w:eastAsiaTheme="majorEastAsia" w:cstheme="minorHAnsi"/>
                <w:caps/>
                <w:color w:val="auto"/>
                <w:sz w:val="20"/>
                <w:szCs w:val="21"/>
              </w:rPr>
            </w:pPr>
            <w:r w:rsidRPr="00C23D75">
              <w:rPr>
                <w:rFonts w:eastAsiaTheme="majorEastAsia" w:cstheme="minorHAnsi"/>
                <w:color w:val="auto"/>
                <w:sz w:val="20"/>
                <w:szCs w:val="21"/>
              </w:rPr>
              <w:t>Objective 1</w:t>
            </w:r>
            <w:r w:rsidR="004A5D93">
              <w:rPr>
                <w:rFonts w:eastAsiaTheme="majorEastAsia" w:cstheme="minorHAnsi"/>
                <w:color w:val="auto"/>
                <w:sz w:val="20"/>
                <w:szCs w:val="21"/>
              </w:rPr>
              <w:t>.</w:t>
            </w:r>
            <w:r w:rsidRPr="00C23D75">
              <w:rPr>
                <w:rFonts w:eastAsiaTheme="majorEastAsia" w:cstheme="minorHAnsi"/>
                <w:color w:val="auto"/>
                <w:sz w:val="20"/>
                <w:szCs w:val="21"/>
              </w:rPr>
              <w:t xml:space="preserve"> Improving education access, equity, efficiency and learning outcomes</w:t>
            </w:r>
          </w:p>
        </w:tc>
        <w:tc>
          <w:tcPr>
            <w:tcW w:w="3969" w:type="dxa"/>
          </w:tcPr>
          <w:p w14:paraId="29401B59" w14:textId="2128B67A" w:rsidR="00480546" w:rsidRPr="00C23D75" w:rsidRDefault="004A5D93" w:rsidP="002A60B1">
            <w:pPr>
              <w:pStyle w:val="BodyText"/>
              <w:spacing w:before="40" w:after="40" w:line="240" w:lineRule="auto"/>
              <w:rPr>
                <w:rFonts w:eastAsiaTheme="majorEastAsia" w:cstheme="minorHAnsi"/>
                <w:color w:val="auto"/>
                <w:sz w:val="20"/>
                <w:szCs w:val="21"/>
              </w:rPr>
            </w:pPr>
            <w:r>
              <w:rPr>
                <w:rFonts w:cstheme="minorHAnsi"/>
                <w:color w:val="auto"/>
                <w:sz w:val="20"/>
                <w:szCs w:val="21"/>
                <w:lang w:val="en-AU"/>
              </w:rPr>
              <w:t xml:space="preserve">1.1 </w:t>
            </w:r>
            <w:r w:rsidR="00A66DAC" w:rsidRPr="00C23D75">
              <w:rPr>
                <w:rFonts w:cstheme="minorHAnsi"/>
                <w:color w:val="auto"/>
                <w:sz w:val="20"/>
                <w:szCs w:val="21"/>
                <w:lang w:val="en-AU"/>
              </w:rPr>
              <w:t>Over 650,000</w:t>
            </w:r>
            <w:r w:rsidR="00BB107F" w:rsidRPr="00C23D75">
              <w:rPr>
                <w:rFonts w:cstheme="minorHAnsi"/>
                <w:color w:val="auto"/>
                <w:sz w:val="20"/>
                <w:szCs w:val="21"/>
                <w:lang w:val="en-AU"/>
              </w:rPr>
              <w:t xml:space="preserve"> children enrolled in BRAC schools and </w:t>
            </w:r>
            <w:r w:rsidR="00A66DAC" w:rsidRPr="00C23D75">
              <w:rPr>
                <w:rFonts w:eastAsiaTheme="majorEastAsia" w:cstheme="minorHAnsi"/>
                <w:color w:val="auto"/>
                <w:sz w:val="20"/>
                <w:szCs w:val="21"/>
              </w:rPr>
              <w:t>475,514</w:t>
            </w:r>
            <w:r w:rsidR="00733F9B" w:rsidRPr="00C23D75">
              <w:rPr>
                <w:rFonts w:eastAsiaTheme="majorEastAsia" w:cstheme="minorHAnsi"/>
                <w:color w:val="auto"/>
                <w:sz w:val="20"/>
                <w:szCs w:val="21"/>
              </w:rPr>
              <w:t xml:space="preserve"> </w:t>
            </w:r>
            <w:r w:rsidR="00480546" w:rsidRPr="00C23D75">
              <w:rPr>
                <w:rFonts w:eastAsiaTheme="majorEastAsia" w:cstheme="minorHAnsi"/>
                <w:color w:val="auto"/>
                <w:sz w:val="20"/>
                <w:szCs w:val="21"/>
              </w:rPr>
              <w:t xml:space="preserve">children completing a </w:t>
            </w:r>
            <w:r w:rsidR="00622002" w:rsidRPr="00C23D75">
              <w:rPr>
                <w:rFonts w:eastAsiaTheme="majorEastAsia" w:cstheme="minorHAnsi"/>
                <w:color w:val="auto"/>
                <w:sz w:val="20"/>
                <w:szCs w:val="21"/>
              </w:rPr>
              <w:t xml:space="preserve">BRAC </w:t>
            </w:r>
            <w:r w:rsidR="00480546" w:rsidRPr="00C23D75">
              <w:rPr>
                <w:rFonts w:eastAsiaTheme="majorEastAsia" w:cstheme="minorHAnsi"/>
                <w:color w:val="auto"/>
                <w:sz w:val="20"/>
                <w:szCs w:val="21"/>
              </w:rPr>
              <w:t>course of primary or pre-primary education</w:t>
            </w:r>
            <w:r w:rsidR="00044EAA" w:rsidRPr="00C23D75">
              <w:rPr>
                <w:rFonts w:eastAsiaTheme="majorEastAsia" w:cstheme="minorHAnsi"/>
                <w:color w:val="auto"/>
                <w:sz w:val="20"/>
                <w:szCs w:val="21"/>
              </w:rPr>
              <w:t>. Fifty</w:t>
            </w:r>
            <w:r w:rsidR="00E61746" w:rsidRPr="00C23D75">
              <w:rPr>
                <w:rFonts w:eastAsiaTheme="majorEastAsia" w:cstheme="minorHAnsi"/>
                <w:color w:val="auto"/>
                <w:sz w:val="20"/>
                <w:szCs w:val="21"/>
              </w:rPr>
              <w:t xml:space="preserve"> per cent</w:t>
            </w:r>
            <w:r w:rsidR="00480546" w:rsidRPr="00C23D75">
              <w:rPr>
                <w:rFonts w:eastAsiaTheme="majorEastAsia" w:cstheme="minorHAnsi"/>
                <w:color w:val="auto"/>
                <w:sz w:val="20"/>
                <w:szCs w:val="21"/>
              </w:rPr>
              <w:t xml:space="preserve"> </w:t>
            </w:r>
            <w:r w:rsidR="00E61746" w:rsidRPr="00C23D75">
              <w:rPr>
                <w:rFonts w:eastAsiaTheme="majorEastAsia" w:cstheme="minorHAnsi"/>
                <w:color w:val="auto"/>
                <w:sz w:val="20"/>
                <w:szCs w:val="21"/>
              </w:rPr>
              <w:t xml:space="preserve">of each group to be </w:t>
            </w:r>
            <w:r w:rsidR="00480546" w:rsidRPr="00C23D75">
              <w:rPr>
                <w:rFonts w:eastAsiaTheme="majorEastAsia" w:cstheme="minorHAnsi"/>
                <w:color w:val="auto"/>
                <w:sz w:val="20"/>
                <w:szCs w:val="21"/>
              </w:rPr>
              <w:t>girls</w:t>
            </w:r>
            <w:r w:rsidR="00BB107F" w:rsidRPr="00C23D75">
              <w:rPr>
                <w:rFonts w:eastAsiaTheme="majorEastAsia" w:cstheme="minorHAnsi"/>
                <w:color w:val="auto"/>
                <w:sz w:val="20"/>
                <w:szCs w:val="21"/>
              </w:rPr>
              <w:t>.</w:t>
            </w:r>
            <w:r w:rsidR="00480546" w:rsidRPr="00C23D75">
              <w:rPr>
                <w:rFonts w:eastAsiaTheme="majorEastAsia" w:cstheme="minorHAnsi"/>
                <w:color w:val="auto"/>
                <w:sz w:val="20"/>
                <w:szCs w:val="21"/>
              </w:rPr>
              <w:t xml:space="preserve">  </w:t>
            </w:r>
          </w:p>
        </w:tc>
        <w:tc>
          <w:tcPr>
            <w:tcW w:w="4252" w:type="dxa"/>
          </w:tcPr>
          <w:p w14:paraId="1B65F270" w14:textId="41BD4BF9" w:rsidR="00480546" w:rsidRPr="00C23D75" w:rsidRDefault="004A5D93" w:rsidP="00A66DAC">
            <w:pPr>
              <w:pStyle w:val="BodyText"/>
              <w:spacing w:before="40" w:after="40" w:line="240" w:lineRule="auto"/>
              <w:rPr>
                <w:rFonts w:eastAsiaTheme="majorEastAsia" w:cstheme="minorHAnsi"/>
                <w:caps/>
                <w:color w:val="auto"/>
                <w:sz w:val="20"/>
                <w:szCs w:val="21"/>
              </w:rPr>
            </w:pPr>
            <w:r>
              <w:rPr>
                <w:rFonts w:eastAsiaTheme="majorEastAsia" w:cstheme="minorHAnsi"/>
                <w:color w:val="auto"/>
                <w:sz w:val="20"/>
                <w:szCs w:val="21"/>
              </w:rPr>
              <w:t xml:space="preserve">~ </w:t>
            </w:r>
            <w:r w:rsidR="00BB107F" w:rsidRPr="00C23D75">
              <w:rPr>
                <w:rFonts w:eastAsiaTheme="majorEastAsia" w:cstheme="minorHAnsi"/>
                <w:color w:val="auto"/>
                <w:sz w:val="20"/>
                <w:szCs w:val="21"/>
              </w:rPr>
              <w:t>710,160 children were enro</w:t>
            </w:r>
            <w:r w:rsidR="00774A61" w:rsidRPr="00C23D75">
              <w:rPr>
                <w:rFonts w:eastAsiaTheme="majorEastAsia" w:cstheme="minorHAnsi"/>
                <w:color w:val="auto"/>
                <w:sz w:val="20"/>
                <w:szCs w:val="21"/>
              </w:rPr>
              <w:t>lled in BRAC</w:t>
            </w:r>
            <w:r w:rsidR="00774A61" w:rsidRPr="00C23D75">
              <w:rPr>
                <w:rFonts w:cstheme="minorHAnsi"/>
                <w:color w:val="auto"/>
                <w:sz w:val="20"/>
                <w:szCs w:val="21"/>
                <w:lang w:val="en-AU"/>
              </w:rPr>
              <w:t xml:space="preserve"> schools (girls 53</w:t>
            </w:r>
            <w:r w:rsidR="00E61746" w:rsidRPr="00C23D75">
              <w:rPr>
                <w:rFonts w:cstheme="minorHAnsi"/>
                <w:color w:val="auto"/>
                <w:sz w:val="20"/>
                <w:szCs w:val="21"/>
                <w:lang w:val="en-AU"/>
              </w:rPr>
              <w:t xml:space="preserve"> per cent</w:t>
            </w:r>
            <w:r w:rsidR="00BB107F" w:rsidRPr="00C23D75">
              <w:rPr>
                <w:rFonts w:cstheme="minorHAnsi"/>
                <w:color w:val="auto"/>
                <w:sz w:val="20"/>
                <w:szCs w:val="21"/>
                <w:lang w:val="en-AU"/>
              </w:rPr>
              <w:t>) and 50</w:t>
            </w:r>
            <w:r w:rsidR="00F55D98" w:rsidRPr="00C23D75">
              <w:rPr>
                <w:rFonts w:cstheme="minorHAnsi"/>
                <w:color w:val="auto"/>
                <w:sz w:val="20"/>
                <w:szCs w:val="21"/>
                <w:lang w:val="en-AU"/>
              </w:rPr>
              <w:t xml:space="preserve">1,948 students </w:t>
            </w:r>
            <w:r w:rsidR="00BB107F" w:rsidRPr="00C23D75">
              <w:rPr>
                <w:rFonts w:cstheme="minorHAnsi"/>
                <w:color w:val="auto"/>
                <w:sz w:val="20"/>
                <w:szCs w:val="21"/>
                <w:lang w:val="en-AU"/>
              </w:rPr>
              <w:t xml:space="preserve">graduated </w:t>
            </w:r>
            <w:r w:rsidR="00A66DAC" w:rsidRPr="00C23D75">
              <w:rPr>
                <w:rFonts w:cstheme="minorHAnsi"/>
                <w:color w:val="auto"/>
                <w:sz w:val="20"/>
                <w:szCs w:val="21"/>
                <w:lang w:val="en-AU"/>
              </w:rPr>
              <w:t xml:space="preserve">primary and pre-primary </w:t>
            </w:r>
            <w:r w:rsidR="00BB107F" w:rsidRPr="00C23D75">
              <w:rPr>
                <w:rFonts w:cstheme="minorHAnsi"/>
                <w:color w:val="auto"/>
                <w:sz w:val="20"/>
                <w:szCs w:val="21"/>
                <w:lang w:val="en-AU"/>
              </w:rPr>
              <w:t>education (girls 53</w:t>
            </w:r>
            <w:r w:rsidR="00044EAA" w:rsidRPr="00C23D75">
              <w:rPr>
                <w:rFonts w:cstheme="minorHAnsi"/>
                <w:color w:val="auto"/>
                <w:sz w:val="20"/>
                <w:szCs w:val="21"/>
                <w:lang w:val="en-AU"/>
              </w:rPr>
              <w:t xml:space="preserve"> </w:t>
            </w:r>
            <w:r w:rsidR="00E61746" w:rsidRPr="00C23D75">
              <w:rPr>
                <w:rFonts w:cstheme="minorHAnsi"/>
                <w:color w:val="auto"/>
                <w:sz w:val="20"/>
                <w:szCs w:val="21"/>
                <w:lang w:val="en-AU"/>
              </w:rPr>
              <w:t>per cent</w:t>
            </w:r>
            <w:r w:rsidR="00BB107F" w:rsidRPr="00C23D75">
              <w:rPr>
                <w:rFonts w:cstheme="minorHAnsi"/>
                <w:color w:val="auto"/>
                <w:sz w:val="20"/>
                <w:szCs w:val="21"/>
                <w:lang w:val="en-AU"/>
              </w:rPr>
              <w:t>).</w:t>
            </w:r>
          </w:p>
        </w:tc>
      </w:tr>
      <w:tr w:rsidR="00F55D98" w:rsidRPr="00274483" w14:paraId="5CA3DB16" w14:textId="77777777" w:rsidTr="00067FF0">
        <w:trPr>
          <w:tblHeader/>
        </w:trPr>
        <w:tc>
          <w:tcPr>
            <w:tcW w:w="1980" w:type="dxa"/>
          </w:tcPr>
          <w:p w14:paraId="295F1102" w14:textId="3D35F5AC" w:rsidR="00F55D98" w:rsidRPr="00C23D75" w:rsidRDefault="00F55D98" w:rsidP="001A7ED5">
            <w:pPr>
              <w:pStyle w:val="BodyText"/>
              <w:spacing w:before="40" w:after="40" w:line="240" w:lineRule="auto"/>
              <w:rPr>
                <w:rFonts w:eastAsiaTheme="majorEastAsia" w:cstheme="minorHAnsi"/>
                <w:color w:val="auto"/>
                <w:sz w:val="20"/>
                <w:szCs w:val="21"/>
              </w:rPr>
            </w:pPr>
            <w:r w:rsidRPr="00C23D75">
              <w:rPr>
                <w:rFonts w:eastAsiaTheme="majorEastAsia" w:cstheme="minorHAnsi"/>
                <w:color w:val="auto"/>
                <w:sz w:val="20"/>
                <w:szCs w:val="21"/>
              </w:rPr>
              <w:t>Objective 2</w:t>
            </w:r>
            <w:r w:rsidR="004A5D93">
              <w:rPr>
                <w:rFonts w:eastAsiaTheme="majorEastAsia" w:cstheme="minorHAnsi"/>
                <w:color w:val="auto"/>
                <w:sz w:val="20"/>
                <w:szCs w:val="21"/>
              </w:rPr>
              <w:t>.</w:t>
            </w:r>
            <w:r w:rsidRPr="00C23D75">
              <w:rPr>
                <w:rFonts w:eastAsiaTheme="majorEastAsia" w:cstheme="minorHAnsi"/>
                <w:color w:val="auto"/>
                <w:sz w:val="20"/>
                <w:szCs w:val="21"/>
              </w:rPr>
              <w:t xml:space="preserve"> </w:t>
            </w:r>
          </w:p>
          <w:p w14:paraId="3F1C54FD" w14:textId="77777777" w:rsidR="00F55D98" w:rsidRPr="00C23D75" w:rsidRDefault="00F55D98" w:rsidP="001A7ED5">
            <w:pPr>
              <w:pStyle w:val="BodyText"/>
              <w:spacing w:before="40" w:after="40" w:line="240" w:lineRule="auto"/>
              <w:rPr>
                <w:rFonts w:eastAsiaTheme="majorEastAsia" w:cstheme="minorHAnsi"/>
                <w:color w:val="auto"/>
                <w:sz w:val="20"/>
                <w:szCs w:val="21"/>
              </w:rPr>
            </w:pPr>
            <w:r w:rsidRPr="00C23D75">
              <w:rPr>
                <w:rFonts w:eastAsiaTheme="majorEastAsia" w:cstheme="minorHAnsi"/>
                <w:color w:val="auto"/>
                <w:sz w:val="20"/>
                <w:szCs w:val="21"/>
              </w:rPr>
              <w:t>Building resilience by reducing vulnerability and improving inclusion in the growing economy</w:t>
            </w:r>
          </w:p>
        </w:tc>
        <w:tc>
          <w:tcPr>
            <w:tcW w:w="3969" w:type="dxa"/>
          </w:tcPr>
          <w:p w14:paraId="0C168170" w14:textId="77777777" w:rsidR="00F55D98" w:rsidRDefault="004A5D93" w:rsidP="00A66DAC">
            <w:pPr>
              <w:pStyle w:val="BodyText"/>
              <w:spacing w:before="40" w:after="40" w:line="240" w:lineRule="auto"/>
              <w:rPr>
                <w:rFonts w:eastAsiaTheme="majorEastAsia" w:cstheme="minorHAnsi"/>
                <w:color w:val="auto"/>
                <w:sz w:val="20"/>
                <w:szCs w:val="21"/>
              </w:rPr>
            </w:pPr>
            <w:r>
              <w:rPr>
                <w:rFonts w:eastAsiaTheme="majorEastAsia" w:cstheme="minorHAnsi"/>
                <w:color w:val="auto"/>
                <w:sz w:val="20"/>
                <w:szCs w:val="21"/>
              </w:rPr>
              <w:t xml:space="preserve">2.1 </w:t>
            </w:r>
            <w:r w:rsidR="00A66DAC" w:rsidRPr="00C23D75">
              <w:rPr>
                <w:rFonts w:eastAsiaTheme="majorEastAsia" w:cstheme="minorHAnsi"/>
                <w:color w:val="auto"/>
                <w:sz w:val="20"/>
                <w:szCs w:val="21"/>
              </w:rPr>
              <w:t>90,000</w:t>
            </w:r>
            <w:r w:rsidR="00F55D98" w:rsidRPr="00C23D75">
              <w:rPr>
                <w:rFonts w:eastAsiaTheme="majorEastAsia" w:cstheme="minorHAnsi"/>
                <w:color w:val="auto"/>
                <w:sz w:val="20"/>
                <w:szCs w:val="21"/>
              </w:rPr>
              <w:t xml:space="preserve"> women and their households graduating from our partners’ livelihood</w:t>
            </w:r>
            <w:r w:rsidR="00D56902" w:rsidRPr="00C23D75">
              <w:rPr>
                <w:rFonts w:eastAsiaTheme="majorEastAsia" w:cstheme="minorHAnsi"/>
                <w:color w:val="auto"/>
                <w:sz w:val="20"/>
                <w:szCs w:val="21"/>
              </w:rPr>
              <w:t>s</w:t>
            </w:r>
            <w:r w:rsidR="00F55D98" w:rsidRPr="00C23D75">
              <w:rPr>
                <w:rFonts w:eastAsiaTheme="majorEastAsia" w:cstheme="minorHAnsi"/>
                <w:color w:val="auto"/>
                <w:sz w:val="20"/>
                <w:szCs w:val="21"/>
              </w:rPr>
              <w:t xml:space="preserve"> programs.</w:t>
            </w:r>
          </w:p>
          <w:p w14:paraId="328FECC7" w14:textId="77777777" w:rsidR="004A5D93" w:rsidRDefault="004A5D93" w:rsidP="00A66DAC">
            <w:pPr>
              <w:pStyle w:val="BodyText"/>
              <w:spacing w:before="40" w:after="40" w:line="240" w:lineRule="auto"/>
              <w:rPr>
                <w:rFonts w:eastAsiaTheme="majorEastAsia" w:cstheme="minorHAnsi"/>
                <w:color w:val="auto"/>
                <w:sz w:val="20"/>
                <w:szCs w:val="21"/>
              </w:rPr>
            </w:pPr>
            <w:r>
              <w:rPr>
                <w:rFonts w:eastAsiaTheme="majorEastAsia" w:cstheme="minorHAnsi"/>
                <w:color w:val="auto"/>
                <w:sz w:val="20"/>
                <w:szCs w:val="21"/>
              </w:rPr>
              <w:t xml:space="preserve">2.2 </w:t>
            </w:r>
            <w:r w:rsidRPr="00C23D75">
              <w:rPr>
                <w:rFonts w:eastAsiaTheme="majorEastAsia" w:cstheme="minorHAnsi"/>
                <w:color w:val="auto"/>
                <w:sz w:val="20"/>
                <w:szCs w:val="21"/>
              </w:rPr>
              <w:t>1,387,000 beneficiaries (50 per cent girls) of the BRAC Adolescent Development Program and Multi-purpose Community Learning Centre</w:t>
            </w:r>
            <w:r>
              <w:rPr>
                <w:rFonts w:eastAsiaTheme="majorEastAsia" w:cstheme="minorHAnsi"/>
                <w:color w:val="auto"/>
                <w:sz w:val="20"/>
                <w:szCs w:val="21"/>
              </w:rPr>
              <w:t>.</w:t>
            </w:r>
          </w:p>
          <w:p w14:paraId="3CF550E4" w14:textId="72EB1915" w:rsidR="004A5D93" w:rsidRPr="00C23D75" w:rsidRDefault="004A5D93" w:rsidP="00A66DAC">
            <w:pPr>
              <w:pStyle w:val="BodyText"/>
              <w:spacing w:before="40" w:after="40" w:line="240" w:lineRule="auto"/>
              <w:rPr>
                <w:rFonts w:eastAsiaTheme="majorEastAsia" w:cstheme="minorHAnsi"/>
                <w:color w:val="auto"/>
                <w:sz w:val="20"/>
                <w:szCs w:val="21"/>
              </w:rPr>
            </w:pPr>
            <w:r>
              <w:rPr>
                <w:rFonts w:eastAsiaTheme="majorEastAsia" w:cstheme="minorHAnsi"/>
                <w:color w:val="auto"/>
                <w:sz w:val="20"/>
                <w:szCs w:val="21"/>
              </w:rPr>
              <w:t xml:space="preserve">2.3 </w:t>
            </w:r>
            <w:r w:rsidRPr="00C23D75" w:rsidDel="008F5F87">
              <w:rPr>
                <w:rFonts w:eastAsiaTheme="majorEastAsia" w:cstheme="minorHAnsi"/>
                <w:color w:val="auto"/>
                <w:sz w:val="20"/>
                <w:szCs w:val="21"/>
              </w:rPr>
              <w:t>141,102 women and their households able to access social transfers</w:t>
            </w:r>
            <w:r w:rsidRPr="00C23D75">
              <w:rPr>
                <w:rFonts w:eastAsiaTheme="majorEastAsia" w:cstheme="minorHAnsi"/>
                <w:color w:val="auto"/>
                <w:sz w:val="20"/>
                <w:szCs w:val="21"/>
              </w:rPr>
              <w:t>.</w:t>
            </w:r>
          </w:p>
        </w:tc>
        <w:tc>
          <w:tcPr>
            <w:tcW w:w="4252" w:type="dxa"/>
          </w:tcPr>
          <w:p w14:paraId="2A2D12A5" w14:textId="0079F62A" w:rsidR="00F55D98" w:rsidRDefault="004A5D93" w:rsidP="001A7ED5">
            <w:pPr>
              <w:pStyle w:val="BodyText"/>
              <w:spacing w:before="40" w:after="40" w:line="240" w:lineRule="auto"/>
              <w:rPr>
                <w:rFonts w:eastAsiaTheme="majorEastAsia" w:cstheme="minorHAnsi"/>
                <w:color w:val="auto"/>
                <w:sz w:val="20"/>
                <w:szCs w:val="21"/>
              </w:rPr>
            </w:pPr>
            <w:r>
              <w:rPr>
                <w:rFonts w:eastAsiaTheme="majorEastAsia" w:cstheme="minorHAnsi"/>
                <w:caps/>
                <w:color w:val="auto"/>
                <w:sz w:val="20"/>
                <w:szCs w:val="21"/>
              </w:rPr>
              <w:t xml:space="preserve">~ </w:t>
            </w:r>
            <w:r w:rsidR="00F55D98" w:rsidRPr="00C23D75">
              <w:rPr>
                <w:rFonts w:eastAsiaTheme="majorEastAsia" w:cstheme="minorHAnsi"/>
                <w:caps/>
                <w:color w:val="auto"/>
                <w:sz w:val="20"/>
                <w:szCs w:val="21"/>
              </w:rPr>
              <w:t xml:space="preserve">111,526 </w:t>
            </w:r>
            <w:r w:rsidR="00F55D98" w:rsidRPr="00C23D75">
              <w:rPr>
                <w:rFonts w:eastAsiaTheme="majorEastAsia" w:cstheme="minorHAnsi"/>
                <w:color w:val="auto"/>
                <w:sz w:val="20"/>
                <w:szCs w:val="21"/>
              </w:rPr>
              <w:t>households graduated from BRAC</w:t>
            </w:r>
            <w:r w:rsidR="00F55D98" w:rsidRPr="00C23D75">
              <w:rPr>
                <w:rFonts w:eastAsiaTheme="majorEastAsia" w:cstheme="minorHAnsi"/>
                <w:caps/>
                <w:color w:val="auto"/>
                <w:sz w:val="20"/>
                <w:szCs w:val="21"/>
              </w:rPr>
              <w:t>’</w:t>
            </w:r>
            <w:r w:rsidR="00F55D98" w:rsidRPr="00C23D75">
              <w:rPr>
                <w:rFonts w:eastAsiaTheme="majorEastAsia" w:cstheme="minorHAnsi"/>
                <w:color w:val="auto"/>
                <w:sz w:val="20"/>
                <w:szCs w:val="21"/>
              </w:rPr>
              <w:t>s Ultra Poverty Graduation program. In Cox’s Bazar, 20,000 host community women graduated through WFP’s Enhancing Food Security and Nutrition project.</w:t>
            </w:r>
          </w:p>
          <w:p w14:paraId="2A0A0745" w14:textId="457EBF19" w:rsidR="004A5D93" w:rsidRDefault="004A5D93" w:rsidP="004A5D93">
            <w:pPr>
              <w:spacing w:before="40" w:after="40"/>
              <w:rPr>
                <w:rFonts w:eastAsiaTheme="majorEastAsia" w:cstheme="minorHAnsi"/>
                <w:color w:val="auto"/>
                <w:sz w:val="20"/>
                <w:szCs w:val="21"/>
              </w:rPr>
            </w:pPr>
            <w:r>
              <w:rPr>
                <w:rFonts w:eastAsia="Times New Roman" w:cstheme="minorHAnsi"/>
                <w:color w:val="auto"/>
                <w:sz w:val="20"/>
                <w:szCs w:val="21"/>
              </w:rPr>
              <w:t xml:space="preserve">~ </w:t>
            </w:r>
            <w:r w:rsidRPr="00C23D75">
              <w:rPr>
                <w:rFonts w:eastAsia="Times New Roman" w:cstheme="minorHAnsi"/>
                <w:color w:val="auto"/>
                <w:sz w:val="20"/>
                <w:szCs w:val="21"/>
              </w:rPr>
              <w:t>1,398,152 people benefited (55 per cent women and girls) from the BRAC Adolescent Development Program and Multi-purpose Community Learning Centre i</w:t>
            </w:r>
            <w:r w:rsidRPr="00C23D75" w:rsidDel="008F5F87">
              <w:rPr>
                <w:rFonts w:eastAsia="Times New Roman" w:cstheme="minorHAnsi"/>
                <w:color w:val="auto"/>
                <w:sz w:val="20"/>
                <w:szCs w:val="21"/>
              </w:rPr>
              <w:t>n 2019</w:t>
            </w:r>
            <w:r w:rsidRPr="00C23D75">
              <w:rPr>
                <w:rFonts w:eastAsiaTheme="majorEastAsia" w:cstheme="minorHAnsi"/>
                <w:color w:val="auto"/>
                <w:sz w:val="20"/>
                <w:szCs w:val="21"/>
              </w:rPr>
              <w:t>.</w:t>
            </w:r>
            <w:r w:rsidRPr="00C23D75" w:rsidDel="008F5F87">
              <w:rPr>
                <w:rFonts w:eastAsiaTheme="majorEastAsia" w:cstheme="minorHAnsi"/>
                <w:color w:val="auto"/>
                <w:sz w:val="20"/>
                <w:szCs w:val="21"/>
              </w:rPr>
              <w:t xml:space="preserve"> </w:t>
            </w:r>
          </w:p>
          <w:p w14:paraId="1E31194A" w14:textId="28C445C0" w:rsidR="00F55D98" w:rsidRPr="00C23D75" w:rsidRDefault="004A5D93" w:rsidP="004A5D93">
            <w:pPr>
              <w:spacing w:before="40" w:after="40"/>
              <w:rPr>
                <w:rFonts w:eastAsiaTheme="majorEastAsia" w:cstheme="minorHAnsi"/>
                <w:caps/>
                <w:color w:val="auto"/>
                <w:sz w:val="20"/>
                <w:szCs w:val="21"/>
              </w:rPr>
            </w:pPr>
            <w:r>
              <w:rPr>
                <w:rFonts w:eastAsia="Times New Roman" w:cstheme="minorHAnsi"/>
                <w:color w:val="auto"/>
                <w:sz w:val="20"/>
                <w:szCs w:val="21"/>
              </w:rPr>
              <w:t xml:space="preserve">~ </w:t>
            </w:r>
            <w:r w:rsidRPr="00C23D75" w:rsidDel="008F5F87">
              <w:rPr>
                <w:rFonts w:eastAsia="Times New Roman" w:cstheme="minorHAnsi"/>
                <w:color w:val="auto"/>
                <w:sz w:val="20"/>
                <w:szCs w:val="21"/>
              </w:rPr>
              <w:t xml:space="preserve">100,000 host community households in </w:t>
            </w:r>
            <w:r w:rsidRPr="00C23D75">
              <w:rPr>
                <w:rFonts w:eastAsia="Times New Roman" w:cstheme="minorHAnsi"/>
                <w:color w:val="auto"/>
                <w:sz w:val="20"/>
                <w:szCs w:val="21"/>
              </w:rPr>
              <w:t>Cox’s Bazar</w:t>
            </w:r>
            <w:r w:rsidRPr="00C23D75" w:rsidDel="008F5F87">
              <w:rPr>
                <w:rFonts w:eastAsia="Times New Roman" w:cstheme="minorHAnsi"/>
                <w:color w:val="auto"/>
                <w:sz w:val="20"/>
                <w:szCs w:val="21"/>
              </w:rPr>
              <w:t xml:space="preserve"> </w:t>
            </w:r>
            <w:r w:rsidRPr="00C23D75">
              <w:rPr>
                <w:rFonts w:eastAsia="Times New Roman" w:cstheme="minorHAnsi"/>
                <w:color w:val="auto"/>
                <w:sz w:val="20"/>
                <w:szCs w:val="21"/>
              </w:rPr>
              <w:t xml:space="preserve">provided with income </w:t>
            </w:r>
            <w:r w:rsidRPr="00C23D75" w:rsidDel="008F5F87">
              <w:rPr>
                <w:rFonts w:eastAsia="Times New Roman" w:cstheme="minorHAnsi"/>
                <w:color w:val="auto"/>
                <w:sz w:val="20"/>
                <w:szCs w:val="21"/>
              </w:rPr>
              <w:t>and food support</w:t>
            </w:r>
            <w:r w:rsidRPr="00C23D75">
              <w:rPr>
                <w:rFonts w:eastAsia="Times New Roman" w:cstheme="minorHAnsi"/>
                <w:color w:val="auto"/>
                <w:sz w:val="20"/>
                <w:szCs w:val="21"/>
              </w:rPr>
              <w:t>.</w:t>
            </w:r>
          </w:p>
        </w:tc>
      </w:tr>
      <w:tr w:rsidR="00F55D98" w:rsidRPr="00274483" w14:paraId="54EE8698" w14:textId="77777777" w:rsidTr="00067FF0">
        <w:trPr>
          <w:tblHeader/>
        </w:trPr>
        <w:tc>
          <w:tcPr>
            <w:tcW w:w="1980" w:type="dxa"/>
          </w:tcPr>
          <w:p w14:paraId="7347074C" w14:textId="1E4C891F" w:rsidR="00F55D98" w:rsidRPr="00C23D75" w:rsidRDefault="00F55D98" w:rsidP="004A5D93">
            <w:pPr>
              <w:pStyle w:val="BodyText"/>
              <w:spacing w:before="40" w:after="40" w:line="240" w:lineRule="auto"/>
              <w:rPr>
                <w:rFonts w:eastAsiaTheme="majorEastAsia" w:cstheme="minorHAnsi"/>
                <w:color w:val="auto"/>
                <w:sz w:val="20"/>
                <w:szCs w:val="21"/>
              </w:rPr>
            </w:pPr>
            <w:r w:rsidRPr="00C23D75">
              <w:rPr>
                <w:rFonts w:eastAsiaTheme="majorEastAsia" w:cstheme="minorHAnsi"/>
                <w:color w:val="auto"/>
                <w:sz w:val="20"/>
                <w:szCs w:val="21"/>
              </w:rPr>
              <w:t>Objective 3</w:t>
            </w:r>
            <w:r w:rsidR="004A5D93">
              <w:rPr>
                <w:rFonts w:eastAsiaTheme="majorEastAsia" w:cstheme="minorHAnsi"/>
                <w:color w:val="auto"/>
                <w:sz w:val="20"/>
                <w:szCs w:val="21"/>
              </w:rPr>
              <w:t>.</w:t>
            </w:r>
            <w:r w:rsidRPr="00C23D75">
              <w:rPr>
                <w:rFonts w:eastAsiaTheme="majorEastAsia" w:cstheme="minorHAnsi"/>
                <w:color w:val="auto"/>
                <w:sz w:val="20"/>
                <w:szCs w:val="21"/>
              </w:rPr>
              <w:t xml:space="preserve"> Supporting the Bangladesh Government</w:t>
            </w:r>
            <w:r w:rsidR="0009421F" w:rsidRPr="00C23D75">
              <w:rPr>
                <w:rFonts w:eastAsiaTheme="majorEastAsia" w:cstheme="minorHAnsi"/>
                <w:color w:val="auto"/>
                <w:sz w:val="20"/>
                <w:szCs w:val="21"/>
              </w:rPr>
              <w:t>’s</w:t>
            </w:r>
            <w:r w:rsidRPr="00C23D75">
              <w:rPr>
                <w:rFonts w:eastAsiaTheme="majorEastAsia" w:cstheme="minorHAnsi"/>
                <w:color w:val="auto"/>
                <w:sz w:val="20"/>
                <w:szCs w:val="21"/>
              </w:rPr>
              <w:t xml:space="preserve"> respon</w:t>
            </w:r>
            <w:r w:rsidR="0009421F" w:rsidRPr="00C23D75">
              <w:rPr>
                <w:rFonts w:eastAsiaTheme="majorEastAsia" w:cstheme="minorHAnsi"/>
                <w:color w:val="auto"/>
                <w:sz w:val="20"/>
                <w:szCs w:val="21"/>
              </w:rPr>
              <w:t>se</w:t>
            </w:r>
            <w:r w:rsidRPr="00C23D75">
              <w:rPr>
                <w:rFonts w:eastAsiaTheme="majorEastAsia" w:cstheme="minorHAnsi"/>
                <w:color w:val="auto"/>
                <w:sz w:val="20"/>
                <w:szCs w:val="21"/>
              </w:rPr>
              <w:t xml:space="preserve"> to the Rohingya humanitarian crisis</w:t>
            </w:r>
          </w:p>
        </w:tc>
        <w:tc>
          <w:tcPr>
            <w:tcW w:w="3969" w:type="dxa"/>
          </w:tcPr>
          <w:p w14:paraId="06EFDFAE" w14:textId="740A6869" w:rsidR="00F55D98" w:rsidRDefault="004A5D93" w:rsidP="00F55D98">
            <w:pPr>
              <w:pStyle w:val="BodyText"/>
              <w:spacing w:before="40" w:after="40" w:line="240" w:lineRule="auto"/>
              <w:rPr>
                <w:rFonts w:eastAsiaTheme="majorEastAsia" w:cstheme="minorHAnsi"/>
                <w:color w:val="auto"/>
                <w:sz w:val="20"/>
                <w:szCs w:val="21"/>
              </w:rPr>
            </w:pPr>
            <w:r>
              <w:rPr>
                <w:rFonts w:eastAsiaTheme="majorEastAsia" w:cstheme="minorHAnsi"/>
                <w:color w:val="auto"/>
                <w:sz w:val="20"/>
                <w:szCs w:val="21"/>
              </w:rPr>
              <w:t xml:space="preserve">3.1 </w:t>
            </w:r>
            <w:r w:rsidR="00F55D98" w:rsidRPr="00C23D75">
              <w:rPr>
                <w:rFonts w:eastAsiaTheme="majorEastAsia" w:cstheme="minorHAnsi"/>
                <w:color w:val="auto"/>
                <w:sz w:val="20"/>
                <w:szCs w:val="21"/>
              </w:rPr>
              <w:t>An estimated 1,242,442 eligible people received food, health and shelter services in Cox’s Bazar.</w:t>
            </w:r>
          </w:p>
          <w:p w14:paraId="4E5477C2" w14:textId="0D491CF9" w:rsidR="004A5D93" w:rsidRDefault="004A5D93" w:rsidP="00F55D98">
            <w:pPr>
              <w:pStyle w:val="BodyText"/>
              <w:spacing w:before="40" w:after="40" w:line="240" w:lineRule="auto"/>
              <w:rPr>
                <w:rFonts w:eastAsiaTheme="majorEastAsia" w:cstheme="minorHAnsi"/>
                <w:color w:val="auto"/>
                <w:sz w:val="20"/>
                <w:szCs w:val="21"/>
              </w:rPr>
            </w:pPr>
            <w:r>
              <w:rPr>
                <w:rFonts w:eastAsiaTheme="majorEastAsia" w:cstheme="minorHAnsi"/>
                <w:color w:val="auto"/>
                <w:sz w:val="20"/>
                <w:szCs w:val="21"/>
              </w:rPr>
              <w:t xml:space="preserve">3.2 </w:t>
            </w:r>
            <w:r w:rsidRPr="00C23D75">
              <w:rPr>
                <w:rFonts w:eastAsiaTheme="majorEastAsia" w:cstheme="minorHAnsi"/>
                <w:color w:val="auto"/>
                <w:sz w:val="20"/>
                <w:szCs w:val="21"/>
              </w:rPr>
              <w:t>34,400</w:t>
            </w:r>
            <w:r w:rsidRPr="00C23D75" w:rsidDel="008F5F87">
              <w:rPr>
                <w:rFonts w:eastAsiaTheme="majorEastAsia" w:cstheme="minorHAnsi"/>
                <w:color w:val="auto"/>
                <w:sz w:val="20"/>
                <w:szCs w:val="21"/>
              </w:rPr>
              <w:t xml:space="preserve"> beneficiaries (at least 50</w:t>
            </w:r>
            <w:r w:rsidRPr="00C23D75">
              <w:rPr>
                <w:rFonts w:eastAsiaTheme="majorEastAsia" w:cstheme="minorHAnsi"/>
                <w:color w:val="auto"/>
                <w:sz w:val="20"/>
                <w:szCs w:val="21"/>
              </w:rPr>
              <w:t xml:space="preserve"> per cent</w:t>
            </w:r>
            <w:r w:rsidRPr="00C23D75" w:rsidDel="008F5F87">
              <w:rPr>
                <w:rFonts w:eastAsiaTheme="majorEastAsia" w:cstheme="minorHAnsi"/>
                <w:color w:val="auto"/>
                <w:sz w:val="20"/>
                <w:szCs w:val="21"/>
              </w:rPr>
              <w:t xml:space="preserve"> women) receiv</w:t>
            </w:r>
            <w:r w:rsidRPr="00C23D75">
              <w:rPr>
                <w:rFonts w:eastAsiaTheme="majorEastAsia" w:cstheme="minorHAnsi"/>
                <w:color w:val="auto"/>
                <w:sz w:val="20"/>
                <w:szCs w:val="21"/>
              </w:rPr>
              <w:t>ed</w:t>
            </w:r>
            <w:r w:rsidRPr="00C23D75" w:rsidDel="008F5F87">
              <w:rPr>
                <w:rFonts w:eastAsiaTheme="majorEastAsia" w:cstheme="minorHAnsi"/>
                <w:color w:val="auto"/>
                <w:sz w:val="20"/>
                <w:szCs w:val="21"/>
              </w:rPr>
              <w:t xml:space="preserve"> vocational skills training in BRAC’s Skills Development Program and 2,500 (at least 45</w:t>
            </w:r>
            <w:r w:rsidRPr="00C23D75">
              <w:rPr>
                <w:rFonts w:eastAsiaTheme="majorEastAsia" w:cstheme="minorHAnsi"/>
                <w:color w:val="auto"/>
                <w:sz w:val="20"/>
                <w:szCs w:val="21"/>
              </w:rPr>
              <w:t xml:space="preserve"> per cent</w:t>
            </w:r>
            <w:r w:rsidRPr="00C23D75" w:rsidDel="008F5F87">
              <w:rPr>
                <w:rFonts w:eastAsiaTheme="majorEastAsia" w:cstheme="minorHAnsi"/>
                <w:color w:val="auto"/>
                <w:sz w:val="20"/>
                <w:szCs w:val="21"/>
              </w:rPr>
              <w:t xml:space="preserve"> women) in UCEP’s Technical Education</w:t>
            </w:r>
            <w:r w:rsidRPr="00C23D75">
              <w:rPr>
                <w:rFonts w:eastAsiaTheme="majorEastAsia" w:cstheme="minorHAnsi"/>
                <w:color w:val="auto"/>
                <w:sz w:val="20"/>
                <w:szCs w:val="21"/>
              </w:rPr>
              <w:t>.</w:t>
            </w:r>
          </w:p>
          <w:p w14:paraId="48E929CA" w14:textId="39E250DB" w:rsidR="004A5D93" w:rsidRDefault="004A5D93" w:rsidP="00F55D98">
            <w:pPr>
              <w:pStyle w:val="BodyText"/>
              <w:spacing w:before="40" w:after="40" w:line="240" w:lineRule="auto"/>
              <w:rPr>
                <w:rFonts w:eastAsiaTheme="majorEastAsia" w:cstheme="minorHAnsi"/>
                <w:color w:val="auto"/>
                <w:sz w:val="20"/>
                <w:szCs w:val="21"/>
              </w:rPr>
            </w:pPr>
            <w:r>
              <w:rPr>
                <w:rFonts w:eastAsiaTheme="majorEastAsia" w:cstheme="minorHAnsi"/>
                <w:color w:val="auto"/>
                <w:sz w:val="20"/>
                <w:szCs w:val="21"/>
              </w:rPr>
              <w:t xml:space="preserve">3.3 </w:t>
            </w:r>
            <w:r w:rsidRPr="00C23D75">
              <w:rPr>
                <w:rFonts w:eastAsiaTheme="majorEastAsia" w:cstheme="minorHAnsi"/>
                <w:color w:val="auto"/>
                <w:sz w:val="20"/>
                <w:szCs w:val="21"/>
              </w:rPr>
              <w:t>900,000 refugee and host community women, men, girls, and boys benefit from protection services.</w:t>
            </w:r>
          </w:p>
          <w:p w14:paraId="3A44BC73" w14:textId="6AF5A691" w:rsidR="004A5D93" w:rsidRPr="00C23D75" w:rsidRDefault="004A5D93" w:rsidP="00F55D98">
            <w:pPr>
              <w:pStyle w:val="BodyText"/>
              <w:spacing w:before="40" w:after="40" w:line="240" w:lineRule="auto"/>
              <w:rPr>
                <w:rFonts w:eastAsiaTheme="majorEastAsia" w:cstheme="minorHAnsi"/>
                <w:color w:val="auto"/>
                <w:sz w:val="20"/>
                <w:szCs w:val="21"/>
              </w:rPr>
            </w:pPr>
            <w:r>
              <w:rPr>
                <w:rFonts w:eastAsiaTheme="majorEastAsia" w:cstheme="minorHAnsi"/>
                <w:color w:val="auto"/>
                <w:sz w:val="20"/>
                <w:szCs w:val="21"/>
              </w:rPr>
              <w:t xml:space="preserve">3.4 </w:t>
            </w:r>
            <w:r w:rsidRPr="00C23D75" w:rsidDel="00845A52">
              <w:rPr>
                <w:rFonts w:eastAsiaTheme="majorEastAsia" w:cstheme="minorHAnsi"/>
                <w:color w:val="auto"/>
                <w:sz w:val="20"/>
                <w:szCs w:val="21"/>
              </w:rPr>
              <w:t>15</w:t>
            </w:r>
            <w:r w:rsidRPr="00C23D75">
              <w:rPr>
                <w:rFonts w:eastAsiaTheme="majorEastAsia" w:cstheme="minorHAnsi"/>
                <w:color w:val="auto"/>
                <w:sz w:val="20"/>
                <w:szCs w:val="21"/>
              </w:rPr>
              <w:t xml:space="preserve"> per cent</w:t>
            </w:r>
            <w:r w:rsidRPr="00C23D75" w:rsidDel="00845A52">
              <w:rPr>
                <w:rFonts w:eastAsiaTheme="majorEastAsia" w:cstheme="minorHAnsi"/>
                <w:color w:val="auto"/>
                <w:sz w:val="20"/>
                <w:szCs w:val="21"/>
              </w:rPr>
              <w:t xml:space="preserve"> of humanitarian funding supports localisation agenda</w:t>
            </w:r>
          </w:p>
          <w:p w14:paraId="3B64CD6F" w14:textId="77777777" w:rsidR="00F55D98" w:rsidRPr="00C23D75" w:rsidRDefault="00F55D98" w:rsidP="002A7CCB">
            <w:pPr>
              <w:pStyle w:val="BodyText"/>
              <w:spacing w:before="40" w:after="40" w:line="240" w:lineRule="auto"/>
              <w:rPr>
                <w:rFonts w:asciiTheme="majorHAnsi" w:eastAsiaTheme="majorEastAsia" w:hAnsiTheme="majorHAnsi" w:cstheme="majorHAnsi"/>
                <w:sz w:val="20"/>
                <w:szCs w:val="20"/>
              </w:rPr>
            </w:pPr>
          </w:p>
        </w:tc>
        <w:tc>
          <w:tcPr>
            <w:tcW w:w="4252" w:type="dxa"/>
          </w:tcPr>
          <w:p w14:paraId="1AAA57B5" w14:textId="77777777" w:rsidR="004A5D93" w:rsidRDefault="004A5D93" w:rsidP="002A7CCB">
            <w:pPr>
              <w:pStyle w:val="BodyText"/>
              <w:spacing w:before="40" w:after="40" w:line="240" w:lineRule="auto"/>
              <w:rPr>
                <w:rFonts w:eastAsia="Times New Roman" w:cstheme="minorHAnsi"/>
                <w:color w:val="auto"/>
                <w:sz w:val="20"/>
                <w:szCs w:val="21"/>
              </w:rPr>
            </w:pPr>
            <w:r>
              <w:rPr>
                <w:rFonts w:eastAsia="Times New Roman" w:cstheme="minorHAnsi"/>
                <w:color w:val="auto"/>
                <w:sz w:val="20"/>
                <w:szCs w:val="21"/>
              </w:rPr>
              <w:t xml:space="preserve">~ </w:t>
            </w:r>
            <w:r w:rsidR="00F55D98" w:rsidRPr="00C23D75">
              <w:rPr>
                <w:rFonts w:eastAsia="Times New Roman" w:cstheme="minorHAnsi"/>
                <w:color w:val="auto"/>
                <w:sz w:val="20"/>
                <w:szCs w:val="21"/>
              </w:rPr>
              <w:t xml:space="preserve">1,293,829 eligible people received food, health and shelter services in Cox’s Bazar. </w:t>
            </w:r>
          </w:p>
          <w:p w14:paraId="21D19D59" w14:textId="2ED362E0" w:rsidR="004A5D93" w:rsidRPr="00C23D75" w:rsidRDefault="004A5D93" w:rsidP="004A5D93">
            <w:pPr>
              <w:pStyle w:val="BodyText"/>
              <w:spacing w:before="40" w:after="40" w:line="240" w:lineRule="auto"/>
              <w:rPr>
                <w:rFonts w:eastAsia="Times New Roman" w:cstheme="minorHAnsi"/>
                <w:color w:val="auto"/>
                <w:sz w:val="20"/>
                <w:szCs w:val="21"/>
              </w:rPr>
            </w:pPr>
            <w:r>
              <w:rPr>
                <w:rFonts w:eastAsia="Times New Roman" w:cstheme="minorHAnsi"/>
                <w:color w:val="auto"/>
                <w:sz w:val="20"/>
                <w:szCs w:val="21"/>
              </w:rPr>
              <w:t xml:space="preserve">~ </w:t>
            </w:r>
            <w:r w:rsidRPr="00C23D75" w:rsidDel="008F5F87">
              <w:rPr>
                <w:rFonts w:eastAsia="Times New Roman" w:cstheme="minorHAnsi"/>
                <w:color w:val="auto"/>
                <w:sz w:val="20"/>
                <w:szCs w:val="21"/>
              </w:rPr>
              <w:t>31</w:t>
            </w:r>
            <w:r w:rsidRPr="00C23D75">
              <w:rPr>
                <w:rFonts w:eastAsia="Times New Roman" w:cstheme="minorHAnsi"/>
                <w:color w:val="auto"/>
                <w:sz w:val="20"/>
                <w:szCs w:val="21"/>
              </w:rPr>
              <w:t>,</w:t>
            </w:r>
            <w:r w:rsidRPr="00C23D75" w:rsidDel="008F5F87">
              <w:rPr>
                <w:rFonts w:eastAsia="Times New Roman" w:cstheme="minorHAnsi"/>
                <w:color w:val="auto"/>
                <w:sz w:val="20"/>
                <w:szCs w:val="21"/>
              </w:rPr>
              <w:t>545 beneficiaries (53</w:t>
            </w:r>
            <w:r w:rsidRPr="00C23D75">
              <w:rPr>
                <w:rFonts w:eastAsia="Times New Roman" w:cstheme="minorHAnsi"/>
                <w:color w:val="auto"/>
                <w:sz w:val="20"/>
                <w:szCs w:val="21"/>
              </w:rPr>
              <w:t xml:space="preserve"> per cent</w:t>
            </w:r>
            <w:r w:rsidRPr="00C23D75" w:rsidDel="008F5F87">
              <w:rPr>
                <w:rFonts w:eastAsia="Times New Roman" w:cstheme="minorHAnsi"/>
                <w:color w:val="auto"/>
                <w:sz w:val="20"/>
                <w:szCs w:val="21"/>
              </w:rPr>
              <w:t xml:space="preserve"> women, </w:t>
            </w:r>
            <w:r w:rsidRPr="00C23D75">
              <w:rPr>
                <w:rFonts w:eastAsia="Times New Roman" w:cstheme="minorHAnsi"/>
                <w:color w:val="auto"/>
                <w:sz w:val="20"/>
                <w:szCs w:val="21"/>
              </w:rPr>
              <w:t>four per cent</w:t>
            </w:r>
            <w:r w:rsidRPr="00C23D75" w:rsidDel="008F5F87">
              <w:rPr>
                <w:rFonts w:eastAsia="Times New Roman" w:cstheme="minorHAnsi"/>
                <w:color w:val="auto"/>
                <w:sz w:val="20"/>
                <w:szCs w:val="21"/>
              </w:rPr>
              <w:t xml:space="preserve"> </w:t>
            </w:r>
            <w:r w:rsidRPr="00C23D75">
              <w:rPr>
                <w:rFonts w:eastAsia="Times New Roman" w:cstheme="minorHAnsi"/>
                <w:color w:val="auto"/>
                <w:sz w:val="20"/>
                <w:szCs w:val="21"/>
              </w:rPr>
              <w:t xml:space="preserve">people with disabilities </w:t>
            </w:r>
            <w:r w:rsidRPr="00C23D75" w:rsidDel="008F5F87">
              <w:rPr>
                <w:rFonts w:eastAsia="Times New Roman" w:cstheme="minorHAnsi"/>
                <w:color w:val="auto"/>
                <w:sz w:val="20"/>
                <w:szCs w:val="21"/>
              </w:rPr>
              <w:t>and 1.7</w:t>
            </w:r>
            <w:r w:rsidRPr="00C23D75">
              <w:rPr>
                <w:rFonts w:eastAsia="Times New Roman" w:cstheme="minorHAnsi"/>
                <w:color w:val="auto"/>
                <w:sz w:val="20"/>
                <w:szCs w:val="21"/>
              </w:rPr>
              <w:t xml:space="preserve"> per cent</w:t>
            </w:r>
            <w:r w:rsidRPr="00C23D75" w:rsidDel="008F5F87">
              <w:rPr>
                <w:rFonts w:eastAsia="Times New Roman" w:cstheme="minorHAnsi"/>
                <w:color w:val="auto"/>
                <w:sz w:val="20"/>
                <w:szCs w:val="21"/>
              </w:rPr>
              <w:t xml:space="preserve"> </w:t>
            </w:r>
            <w:r w:rsidRPr="00C23D75">
              <w:rPr>
                <w:rFonts w:eastAsia="Times New Roman" w:cstheme="minorHAnsi"/>
                <w:color w:val="auto"/>
                <w:sz w:val="20"/>
                <w:szCs w:val="21"/>
              </w:rPr>
              <w:t>t</w:t>
            </w:r>
            <w:r w:rsidRPr="00C23D75" w:rsidDel="008F5F87">
              <w:rPr>
                <w:rFonts w:eastAsia="Times New Roman" w:cstheme="minorHAnsi"/>
                <w:color w:val="auto"/>
                <w:sz w:val="20"/>
                <w:szCs w:val="21"/>
              </w:rPr>
              <w:t>ransgender) receiv</w:t>
            </w:r>
            <w:r w:rsidRPr="00C23D75">
              <w:rPr>
                <w:rFonts w:eastAsia="Times New Roman" w:cstheme="minorHAnsi"/>
                <w:color w:val="auto"/>
                <w:sz w:val="20"/>
                <w:szCs w:val="21"/>
              </w:rPr>
              <w:t>ed</w:t>
            </w:r>
            <w:r w:rsidRPr="00C23D75" w:rsidDel="008F5F87">
              <w:rPr>
                <w:rFonts w:eastAsia="Times New Roman" w:cstheme="minorHAnsi"/>
                <w:color w:val="auto"/>
                <w:sz w:val="20"/>
                <w:szCs w:val="21"/>
              </w:rPr>
              <w:t xml:space="preserve"> vocational skills training</w:t>
            </w:r>
            <w:r w:rsidRPr="00C23D75">
              <w:rPr>
                <w:rFonts w:eastAsia="Times New Roman" w:cstheme="minorHAnsi"/>
                <w:color w:val="auto"/>
                <w:sz w:val="20"/>
                <w:szCs w:val="21"/>
              </w:rPr>
              <w:t>.</w:t>
            </w:r>
          </w:p>
          <w:p w14:paraId="018E1FB3" w14:textId="260293BE" w:rsidR="004A5D93" w:rsidRDefault="004A5D93" w:rsidP="004A5D93">
            <w:pPr>
              <w:pStyle w:val="BodyText"/>
              <w:spacing w:before="40" w:after="40" w:line="240" w:lineRule="auto"/>
              <w:rPr>
                <w:rFonts w:eastAsia="Times New Roman" w:cstheme="minorHAnsi"/>
                <w:color w:val="auto"/>
                <w:sz w:val="20"/>
                <w:szCs w:val="21"/>
              </w:rPr>
            </w:pPr>
            <w:r w:rsidRPr="00C23D75" w:rsidDel="008F5F87">
              <w:rPr>
                <w:rFonts w:eastAsia="Times New Roman" w:cstheme="minorHAnsi"/>
                <w:color w:val="auto"/>
                <w:sz w:val="20"/>
                <w:szCs w:val="21"/>
              </w:rPr>
              <w:t>2,596 beneficiaries (45</w:t>
            </w:r>
            <w:r w:rsidRPr="00C23D75">
              <w:rPr>
                <w:rFonts w:eastAsia="Times New Roman" w:cstheme="minorHAnsi"/>
                <w:color w:val="auto"/>
                <w:sz w:val="20"/>
                <w:szCs w:val="21"/>
              </w:rPr>
              <w:t xml:space="preserve"> per cent</w:t>
            </w:r>
            <w:r w:rsidRPr="00C23D75" w:rsidDel="008F5F87">
              <w:rPr>
                <w:rFonts w:eastAsia="Times New Roman" w:cstheme="minorHAnsi"/>
                <w:color w:val="auto"/>
                <w:sz w:val="20"/>
                <w:szCs w:val="21"/>
              </w:rPr>
              <w:t xml:space="preserve"> women) received vocational skills training in UCEP's Technical Education</w:t>
            </w:r>
            <w:r w:rsidRPr="00C23D75">
              <w:rPr>
                <w:rFonts w:eastAsia="Times New Roman" w:cstheme="minorHAnsi"/>
                <w:color w:val="auto"/>
                <w:sz w:val="20"/>
                <w:szCs w:val="21"/>
              </w:rPr>
              <w:t>.</w:t>
            </w:r>
          </w:p>
          <w:p w14:paraId="4BEA9D17" w14:textId="1AFD4F72" w:rsidR="004A5D93" w:rsidRDefault="004A5D93" w:rsidP="004A5D93">
            <w:pPr>
              <w:pStyle w:val="BodyText"/>
              <w:spacing w:before="40" w:after="40" w:line="240" w:lineRule="auto"/>
              <w:rPr>
                <w:rFonts w:eastAsiaTheme="majorEastAsia" w:cstheme="minorHAnsi"/>
                <w:color w:val="auto"/>
                <w:sz w:val="20"/>
                <w:szCs w:val="21"/>
              </w:rPr>
            </w:pPr>
            <w:r>
              <w:rPr>
                <w:rFonts w:eastAsiaTheme="majorEastAsia" w:cstheme="minorHAnsi"/>
                <w:color w:val="auto"/>
                <w:sz w:val="20"/>
                <w:szCs w:val="21"/>
              </w:rPr>
              <w:t xml:space="preserve">~ </w:t>
            </w:r>
            <w:r w:rsidRPr="00C23D75">
              <w:rPr>
                <w:rFonts w:eastAsiaTheme="majorEastAsia" w:cstheme="minorHAnsi"/>
                <w:color w:val="auto"/>
                <w:sz w:val="20"/>
                <w:szCs w:val="21"/>
              </w:rPr>
              <w:t>975,683 refugee and host community women, men, girls and boys benefited from protection services</w:t>
            </w:r>
            <w:r>
              <w:rPr>
                <w:rFonts w:eastAsiaTheme="majorEastAsia" w:cstheme="minorHAnsi"/>
                <w:color w:val="auto"/>
                <w:sz w:val="20"/>
                <w:szCs w:val="21"/>
              </w:rPr>
              <w:t>.</w:t>
            </w:r>
          </w:p>
          <w:p w14:paraId="2529F025" w14:textId="136ED17E" w:rsidR="00F55D98" w:rsidRPr="00C23D75" w:rsidRDefault="004A5D93" w:rsidP="004A5D93">
            <w:pPr>
              <w:pStyle w:val="BodyText"/>
              <w:spacing w:before="40" w:after="40" w:line="240" w:lineRule="auto"/>
              <w:rPr>
                <w:rFonts w:asciiTheme="majorHAnsi" w:eastAsiaTheme="majorEastAsia" w:hAnsiTheme="majorHAnsi" w:cstheme="majorHAnsi"/>
                <w:caps/>
                <w:color w:val="409F68" w:themeColor="accent5"/>
                <w:sz w:val="20"/>
                <w:szCs w:val="20"/>
              </w:rPr>
            </w:pPr>
            <w:r>
              <w:rPr>
                <w:rFonts w:eastAsiaTheme="majorEastAsia" w:cstheme="minorHAnsi"/>
                <w:color w:val="auto"/>
                <w:sz w:val="20"/>
                <w:szCs w:val="21"/>
              </w:rPr>
              <w:t xml:space="preserve">~ </w:t>
            </w:r>
            <w:r w:rsidRPr="00C23D75">
              <w:rPr>
                <w:rFonts w:eastAsiaTheme="majorEastAsia" w:cstheme="minorHAnsi"/>
                <w:color w:val="auto"/>
                <w:sz w:val="20"/>
                <w:szCs w:val="21"/>
              </w:rPr>
              <w:t>11 per cent (</w:t>
            </w:r>
            <w:r w:rsidRPr="00C23D75" w:rsidDel="00845A52">
              <w:rPr>
                <w:rFonts w:eastAsiaTheme="majorEastAsia" w:cstheme="minorHAnsi"/>
                <w:color w:val="auto"/>
                <w:sz w:val="20"/>
                <w:szCs w:val="21"/>
              </w:rPr>
              <w:t>$19 million</w:t>
            </w:r>
            <w:r w:rsidRPr="00C23D75">
              <w:rPr>
                <w:rFonts w:eastAsiaTheme="majorEastAsia" w:cstheme="minorHAnsi"/>
                <w:color w:val="auto"/>
                <w:sz w:val="20"/>
                <w:szCs w:val="21"/>
              </w:rPr>
              <w:t>) of funding provided through supporting key partners to support the localisation agenda.</w:t>
            </w:r>
          </w:p>
        </w:tc>
      </w:tr>
    </w:tbl>
    <w:p w14:paraId="46189E5D" w14:textId="77777777" w:rsidR="00276A54" w:rsidRDefault="00276A54" w:rsidP="00276A54"/>
    <w:p w14:paraId="39803219" w14:textId="77777777" w:rsidR="00390828" w:rsidRPr="00B927C4" w:rsidRDefault="00390828" w:rsidP="00390828">
      <w:pPr>
        <w:pStyle w:val="Heading2Numbered"/>
        <w:numPr>
          <w:ilvl w:val="0"/>
          <w:numId w:val="0"/>
        </w:numPr>
        <w:spacing w:before="240" w:after="240"/>
        <w:rPr>
          <w:sz w:val="28"/>
          <w:szCs w:val="28"/>
        </w:rPr>
      </w:pPr>
      <w:r w:rsidRPr="00B927C4">
        <w:rPr>
          <w:sz w:val="28"/>
          <w:szCs w:val="28"/>
        </w:rPr>
        <w:lastRenderedPageBreak/>
        <w:t>ANNEX A: Program Quality</w:t>
      </w:r>
    </w:p>
    <w:p w14:paraId="060EBA88" w14:textId="77777777" w:rsidR="00390828" w:rsidRPr="00F14A44" w:rsidRDefault="00B927C4" w:rsidP="00390828">
      <w:pPr>
        <w:pStyle w:val="Heading3"/>
        <w:rPr>
          <w:color w:val="auto"/>
        </w:rPr>
      </w:pPr>
      <w:r w:rsidRPr="00F14A44">
        <w:rPr>
          <w:color w:val="auto"/>
        </w:rPr>
        <w:t>Investment Monitoring Report</w:t>
      </w:r>
      <w:r w:rsidR="00390828" w:rsidRPr="00F14A44">
        <w:rPr>
          <w:color w:val="auto"/>
        </w:rPr>
        <w:t xml:space="preserve"> ratings</w:t>
      </w:r>
    </w:p>
    <w:tbl>
      <w:tblPr>
        <w:tblStyle w:val="APPR"/>
        <w:tblW w:w="4653" w:type="pct"/>
        <w:tblBorders>
          <w:top w:val="none" w:sz="0" w:space="0" w:color="auto"/>
          <w:bottom w:val="none" w:sz="0" w:space="0" w:color="auto"/>
        </w:tblBorders>
        <w:tblLook w:val="0020" w:firstRow="1" w:lastRow="0" w:firstColumn="0" w:lastColumn="0" w:noHBand="0" w:noVBand="0"/>
      </w:tblPr>
      <w:tblGrid>
        <w:gridCol w:w="4537"/>
        <w:gridCol w:w="1555"/>
        <w:gridCol w:w="988"/>
        <w:gridCol w:w="626"/>
        <w:gridCol w:w="626"/>
        <w:gridCol w:w="637"/>
      </w:tblGrid>
      <w:tr w:rsidR="001B5719" w:rsidRPr="003B17F5" w14:paraId="59122EE5" w14:textId="77777777" w:rsidTr="00D0109B">
        <w:trPr>
          <w:cnfStyle w:val="100000000000" w:firstRow="1" w:lastRow="0" w:firstColumn="0" w:lastColumn="0" w:oddVBand="0" w:evenVBand="0" w:oddHBand="0" w:evenHBand="0" w:firstRowFirstColumn="0" w:firstRowLastColumn="0" w:lastRowFirstColumn="0" w:lastRowLastColumn="0"/>
          <w:trHeight w:val="1413"/>
        </w:trPr>
        <w:tc>
          <w:tcPr>
            <w:tcW w:w="2505" w:type="pct"/>
            <w:tcBorders>
              <w:top w:val="single" w:sz="12" w:space="0" w:color="auto"/>
              <w:bottom w:val="single" w:sz="8" w:space="0" w:color="auto"/>
            </w:tcBorders>
          </w:tcPr>
          <w:p w14:paraId="7E16B7E3" w14:textId="5ADF1163" w:rsidR="001B5719" w:rsidRPr="006B4973" w:rsidRDefault="001B5719" w:rsidP="00390828">
            <w:pPr>
              <w:keepLines/>
              <w:spacing w:before="80" w:after="80" w:line="200" w:lineRule="atLeast"/>
              <w:rPr>
                <w:rFonts w:asciiTheme="minorHAnsi" w:eastAsia="Times New Roman" w:hAnsiTheme="minorHAnsi" w:cstheme="minorHAnsi"/>
                <w:b w:val="0"/>
                <w:iCs/>
                <w:color w:val="auto"/>
                <w:szCs w:val="17"/>
                <w:lang w:eastAsia="en-US"/>
              </w:rPr>
            </w:pPr>
            <w:r w:rsidRPr="006B4973">
              <w:rPr>
                <w:rFonts w:eastAsia="Times New Roman" w:cstheme="minorHAnsi"/>
                <w:b w:val="0"/>
                <w:iCs/>
                <w:noProof/>
                <w:color w:val="auto"/>
                <w:szCs w:val="17"/>
                <w:lang w:val="en-AU"/>
              </w:rPr>
              <w:drawing>
                <wp:anchor distT="0" distB="0" distL="114300" distR="114300" simplePos="0" relativeHeight="251672576" behindDoc="0" locked="0" layoutInCell="1" allowOverlap="1" wp14:anchorId="1E9E4CE0" wp14:editId="72A03B8D">
                  <wp:simplePos x="0" y="0"/>
                  <wp:positionH relativeFrom="column">
                    <wp:posOffset>0</wp:posOffset>
                  </wp:positionH>
                  <wp:positionV relativeFrom="paragraph">
                    <wp:posOffset>0</wp:posOffset>
                  </wp:positionV>
                  <wp:extent cx="1857375" cy="228600"/>
                  <wp:effectExtent l="0" t="0" r="9525" b="0"/>
                  <wp:wrapNone/>
                  <wp:docPr id="48" name="Picture 4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3D75">
              <w:rPr>
                <w:rFonts w:asciiTheme="minorHAnsi" w:eastAsia="Times New Roman" w:hAnsiTheme="minorHAnsi" w:cstheme="minorHAnsi"/>
                <w:iCs/>
                <w:color w:val="auto"/>
                <w:szCs w:val="17"/>
                <w:lang w:eastAsia="en-US"/>
              </w:rPr>
              <w:t>Investment name</w:t>
            </w:r>
          </w:p>
        </w:tc>
        <w:tc>
          <w:tcPr>
            <w:tcW w:w="851" w:type="pct"/>
            <w:tcBorders>
              <w:top w:val="single" w:sz="12" w:space="0" w:color="auto"/>
              <w:bottom w:val="single" w:sz="8" w:space="0" w:color="auto"/>
            </w:tcBorders>
            <w:textDirection w:val="btLr"/>
          </w:tcPr>
          <w:p w14:paraId="4899806B" w14:textId="77777777" w:rsidR="001B5719" w:rsidRPr="006B4973" w:rsidRDefault="001B5719" w:rsidP="00390828">
            <w:pPr>
              <w:keepLines/>
              <w:spacing w:before="80" w:after="80" w:line="200" w:lineRule="atLeast"/>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rPr>
              <w:t>Approved budget and duration</w:t>
            </w:r>
          </w:p>
        </w:tc>
        <w:tc>
          <w:tcPr>
            <w:tcW w:w="535" w:type="pct"/>
            <w:tcBorders>
              <w:top w:val="single" w:sz="12" w:space="0" w:color="auto"/>
              <w:bottom w:val="single" w:sz="8" w:space="0" w:color="auto"/>
            </w:tcBorders>
            <w:textDirection w:val="btLr"/>
          </w:tcPr>
          <w:p w14:paraId="43E05393" w14:textId="77777777" w:rsidR="001B5719" w:rsidRPr="006B4973" w:rsidRDefault="001B5719" w:rsidP="00EC3906">
            <w:pPr>
              <w:keepLines/>
              <w:spacing w:before="80" w:after="80" w:line="200" w:lineRule="atLeast"/>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rPr>
              <w:t>year on year</w:t>
            </w:r>
          </w:p>
        </w:tc>
        <w:tc>
          <w:tcPr>
            <w:tcW w:w="334" w:type="pct"/>
            <w:tcBorders>
              <w:top w:val="single" w:sz="12" w:space="0" w:color="auto"/>
              <w:bottom w:val="single" w:sz="8" w:space="0" w:color="auto"/>
            </w:tcBorders>
            <w:textDirection w:val="btLr"/>
          </w:tcPr>
          <w:p w14:paraId="0FF30BEB" w14:textId="77777777" w:rsidR="001B5719" w:rsidRPr="006B4973" w:rsidRDefault="001B5719" w:rsidP="00390828">
            <w:pPr>
              <w:keepLines/>
              <w:spacing w:before="80" w:after="80" w:line="200" w:lineRule="atLeast"/>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rPr>
              <w:t>Effectiveness</w:t>
            </w:r>
          </w:p>
        </w:tc>
        <w:tc>
          <w:tcPr>
            <w:tcW w:w="334" w:type="pct"/>
            <w:tcBorders>
              <w:top w:val="single" w:sz="12" w:space="0" w:color="auto"/>
              <w:bottom w:val="single" w:sz="8" w:space="0" w:color="auto"/>
            </w:tcBorders>
            <w:textDirection w:val="btLr"/>
          </w:tcPr>
          <w:p w14:paraId="7A1CDDDB" w14:textId="77777777" w:rsidR="001B5719" w:rsidRPr="006B4973" w:rsidRDefault="001B5719" w:rsidP="00390828">
            <w:pPr>
              <w:keepLines/>
              <w:spacing w:before="80" w:after="80" w:line="200" w:lineRule="atLeast"/>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rPr>
              <w:t>Efficiency</w:t>
            </w:r>
          </w:p>
        </w:tc>
        <w:tc>
          <w:tcPr>
            <w:tcW w:w="332" w:type="pct"/>
            <w:tcBorders>
              <w:top w:val="single" w:sz="12" w:space="0" w:color="auto"/>
              <w:bottom w:val="single" w:sz="8" w:space="0" w:color="auto"/>
            </w:tcBorders>
            <w:textDirection w:val="btLr"/>
          </w:tcPr>
          <w:p w14:paraId="40781032" w14:textId="77777777" w:rsidR="001B5719" w:rsidRPr="006B4973" w:rsidRDefault="001B5719" w:rsidP="00390828">
            <w:pPr>
              <w:keepLines/>
              <w:spacing w:before="80" w:after="80" w:line="200" w:lineRule="atLeast"/>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rPr>
              <w:t>Gender equality</w:t>
            </w:r>
          </w:p>
        </w:tc>
      </w:tr>
      <w:tr w:rsidR="00D0109B" w:rsidRPr="00A30F2D" w14:paraId="542E534E" w14:textId="77777777" w:rsidTr="00D0109B">
        <w:trPr>
          <w:cnfStyle w:val="100000000000" w:firstRow="1" w:lastRow="0" w:firstColumn="0" w:lastColumn="0" w:oddVBand="0" w:evenVBand="0" w:oddHBand="0" w:evenHBand="0" w:firstRowFirstColumn="0" w:firstRowLastColumn="0" w:lastRowFirstColumn="0" w:lastRowLastColumn="0"/>
          <w:trHeight w:val="284"/>
        </w:trPr>
        <w:tc>
          <w:tcPr>
            <w:tcW w:w="2505" w:type="pct"/>
          </w:tcPr>
          <w:p w14:paraId="299DF424" w14:textId="77777777" w:rsidR="00D0109B" w:rsidRPr="006B4973" w:rsidRDefault="00D0109B" w:rsidP="006B4973">
            <w:pPr>
              <w:keepLines/>
              <w:spacing w:before="40" w:after="40" w:line="200" w:lineRule="atLeast"/>
              <w:rPr>
                <w:rFonts w:asciiTheme="minorHAnsi" w:eastAsia="Times New Roman" w:hAnsiTheme="minorHAnsi" w:cstheme="minorHAnsi"/>
                <w:iCs/>
                <w:color w:val="auto"/>
                <w:szCs w:val="17"/>
              </w:rPr>
            </w:pPr>
            <w:r w:rsidRPr="006B4973">
              <w:rPr>
                <w:rFonts w:asciiTheme="minorHAnsi" w:eastAsia="Times New Roman" w:hAnsiTheme="minorHAnsi" w:cstheme="minorHAnsi"/>
                <w:iCs/>
                <w:color w:val="auto"/>
                <w:szCs w:val="17"/>
              </w:rPr>
              <w:t>The Strategic Partnership Arrangement with BRAC</w:t>
            </w:r>
          </w:p>
        </w:tc>
        <w:tc>
          <w:tcPr>
            <w:tcW w:w="851" w:type="pct"/>
          </w:tcPr>
          <w:p w14:paraId="2BABC09A" w14:textId="1E14C1E5" w:rsidR="00D0109B" w:rsidRPr="006B4973" w:rsidRDefault="00D0109B" w:rsidP="001B5719">
            <w:pPr>
              <w:autoSpaceDE w:val="0"/>
              <w:autoSpaceDN w:val="0"/>
              <w:adjustRightInd w:val="0"/>
              <w:spacing w:before="40" w:after="40" w:line="240" w:lineRule="auto"/>
              <w:rPr>
                <w:rFonts w:asciiTheme="minorHAnsi" w:eastAsia="Times New Roman" w:hAnsiTheme="minorHAnsi" w:cstheme="minorHAnsi"/>
                <w:iCs/>
                <w:color w:val="auto"/>
                <w:szCs w:val="17"/>
                <w:lang w:eastAsia="en-US"/>
              </w:rPr>
            </w:pPr>
            <w:r w:rsidRPr="006B4973">
              <w:rPr>
                <w:rFonts w:asciiTheme="minorHAnsi" w:hAnsiTheme="minorHAnsi" w:cstheme="minorHAnsi"/>
                <w:color w:val="auto"/>
                <w:szCs w:val="17"/>
              </w:rPr>
              <w:t>$275</w:t>
            </w:r>
            <w:r>
              <w:rPr>
                <w:rFonts w:asciiTheme="minorHAnsi" w:hAnsiTheme="minorHAnsi" w:cstheme="minorHAnsi"/>
                <w:color w:val="auto"/>
                <w:szCs w:val="17"/>
              </w:rPr>
              <w:t xml:space="preserve">m,  </w:t>
            </w:r>
          </w:p>
        </w:tc>
        <w:tc>
          <w:tcPr>
            <w:tcW w:w="535" w:type="pct"/>
          </w:tcPr>
          <w:p w14:paraId="77089E45" w14:textId="77777777" w:rsidR="00D0109B" w:rsidRPr="006B4973" w:rsidRDefault="00D0109B" w:rsidP="00E43E5D">
            <w:pPr>
              <w:keepLines/>
              <w:spacing w:before="40" w:after="40" w:line="200" w:lineRule="atLeast"/>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lang w:eastAsia="en-US"/>
              </w:rPr>
              <w:t>2020 AQC</w:t>
            </w:r>
          </w:p>
        </w:tc>
        <w:tc>
          <w:tcPr>
            <w:tcW w:w="334" w:type="pct"/>
            <w:shd w:val="clear" w:color="auto" w:fill="auto"/>
            <w:noWrap/>
          </w:tcPr>
          <w:p w14:paraId="20ACC477" w14:textId="77777777" w:rsidR="00D0109B" w:rsidRPr="006B4973" w:rsidRDefault="00D0109B" w:rsidP="00390828">
            <w:pPr>
              <w:keepLines/>
              <w:spacing w:before="40" w:after="40" w:line="200" w:lineRule="atLeast"/>
              <w:jc w:val="center"/>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lang w:eastAsia="en-US"/>
              </w:rPr>
              <w:t>5</w:t>
            </w:r>
          </w:p>
        </w:tc>
        <w:tc>
          <w:tcPr>
            <w:tcW w:w="334" w:type="pct"/>
            <w:shd w:val="clear" w:color="auto" w:fill="auto"/>
            <w:noWrap/>
          </w:tcPr>
          <w:p w14:paraId="1EF9C566" w14:textId="77777777" w:rsidR="00D0109B" w:rsidRPr="006B4973" w:rsidRDefault="00D0109B" w:rsidP="00390828">
            <w:pPr>
              <w:keepLines/>
              <w:spacing w:before="40" w:after="40" w:line="200" w:lineRule="atLeast"/>
              <w:jc w:val="center"/>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lang w:eastAsia="en-US"/>
              </w:rPr>
              <w:t>5</w:t>
            </w:r>
          </w:p>
        </w:tc>
        <w:tc>
          <w:tcPr>
            <w:tcW w:w="332" w:type="pct"/>
            <w:shd w:val="clear" w:color="auto" w:fill="auto"/>
            <w:noWrap/>
          </w:tcPr>
          <w:p w14:paraId="6F16AE6C" w14:textId="77777777" w:rsidR="00D0109B" w:rsidRPr="006B4973" w:rsidRDefault="00D0109B" w:rsidP="00390828">
            <w:pPr>
              <w:keepLines/>
              <w:spacing w:before="40" w:after="40" w:line="200" w:lineRule="atLeast"/>
              <w:jc w:val="center"/>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lang w:eastAsia="en-US"/>
              </w:rPr>
              <w:t>5</w:t>
            </w:r>
          </w:p>
        </w:tc>
      </w:tr>
      <w:tr w:rsidR="00D0109B" w:rsidRPr="00A30F2D" w14:paraId="414F585B" w14:textId="77777777" w:rsidTr="00D0109B">
        <w:trPr>
          <w:cnfStyle w:val="100000000000" w:firstRow="1" w:lastRow="0" w:firstColumn="0" w:lastColumn="0" w:oddVBand="0" w:evenVBand="0" w:oddHBand="0" w:evenHBand="0" w:firstRowFirstColumn="0" w:firstRowLastColumn="0" w:lastRowFirstColumn="0" w:lastRowLastColumn="0"/>
          <w:trHeight w:val="284"/>
        </w:trPr>
        <w:tc>
          <w:tcPr>
            <w:tcW w:w="2505" w:type="pct"/>
            <w:tcBorders>
              <w:bottom w:val="single" w:sz="2" w:space="0" w:color="65C5B4" w:themeColor="accent1"/>
            </w:tcBorders>
            <w:vAlign w:val="center"/>
          </w:tcPr>
          <w:p w14:paraId="103EAABC" w14:textId="77777777" w:rsidR="00D0109B" w:rsidRPr="006B4973" w:rsidRDefault="00D0109B" w:rsidP="00390828">
            <w:pPr>
              <w:keepLines/>
              <w:spacing w:before="40" w:after="40" w:line="200" w:lineRule="atLeast"/>
              <w:rPr>
                <w:rFonts w:asciiTheme="minorHAnsi" w:eastAsia="Times New Roman" w:hAnsiTheme="minorHAnsi" w:cstheme="minorHAnsi"/>
                <w:iCs/>
                <w:color w:val="auto"/>
                <w:szCs w:val="17"/>
              </w:rPr>
            </w:pPr>
          </w:p>
        </w:tc>
        <w:tc>
          <w:tcPr>
            <w:tcW w:w="851" w:type="pct"/>
            <w:tcBorders>
              <w:bottom w:val="single" w:sz="2" w:space="0" w:color="65C5B4" w:themeColor="accent1"/>
            </w:tcBorders>
          </w:tcPr>
          <w:p w14:paraId="4F28A824" w14:textId="1D5F3201" w:rsidR="00D0109B" w:rsidRPr="006B4973" w:rsidRDefault="00D0109B" w:rsidP="00390828">
            <w:pPr>
              <w:keepLines/>
              <w:spacing w:before="40" w:after="40" w:line="240" w:lineRule="auto"/>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lang w:eastAsia="en-US"/>
              </w:rPr>
              <w:t>2011-20</w:t>
            </w:r>
          </w:p>
        </w:tc>
        <w:tc>
          <w:tcPr>
            <w:tcW w:w="535" w:type="pct"/>
            <w:tcBorders>
              <w:top w:val="single" w:sz="2" w:space="0" w:color="65C5B4" w:themeColor="accent1"/>
              <w:bottom w:val="single" w:sz="2" w:space="0" w:color="65C5B4" w:themeColor="accent1"/>
            </w:tcBorders>
          </w:tcPr>
          <w:p w14:paraId="65C74F9B" w14:textId="77777777" w:rsidR="00D0109B" w:rsidRPr="006B4973" w:rsidRDefault="00D0109B" w:rsidP="00E43E5D">
            <w:pPr>
              <w:keepLines/>
              <w:spacing w:before="40" w:after="40" w:line="200" w:lineRule="atLeast"/>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lang w:eastAsia="en-US"/>
              </w:rPr>
              <w:t>2019 AQC</w:t>
            </w:r>
          </w:p>
        </w:tc>
        <w:tc>
          <w:tcPr>
            <w:tcW w:w="334" w:type="pct"/>
            <w:tcBorders>
              <w:top w:val="single" w:sz="2" w:space="0" w:color="65C5B4" w:themeColor="accent1"/>
              <w:bottom w:val="single" w:sz="2" w:space="0" w:color="65C5B4" w:themeColor="accent1"/>
            </w:tcBorders>
            <w:shd w:val="clear" w:color="auto" w:fill="auto"/>
            <w:noWrap/>
          </w:tcPr>
          <w:p w14:paraId="2A45E80B" w14:textId="77777777" w:rsidR="00D0109B" w:rsidRPr="006B4973" w:rsidRDefault="00D0109B" w:rsidP="00390828">
            <w:pPr>
              <w:keepLines/>
              <w:spacing w:before="40" w:after="40" w:line="200" w:lineRule="atLeast"/>
              <w:jc w:val="center"/>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lang w:eastAsia="en-US"/>
              </w:rPr>
              <w:t>4</w:t>
            </w:r>
          </w:p>
        </w:tc>
        <w:tc>
          <w:tcPr>
            <w:tcW w:w="334" w:type="pct"/>
            <w:tcBorders>
              <w:top w:val="single" w:sz="2" w:space="0" w:color="65C5B4" w:themeColor="accent1"/>
              <w:bottom w:val="single" w:sz="2" w:space="0" w:color="65C5B4" w:themeColor="accent1"/>
            </w:tcBorders>
            <w:shd w:val="clear" w:color="auto" w:fill="auto"/>
            <w:noWrap/>
          </w:tcPr>
          <w:p w14:paraId="56E3B5B4" w14:textId="77777777" w:rsidR="00D0109B" w:rsidRPr="006B4973" w:rsidRDefault="00D0109B" w:rsidP="00390828">
            <w:pPr>
              <w:keepLines/>
              <w:spacing w:before="40" w:after="40" w:line="200" w:lineRule="atLeast"/>
              <w:jc w:val="center"/>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lang w:eastAsia="en-US"/>
              </w:rPr>
              <w:t>5</w:t>
            </w:r>
          </w:p>
        </w:tc>
        <w:tc>
          <w:tcPr>
            <w:tcW w:w="332" w:type="pct"/>
            <w:tcBorders>
              <w:top w:val="single" w:sz="2" w:space="0" w:color="65C5B4" w:themeColor="accent1"/>
              <w:bottom w:val="single" w:sz="2" w:space="0" w:color="65C5B4" w:themeColor="accent1"/>
            </w:tcBorders>
            <w:shd w:val="clear" w:color="auto" w:fill="auto"/>
            <w:noWrap/>
          </w:tcPr>
          <w:p w14:paraId="78BE8DB5" w14:textId="77777777" w:rsidR="00D0109B" w:rsidRPr="006B4973" w:rsidRDefault="00D0109B" w:rsidP="00390828">
            <w:pPr>
              <w:keepLines/>
              <w:spacing w:before="40" w:after="40" w:line="200" w:lineRule="atLeast"/>
              <w:jc w:val="center"/>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lang w:eastAsia="en-US"/>
              </w:rPr>
              <w:t>5</w:t>
            </w:r>
          </w:p>
        </w:tc>
      </w:tr>
      <w:tr w:rsidR="001B5719" w:rsidRPr="00A30F2D" w14:paraId="0BFD6D47" w14:textId="77777777" w:rsidTr="00D0109B">
        <w:trPr>
          <w:cnfStyle w:val="100000000000" w:firstRow="1" w:lastRow="0" w:firstColumn="0" w:lastColumn="0" w:oddVBand="0" w:evenVBand="0" w:oddHBand="0" w:evenHBand="0" w:firstRowFirstColumn="0" w:firstRowLastColumn="0" w:lastRowFirstColumn="0" w:lastRowLastColumn="0"/>
          <w:trHeight w:val="284"/>
        </w:trPr>
        <w:tc>
          <w:tcPr>
            <w:tcW w:w="2505" w:type="pct"/>
            <w:tcBorders>
              <w:bottom w:val="single" w:sz="2" w:space="0" w:color="65C5B4" w:themeColor="accent1"/>
            </w:tcBorders>
            <w:vAlign w:val="center"/>
          </w:tcPr>
          <w:p w14:paraId="1BFD81CA" w14:textId="77777777" w:rsidR="001B5719" w:rsidRPr="006B4973" w:rsidRDefault="001B5719" w:rsidP="00D21727">
            <w:pPr>
              <w:keepLines/>
              <w:spacing w:before="40" w:after="40" w:line="200" w:lineRule="atLeast"/>
              <w:rPr>
                <w:rFonts w:asciiTheme="minorHAnsi" w:eastAsia="Times New Roman" w:hAnsiTheme="minorHAnsi" w:cstheme="minorHAnsi"/>
                <w:iCs/>
                <w:color w:val="auto"/>
                <w:szCs w:val="17"/>
              </w:rPr>
            </w:pPr>
            <w:r w:rsidRPr="006B4973">
              <w:rPr>
                <w:rFonts w:asciiTheme="minorHAnsi" w:eastAsia="Times New Roman" w:hAnsiTheme="minorHAnsi" w:cstheme="minorHAnsi"/>
                <w:iCs/>
                <w:color w:val="auto"/>
                <w:szCs w:val="17"/>
              </w:rPr>
              <w:t>Skills for Economic Growth and Prosperity</w:t>
            </w:r>
          </w:p>
        </w:tc>
        <w:tc>
          <w:tcPr>
            <w:tcW w:w="851" w:type="pct"/>
            <w:tcBorders>
              <w:bottom w:val="single" w:sz="2" w:space="0" w:color="65C5B4" w:themeColor="accent1"/>
            </w:tcBorders>
          </w:tcPr>
          <w:p w14:paraId="6768D6FB" w14:textId="77777777" w:rsidR="001B5719" w:rsidRPr="006B4973" w:rsidRDefault="001B5719" w:rsidP="001B5719">
            <w:pPr>
              <w:autoSpaceDE w:val="0"/>
              <w:autoSpaceDN w:val="0"/>
              <w:adjustRightInd w:val="0"/>
              <w:spacing w:before="40" w:after="40" w:line="240" w:lineRule="auto"/>
              <w:rPr>
                <w:rFonts w:asciiTheme="minorHAnsi" w:eastAsia="Times New Roman" w:hAnsiTheme="minorHAnsi" w:cstheme="minorHAnsi"/>
                <w:iCs/>
                <w:color w:val="auto"/>
                <w:szCs w:val="17"/>
                <w:lang w:eastAsia="en-US"/>
              </w:rPr>
            </w:pPr>
            <w:r w:rsidRPr="006B4973">
              <w:rPr>
                <w:rFonts w:asciiTheme="minorHAnsi" w:hAnsiTheme="minorHAnsi" w:cstheme="minorHAnsi"/>
                <w:color w:val="auto"/>
                <w:szCs w:val="17"/>
              </w:rPr>
              <w:t>$12</w:t>
            </w:r>
            <w:r>
              <w:rPr>
                <w:rFonts w:asciiTheme="minorHAnsi" w:hAnsiTheme="minorHAnsi" w:cstheme="minorHAnsi"/>
                <w:color w:val="auto"/>
                <w:szCs w:val="17"/>
              </w:rPr>
              <w:t>.0</w:t>
            </w:r>
            <w:r w:rsidRPr="006B4973">
              <w:rPr>
                <w:rFonts w:asciiTheme="minorHAnsi" w:hAnsiTheme="minorHAnsi" w:cstheme="minorHAnsi"/>
                <w:color w:val="auto"/>
                <w:szCs w:val="17"/>
              </w:rPr>
              <w:t>m</w:t>
            </w:r>
            <w:r>
              <w:rPr>
                <w:rFonts w:asciiTheme="minorHAnsi" w:hAnsiTheme="minorHAnsi" w:cstheme="minorHAnsi"/>
                <w:color w:val="auto"/>
                <w:szCs w:val="17"/>
              </w:rPr>
              <w:t xml:space="preserve">,  </w:t>
            </w:r>
            <w:r w:rsidRPr="006B4973">
              <w:rPr>
                <w:rFonts w:asciiTheme="minorHAnsi" w:eastAsia="Times New Roman" w:hAnsiTheme="minorHAnsi" w:cstheme="minorHAnsi"/>
                <w:iCs/>
                <w:color w:val="auto"/>
                <w:szCs w:val="17"/>
                <w:lang w:eastAsia="en-US"/>
              </w:rPr>
              <w:t>2018-22</w:t>
            </w:r>
          </w:p>
        </w:tc>
        <w:tc>
          <w:tcPr>
            <w:tcW w:w="535" w:type="pct"/>
            <w:tcBorders>
              <w:bottom w:val="single" w:sz="2" w:space="0" w:color="65C5B4" w:themeColor="accent1"/>
            </w:tcBorders>
          </w:tcPr>
          <w:p w14:paraId="3C0C48A8" w14:textId="77777777" w:rsidR="001B5719" w:rsidRPr="006B4973" w:rsidRDefault="001B5719" w:rsidP="00D21727">
            <w:pPr>
              <w:keepLines/>
              <w:spacing w:before="40" w:after="40" w:line="200" w:lineRule="atLeast"/>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lang w:eastAsia="en-US"/>
              </w:rPr>
              <w:t>2020 AQC</w:t>
            </w:r>
          </w:p>
        </w:tc>
        <w:tc>
          <w:tcPr>
            <w:tcW w:w="334" w:type="pct"/>
            <w:tcBorders>
              <w:bottom w:val="single" w:sz="2" w:space="0" w:color="65C5B4" w:themeColor="accent1"/>
            </w:tcBorders>
            <w:shd w:val="clear" w:color="auto" w:fill="auto"/>
            <w:noWrap/>
          </w:tcPr>
          <w:p w14:paraId="3E4C16F8" w14:textId="77777777" w:rsidR="001B5719" w:rsidRPr="006B4973" w:rsidRDefault="001B5719" w:rsidP="00D21727">
            <w:pPr>
              <w:keepLines/>
              <w:spacing w:before="40" w:after="40" w:line="200" w:lineRule="atLeast"/>
              <w:jc w:val="center"/>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lang w:eastAsia="en-US"/>
              </w:rPr>
              <w:t>5</w:t>
            </w:r>
          </w:p>
        </w:tc>
        <w:tc>
          <w:tcPr>
            <w:tcW w:w="334" w:type="pct"/>
            <w:tcBorders>
              <w:bottom w:val="single" w:sz="2" w:space="0" w:color="65C5B4" w:themeColor="accent1"/>
            </w:tcBorders>
            <w:shd w:val="clear" w:color="auto" w:fill="auto"/>
            <w:noWrap/>
          </w:tcPr>
          <w:p w14:paraId="0819FBF1" w14:textId="77777777" w:rsidR="001B5719" w:rsidRPr="006B4973" w:rsidRDefault="001B5719" w:rsidP="00D21727">
            <w:pPr>
              <w:keepLines/>
              <w:spacing w:before="40" w:after="40" w:line="200" w:lineRule="atLeast"/>
              <w:jc w:val="center"/>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lang w:eastAsia="en-US"/>
              </w:rPr>
              <w:t>5</w:t>
            </w:r>
          </w:p>
        </w:tc>
        <w:tc>
          <w:tcPr>
            <w:tcW w:w="332" w:type="pct"/>
            <w:tcBorders>
              <w:bottom w:val="single" w:sz="2" w:space="0" w:color="65C5B4" w:themeColor="accent1"/>
            </w:tcBorders>
            <w:shd w:val="clear" w:color="auto" w:fill="auto"/>
            <w:noWrap/>
          </w:tcPr>
          <w:p w14:paraId="67E309D7" w14:textId="77777777" w:rsidR="001B5719" w:rsidRPr="006B4973" w:rsidRDefault="001B5719" w:rsidP="00183A45">
            <w:pPr>
              <w:keepLines/>
              <w:spacing w:before="40" w:after="40" w:line="200" w:lineRule="atLeast"/>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lang w:eastAsia="en-US"/>
              </w:rPr>
              <w:t xml:space="preserve">    4</w:t>
            </w:r>
          </w:p>
        </w:tc>
      </w:tr>
      <w:tr w:rsidR="001B5719" w:rsidRPr="00806B99" w14:paraId="1ECC4858" w14:textId="77777777" w:rsidTr="00D0109B">
        <w:trPr>
          <w:cnfStyle w:val="100000000000" w:firstRow="1" w:lastRow="0" w:firstColumn="0" w:lastColumn="0" w:oddVBand="0" w:evenVBand="0" w:oddHBand="0" w:evenHBand="0" w:firstRowFirstColumn="0" w:firstRowLastColumn="0" w:lastRowFirstColumn="0" w:lastRowLastColumn="0"/>
          <w:trHeight w:val="284"/>
        </w:trPr>
        <w:tc>
          <w:tcPr>
            <w:tcW w:w="2505" w:type="pct"/>
            <w:vAlign w:val="center"/>
          </w:tcPr>
          <w:p w14:paraId="1455ED0D" w14:textId="77777777" w:rsidR="001B5719" w:rsidRPr="006B4973" w:rsidRDefault="001B5719" w:rsidP="008249FC">
            <w:pPr>
              <w:keepLines/>
              <w:spacing w:before="40" w:after="40" w:line="200" w:lineRule="atLeast"/>
              <w:rPr>
                <w:rFonts w:asciiTheme="minorHAnsi" w:eastAsia="Times New Roman" w:hAnsiTheme="minorHAnsi" w:cstheme="minorHAnsi"/>
                <w:iCs/>
                <w:color w:val="auto"/>
                <w:szCs w:val="17"/>
              </w:rPr>
            </w:pPr>
            <w:r w:rsidRPr="006B4973">
              <w:rPr>
                <w:rFonts w:asciiTheme="minorHAnsi" w:eastAsia="Times New Roman" w:hAnsiTheme="minorHAnsi" w:cstheme="minorHAnsi"/>
                <w:iCs/>
                <w:color w:val="auto"/>
                <w:szCs w:val="17"/>
              </w:rPr>
              <w:t>Australian Development Scholarships (Regional Program)</w:t>
            </w:r>
          </w:p>
        </w:tc>
        <w:tc>
          <w:tcPr>
            <w:tcW w:w="851" w:type="pct"/>
            <w:tcBorders>
              <w:bottom w:val="none" w:sz="0" w:space="0" w:color="auto"/>
            </w:tcBorders>
          </w:tcPr>
          <w:p w14:paraId="3F73BE4D" w14:textId="60559CC2" w:rsidR="001B5719" w:rsidRPr="006B4973" w:rsidRDefault="001B5719" w:rsidP="001B5719">
            <w:pPr>
              <w:autoSpaceDE w:val="0"/>
              <w:autoSpaceDN w:val="0"/>
              <w:adjustRightInd w:val="0"/>
              <w:spacing w:before="40" w:after="40" w:line="240" w:lineRule="auto"/>
              <w:rPr>
                <w:rFonts w:asciiTheme="minorHAnsi" w:eastAsia="Times New Roman" w:hAnsiTheme="minorHAnsi" w:cstheme="minorHAnsi"/>
                <w:iCs/>
                <w:color w:val="auto"/>
                <w:szCs w:val="17"/>
                <w:lang w:eastAsia="en-US"/>
              </w:rPr>
            </w:pPr>
            <w:r w:rsidRPr="006B4973">
              <w:rPr>
                <w:rFonts w:asciiTheme="minorHAnsi" w:hAnsiTheme="minorHAnsi" w:cstheme="minorHAnsi"/>
                <w:color w:val="auto"/>
                <w:szCs w:val="17"/>
              </w:rPr>
              <w:t>$12.2m</w:t>
            </w:r>
            <w:r>
              <w:rPr>
                <w:rFonts w:asciiTheme="minorHAnsi" w:hAnsiTheme="minorHAnsi" w:cstheme="minorHAnsi"/>
                <w:color w:val="auto"/>
                <w:szCs w:val="17"/>
              </w:rPr>
              <w:t xml:space="preserve">,  </w:t>
            </w:r>
          </w:p>
        </w:tc>
        <w:tc>
          <w:tcPr>
            <w:tcW w:w="535" w:type="pct"/>
            <w:tcBorders>
              <w:bottom w:val="single" w:sz="2" w:space="0" w:color="65C5B4" w:themeColor="accent1"/>
            </w:tcBorders>
          </w:tcPr>
          <w:p w14:paraId="56585AC0" w14:textId="77777777" w:rsidR="001B5719" w:rsidRPr="006B4973" w:rsidRDefault="001B5719" w:rsidP="008249FC">
            <w:pPr>
              <w:keepLines/>
              <w:spacing w:before="40" w:after="40" w:line="200" w:lineRule="atLeast"/>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lang w:eastAsia="en-US"/>
              </w:rPr>
              <w:t>2020 AQC</w:t>
            </w:r>
          </w:p>
        </w:tc>
        <w:tc>
          <w:tcPr>
            <w:tcW w:w="334" w:type="pct"/>
            <w:tcBorders>
              <w:bottom w:val="single" w:sz="2" w:space="0" w:color="65C5B4" w:themeColor="accent1"/>
            </w:tcBorders>
            <w:shd w:val="clear" w:color="auto" w:fill="auto"/>
            <w:noWrap/>
          </w:tcPr>
          <w:p w14:paraId="169E5C3B" w14:textId="77777777" w:rsidR="001B5719" w:rsidRPr="006B4973" w:rsidRDefault="001B5719" w:rsidP="008249FC">
            <w:pPr>
              <w:keepLines/>
              <w:spacing w:before="40" w:after="40" w:line="200" w:lineRule="atLeast"/>
              <w:jc w:val="center"/>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rPr>
              <w:t>6</w:t>
            </w:r>
          </w:p>
        </w:tc>
        <w:tc>
          <w:tcPr>
            <w:tcW w:w="334" w:type="pct"/>
            <w:tcBorders>
              <w:bottom w:val="single" w:sz="2" w:space="0" w:color="65C5B4" w:themeColor="accent1"/>
            </w:tcBorders>
            <w:shd w:val="clear" w:color="auto" w:fill="auto"/>
            <w:noWrap/>
          </w:tcPr>
          <w:p w14:paraId="54450D2A" w14:textId="77777777" w:rsidR="001B5719" w:rsidRPr="006B4973" w:rsidRDefault="001B5719" w:rsidP="008249FC">
            <w:pPr>
              <w:keepLines/>
              <w:spacing w:before="40" w:after="40" w:line="200" w:lineRule="atLeast"/>
              <w:jc w:val="center"/>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rPr>
              <w:t>5</w:t>
            </w:r>
          </w:p>
        </w:tc>
        <w:tc>
          <w:tcPr>
            <w:tcW w:w="332" w:type="pct"/>
            <w:tcBorders>
              <w:bottom w:val="single" w:sz="2" w:space="0" w:color="65C5B4" w:themeColor="accent1"/>
            </w:tcBorders>
            <w:shd w:val="clear" w:color="auto" w:fill="auto"/>
            <w:noWrap/>
          </w:tcPr>
          <w:p w14:paraId="7816D3E7" w14:textId="77777777" w:rsidR="001B5719" w:rsidRPr="006B4973" w:rsidRDefault="001B5719" w:rsidP="008249FC">
            <w:pPr>
              <w:keepLines/>
              <w:spacing w:before="40" w:after="40" w:line="200" w:lineRule="atLeast"/>
              <w:jc w:val="center"/>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rPr>
              <w:t>5</w:t>
            </w:r>
          </w:p>
        </w:tc>
      </w:tr>
      <w:tr w:rsidR="001B5719" w:rsidRPr="00806B99" w14:paraId="0251F61B" w14:textId="77777777" w:rsidTr="00D0109B">
        <w:trPr>
          <w:cnfStyle w:val="100000000000" w:firstRow="1" w:lastRow="0" w:firstColumn="0" w:lastColumn="0" w:oddVBand="0" w:evenVBand="0" w:oddHBand="0" w:evenHBand="0" w:firstRowFirstColumn="0" w:firstRowLastColumn="0" w:lastRowFirstColumn="0" w:lastRowLastColumn="0"/>
          <w:trHeight w:val="284"/>
        </w:trPr>
        <w:tc>
          <w:tcPr>
            <w:tcW w:w="2505" w:type="pct"/>
            <w:tcBorders>
              <w:bottom w:val="single" w:sz="12" w:space="0" w:color="auto"/>
            </w:tcBorders>
          </w:tcPr>
          <w:p w14:paraId="1E002286" w14:textId="77777777" w:rsidR="001B5719" w:rsidRPr="006B4973" w:rsidRDefault="001B5719" w:rsidP="00D21727">
            <w:pPr>
              <w:keepLines/>
              <w:spacing w:before="40" w:after="40" w:line="200" w:lineRule="atLeast"/>
              <w:rPr>
                <w:rFonts w:asciiTheme="minorHAnsi" w:eastAsia="Times New Roman" w:hAnsiTheme="minorHAnsi" w:cstheme="minorHAnsi"/>
                <w:iCs/>
                <w:color w:val="auto"/>
                <w:szCs w:val="17"/>
                <w:lang w:eastAsia="en-US"/>
              </w:rPr>
            </w:pPr>
          </w:p>
        </w:tc>
        <w:tc>
          <w:tcPr>
            <w:tcW w:w="851" w:type="pct"/>
            <w:tcBorders>
              <w:bottom w:val="single" w:sz="12" w:space="0" w:color="auto"/>
            </w:tcBorders>
          </w:tcPr>
          <w:p w14:paraId="06393E42" w14:textId="4F6BA042" w:rsidR="001B5719" w:rsidRPr="006B4973" w:rsidRDefault="00D0109B" w:rsidP="00D21727">
            <w:pPr>
              <w:keepLines/>
              <w:spacing w:before="40" w:after="40" w:line="240" w:lineRule="auto"/>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lang w:eastAsia="en-US"/>
              </w:rPr>
              <w:t>2019</w:t>
            </w:r>
          </w:p>
        </w:tc>
        <w:tc>
          <w:tcPr>
            <w:tcW w:w="535" w:type="pct"/>
            <w:tcBorders>
              <w:bottom w:val="single" w:sz="12" w:space="0" w:color="auto"/>
            </w:tcBorders>
          </w:tcPr>
          <w:p w14:paraId="5D1619B4" w14:textId="77777777" w:rsidR="001B5719" w:rsidRPr="006B4973" w:rsidRDefault="001B5719" w:rsidP="00D21727">
            <w:pPr>
              <w:keepLines/>
              <w:spacing w:before="40" w:after="40" w:line="200" w:lineRule="atLeast"/>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lang w:eastAsia="en-US"/>
              </w:rPr>
              <w:t>2019 AQC</w:t>
            </w:r>
          </w:p>
        </w:tc>
        <w:tc>
          <w:tcPr>
            <w:tcW w:w="334" w:type="pct"/>
            <w:tcBorders>
              <w:bottom w:val="single" w:sz="12" w:space="0" w:color="auto"/>
            </w:tcBorders>
            <w:shd w:val="clear" w:color="auto" w:fill="auto"/>
            <w:noWrap/>
          </w:tcPr>
          <w:p w14:paraId="33E50348" w14:textId="77777777" w:rsidR="001B5719" w:rsidRPr="006B4973" w:rsidRDefault="001B5719" w:rsidP="00D21727">
            <w:pPr>
              <w:keepLines/>
              <w:spacing w:before="40" w:after="40" w:line="200" w:lineRule="atLeast"/>
              <w:jc w:val="center"/>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lang w:eastAsia="en-US"/>
              </w:rPr>
              <w:t>6</w:t>
            </w:r>
          </w:p>
        </w:tc>
        <w:tc>
          <w:tcPr>
            <w:tcW w:w="334" w:type="pct"/>
            <w:tcBorders>
              <w:bottom w:val="single" w:sz="12" w:space="0" w:color="auto"/>
            </w:tcBorders>
            <w:shd w:val="clear" w:color="auto" w:fill="auto"/>
            <w:noWrap/>
          </w:tcPr>
          <w:p w14:paraId="73BBA26A" w14:textId="77777777" w:rsidR="001B5719" w:rsidRPr="006B4973" w:rsidRDefault="001B5719" w:rsidP="00D21727">
            <w:pPr>
              <w:keepLines/>
              <w:spacing w:before="40" w:after="40" w:line="200" w:lineRule="atLeast"/>
              <w:jc w:val="center"/>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lang w:eastAsia="en-US"/>
              </w:rPr>
              <w:t>5</w:t>
            </w:r>
          </w:p>
        </w:tc>
        <w:tc>
          <w:tcPr>
            <w:tcW w:w="332" w:type="pct"/>
            <w:tcBorders>
              <w:bottom w:val="single" w:sz="12" w:space="0" w:color="auto"/>
            </w:tcBorders>
            <w:shd w:val="clear" w:color="auto" w:fill="auto"/>
            <w:noWrap/>
          </w:tcPr>
          <w:p w14:paraId="0052C4BB" w14:textId="77777777" w:rsidR="001B5719" w:rsidRPr="006B4973" w:rsidRDefault="001B5719" w:rsidP="00D21727">
            <w:pPr>
              <w:keepLines/>
              <w:spacing w:before="40" w:after="40" w:line="200" w:lineRule="atLeast"/>
              <w:jc w:val="center"/>
              <w:rPr>
                <w:rFonts w:asciiTheme="minorHAnsi" w:eastAsia="Times New Roman" w:hAnsiTheme="minorHAnsi" w:cstheme="minorHAnsi"/>
                <w:iCs/>
                <w:color w:val="auto"/>
                <w:szCs w:val="17"/>
                <w:lang w:eastAsia="en-US"/>
              </w:rPr>
            </w:pPr>
            <w:r w:rsidRPr="006B4973">
              <w:rPr>
                <w:rFonts w:asciiTheme="minorHAnsi" w:eastAsia="Times New Roman" w:hAnsiTheme="minorHAnsi" w:cstheme="minorHAnsi"/>
                <w:iCs/>
                <w:color w:val="auto"/>
                <w:szCs w:val="17"/>
                <w:lang w:eastAsia="en-US"/>
              </w:rPr>
              <w:t>5</w:t>
            </w:r>
          </w:p>
        </w:tc>
      </w:tr>
    </w:tbl>
    <w:p w14:paraId="1D5B17D2" w14:textId="77777777" w:rsidR="00390828" w:rsidRPr="00D03BF3" w:rsidRDefault="00390828" w:rsidP="00390828">
      <w:pPr>
        <w:pStyle w:val="Heading3"/>
        <w:rPr>
          <w:rFonts w:eastAsia="Times New Roman"/>
        </w:rPr>
      </w:pPr>
      <w:r w:rsidRPr="00D03BF3">
        <w:rPr>
          <w:rFonts w:eastAsia="Times New Roman"/>
        </w:rPr>
        <w:t>H</w:t>
      </w:r>
      <w:r>
        <w:rPr>
          <w:rFonts w:eastAsia="Times New Roman"/>
        </w:rPr>
        <w:t xml:space="preserve">umanitarian </w:t>
      </w:r>
      <w:r w:rsidR="00B927C4">
        <w:rPr>
          <w:rFonts w:eastAsia="Times New Roman"/>
        </w:rPr>
        <w:t>Investment Monitoring Report ratings</w:t>
      </w:r>
    </w:p>
    <w:tbl>
      <w:tblPr>
        <w:tblStyle w:val="APPR"/>
        <w:tblW w:w="4883" w:type="pct"/>
        <w:tblLook w:val="0020" w:firstRow="1" w:lastRow="0" w:firstColumn="0" w:lastColumn="0" w:noHBand="0" w:noVBand="0"/>
      </w:tblPr>
      <w:tblGrid>
        <w:gridCol w:w="2977"/>
        <w:gridCol w:w="1097"/>
        <w:gridCol w:w="623"/>
        <w:gridCol w:w="640"/>
        <w:gridCol w:w="629"/>
        <w:gridCol w:w="656"/>
        <w:gridCol w:w="718"/>
        <w:gridCol w:w="654"/>
        <w:gridCol w:w="711"/>
        <w:gridCol w:w="707"/>
      </w:tblGrid>
      <w:tr w:rsidR="00390828" w:rsidRPr="00812509" w14:paraId="1D715789" w14:textId="77777777" w:rsidTr="00D0109B">
        <w:trPr>
          <w:cnfStyle w:val="100000000000" w:firstRow="1" w:lastRow="0" w:firstColumn="0" w:lastColumn="0" w:oddVBand="0" w:evenVBand="0" w:oddHBand="0" w:evenHBand="0" w:firstRowFirstColumn="0" w:firstRowLastColumn="0" w:lastRowFirstColumn="0" w:lastRowLastColumn="0"/>
          <w:trHeight w:val="1505"/>
        </w:trPr>
        <w:tc>
          <w:tcPr>
            <w:tcW w:w="1559" w:type="pct"/>
          </w:tcPr>
          <w:p w14:paraId="4AAD8302" w14:textId="7F036EAF"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eastAsia="Times New Roman"/>
                <w:b w:val="0"/>
                <w:iCs/>
                <w:noProof/>
                <w:szCs w:val="17"/>
                <w:lang w:val="en-AU"/>
              </w:rPr>
              <w:drawing>
                <wp:anchor distT="0" distB="0" distL="114300" distR="114300" simplePos="0" relativeHeight="251666432" behindDoc="0" locked="0" layoutInCell="1" allowOverlap="1" wp14:anchorId="77823C76" wp14:editId="0819978C">
                  <wp:simplePos x="0" y="0"/>
                  <wp:positionH relativeFrom="column">
                    <wp:posOffset>0</wp:posOffset>
                  </wp:positionH>
                  <wp:positionV relativeFrom="paragraph">
                    <wp:posOffset>0</wp:posOffset>
                  </wp:positionV>
                  <wp:extent cx="1857375" cy="228600"/>
                  <wp:effectExtent l="0" t="0" r="9525" b="0"/>
                  <wp:wrapNone/>
                  <wp:docPr id="49" name="Picture 4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3D75">
              <w:rPr>
                <w:rFonts w:asciiTheme="minorHAnsi" w:eastAsia="Times New Roman" w:hAnsiTheme="minorHAnsi"/>
                <w:iCs/>
                <w:szCs w:val="17"/>
                <w:lang w:eastAsia="en-US"/>
              </w:rPr>
              <w:t>Investment name</w:t>
            </w:r>
          </w:p>
        </w:tc>
        <w:tc>
          <w:tcPr>
            <w:tcW w:w="568" w:type="pct"/>
            <w:textDirection w:val="btLr"/>
          </w:tcPr>
          <w:p w14:paraId="7D87B25C" w14:textId="77777777" w:rsidR="00390828" w:rsidRPr="00EC3906" w:rsidRDefault="00390828" w:rsidP="00390828">
            <w:pPr>
              <w:keepLines/>
              <w:spacing w:before="80" w:after="80" w:line="200" w:lineRule="atLeast"/>
              <w:rPr>
                <w:rFonts w:asciiTheme="minorHAnsi" w:eastAsia="Times New Roman" w:hAnsiTheme="minorHAnsi"/>
                <w:iCs/>
                <w:szCs w:val="17"/>
                <w:lang w:eastAsia="en-US"/>
              </w:rPr>
            </w:pPr>
            <w:r w:rsidRPr="00EC3906">
              <w:rPr>
                <w:rFonts w:asciiTheme="minorHAnsi" w:eastAsia="Times New Roman" w:hAnsiTheme="minorHAnsi"/>
                <w:iCs/>
                <w:szCs w:val="17"/>
                <w:lang w:eastAsia="en-US"/>
              </w:rPr>
              <w:t>Approved budget and duration</w:t>
            </w:r>
          </w:p>
        </w:tc>
        <w:tc>
          <w:tcPr>
            <w:tcW w:w="316" w:type="pct"/>
            <w:noWrap/>
            <w:textDirection w:val="btLr"/>
          </w:tcPr>
          <w:p w14:paraId="59D278A5" w14:textId="77777777" w:rsidR="00390828" w:rsidRPr="00EC3906" w:rsidRDefault="00390828" w:rsidP="00390828">
            <w:pPr>
              <w:keepLines/>
              <w:spacing w:before="80" w:after="80" w:line="200" w:lineRule="atLeast"/>
              <w:rPr>
                <w:rFonts w:asciiTheme="minorHAnsi" w:eastAsia="Times New Roman" w:hAnsiTheme="minorHAnsi"/>
                <w:iCs/>
                <w:szCs w:val="17"/>
                <w:lang w:eastAsia="en-US"/>
              </w:rPr>
            </w:pPr>
            <w:r w:rsidRPr="00EC3906">
              <w:rPr>
                <w:rFonts w:asciiTheme="minorHAnsi" w:eastAsia="Times New Roman" w:hAnsiTheme="minorHAnsi"/>
                <w:iCs/>
                <w:szCs w:val="17"/>
                <w:lang w:eastAsia="en-US"/>
              </w:rPr>
              <w:t>Effectiveness</w:t>
            </w:r>
          </w:p>
        </w:tc>
        <w:tc>
          <w:tcPr>
            <w:tcW w:w="325" w:type="pct"/>
            <w:noWrap/>
            <w:textDirection w:val="btLr"/>
          </w:tcPr>
          <w:p w14:paraId="7A6B2A47" w14:textId="77777777" w:rsidR="00390828" w:rsidRPr="00EC3906" w:rsidRDefault="00390828" w:rsidP="00390828">
            <w:pPr>
              <w:keepLines/>
              <w:spacing w:before="80" w:after="80" w:line="200" w:lineRule="atLeast"/>
              <w:rPr>
                <w:rFonts w:asciiTheme="minorHAnsi" w:eastAsia="Times New Roman" w:hAnsiTheme="minorHAnsi"/>
                <w:iCs/>
                <w:szCs w:val="17"/>
                <w:lang w:eastAsia="en-US"/>
              </w:rPr>
            </w:pPr>
            <w:r w:rsidRPr="00EC3906">
              <w:rPr>
                <w:rFonts w:asciiTheme="minorHAnsi" w:eastAsia="Times New Roman" w:hAnsiTheme="minorHAnsi"/>
                <w:iCs/>
                <w:szCs w:val="17"/>
                <w:lang w:eastAsia="en-US"/>
              </w:rPr>
              <w:t>Efficiency</w:t>
            </w:r>
          </w:p>
        </w:tc>
        <w:tc>
          <w:tcPr>
            <w:tcW w:w="319" w:type="pct"/>
            <w:noWrap/>
            <w:textDirection w:val="btLr"/>
          </w:tcPr>
          <w:p w14:paraId="7C41EBE9" w14:textId="77777777" w:rsidR="00390828" w:rsidRPr="00EC3906" w:rsidRDefault="00390828" w:rsidP="00390828">
            <w:pPr>
              <w:keepLines/>
              <w:spacing w:before="80" w:after="80" w:line="200" w:lineRule="atLeast"/>
              <w:rPr>
                <w:rFonts w:asciiTheme="minorHAnsi" w:eastAsia="Times New Roman" w:hAnsiTheme="minorHAnsi"/>
                <w:iCs/>
                <w:szCs w:val="17"/>
                <w:lang w:eastAsia="en-US"/>
              </w:rPr>
            </w:pPr>
            <w:r w:rsidRPr="00EC3906">
              <w:rPr>
                <w:rFonts w:asciiTheme="minorHAnsi" w:eastAsia="Times New Roman" w:hAnsiTheme="minorHAnsi"/>
                <w:iCs/>
                <w:szCs w:val="17"/>
                <w:lang w:eastAsia="en-US"/>
              </w:rPr>
              <w:t>Gender equality</w:t>
            </w:r>
          </w:p>
        </w:tc>
        <w:tc>
          <w:tcPr>
            <w:tcW w:w="334" w:type="pct"/>
            <w:noWrap/>
            <w:textDirection w:val="btLr"/>
          </w:tcPr>
          <w:p w14:paraId="08044F3F" w14:textId="77777777" w:rsidR="00390828" w:rsidRPr="00EC3906" w:rsidRDefault="00390828" w:rsidP="00390828">
            <w:pPr>
              <w:keepLines/>
              <w:spacing w:before="80" w:after="80" w:line="200" w:lineRule="atLeast"/>
              <w:rPr>
                <w:rFonts w:asciiTheme="minorHAnsi" w:eastAsia="Times New Roman" w:hAnsiTheme="minorHAnsi"/>
                <w:iCs/>
                <w:szCs w:val="17"/>
                <w:lang w:eastAsia="en-US"/>
              </w:rPr>
            </w:pPr>
            <w:r w:rsidRPr="00EC3906">
              <w:rPr>
                <w:rFonts w:asciiTheme="minorHAnsi" w:eastAsia="Times New Roman" w:hAnsiTheme="minorHAnsi"/>
                <w:iCs/>
                <w:szCs w:val="17"/>
                <w:lang w:eastAsia="en-US"/>
              </w:rPr>
              <w:t>Relevance</w:t>
            </w:r>
          </w:p>
        </w:tc>
        <w:tc>
          <w:tcPr>
            <w:tcW w:w="367" w:type="pct"/>
            <w:noWrap/>
            <w:textDirection w:val="btLr"/>
          </w:tcPr>
          <w:p w14:paraId="2860D245" w14:textId="77777777" w:rsidR="00390828" w:rsidRPr="00EC3906" w:rsidRDefault="00390828" w:rsidP="00390828">
            <w:pPr>
              <w:keepLines/>
              <w:spacing w:before="80" w:after="80" w:line="200" w:lineRule="atLeast"/>
              <w:rPr>
                <w:rFonts w:asciiTheme="minorHAnsi" w:eastAsia="Times New Roman" w:hAnsiTheme="minorHAnsi"/>
                <w:iCs/>
                <w:szCs w:val="17"/>
                <w:lang w:eastAsia="en-US"/>
              </w:rPr>
            </w:pPr>
            <w:r w:rsidRPr="00EC3906">
              <w:rPr>
                <w:rFonts w:asciiTheme="minorHAnsi" w:eastAsia="Times New Roman" w:hAnsiTheme="minorHAnsi"/>
                <w:iCs/>
                <w:szCs w:val="17"/>
                <w:lang w:eastAsia="en-US"/>
              </w:rPr>
              <w:t>Monitoring and Evaluation</w:t>
            </w:r>
          </w:p>
        </w:tc>
        <w:tc>
          <w:tcPr>
            <w:tcW w:w="333" w:type="pct"/>
            <w:noWrap/>
            <w:textDirection w:val="btLr"/>
          </w:tcPr>
          <w:p w14:paraId="256F6541" w14:textId="77777777" w:rsidR="00390828" w:rsidRPr="00EC3906" w:rsidRDefault="00390828" w:rsidP="00390828">
            <w:pPr>
              <w:keepLines/>
              <w:spacing w:before="80" w:after="80" w:line="200" w:lineRule="atLeast"/>
              <w:rPr>
                <w:rFonts w:asciiTheme="minorHAnsi" w:eastAsia="Times New Roman" w:hAnsiTheme="minorHAnsi"/>
                <w:iCs/>
                <w:szCs w:val="17"/>
                <w:lang w:eastAsia="en-US"/>
              </w:rPr>
            </w:pPr>
            <w:r w:rsidRPr="00EC3906">
              <w:rPr>
                <w:rFonts w:asciiTheme="minorHAnsi" w:eastAsia="Times New Roman" w:hAnsiTheme="minorHAnsi"/>
                <w:iCs/>
                <w:szCs w:val="17"/>
                <w:lang w:eastAsia="en-US"/>
              </w:rPr>
              <w:t>Connectedness</w:t>
            </w:r>
          </w:p>
        </w:tc>
        <w:tc>
          <w:tcPr>
            <w:tcW w:w="363" w:type="pct"/>
            <w:textDirection w:val="btLr"/>
          </w:tcPr>
          <w:p w14:paraId="3D8C2D54" w14:textId="77777777" w:rsidR="00390828" w:rsidRPr="00EC3906" w:rsidRDefault="00390828" w:rsidP="00390828">
            <w:pPr>
              <w:keepLines/>
              <w:spacing w:before="80" w:after="80" w:line="200" w:lineRule="atLeast"/>
              <w:rPr>
                <w:rFonts w:asciiTheme="minorHAnsi" w:eastAsia="Times New Roman" w:hAnsiTheme="minorHAnsi"/>
                <w:iCs/>
                <w:szCs w:val="17"/>
                <w:lang w:eastAsia="en-US"/>
              </w:rPr>
            </w:pPr>
            <w:r w:rsidRPr="00EC3906">
              <w:rPr>
                <w:rFonts w:asciiTheme="minorHAnsi" w:eastAsia="Times New Roman" w:hAnsiTheme="minorHAnsi"/>
                <w:iCs/>
                <w:szCs w:val="17"/>
                <w:lang w:eastAsia="en-US"/>
              </w:rPr>
              <w:t>Protection</w:t>
            </w:r>
          </w:p>
        </w:tc>
        <w:tc>
          <w:tcPr>
            <w:tcW w:w="353" w:type="pct"/>
            <w:textDirection w:val="btLr"/>
          </w:tcPr>
          <w:p w14:paraId="45B3CAA1"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p>
        </w:tc>
      </w:tr>
      <w:tr w:rsidR="00390828" w:rsidRPr="00812509" w14:paraId="7CB3A4C9" w14:textId="77777777" w:rsidTr="00D0109B">
        <w:trPr>
          <w:cnfStyle w:val="100000000000" w:firstRow="1" w:lastRow="0" w:firstColumn="0" w:lastColumn="0" w:oddVBand="0" w:evenVBand="0" w:oddHBand="0" w:evenHBand="0" w:firstRowFirstColumn="0" w:firstRowLastColumn="0" w:lastRowFirstColumn="0" w:lastRowLastColumn="0"/>
          <w:trHeight w:val="284"/>
        </w:trPr>
        <w:tc>
          <w:tcPr>
            <w:tcW w:w="1559" w:type="pct"/>
            <w:tcBorders>
              <w:top w:val="single" w:sz="2" w:space="0" w:color="65C5B4" w:themeColor="accent1"/>
            </w:tcBorders>
            <w:vAlign w:val="center"/>
          </w:tcPr>
          <w:p w14:paraId="2037DC77" w14:textId="77777777" w:rsidR="00390828" w:rsidRPr="00EC3906" w:rsidRDefault="00D64D4A" w:rsidP="001A7ED5">
            <w:pPr>
              <w:keepLines/>
              <w:spacing w:before="40" w:after="40" w:line="200" w:lineRule="atLeast"/>
              <w:rPr>
                <w:rFonts w:asciiTheme="minorHAnsi" w:eastAsia="Times New Roman" w:hAnsiTheme="minorHAnsi" w:cstheme="minorHAnsi"/>
                <w:iCs/>
                <w:color w:val="auto"/>
                <w:szCs w:val="17"/>
              </w:rPr>
            </w:pPr>
            <w:r w:rsidRPr="00EC3906">
              <w:rPr>
                <w:rFonts w:asciiTheme="minorHAnsi" w:eastAsia="Times New Roman" w:hAnsiTheme="minorHAnsi" w:cstheme="minorHAnsi"/>
                <w:iCs/>
                <w:color w:val="auto"/>
                <w:szCs w:val="17"/>
              </w:rPr>
              <w:t>Rohingya Humanitarian Response</w:t>
            </w:r>
          </w:p>
        </w:tc>
        <w:tc>
          <w:tcPr>
            <w:tcW w:w="568" w:type="pct"/>
            <w:tcBorders>
              <w:top w:val="single" w:sz="2" w:space="0" w:color="65C5B4" w:themeColor="accent1"/>
            </w:tcBorders>
          </w:tcPr>
          <w:p w14:paraId="1A1195D4" w14:textId="77777777" w:rsidR="00390828" w:rsidRPr="00EC3906" w:rsidRDefault="00390828" w:rsidP="00390828">
            <w:pPr>
              <w:autoSpaceDE w:val="0"/>
              <w:autoSpaceDN w:val="0"/>
              <w:adjustRightInd w:val="0"/>
              <w:rPr>
                <w:rFonts w:asciiTheme="minorHAnsi" w:hAnsiTheme="minorHAnsi" w:cstheme="minorHAnsi"/>
                <w:color w:val="auto"/>
                <w:szCs w:val="17"/>
              </w:rPr>
            </w:pPr>
            <w:r w:rsidRPr="00EC3906">
              <w:rPr>
                <w:rFonts w:asciiTheme="minorHAnsi" w:hAnsiTheme="minorHAnsi" w:cstheme="minorHAnsi"/>
                <w:color w:val="auto"/>
                <w:szCs w:val="17"/>
              </w:rPr>
              <w:t>$</w:t>
            </w:r>
            <w:r w:rsidR="001D5001" w:rsidRPr="00EC3906">
              <w:rPr>
                <w:rFonts w:asciiTheme="minorHAnsi" w:hAnsiTheme="minorHAnsi" w:cstheme="minorHAnsi"/>
                <w:color w:val="auto"/>
                <w:szCs w:val="17"/>
              </w:rPr>
              <w:t>39.7m</w:t>
            </w:r>
            <w:r w:rsidRPr="00EC3906">
              <w:rPr>
                <w:rFonts w:asciiTheme="minorHAnsi" w:hAnsiTheme="minorHAnsi" w:cstheme="minorHAnsi"/>
                <w:color w:val="auto"/>
                <w:szCs w:val="17"/>
              </w:rPr>
              <w:t xml:space="preserve"> </w:t>
            </w:r>
            <w:r w:rsidR="00D21727" w:rsidRPr="00EC3906">
              <w:rPr>
                <w:rFonts w:asciiTheme="minorHAnsi" w:hAnsiTheme="minorHAnsi" w:cstheme="minorHAnsi"/>
                <w:color w:val="auto"/>
                <w:szCs w:val="17"/>
              </w:rPr>
              <w:t xml:space="preserve"> 20</w:t>
            </w:r>
            <w:bookmarkStart w:id="0" w:name="_GoBack"/>
            <w:bookmarkEnd w:id="0"/>
            <w:r w:rsidR="00D21727" w:rsidRPr="00EC3906">
              <w:rPr>
                <w:rFonts w:asciiTheme="minorHAnsi" w:hAnsiTheme="minorHAnsi" w:cstheme="minorHAnsi"/>
                <w:color w:val="auto"/>
                <w:szCs w:val="17"/>
              </w:rPr>
              <w:t>1</w:t>
            </w:r>
            <w:r w:rsidR="003B2DF5" w:rsidRPr="00EC3906">
              <w:rPr>
                <w:rFonts w:asciiTheme="minorHAnsi" w:hAnsiTheme="minorHAnsi" w:cstheme="minorHAnsi"/>
                <w:color w:val="auto"/>
                <w:szCs w:val="17"/>
              </w:rPr>
              <w:t>8</w:t>
            </w:r>
            <w:r w:rsidR="00D21727" w:rsidRPr="00EC3906">
              <w:rPr>
                <w:rFonts w:asciiTheme="minorHAnsi" w:hAnsiTheme="minorHAnsi" w:cstheme="minorHAnsi"/>
                <w:color w:val="auto"/>
                <w:szCs w:val="17"/>
              </w:rPr>
              <w:t>-</w:t>
            </w:r>
            <w:r w:rsidR="003B2DF5" w:rsidRPr="00EC3906">
              <w:rPr>
                <w:rFonts w:asciiTheme="minorHAnsi" w:hAnsiTheme="minorHAnsi" w:cstheme="minorHAnsi"/>
                <w:color w:val="auto"/>
                <w:szCs w:val="17"/>
              </w:rPr>
              <w:t>19</w:t>
            </w:r>
          </w:p>
          <w:p w14:paraId="2FAD9C44" w14:textId="77777777" w:rsidR="00390828" w:rsidRPr="00EC3906" w:rsidRDefault="00390828" w:rsidP="00D21727">
            <w:pPr>
              <w:keepLines/>
              <w:spacing w:before="40" w:after="40" w:line="200" w:lineRule="atLeast"/>
              <w:rPr>
                <w:rFonts w:asciiTheme="minorHAnsi" w:eastAsia="Times New Roman" w:hAnsiTheme="minorHAnsi" w:cstheme="minorHAnsi"/>
                <w:iCs/>
                <w:color w:val="auto"/>
                <w:szCs w:val="17"/>
                <w:lang w:eastAsia="en-US"/>
              </w:rPr>
            </w:pPr>
          </w:p>
        </w:tc>
        <w:tc>
          <w:tcPr>
            <w:tcW w:w="316" w:type="pct"/>
            <w:tcBorders>
              <w:top w:val="single" w:sz="2" w:space="0" w:color="65C5B4" w:themeColor="accent1"/>
            </w:tcBorders>
            <w:shd w:val="clear" w:color="auto" w:fill="auto"/>
            <w:noWrap/>
          </w:tcPr>
          <w:p w14:paraId="3250A3A9" w14:textId="77777777" w:rsidR="00390828" w:rsidRPr="00EC3906" w:rsidRDefault="00D64D4A" w:rsidP="00A30F2D">
            <w:pPr>
              <w:keepLines/>
              <w:spacing w:before="40" w:after="40" w:line="200" w:lineRule="atLeast"/>
              <w:jc w:val="center"/>
              <w:rPr>
                <w:rFonts w:asciiTheme="minorHAnsi" w:eastAsia="Times New Roman" w:hAnsiTheme="minorHAnsi" w:cstheme="minorHAnsi"/>
                <w:iCs/>
                <w:color w:val="auto"/>
                <w:szCs w:val="17"/>
                <w:lang w:eastAsia="en-US"/>
              </w:rPr>
            </w:pPr>
            <w:r w:rsidRPr="00EC3906">
              <w:rPr>
                <w:rFonts w:asciiTheme="minorHAnsi" w:eastAsia="Times New Roman" w:hAnsiTheme="minorHAnsi" w:cstheme="minorHAnsi"/>
                <w:iCs/>
                <w:color w:val="auto"/>
                <w:szCs w:val="17"/>
              </w:rPr>
              <w:t>5</w:t>
            </w:r>
          </w:p>
        </w:tc>
        <w:tc>
          <w:tcPr>
            <w:tcW w:w="325" w:type="pct"/>
            <w:tcBorders>
              <w:top w:val="single" w:sz="2" w:space="0" w:color="65C5B4" w:themeColor="accent1"/>
            </w:tcBorders>
            <w:shd w:val="clear" w:color="auto" w:fill="auto"/>
            <w:noWrap/>
          </w:tcPr>
          <w:p w14:paraId="5AA364C2" w14:textId="77777777" w:rsidR="00390828" w:rsidRPr="00EC3906" w:rsidRDefault="00D64D4A" w:rsidP="00A30F2D">
            <w:pPr>
              <w:keepLines/>
              <w:spacing w:before="40" w:after="40" w:line="200" w:lineRule="atLeast"/>
              <w:jc w:val="center"/>
              <w:rPr>
                <w:rFonts w:asciiTheme="minorHAnsi" w:eastAsia="Times New Roman" w:hAnsiTheme="minorHAnsi" w:cstheme="minorHAnsi"/>
                <w:iCs/>
                <w:color w:val="auto"/>
                <w:szCs w:val="17"/>
                <w:lang w:eastAsia="en-US"/>
              </w:rPr>
            </w:pPr>
            <w:r w:rsidRPr="00EC3906">
              <w:rPr>
                <w:rFonts w:asciiTheme="minorHAnsi" w:eastAsia="Times New Roman" w:hAnsiTheme="minorHAnsi" w:cstheme="minorHAnsi"/>
                <w:iCs/>
                <w:color w:val="auto"/>
                <w:szCs w:val="17"/>
              </w:rPr>
              <w:t>5</w:t>
            </w:r>
          </w:p>
        </w:tc>
        <w:tc>
          <w:tcPr>
            <w:tcW w:w="319" w:type="pct"/>
            <w:tcBorders>
              <w:top w:val="single" w:sz="2" w:space="0" w:color="65C5B4" w:themeColor="accent1"/>
            </w:tcBorders>
            <w:shd w:val="clear" w:color="auto" w:fill="auto"/>
            <w:noWrap/>
          </w:tcPr>
          <w:p w14:paraId="495D4290" w14:textId="77777777" w:rsidR="00390828" w:rsidRPr="00EC3906" w:rsidRDefault="00F10A29" w:rsidP="00A30F2D">
            <w:pPr>
              <w:keepLines/>
              <w:spacing w:before="40" w:after="40" w:line="200" w:lineRule="atLeast"/>
              <w:jc w:val="center"/>
              <w:rPr>
                <w:rFonts w:asciiTheme="minorHAnsi" w:eastAsia="Times New Roman" w:hAnsiTheme="minorHAnsi" w:cstheme="minorHAnsi"/>
                <w:iCs/>
                <w:color w:val="auto"/>
                <w:szCs w:val="17"/>
                <w:lang w:eastAsia="en-US"/>
              </w:rPr>
            </w:pPr>
            <w:r w:rsidRPr="00EC3906">
              <w:rPr>
                <w:rFonts w:asciiTheme="minorHAnsi" w:eastAsia="Times New Roman" w:hAnsiTheme="minorHAnsi" w:cstheme="minorHAnsi"/>
                <w:iCs/>
                <w:color w:val="auto"/>
                <w:szCs w:val="17"/>
              </w:rPr>
              <w:t>4</w:t>
            </w:r>
          </w:p>
        </w:tc>
        <w:tc>
          <w:tcPr>
            <w:tcW w:w="334" w:type="pct"/>
            <w:tcBorders>
              <w:top w:val="single" w:sz="2" w:space="0" w:color="65C5B4" w:themeColor="accent1"/>
            </w:tcBorders>
            <w:shd w:val="clear" w:color="auto" w:fill="auto"/>
            <w:noWrap/>
          </w:tcPr>
          <w:p w14:paraId="19CF7138" w14:textId="77777777" w:rsidR="00390828" w:rsidRPr="00EC3906" w:rsidRDefault="00D64D4A" w:rsidP="00A30F2D">
            <w:pPr>
              <w:keepLines/>
              <w:spacing w:before="40" w:after="40" w:line="200" w:lineRule="atLeast"/>
              <w:jc w:val="center"/>
              <w:rPr>
                <w:rFonts w:asciiTheme="minorHAnsi" w:eastAsia="Times New Roman" w:hAnsiTheme="minorHAnsi" w:cstheme="minorHAnsi"/>
                <w:iCs/>
                <w:color w:val="auto"/>
                <w:szCs w:val="17"/>
                <w:lang w:eastAsia="en-US"/>
              </w:rPr>
            </w:pPr>
            <w:r w:rsidRPr="00EC3906">
              <w:rPr>
                <w:rFonts w:asciiTheme="minorHAnsi" w:eastAsia="Times New Roman" w:hAnsiTheme="minorHAnsi" w:cstheme="minorHAnsi"/>
                <w:iCs/>
                <w:color w:val="auto"/>
                <w:szCs w:val="17"/>
              </w:rPr>
              <w:t>5</w:t>
            </w:r>
          </w:p>
        </w:tc>
        <w:tc>
          <w:tcPr>
            <w:tcW w:w="367" w:type="pct"/>
            <w:tcBorders>
              <w:top w:val="single" w:sz="2" w:space="0" w:color="65C5B4" w:themeColor="accent1"/>
            </w:tcBorders>
            <w:shd w:val="clear" w:color="auto" w:fill="auto"/>
            <w:noWrap/>
          </w:tcPr>
          <w:p w14:paraId="46374231" w14:textId="77777777" w:rsidR="00390828" w:rsidRPr="00EC3906" w:rsidRDefault="00F10A29" w:rsidP="00A30F2D">
            <w:pPr>
              <w:keepLines/>
              <w:spacing w:before="40" w:after="40" w:line="200" w:lineRule="atLeast"/>
              <w:jc w:val="center"/>
              <w:rPr>
                <w:rFonts w:asciiTheme="minorHAnsi" w:eastAsia="Times New Roman" w:hAnsiTheme="minorHAnsi" w:cstheme="minorHAnsi"/>
                <w:iCs/>
                <w:color w:val="auto"/>
                <w:szCs w:val="17"/>
                <w:lang w:eastAsia="en-US"/>
              </w:rPr>
            </w:pPr>
            <w:r w:rsidRPr="00EC3906">
              <w:rPr>
                <w:rFonts w:asciiTheme="minorHAnsi" w:eastAsia="Times New Roman" w:hAnsiTheme="minorHAnsi" w:cstheme="minorHAnsi"/>
                <w:iCs/>
                <w:color w:val="auto"/>
                <w:szCs w:val="17"/>
              </w:rPr>
              <w:t>4</w:t>
            </w:r>
          </w:p>
        </w:tc>
        <w:tc>
          <w:tcPr>
            <w:tcW w:w="333" w:type="pct"/>
            <w:tcBorders>
              <w:top w:val="single" w:sz="2" w:space="0" w:color="65C5B4" w:themeColor="accent1"/>
            </w:tcBorders>
            <w:shd w:val="clear" w:color="auto" w:fill="auto"/>
            <w:noWrap/>
          </w:tcPr>
          <w:p w14:paraId="50F32B44" w14:textId="77777777" w:rsidR="00390828" w:rsidRPr="00EC3906" w:rsidRDefault="00D64D4A" w:rsidP="00A30F2D">
            <w:pPr>
              <w:keepLines/>
              <w:spacing w:before="40" w:after="40" w:line="200" w:lineRule="atLeast"/>
              <w:jc w:val="center"/>
              <w:rPr>
                <w:rFonts w:asciiTheme="minorHAnsi" w:eastAsia="Times New Roman" w:hAnsiTheme="minorHAnsi" w:cstheme="minorHAnsi"/>
                <w:iCs/>
                <w:color w:val="auto"/>
                <w:szCs w:val="17"/>
                <w:lang w:eastAsia="en-US"/>
              </w:rPr>
            </w:pPr>
            <w:r w:rsidRPr="00EC3906">
              <w:rPr>
                <w:rFonts w:asciiTheme="minorHAnsi" w:eastAsia="Times New Roman" w:hAnsiTheme="minorHAnsi" w:cstheme="minorHAnsi"/>
                <w:iCs/>
                <w:color w:val="auto"/>
                <w:szCs w:val="17"/>
              </w:rPr>
              <w:t>5</w:t>
            </w:r>
          </w:p>
        </w:tc>
        <w:tc>
          <w:tcPr>
            <w:tcW w:w="363" w:type="pct"/>
            <w:tcBorders>
              <w:top w:val="single" w:sz="2" w:space="0" w:color="65C5B4" w:themeColor="accent1"/>
            </w:tcBorders>
            <w:shd w:val="clear" w:color="auto" w:fill="auto"/>
          </w:tcPr>
          <w:p w14:paraId="1BCFA4E6" w14:textId="77777777" w:rsidR="00390828" w:rsidRPr="00EC3906" w:rsidRDefault="00D64D4A" w:rsidP="00A30F2D">
            <w:pPr>
              <w:keepLines/>
              <w:spacing w:before="40" w:after="40" w:line="200" w:lineRule="atLeast"/>
              <w:jc w:val="center"/>
              <w:rPr>
                <w:rFonts w:asciiTheme="minorHAnsi" w:eastAsia="Times New Roman" w:hAnsiTheme="minorHAnsi" w:cstheme="minorHAnsi"/>
                <w:iCs/>
                <w:color w:val="auto"/>
                <w:szCs w:val="17"/>
                <w:lang w:eastAsia="en-US"/>
              </w:rPr>
            </w:pPr>
            <w:r w:rsidRPr="00EC3906">
              <w:rPr>
                <w:rFonts w:asciiTheme="minorHAnsi" w:eastAsia="Times New Roman" w:hAnsiTheme="minorHAnsi" w:cstheme="minorHAnsi"/>
                <w:iCs/>
                <w:color w:val="auto"/>
                <w:szCs w:val="17"/>
              </w:rPr>
              <w:t>5</w:t>
            </w:r>
          </w:p>
        </w:tc>
        <w:tc>
          <w:tcPr>
            <w:tcW w:w="353" w:type="pct"/>
            <w:shd w:val="clear" w:color="auto" w:fill="auto"/>
          </w:tcPr>
          <w:p w14:paraId="07F5D331" w14:textId="77777777" w:rsidR="00390828" w:rsidRPr="00812509" w:rsidRDefault="00390828" w:rsidP="00390828">
            <w:pPr>
              <w:keepLines/>
              <w:spacing w:before="40" w:after="40" w:line="200" w:lineRule="atLeast"/>
              <w:jc w:val="center"/>
              <w:rPr>
                <w:rFonts w:asciiTheme="minorHAnsi" w:eastAsia="Times New Roman" w:hAnsiTheme="minorHAnsi"/>
                <w:iCs/>
                <w:szCs w:val="17"/>
                <w:lang w:eastAsia="en-US"/>
              </w:rPr>
            </w:pPr>
          </w:p>
        </w:tc>
      </w:tr>
      <w:tr w:rsidR="00712FB7" w:rsidRPr="00812509" w14:paraId="5BD5D874" w14:textId="77777777" w:rsidTr="00D0109B">
        <w:trPr>
          <w:cnfStyle w:val="100000000000" w:firstRow="1" w:lastRow="0" w:firstColumn="0" w:lastColumn="0" w:oddVBand="0" w:evenVBand="0" w:oddHBand="0" w:evenHBand="0" w:firstRowFirstColumn="0" w:firstRowLastColumn="0" w:lastRowFirstColumn="0" w:lastRowLastColumn="0"/>
          <w:trHeight w:val="284"/>
        </w:trPr>
        <w:tc>
          <w:tcPr>
            <w:tcW w:w="1559" w:type="pct"/>
            <w:tcBorders>
              <w:top w:val="single" w:sz="2" w:space="0" w:color="65C5B4" w:themeColor="accent1"/>
              <w:bottom w:val="single" w:sz="2" w:space="0" w:color="65C5B4" w:themeColor="accent1"/>
            </w:tcBorders>
            <w:vAlign w:val="center"/>
          </w:tcPr>
          <w:p w14:paraId="12C5B6BF" w14:textId="77777777" w:rsidR="00712FB7" w:rsidRPr="00EC3906" w:rsidRDefault="00712FB7" w:rsidP="00712FB7">
            <w:pPr>
              <w:keepLines/>
              <w:spacing w:before="40" w:after="40" w:line="200" w:lineRule="atLeast"/>
              <w:rPr>
                <w:rFonts w:asciiTheme="minorHAnsi" w:eastAsia="Times New Roman" w:hAnsiTheme="minorHAnsi" w:cstheme="minorHAnsi"/>
                <w:iCs/>
                <w:color w:val="auto"/>
                <w:szCs w:val="17"/>
              </w:rPr>
            </w:pPr>
            <w:r w:rsidRPr="00EC3906">
              <w:rPr>
                <w:rFonts w:asciiTheme="minorHAnsi" w:eastAsia="Times New Roman" w:hAnsiTheme="minorHAnsi" w:cstheme="minorHAnsi"/>
                <w:iCs/>
                <w:color w:val="auto"/>
                <w:szCs w:val="17"/>
              </w:rPr>
              <w:t xml:space="preserve">Strategic Partnership </w:t>
            </w:r>
            <w:r w:rsidR="00F10A29" w:rsidRPr="00EC3906">
              <w:rPr>
                <w:rFonts w:asciiTheme="minorHAnsi" w:eastAsia="Times New Roman" w:hAnsiTheme="minorHAnsi" w:cstheme="minorHAnsi"/>
                <w:iCs/>
                <w:color w:val="auto"/>
                <w:szCs w:val="17"/>
              </w:rPr>
              <w:t xml:space="preserve">Arrangement </w:t>
            </w:r>
            <w:r w:rsidRPr="00EC3906">
              <w:rPr>
                <w:rFonts w:asciiTheme="minorHAnsi" w:eastAsia="Times New Roman" w:hAnsiTheme="minorHAnsi" w:cstheme="minorHAnsi"/>
                <w:iCs/>
                <w:color w:val="auto"/>
                <w:szCs w:val="17"/>
              </w:rPr>
              <w:t xml:space="preserve">with the World Food Program </w:t>
            </w:r>
          </w:p>
        </w:tc>
        <w:tc>
          <w:tcPr>
            <w:tcW w:w="568" w:type="pct"/>
            <w:tcBorders>
              <w:top w:val="single" w:sz="2" w:space="0" w:color="65C5B4" w:themeColor="accent1"/>
            </w:tcBorders>
          </w:tcPr>
          <w:p w14:paraId="46007D73" w14:textId="77777777" w:rsidR="00EC3906" w:rsidRPr="00EC3906" w:rsidRDefault="00712FB7" w:rsidP="00EC3906">
            <w:pPr>
              <w:autoSpaceDE w:val="0"/>
              <w:autoSpaceDN w:val="0"/>
              <w:adjustRightInd w:val="0"/>
              <w:rPr>
                <w:rFonts w:asciiTheme="minorHAnsi" w:hAnsiTheme="minorHAnsi" w:cstheme="minorHAnsi"/>
                <w:color w:val="auto"/>
                <w:szCs w:val="17"/>
              </w:rPr>
            </w:pPr>
            <w:r w:rsidRPr="00EC3906">
              <w:rPr>
                <w:rFonts w:asciiTheme="minorHAnsi" w:hAnsiTheme="minorHAnsi" w:cstheme="minorHAnsi"/>
                <w:color w:val="auto"/>
                <w:szCs w:val="17"/>
              </w:rPr>
              <w:t xml:space="preserve">$13.2m </w:t>
            </w:r>
            <w:r w:rsidRPr="00EC3906">
              <w:rPr>
                <w:rFonts w:asciiTheme="minorHAnsi" w:eastAsia="Times New Roman" w:hAnsiTheme="minorHAnsi" w:cstheme="minorHAnsi"/>
                <w:iCs/>
                <w:color w:val="auto"/>
                <w:szCs w:val="17"/>
                <w:lang w:eastAsia="en-US"/>
              </w:rPr>
              <w:t>2017-20</w:t>
            </w:r>
          </w:p>
        </w:tc>
        <w:tc>
          <w:tcPr>
            <w:tcW w:w="316" w:type="pct"/>
            <w:tcBorders>
              <w:top w:val="single" w:sz="2" w:space="0" w:color="65C5B4" w:themeColor="accent1"/>
            </w:tcBorders>
            <w:shd w:val="clear" w:color="auto" w:fill="auto"/>
            <w:noWrap/>
          </w:tcPr>
          <w:p w14:paraId="1BD98A3C" w14:textId="77777777" w:rsidR="00712FB7" w:rsidRPr="00EC3906" w:rsidRDefault="00712FB7" w:rsidP="00712FB7">
            <w:pPr>
              <w:keepLines/>
              <w:spacing w:before="40" w:after="40" w:line="200" w:lineRule="atLeast"/>
              <w:jc w:val="center"/>
              <w:rPr>
                <w:rFonts w:asciiTheme="minorHAnsi" w:eastAsia="Times New Roman" w:hAnsiTheme="minorHAnsi" w:cstheme="minorHAnsi"/>
                <w:iCs/>
                <w:color w:val="auto"/>
                <w:szCs w:val="17"/>
                <w:lang w:eastAsia="en-US"/>
              </w:rPr>
            </w:pPr>
            <w:r w:rsidRPr="00EC3906">
              <w:rPr>
                <w:rFonts w:asciiTheme="minorHAnsi" w:hAnsiTheme="minorHAnsi" w:cstheme="minorHAnsi"/>
                <w:color w:val="auto"/>
                <w:szCs w:val="17"/>
              </w:rPr>
              <w:t>5</w:t>
            </w:r>
          </w:p>
        </w:tc>
        <w:tc>
          <w:tcPr>
            <w:tcW w:w="325" w:type="pct"/>
            <w:tcBorders>
              <w:top w:val="single" w:sz="2" w:space="0" w:color="65C5B4" w:themeColor="accent1"/>
            </w:tcBorders>
            <w:shd w:val="clear" w:color="auto" w:fill="auto"/>
            <w:noWrap/>
          </w:tcPr>
          <w:p w14:paraId="0398D107" w14:textId="77777777" w:rsidR="00712FB7" w:rsidRPr="00EC3906" w:rsidRDefault="00712FB7" w:rsidP="00712FB7">
            <w:pPr>
              <w:keepLines/>
              <w:spacing w:before="40" w:after="40" w:line="200" w:lineRule="atLeast"/>
              <w:jc w:val="center"/>
              <w:rPr>
                <w:rFonts w:asciiTheme="minorHAnsi" w:eastAsia="Times New Roman" w:hAnsiTheme="minorHAnsi" w:cstheme="minorHAnsi"/>
                <w:iCs/>
                <w:color w:val="auto"/>
                <w:szCs w:val="17"/>
                <w:lang w:eastAsia="en-US"/>
              </w:rPr>
            </w:pPr>
            <w:r w:rsidRPr="00EC3906">
              <w:rPr>
                <w:rFonts w:asciiTheme="minorHAnsi" w:hAnsiTheme="minorHAnsi" w:cstheme="minorHAnsi"/>
                <w:color w:val="auto"/>
                <w:szCs w:val="17"/>
              </w:rPr>
              <w:t>5</w:t>
            </w:r>
          </w:p>
        </w:tc>
        <w:tc>
          <w:tcPr>
            <w:tcW w:w="319" w:type="pct"/>
            <w:tcBorders>
              <w:top w:val="single" w:sz="2" w:space="0" w:color="65C5B4" w:themeColor="accent1"/>
            </w:tcBorders>
            <w:shd w:val="clear" w:color="auto" w:fill="auto"/>
            <w:noWrap/>
          </w:tcPr>
          <w:p w14:paraId="1897B9FC" w14:textId="77777777" w:rsidR="00712FB7" w:rsidRPr="00EC3906" w:rsidRDefault="00F10A29" w:rsidP="00A30F2D">
            <w:pPr>
              <w:keepLines/>
              <w:spacing w:before="40" w:after="40" w:line="200" w:lineRule="atLeast"/>
              <w:jc w:val="center"/>
              <w:rPr>
                <w:rFonts w:asciiTheme="minorHAnsi" w:eastAsia="Times New Roman" w:hAnsiTheme="minorHAnsi" w:cstheme="minorHAnsi"/>
                <w:iCs/>
                <w:color w:val="auto"/>
                <w:szCs w:val="17"/>
                <w:lang w:eastAsia="en-US"/>
              </w:rPr>
            </w:pPr>
            <w:r w:rsidRPr="00EC3906">
              <w:rPr>
                <w:rFonts w:asciiTheme="minorHAnsi" w:hAnsiTheme="minorHAnsi" w:cstheme="minorHAnsi"/>
                <w:color w:val="auto"/>
                <w:szCs w:val="17"/>
              </w:rPr>
              <w:t>5</w:t>
            </w:r>
          </w:p>
        </w:tc>
        <w:tc>
          <w:tcPr>
            <w:tcW w:w="334" w:type="pct"/>
            <w:tcBorders>
              <w:top w:val="single" w:sz="2" w:space="0" w:color="65C5B4" w:themeColor="accent1"/>
            </w:tcBorders>
            <w:shd w:val="clear" w:color="auto" w:fill="auto"/>
            <w:noWrap/>
          </w:tcPr>
          <w:p w14:paraId="0FC6B41E" w14:textId="77777777" w:rsidR="00712FB7" w:rsidRPr="00EC3906" w:rsidRDefault="00712FB7" w:rsidP="00712FB7">
            <w:pPr>
              <w:keepLines/>
              <w:spacing w:before="40" w:after="40" w:line="200" w:lineRule="atLeast"/>
              <w:jc w:val="center"/>
              <w:rPr>
                <w:rFonts w:asciiTheme="minorHAnsi" w:eastAsia="Times New Roman" w:hAnsiTheme="minorHAnsi" w:cstheme="minorHAnsi"/>
                <w:iCs/>
                <w:color w:val="auto"/>
                <w:szCs w:val="17"/>
                <w:lang w:eastAsia="en-US"/>
              </w:rPr>
            </w:pPr>
            <w:r w:rsidRPr="00EC3906">
              <w:rPr>
                <w:rFonts w:asciiTheme="minorHAnsi" w:hAnsiTheme="minorHAnsi" w:cstheme="minorHAnsi"/>
                <w:color w:val="auto"/>
                <w:szCs w:val="17"/>
              </w:rPr>
              <w:t>5</w:t>
            </w:r>
          </w:p>
        </w:tc>
        <w:tc>
          <w:tcPr>
            <w:tcW w:w="367" w:type="pct"/>
            <w:tcBorders>
              <w:top w:val="single" w:sz="2" w:space="0" w:color="65C5B4" w:themeColor="accent1"/>
            </w:tcBorders>
            <w:shd w:val="clear" w:color="auto" w:fill="auto"/>
            <w:noWrap/>
          </w:tcPr>
          <w:p w14:paraId="54F8A5E2" w14:textId="77777777" w:rsidR="00712FB7" w:rsidRPr="00EC3906" w:rsidRDefault="00712FB7" w:rsidP="00712FB7">
            <w:pPr>
              <w:keepLines/>
              <w:spacing w:before="40" w:after="40" w:line="200" w:lineRule="atLeast"/>
              <w:jc w:val="center"/>
              <w:rPr>
                <w:rFonts w:asciiTheme="minorHAnsi" w:eastAsia="Times New Roman" w:hAnsiTheme="minorHAnsi" w:cstheme="minorHAnsi"/>
                <w:iCs/>
                <w:color w:val="auto"/>
                <w:szCs w:val="17"/>
                <w:lang w:eastAsia="en-US"/>
              </w:rPr>
            </w:pPr>
            <w:r w:rsidRPr="00EC3906">
              <w:rPr>
                <w:rFonts w:asciiTheme="minorHAnsi" w:hAnsiTheme="minorHAnsi" w:cstheme="minorHAnsi"/>
                <w:color w:val="auto"/>
                <w:szCs w:val="17"/>
              </w:rPr>
              <w:t>5</w:t>
            </w:r>
          </w:p>
        </w:tc>
        <w:tc>
          <w:tcPr>
            <w:tcW w:w="333" w:type="pct"/>
            <w:tcBorders>
              <w:top w:val="single" w:sz="2" w:space="0" w:color="65C5B4" w:themeColor="accent1"/>
            </w:tcBorders>
            <w:shd w:val="clear" w:color="auto" w:fill="auto"/>
            <w:noWrap/>
          </w:tcPr>
          <w:p w14:paraId="6200B7C6" w14:textId="77777777" w:rsidR="00712FB7" w:rsidRPr="00EC3906" w:rsidRDefault="00712FB7" w:rsidP="00712FB7">
            <w:pPr>
              <w:keepLines/>
              <w:spacing w:before="40" w:after="40" w:line="200" w:lineRule="atLeast"/>
              <w:jc w:val="center"/>
              <w:rPr>
                <w:rFonts w:asciiTheme="minorHAnsi" w:eastAsia="Times New Roman" w:hAnsiTheme="minorHAnsi" w:cstheme="minorHAnsi"/>
                <w:iCs/>
                <w:color w:val="auto"/>
                <w:szCs w:val="17"/>
                <w:lang w:eastAsia="en-US"/>
              </w:rPr>
            </w:pPr>
            <w:r w:rsidRPr="00EC3906">
              <w:rPr>
                <w:rFonts w:asciiTheme="minorHAnsi" w:hAnsiTheme="minorHAnsi" w:cstheme="minorHAnsi"/>
                <w:color w:val="auto"/>
                <w:szCs w:val="17"/>
              </w:rPr>
              <w:t>5</w:t>
            </w:r>
          </w:p>
        </w:tc>
        <w:tc>
          <w:tcPr>
            <w:tcW w:w="363" w:type="pct"/>
            <w:tcBorders>
              <w:top w:val="single" w:sz="2" w:space="0" w:color="65C5B4" w:themeColor="accent1"/>
            </w:tcBorders>
            <w:shd w:val="clear" w:color="auto" w:fill="auto"/>
          </w:tcPr>
          <w:p w14:paraId="50971D9E" w14:textId="77777777" w:rsidR="00712FB7" w:rsidRPr="00EC3906" w:rsidRDefault="00712FB7" w:rsidP="00712FB7">
            <w:pPr>
              <w:keepLines/>
              <w:spacing w:before="40" w:after="40" w:line="200" w:lineRule="atLeast"/>
              <w:jc w:val="center"/>
              <w:rPr>
                <w:rFonts w:asciiTheme="minorHAnsi" w:eastAsia="Times New Roman" w:hAnsiTheme="minorHAnsi" w:cstheme="minorHAnsi"/>
                <w:iCs/>
                <w:color w:val="auto"/>
                <w:szCs w:val="17"/>
                <w:lang w:eastAsia="en-US"/>
              </w:rPr>
            </w:pPr>
            <w:r w:rsidRPr="00EC3906">
              <w:rPr>
                <w:rFonts w:asciiTheme="minorHAnsi" w:hAnsiTheme="minorHAnsi" w:cstheme="minorHAnsi"/>
                <w:color w:val="auto"/>
                <w:szCs w:val="17"/>
              </w:rPr>
              <w:t>5</w:t>
            </w:r>
          </w:p>
        </w:tc>
        <w:tc>
          <w:tcPr>
            <w:tcW w:w="353" w:type="pct"/>
            <w:shd w:val="clear" w:color="auto" w:fill="auto"/>
          </w:tcPr>
          <w:p w14:paraId="50580572" w14:textId="77777777" w:rsidR="00712FB7" w:rsidRPr="00812509" w:rsidRDefault="00712FB7" w:rsidP="00712FB7">
            <w:pPr>
              <w:keepLines/>
              <w:spacing w:before="40" w:after="40" w:line="200" w:lineRule="atLeast"/>
              <w:jc w:val="center"/>
              <w:rPr>
                <w:rFonts w:eastAsia="Times New Roman"/>
                <w:iCs/>
                <w:szCs w:val="17"/>
              </w:rPr>
            </w:pPr>
          </w:p>
        </w:tc>
      </w:tr>
      <w:tr w:rsidR="00EC3906" w:rsidRPr="00812509" w14:paraId="05639919" w14:textId="77777777" w:rsidTr="00D0109B">
        <w:trPr>
          <w:cnfStyle w:val="100000000000" w:firstRow="1" w:lastRow="0" w:firstColumn="0" w:lastColumn="0" w:oddVBand="0" w:evenVBand="0" w:oddHBand="0" w:evenHBand="0" w:firstRowFirstColumn="0" w:firstRowLastColumn="0" w:lastRowFirstColumn="0" w:lastRowLastColumn="0"/>
          <w:trHeight w:val="284"/>
        </w:trPr>
        <w:tc>
          <w:tcPr>
            <w:tcW w:w="1559" w:type="pct"/>
          </w:tcPr>
          <w:p w14:paraId="35DDC584" w14:textId="77777777" w:rsidR="00EC3906" w:rsidRPr="00EC3906" w:rsidRDefault="00EC3906" w:rsidP="00712FB7">
            <w:pPr>
              <w:keepLines/>
              <w:spacing w:before="40" w:after="40" w:line="200" w:lineRule="atLeast"/>
              <w:rPr>
                <w:rFonts w:eastAsia="Times New Roman" w:cstheme="minorHAnsi"/>
                <w:iCs/>
                <w:color w:val="auto"/>
                <w:szCs w:val="17"/>
              </w:rPr>
            </w:pPr>
          </w:p>
        </w:tc>
        <w:tc>
          <w:tcPr>
            <w:tcW w:w="568" w:type="pct"/>
            <w:tcBorders>
              <w:top w:val="single" w:sz="2" w:space="0" w:color="65C5B4" w:themeColor="accent1"/>
            </w:tcBorders>
          </w:tcPr>
          <w:p w14:paraId="17EF1799" w14:textId="77777777" w:rsidR="00EC3906" w:rsidRPr="00EC3906" w:rsidRDefault="00EC3906" w:rsidP="00EC3906">
            <w:pPr>
              <w:autoSpaceDE w:val="0"/>
              <w:autoSpaceDN w:val="0"/>
              <w:adjustRightInd w:val="0"/>
              <w:rPr>
                <w:rFonts w:cstheme="minorHAnsi"/>
                <w:color w:val="auto"/>
                <w:szCs w:val="17"/>
              </w:rPr>
            </w:pPr>
          </w:p>
        </w:tc>
        <w:tc>
          <w:tcPr>
            <w:tcW w:w="316" w:type="pct"/>
            <w:tcBorders>
              <w:top w:val="single" w:sz="2" w:space="0" w:color="65C5B4" w:themeColor="accent1"/>
            </w:tcBorders>
            <w:shd w:val="clear" w:color="auto" w:fill="auto"/>
            <w:noWrap/>
          </w:tcPr>
          <w:p w14:paraId="4A68F65D" w14:textId="77777777" w:rsidR="00EC3906" w:rsidRPr="00EC3906" w:rsidRDefault="00EC3906" w:rsidP="00712FB7">
            <w:pPr>
              <w:keepLines/>
              <w:spacing w:before="40" w:after="40" w:line="200" w:lineRule="atLeast"/>
              <w:jc w:val="center"/>
              <w:rPr>
                <w:rFonts w:cstheme="minorHAnsi"/>
                <w:color w:val="auto"/>
                <w:szCs w:val="17"/>
              </w:rPr>
            </w:pPr>
          </w:p>
        </w:tc>
        <w:tc>
          <w:tcPr>
            <w:tcW w:w="325" w:type="pct"/>
            <w:tcBorders>
              <w:top w:val="single" w:sz="2" w:space="0" w:color="65C5B4" w:themeColor="accent1"/>
            </w:tcBorders>
            <w:shd w:val="clear" w:color="auto" w:fill="auto"/>
            <w:noWrap/>
          </w:tcPr>
          <w:p w14:paraId="37C026F3" w14:textId="77777777" w:rsidR="00EC3906" w:rsidRPr="00EC3906" w:rsidRDefault="00EC3906" w:rsidP="00712FB7">
            <w:pPr>
              <w:keepLines/>
              <w:spacing w:before="40" w:after="40" w:line="200" w:lineRule="atLeast"/>
              <w:jc w:val="center"/>
              <w:rPr>
                <w:rFonts w:cstheme="minorHAnsi"/>
                <w:color w:val="auto"/>
                <w:szCs w:val="17"/>
              </w:rPr>
            </w:pPr>
          </w:p>
        </w:tc>
        <w:tc>
          <w:tcPr>
            <w:tcW w:w="319" w:type="pct"/>
            <w:tcBorders>
              <w:top w:val="single" w:sz="2" w:space="0" w:color="65C5B4" w:themeColor="accent1"/>
            </w:tcBorders>
            <w:shd w:val="clear" w:color="auto" w:fill="auto"/>
            <w:noWrap/>
          </w:tcPr>
          <w:p w14:paraId="61A317F6" w14:textId="77777777" w:rsidR="00EC3906" w:rsidRPr="00EC3906" w:rsidRDefault="00EC3906" w:rsidP="00A30F2D">
            <w:pPr>
              <w:keepLines/>
              <w:spacing w:before="40" w:after="40" w:line="200" w:lineRule="atLeast"/>
              <w:jc w:val="center"/>
              <w:rPr>
                <w:rFonts w:cstheme="minorHAnsi"/>
                <w:color w:val="auto"/>
                <w:szCs w:val="17"/>
              </w:rPr>
            </w:pPr>
          </w:p>
        </w:tc>
        <w:tc>
          <w:tcPr>
            <w:tcW w:w="334" w:type="pct"/>
            <w:tcBorders>
              <w:top w:val="single" w:sz="2" w:space="0" w:color="65C5B4" w:themeColor="accent1"/>
            </w:tcBorders>
            <w:shd w:val="clear" w:color="auto" w:fill="auto"/>
            <w:noWrap/>
          </w:tcPr>
          <w:p w14:paraId="48DB107C" w14:textId="77777777" w:rsidR="00EC3906" w:rsidRPr="00EC3906" w:rsidRDefault="00EC3906" w:rsidP="00712FB7">
            <w:pPr>
              <w:keepLines/>
              <w:spacing w:before="40" w:after="40" w:line="200" w:lineRule="atLeast"/>
              <w:jc w:val="center"/>
              <w:rPr>
                <w:rFonts w:cstheme="minorHAnsi"/>
                <w:color w:val="auto"/>
                <w:szCs w:val="17"/>
              </w:rPr>
            </w:pPr>
          </w:p>
        </w:tc>
        <w:tc>
          <w:tcPr>
            <w:tcW w:w="367" w:type="pct"/>
            <w:tcBorders>
              <w:top w:val="single" w:sz="2" w:space="0" w:color="65C5B4" w:themeColor="accent1"/>
            </w:tcBorders>
            <w:shd w:val="clear" w:color="auto" w:fill="auto"/>
            <w:noWrap/>
          </w:tcPr>
          <w:p w14:paraId="17142FE7" w14:textId="77777777" w:rsidR="00EC3906" w:rsidRPr="00EC3906" w:rsidRDefault="00EC3906" w:rsidP="00712FB7">
            <w:pPr>
              <w:keepLines/>
              <w:spacing w:before="40" w:after="40" w:line="200" w:lineRule="atLeast"/>
              <w:jc w:val="center"/>
              <w:rPr>
                <w:rFonts w:cstheme="minorHAnsi"/>
                <w:color w:val="auto"/>
                <w:szCs w:val="17"/>
              </w:rPr>
            </w:pPr>
          </w:p>
        </w:tc>
        <w:tc>
          <w:tcPr>
            <w:tcW w:w="333" w:type="pct"/>
            <w:tcBorders>
              <w:top w:val="single" w:sz="2" w:space="0" w:color="65C5B4" w:themeColor="accent1"/>
            </w:tcBorders>
            <w:shd w:val="clear" w:color="auto" w:fill="auto"/>
            <w:noWrap/>
          </w:tcPr>
          <w:p w14:paraId="7C7E7600" w14:textId="77777777" w:rsidR="00EC3906" w:rsidRPr="00EC3906" w:rsidRDefault="00EC3906" w:rsidP="00712FB7">
            <w:pPr>
              <w:keepLines/>
              <w:spacing w:before="40" w:after="40" w:line="200" w:lineRule="atLeast"/>
              <w:jc w:val="center"/>
              <w:rPr>
                <w:rFonts w:cstheme="minorHAnsi"/>
                <w:color w:val="auto"/>
                <w:szCs w:val="17"/>
              </w:rPr>
            </w:pPr>
          </w:p>
        </w:tc>
        <w:tc>
          <w:tcPr>
            <w:tcW w:w="363" w:type="pct"/>
            <w:tcBorders>
              <w:top w:val="single" w:sz="2" w:space="0" w:color="65C5B4" w:themeColor="accent1"/>
            </w:tcBorders>
            <w:shd w:val="clear" w:color="auto" w:fill="auto"/>
          </w:tcPr>
          <w:p w14:paraId="1A81C9F9" w14:textId="77777777" w:rsidR="00EC3906" w:rsidRPr="00EC3906" w:rsidRDefault="00EC3906" w:rsidP="00712FB7">
            <w:pPr>
              <w:keepLines/>
              <w:spacing w:before="40" w:after="40" w:line="200" w:lineRule="atLeast"/>
              <w:jc w:val="center"/>
              <w:rPr>
                <w:rFonts w:cstheme="minorHAnsi"/>
                <w:color w:val="auto"/>
                <w:szCs w:val="17"/>
              </w:rPr>
            </w:pPr>
          </w:p>
        </w:tc>
        <w:tc>
          <w:tcPr>
            <w:tcW w:w="353" w:type="pct"/>
            <w:shd w:val="clear" w:color="auto" w:fill="auto"/>
          </w:tcPr>
          <w:p w14:paraId="002E258F" w14:textId="77777777" w:rsidR="00EC3906" w:rsidRPr="00812509" w:rsidRDefault="00EC3906" w:rsidP="00712FB7">
            <w:pPr>
              <w:keepLines/>
              <w:spacing w:before="40" w:after="40" w:line="200" w:lineRule="atLeast"/>
              <w:jc w:val="center"/>
              <w:rPr>
                <w:rFonts w:eastAsia="Times New Roman"/>
                <w:iCs/>
                <w:szCs w:val="17"/>
              </w:rPr>
            </w:pPr>
          </w:p>
        </w:tc>
      </w:tr>
    </w:tbl>
    <w:p w14:paraId="58F505C2" w14:textId="77777777" w:rsidR="00806B99" w:rsidRPr="003B2DF5" w:rsidRDefault="00D95168" w:rsidP="00EC3906">
      <w:pPr>
        <w:suppressAutoHyphens w:val="0"/>
        <w:spacing w:before="0" w:after="0" w:line="240" w:lineRule="auto"/>
        <w:rPr>
          <w:color w:val="auto"/>
          <w:sz w:val="16"/>
          <w:szCs w:val="16"/>
        </w:rPr>
      </w:pPr>
      <w:r>
        <w:rPr>
          <w:color w:val="auto"/>
          <w:sz w:val="16"/>
          <w:szCs w:val="16"/>
        </w:rPr>
        <w:t xml:space="preserve">* Reporting reflects the 2018-19 financial year (HAQC reporting period Jan-Dec 2019). </w:t>
      </w:r>
      <w:r w:rsidR="00D05A80" w:rsidRPr="003B2DF5">
        <w:rPr>
          <w:color w:val="auto"/>
          <w:sz w:val="16"/>
          <w:szCs w:val="16"/>
        </w:rPr>
        <w:t xml:space="preserve">Note total </w:t>
      </w:r>
      <w:r>
        <w:rPr>
          <w:color w:val="auto"/>
          <w:sz w:val="16"/>
          <w:szCs w:val="16"/>
        </w:rPr>
        <w:t xml:space="preserve">funding for </w:t>
      </w:r>
      <w:r w:rsidR="00D05A80" w:rsidRPr="003B2DF5">
        <w:rPr>
          <w:color w:val="auto"/>
          <w:sz w:val="16"/>
          <w:szCs w:val="16"/>
        </w:rPr>
        <w:t>2019-20</w:t>
      </w:r>
      <w:r w:rsidR="003B2DF5" w:rsidRPr="003B2DF5">
        <w:rPr>
          <w:color w:val="auto"/>
          <w:sz w:val="16"/>
          <w:szCs w:val="16"/>
        </w:rPr>
        <w:t xml:space="preserve"> </w:t>
      </w:r>
      <w:r>
        <w:rPr>
          <w:color w:val="auto"/>
          <w:sz w:val="16"/>
          <w:szCs w:val="16"/>
        </w:rPr>
        <w:t>wa</w:t>
      </w:r>
      <w:r w:rsidR="003B2DF5" w:rsidRPr="003B2DF5">
        <w:rPr>
          <w:color w:val="auto"/>
          <w:sz w:val="16"/>
          <w:szCs w:val="16"/>
        </w:rPr>
        <w:t>s $53.95m</w:t>
      </w:r>
      <w:r w:rsidR="003B2DF5">
        <w:rPr>
          <w:color w:val="auto"/>
          <w:sz w:val="16"/>
          <w:szCs w:val="16"/>
        </w:rPr>
        <w:t xml:space="preserve">. </w:t>
      </w:r>
    </w:p>
    <w:p w14:paraId="4AEADC19" w14:textId="77777777" w:rsidR="00390828" w:rsidRPr="00F14A44" w:rsidRDefault="00390828" w:rsidP="00390828">
      <w:pPr>
        <w:pStyle w:val="Heading3"/>
        <w:rPr>
          <w:color w:val="auto"/>
        </w:rPr>
      </w:pPr>
      <w:r w:rsidRPr="00F14A44">
        <w:rPr>
          <w:color w:val="auto"/>
        </w:rPr>
        <w:t xml:space="preserve">Final </w:t>
      </w:r>
      <w:r w:rsidR="00B927C4" w:rsidRPr="00F14A44">
        <w:rPr>
          <w:color w:val="auto"/>
        </w:rPr>
        <w:t xml:space="preserve">Investment Monitoring Report </w:t>
      </w:r>
      <w:r w:rsidRPr="00F14A44">
        <w:rPr>
          <w:color w:val="auto"/>
        </w:rPr>
        <w:t xml:space="preserve">ratings </w:t>
      </w:r>
    </w:p>
    <w:tbl>
      <w:tblPr>
        <w:tblStyle w:val="APPR"/>
        <w:tblW w:w="4810" w:type="pct"/>
        <w:tblLook w:val="0020" w:firstRow="1" w:lastRow="0" w:firstColumn="0" w:lastColumn="0" w:noHBand="0" w:noVBand="0"/>
      </w:tblPr>
      <w:tblGrid>
        <w:gridCol w:w="2836"/>
        <w:gridCol w:w="1099"/>
        <w:gridCol w:w="623"/>
        <w:gridCol w:w="640"/>
        <w:gridCol w:w="626"/>
        <w:gridCol w:w="657"/>
        <w:gridCol w:w="718"/>
        <w:gridCol w:w="655"/>
        <w:gridCol w:w="711"/>
        <w:gridCol w:w="707"/>
      </w:tblGrid>
      <w:tr w:rsidR="00390828" w:rsidRPr="002C016A" w14:paraId="0E95074D" w14:textId="77777777" w:rsidTr="00D0109B">
        <w:trPr>
          <w:cnfStyle w:val="100000000000" w:firstRow="1" w:lastRow="0" w:firstColumn="0" w:lastColumn="0" w:oddVBand="0" w:evenVBand="0" w:oddHBand="0" w:evenHBand="0" w:firstRowFirstColumn="0" w:firstRowLastColumn="0" w:lastRowFirstColumn="0" w:lastRowLastColumn="0"/>
          <w:trHeight w:val="1442"/>
        </w:trPr>
        <w:tc>
          <w:tcPr>
            <w:tcW w:w="1507" w:type="pct"/>
          </w:tcPr>
          <w:p w14:paraId="2F0A7F01" w14:textId="0275C768" w:rsidR="00390828" w:rsidRPr="00F14A44" w:rsidRDefault="00390828" w:rsidP="00390828">
            <w:pPr>
              <w:keepLines/>
              <w:spacing w:before="80" w:after="80" w:line="200" w:lineRule="atLeast"/>
              <w:rPr>
                <w:rFonts w:asciiTheme="minorHAnsi" w:eastAsia="Times New Roman" w:hAnsiTheme="minorHAnsi"/>
                <w:b w:val="0"/>
                <w:iCs/>
                <w:color w:val="auto"/>
                <w:szCs w:val="17"/>
                <w:lang w:eastAsia="en-US"/>
              </w:rPr>
            </w:pPr>
            <w:r w:rsidRPr="00F14A44">
              <w:rPr>
                <w:rFonts w:eastAsia="Times New Roman"/>
                <w:b w:val="0"/>
                <w:iCs/>
                <w:noProof/>
                <w:color w:val="auto"/>
                <w:szCs w:val="17"/>
                <w:lang w:val="en-AU"/>
              </w:rPr>
              <w:drawing>
                <wp:anchor distT="0" distB="0" distL="114300" distR="114300" simplePos="0" relativeHeight="251664384" behindDoc="0" locked="0" layoutInCell="1" allowOverlap="1" wp14:anchorId="3EC2A111" wp14:editId="58D78B22">
                  <wp:simplePos x="0" y="0"/>
                  <wp:positionH relativeFrom="column">
                    <wp:posOffset>0</wp:posOffset>
                  </wp:positionH>
                  <wp:positionV relativeFrom="paragraph">
                    <wp:posOffset>0</wp:posOffset>
                  </wp:positionV>
                  <wp:extent cx="1857375" cy="228600"/>
                  <wp:effectExtent l="0" t="0" r="9525" b="0"/>
                  <wp:wrapNone/>
                  <wp:docPr id="50" name="Picture 5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3D75">
              <w:rPr>
                <w:rFonts w:asciiTheme="minorHAnsi" w:eastAsia="Times New Roman" w:hAnsiTheme="minorHAnsi"/>
                <w:iCs/>
                <w:color w:val="auto"/>
                <w:szCs w:val="17"/>
                <w:lang w:eastAsia="en-US"/>
              </w:rPr>
              <w:t>Investment name</w:t>
            </w:r>
          </w:p>
        </w:tc>
        <w:tc>
          <w:tcPr>
            <w:tcW w:w="578" w:type="pct"/>
            <w:textDirection w:val="btLr"/>
          </w:tcPr>
          <w:p w14:paraId="40B70DA0" w14:textId="77777777" w:rsidR="00390828" w:rsidRPr="00EC3906" w:rsidRDefault="00390828" w:rsidP="00390828">
            <w:pPr>
              <w:keepLines/>
              <w:spacing w:before="80" w:after="80" w:line="200" w:lineRule="atLeast"/>
              <w:rPr>
                <w:rFonts w:asciiTheme="minorHAnsi" w:eastAsia="Times New Roman" w:hAnsiTheme="minorHAnsi" w:cstheme="minorHAnsi"/>
                <w:iCs/>
                <w:color w:val="auto"/>
                <w:szCs w:val="17"/>
                <w:lang w:eastAsia="en-US"/>
              </w:rPr>
            </w:pPr>
            <w:r w:rsidRPr="00EC3906">
              <w:rPr>
                <w:rFonts w:asciiTheme="minorHAnsi" w:eastAsia="Times New Roman" w:hAnsiTheme="minorHAnsi" w:cstheme="minorHAnsi"/>
                <w:iCs/>
                <w:color w:val="auto"/>
                <w:szCs w:val="17"/>
              </w:rPr>
              <w:t>Approved budget and duration</w:t>
            </w:r>
          </w:p>
        </w:tc>
        <w:tc>
          <w:tcPr>
            <w:tcW w:w="319" w:type="pct"/>
            <w:noWrap/>
            <w:textDirection w:val="btLr"/>
          </w:tcPr>
          <w:p w14:paraId="499278CF" w14:textId="77777777" w:rsidR="00390828" w:rsidRPr="00EC3906" w:rsidRDefault="00390828" w:rsidP="00390828">
            <w:pPr>
              <w:keepLines/>
              <w:spacing w:before="80" w:after="80" w:line="200" w:lineRule="atLeast"/>
              <w:rPr>
                <w:rFonts w:asciiTheme="minorHAnsi" w:eastAsia="Times New Roman" w:hAnsiTheme="minorHAnsi" w:cstheme="minorHAnsi"/>
                <w:iCs/>
                <w:color w:val="auto"/>
                <w:szCs w:val="17"/>
                <w:lang w:eastAsia="en-US"/>
              </w:rPr>
            </w:pPr>
            <w:r w:rsidRPr="00EC3906">
              <w:rPr>
                <w:rFonts w:asciiTheme="minorHAnsi" w:eastAsia="Times New Roman" w:hAnsiTheme="minorHAnsi" w:cstheme="minorHAnsi"/>
                <w:iCs/>
                <w:color w:val="auto"/>
                <w:szCs w:val="17"/>
              </w:rPr>
              <w:t xml:space="preserve">Effectiveness </w:t>
            </w:r>
          </w:p>
        </w:tc>
        <w:tc>
          <w:tcPr>
            <w:tcW w:w="331" w:type="pct"/>
            <w:noWrap/>
            <w:textDirection w:val="btLr"/>
          </w:tcPr>
          <w:p w14:paraId="13317432" w14:textId="77777777" w:rsidR="00390828" w:rsidRPr="00EC3906" w:rsidRDefault="00390828" w:rsidP="00390828">
            <w:pPr>
              <w:keepLines/>
              <w:spacing w:before="80" w:after="80" w:line="200" w:lineRule="atLeast"/>
              <w:rPr>
                <w:rFonts w:asciiTheme="minorHAnsi" w:eastAsia="Times New Roman" w:hAnsiTheme="minorHAnsi" w:cstheme="minorHAnsi"/>
                <w:iCs/>
                <w:color w:val="auto"/>
                <w:szCs w:val="17"/>
                <w:lang w:eastAsia="en-US"/>
              </w:rPr>
            </w:pPr>
            <w:r w:rsidRPr="00EC3906">
              <w:rPr>
                <w:rFonts w:asciiTheme="minorHAnsi" w:eastAsia="Times New Roman" w:hAnsiTheme="minorHAnsi" w:cstheme="minorHAnsi"/>
                <w:iCs/>
                <w:color w:val="auto"/>
                <w:szCs w:val="17"/>
              </w:rPr>
              <w:t>Efficiency</w:t>
            </w:r>
          </w:p>
        </w:tc>
        <w:tc>
          <w:tcPr>
            <w:tcW w:w="323" w:type="pct"/>
            <w:noWrap/>
            <w:textDirection w:val="btLr"/>
          </w:tcPr>
          <w:p w14:paraId="6B435137" w14:textId="77777777" w:rsidR="00390828" w:rsidRPr="00EC3906" w:rsidRDefault="00390828" w:rsidP="00390828">
            <w:pPr>
              <w:keepLines/>
              <w:spacing w:before="80" w:after="80" w:line="200" w:lineRule="atLeast"/>
              <w:rPr>
                <w:rFonts w:asciiTheme="minorHAnsi" w:eastAsia="Times New Roman" w:hAnsiTheme="minorHAnsi" w:cstheme="minorHAnsi"/>
                <w:iCs/>
                <w:color w:val="auto"/>
                <w:szCs w:val="17"/>
                <w:lang w:eastAsia="en-US"/>
              </w:rPr>
            </w:pPr>
            <w:r w:rsidRPr="00EC3906">
              <w:rPr>
                <w:rFonts w:asciiTheme="minorHAnsi" w:eastAsia="Times New Roman" w:hAnsiTheme="minorHAnsi" w:cstheme="minorHAnsi"/>
                <w:iCs/>
                <w:color w:val="auto"/>
                <w:szCs w:val="17"/>
              </w:rPr>
              <w:t>Gender equality</w:t>
            </w:r>
          </w:p>
        </w:tc>
        <w:tc>
          <w:tcPr>
            <w:tcW w:w="339" w:type="pct"/>
            <w:noWrap/>
            <w:textDirection w:val="btLr"/>
          </w:tcPr>
          <w:p w14:paraId="108FADE2" w14:textId="77777777" w:rsidR="00390828" w:rsidRPr="00EC3906" w:rsidRDefault="00390828" w:rsidP="00390828">
            <w:pPr>
              <w:keepLines/>
              <w:spacing w:before="80" w:after="80" w:line="200" w:lineRule="atLeast"/>
              <w:rPr>
                <w:rFonts w:asciiTheme="minorHAnsi" w:eastAsia="Times New Roman" w:hAnsiTheme="minorHAnsi" w:cstheme="minorHAnsi"/>
                <w:iCs/>
                <w:color w:val="auto"/>
                <w:szCs w:val="17"/>
                <w:lang w:eastAsia="en-US"/>
              </w:rPr>
            </w:pPr>
            <w:r w:rsidRPr="00EC3906">
              <w:rPr>
                <w:rFonts w:asciiTheme="minorHAnsi" w:eastAsia="Times New Roman" w:hAnsiTheme="minorHAnsi" w:cstheme="minorHAnsi"/>
                <w:iCs/>
                <w:color w:val="auto"/>
                <w:szCs w:val="17"/>
              </w:rPr>
              <w:t>Relevance</w:t>
            </w:r>
          </w:p>
        </w:tc>
        <w:tc>
          <w:tcPr>
            <w:tcW w:w="372" w:type="pct"/>
            <w:noWrap/>
            <w:textDirection w:val="btLr"/>
          </w:tcPr>
          <w:p w14:paraId="730E772A" w14:textId="77777777" w:rsidR="00390828" w:rsidRPr="00EC3906" w:rsidRDefault="00390828" w:rsidP="00390828">
            <w:pPr>
              <w:keepLines/>
              <w:spacing w:before="80" w:after="80" w:line="200" w:lineRule="atLeast"/>
              <w:rPr>
                <w:rFonts w:asciiTheme="minorHAnsi" w:eastAsia="Times New Roman" w:hAnsiTheme="minorHAnsi" w:cstheme="minorHAnsi"/>
                <w:iCs/>
                <w:color w:val="auto"/>
                <w:szCs w:val="17"/>
                <w:lang w:eastAsia="en-US"/>
              </w:rPr>
            </w:pPr>
            <w:r w:rsidRPr="00EC3906">
              <w:rPr>
                <w:rFonts w:asciiTheme="minorHAnsi" w:eastAsia="Times New Roman" w:hAnsiTheme="minorHAnsi" w:cstheme="minorHAnsi"/>
                <w:iCs/>
                <w:color w:val="auto"/>
                <w:szCs w:val="17"/>
              </w:rPr>
              <w:t>Monitoring and Evaluation</w:t>
            </w:r>
          </w:p>
        </w:tc>
        <w:tc>
          <w:tcPr>
            <w:tcW w:w="338" w:type="pct"/>
            <w:noWrap/>
            <w:textDirection w:val="btLr"/>
          </w:tcPr>
          <w:p w14:paraId="0CFE6BB7" w14:textId="77777777" w:rsidR="00390828" w:rsidRPr="00EC3906" w:rsidRDefault="00390828" w:rsidP="00390828">
            <w:pPr>
              <w:keepLines/>
              <w:spacing w:before="80" w:after="80" w:line="200" w:lineRule="atLeast"/>
              <w:rPr>
                <w:rFonts w:asciiTheme="minorHAnsi" w:eastAsia="Times New Roman" w:hAnsiTheme="minorHAnsi" w:cstheme="minorHAnsi"/>
                <w:iCs/>
                <w:color w:val="auto"/>
                <w:szCs w:val="17"/>
                <w:lang w:eastAsia="en-US"/>
              </w:rPr>
            </w:pPr>
            <w:r w:rsidRPr="00EC3906">
              <w:rPr>
                <w:rFonts w:asciiTheme="minorHAnsi" w:eastAsia="Times New Roman" w:hAnsiTheme="minorHAnsi" w:cstheme="minorHAnsi"/>
                <w:iCs/>
                <w:color w:val="auto"/>
                <w:szCs w:val="17"/>
              </w:rPr>
              <w:t>Sustainability</w:t>
            </w:r>
          </w:p>
        </w:tc>
        <w:tc>
          <w:tcPr>
            <w:tcW w:w="368" w:type="pct"/>
            <w:textDirection w:val="btLr"/>
          </w:tcPr>
          <w:p w14:paraId="1776FCDC" w14:textId="77777777" w:rsidR="00390828" w:rsidRPr="00EC3906" w:rsidRDefault="00390828" w:rsidP="00390828">
            <w:pPr>
              <w:keepLines/>
              <w:spacing w:before="80" w:after="80" w:line="200" w:lineRule="atLeast"/>
              <w:rPr>
                <w:rFonts w:asciiTheme="minorHAnsi" w:eastAsia="Times New Roman" w:hAnsiTheme="minorHAnsi" w:cstheme="minorHAnsi"/>
                <w:b w:val="0"/>
                <w:iCs/>
                <w:color w:val="auto"/>
                <w:szCs w:val="17"/>
                <w:lang w:eastAsia="en-US"/>
              </w:rPr>
            </w:pPr>
          </w:p>
        </w:tc>
        <w:tc>
          <w:tcPr>
            <w:tcW w:w="359" w:type="pct"/>
            <w:textDirection w:val="btLr"/>
          </w:tcPr>
          <w:p w14:paraId="4ACF524C" w14:textId="77777777" w:rsidR="00390828" w:rsidRPr="00F14A44" w:rsidRDefault="00390828" w:rsidP="00390828">
            <w:pPr>
              <w:keepLines/>
              <w:spacing w:before="80" w:after="80" w:line="200" w:lineRule="atLeast"/>
              <w:rPr>
                <w:rFonts w:asciiTheme="minorHAnsi" w:eastAsia="Times New Roman" w:hAnsiTheme="minorHAnsi"/>
                <w:b w:val="0"/>
                <w:iCs/>
                <w:color w:val="auto"/>
                <w:szCs w:val="17"/>
                <w:lang w:eastAsia="en-US"/>
              </w:rPr>
            </w:pPr>
          </w:p>
        </w:tc>
      </w:tr>
      <w:tr w:rsidR="00390828" w:rsidRPr="002C016A" w14:paraId="18D10A47" w14:textId="77777777" w:rsidTr="00D0109B">
        <w:trPr>
          <w:cnfStyle w:val="100000000000" w:firstRow="1" w:lastRow="0" w:firstColumn="0" w:lastColumn="0" w:oddVBand="0" w:evenVBand="0" w:oddHBand="0" w:evenHBand="0" w:firstRowFirstColumn="0" w:firstRowLastColumn="0" w:lastRowFirstColumn="0" w:lastRowLastColumn="0"/>
          <w:trHeight w:val="284"/>
        </w:trPr>
        <w:tc>
          <w:tcPr>
            <w:tcW w:w="1507" w:type="pct"/>
            <w:tcBorders>
              <w:top w:val="single" w:sz="2" w:space="0" w:color="65C5B4" w:themeColor="accent1"/>
              <w:bottom w:val="single" w:sz="2" w:space="0" w:color="65C5B4" w:themeColor="accent1"/>
            </w:tcBorders>
            <w:vAlign w:val="center"/>
          </w:tcPr>
          <w:p w14:paraId="0645D8B6" w14:textId="77777777" w:rsidR="00390828" w:rsidRPr="00EC3906" w:rsidRDefault="00611A6B" w:rsidP="00390968">
            <w:pPr>
              <w:keepLines/>
              <w:spacing w:before="40" w:after="40" w:line="200" w:lineRule="atLeast"/>
              <w:rPr>
                <w:rFonts w:asciiTheme="minorHAnsi" w:eastAsia="Times New Roman" w:hAnsiTheme="minorHAnsi" w:cstheme="minorHAnsi"/>
                <w:iCs/>
                <w:color w:val="auto"/>
                <w:szCs w:val="17"/>
              </w:rPr>
            </w:pPr>
            <w:r w:rsidRPr="00EC3906">
              <w:rPr>
                <w:rFonts w:asciiTheme="minorHAnsi" w:eastAsia="Times New Roman" w:hAnsiTheme="minorHAnsi" w:cstheme="minorHAnsi"/>
                <w:iCs/>
                <w:color w:val="auto"/>
                <w:szCs w:val="17"/>
              </w:rPr>
              <w:t>The Social Protection Policy Support Program</w:t>
            </w:r>
          </w:p>
        </w:tc>
        <w:tc>
          <w:tcPr>
            <w:tcW w:w="578" w:type="pct"/>
            <w:tcBorders>
              <w:top w:val="single" w:sz="2" w:space="0" w:color="65C5B4" w:themeColor="accent1"/>
              <w:bottom w:val="single" w:sz="2" w:space="0" w:color="65C5B4" w:themeColor="accent1"/>
            </w:tcBorders>
          </w:tcPr>
          <w:p w14:paraId="40977963" w14:textId="77777777" w:rsidR="00390828" w:rsidRPr="00EC3906" w:rsidRDefault="00390828" w:rsidP="00390968">
            <w:pPr>
              <w:autoSpaceDE w:val="0"/>
              <w:autoSpaceDN w:val="0"/>
              <w:adjustRightInd w:val="0"/>
              <w:spacing w:line="200" w:lineRule="atLeast"/>
              <w:rPr>
                <w:rFonts w:asciiTheme="minorHAnsi" w:eastAsia="Times New Roman" w:hAnsiTheme="minorHAnsi" w:cstheme="minorHAnsi"/>
                <w:iCs/>
                <w:color w:val="auto"/>
                <w:szCs w:val="17"/>
              </w:rPr>
            </w:pPr>
            <w:r w:rsidRPr="00EC3906">
              <w:rPr>
                <w:rFonts w:asciiTheme="minorHAnsi" w:eastAsia="Times New Roman" w:hAnsiTheme="minorHAnsi" w:cstheme="minorHAnsi"/>
                <w:iCs/>
                <w:color w:val="auto"/>
                <w:szCs w:val="17"/>
              </w:rPr>
              <w:t>$</w:t>
            </w:r>
            <w:r w:rsidR="00611A6B" w:rsidRPr="00EC3906">
              <w:rPr>
                <w:rFonts w:asciiTheme="minorHAnsi" w:eastAsia="Times New Roman" w:hAnsiTheme="minorHAnsi" w:cstheme="minorHAnsi"/>
                <w:iCs/>
                <w:color w:val="auto"/>
                <w:szCs w:val="17"/>
              </w:rPr>
              <w:t>3m</w:t>
            </w:r>
            <w:r w:rsidRPr="00EC3906">
              <w:rPr>
                <w:rFonts w:asciiTheme="minorHAnsi" w:eastAsia="Times New Roman" w:hAnsiTheme="minorHAnsi" w:cstheme="minorHAnsi"/>
                <w:iCs/>
                <w:color w:val="auto"/>
                <w:szCs w:val="17"/>
              </w:rPr>
              <w:t xml:space="preserve"> </w:t>
            </w:r>
          </w:p>
          <w:p w14:paraId="0E189872" w14:textId="77777777" w:rsidR="00390828" w:rsidRPr="00EC3906" w:rsidRDefault="00390828" w:rsidP="00390968">
            <w:pPr>
              <w:keepLines/>
              <w:spacing w:before="40" w:after="40" w:line="200" w:lineRule="atLeast"/>
              <w:rPr>
                <w:rFonts w:asciiTheme="minorHAnsi" w:eastAsia="Times New Roman" w:hAnsiTheme="minorHAnsi" w:cstheme="minorHAnsi"/>
                <w:iCs/>
                <w:color w:val="auto"/>
                <w:szCs w:val="17"/>
              </w:rPr>
            </w:pPr>
            <w:r w:rsidRPr="00EC3906">
              <w:rPr>
                <w:rFonts w:asciiTheme="minorHAnsi" w:eastAsia="Times New Roman" w:hAnsiTheme="minorHAnsi" w:cstheme="minorHAnsi"/>
                <w:iCs/>
                <w:color w:val="auto"/>
                <w:szCs w:val="17"/>
              </w:rPr>
              <w:t>20</w:t>
            </w:r>
            <w:r w:rsidR="00611A6B" w:rsidRPr="00EC3906">
              <w:rPr>
                <w:rFonts w:asciiTheme="minorHAnsi" w:eastAsia="Times New Roman" w:hAnsiTheme="minorHAnsi" w:cstheme="minorHAnsi"/>
                <w:iCs/>
                <w:color w:val="auto"/>
                <w:szCs w:val="17"/>
              </w:rPr>
              <w:t>18-20</w:t>
            </w:r>
          </w:p>
        </w:tc>
        <w:tc>
          <w:tcPr>
            <w:tcW w:w="319" w:type="pct"/>
            <w:tcBorders>
              <w:top w:val="single" w:sz="2" w:space="0" w:color="65C5B4" w:themeColor="accent1"/>
              <w:bottom w:val="single" w:sz="2" w:space="0" w:color="65C5B4" w:themeColor="accent1"/>
            </w:tcBorders>
            <w:shd w:val="clear" w:color="auto" w:fill="auto"/>
            <w:noWrap/>
          </w:tcPr>
          <w:p w14:paraId="609CF9D8" w14:textId="77777777" w:rsidR="00390828" w:rsidRPr="00EC3906" w:rsidRDefault="00611A6B" w:rsidP="00390828">
            <w:pPr>
              <w:keepLines/>
              <w:spacing w:before="40" w:after="40" w:line="200" w:lineRule="atLeast"/>
              <w:jc w:val="center"/>
              <w:rPr>
                <w:rFonts w:asciiTheme="minorHAnsi" w:eastAsia="Times New Roman" w:hAnsiTheme="minorHAnsi" w:cstheme="minorHAnsi"/>
                <w:iCs/>
                <w:color w:val="auto"/>
                <w:szCs w:val="17"/>
                <w:lang w:eastAsia="en-US"/>
              </w:rPr>
            </w:pPr>
            <w:r w:rsidRPr="00EC3906">
              <w:rPr>
                <w:rFonts w:asciiTheme="minorHAnsi" w:eastAsia="Times New Roman" w:hAnsiTheme="minorHAnsi" w:cstheme="minorHAnsi"/>
                <w:iCs/>
                <w:color w:val="auto"/>
                <w:szCs w:val="17"/>
                <w:lang w:eastAsia="en-US"/>
              </w:rPr>
              <w:t>4</w:t>
            </w:r>
          </w:p>
        </w:tc>
        <w:tc>
          <w:tcPr>
            <w:tcW w:w="331" w:type="pct"/>
            <w:tcBorders>
              <w:top w:val="single" w:sz="2" w:space="0" w:color="65C5B4" w:themeColor="accent1"/>
              <w:bottom w:val="single" w:sz="2" w:space="0" w:color="65C5B4" w:themeColor="accent1"/>
            </w:tcBorders>
            <w:shd w:val="clear" w:color="auto" w:fill="auto"/>
            <w:noWrap/>
          </w:tcPr>
          <w:p w14:paraId="0129C8A9" w14:textId="77777777" w:rsidR="00390828" w:rsidRPr="00EC3906" w:rsidRDefault="00611A6B" w:rsidP="00390828">
            <w:pPr>
              <w:keepLines/>
              <w:spacing w:before="40" w:after="40" w:line="200" w:lineRule="atLeast"/>
              <w:jc w:val="center"/>
              <w:rPr>
                <w:rFonts w:asciiTheme="minorHAnsi" w:eastAsia="Times New Roman" w:hAnsiTheme="minorHAnsi" w:cstheme="minorHAnsi"/>
                <w:iCs/>
                <w:color w:val="auto"/>
                <w:szCs w:val="17"/>
                <w:lang w:eastAsia="en-US"/>
              </w:rPr>
            </w:pPr>
            <w:r w:rsidRPr="00EC3906">
              <w:rPr>
                <w:rFonts w:asciiTheme="minorHAnsi" w:eastAsia="Times New Roman" w:hAnsiTheme="minorHAnsi" w:cstheme="minorHAnsi"/>
                <w:iCs/>
                <w:color w:val="auto"/>
                <w:szCs w:val="17"/>
                <w:lang w:eastAsia="en-US"/>
              </w:rPr>
              <w:t>4</w:t>
            </w:r>
          </w:p>
        </w:tc>
        <w:tc>
          <w:tcPr>
            <w:tcW w:w="323" w:type="pct"/>
            <w:tcBorders>
              <w:top w:val="single" w:sz="2" w:space="0" w:color="65C5B4" w:themeColor="accent1"/>
              <w:bottom w:val="single" w:sz="2" w:space="0" w:color="65C5B4" w:themeColor="accent1"/>
            </w:tcBorders>
            <w:shd w:val="clear" w:color="auto" w:fill="auto"/>
            <w:noWrap/>
          </w:tcPr>
          <w:p w14:paraId="3B03B22B" w14:textId="77777777" w:rsidR="00390828" w:rsidRPr="00EC3906" w:rsidRDefault="00611A6B" w:rsidP="00390828">
            <w:pPr>
              <w:keepLines/>
              <w:spacing w:before="40" w:after="40" w:line="200" w:lineRule="atLeast"/>
              <w:jc w:val="center"/>
              <w:rPr>
                <w:rFonts w:asciiTheme="minorHAnsi" w:eastAsia="Times New Roman" w:hAnsiTheme="minorHAnsi" w:cstheme="minorHAnsi"/>
                <w:iCs/>
                <w:color w:val="auto"/>
                <w:szCs w:val="17"/>
                <w:lang w:eastAsia="en-US"/>
              </w:rPr>
            </w:pPr>
            <w:r w:rsidRPr="00EC3906">
              <w:rPr>
                <w:rFonts w:asciiTheme="minorHAnsi" w:eastAsia="Times New Roman" w:hAnsiTheme="minorHAnsi" w:cstheme="minorHAnsi"/>
                <w:iCs/>
                <w:color w:val="auto"/>
                <w:szCs w:val="17"/>
                <w:lang w:eastAsia="en-US"/>
              </w:rPr>
              <w:t>4</w:t>
            </w:r>
          </w:p>
        </w:tc>
        <w:tc>
          <w:tcPr>
            <w:tcW w:w="339" w:type="pct"/>
            <w:tcBorders>
              <w:top w:val="single" w:sz="2" w:space="0" w:color="65C5B4" w:themeColor="accent1"/>
              <w:bottom w:val="single" w:sz="2" w:space="0" w:color="65C5B4" w:themeColor="accent1"/>
            </w:tcBorders>
            <w:shd w:val="clear" w:color="auto" w:fill="auto"/>
            <w:noWrap/>
          </w:tcPr>
          <w:p w14:paraId="17D6ECFF" w14:textId="77777777" w:rsidR="00390828" w:rsidRPr="00EC3906" w:rsidRDefault="00611A6B" w:rsidP="00390828">
            <w:pPr>
              <w:keepLines/>
              <w:spacing w:before="40" w:after="40" w:line="200" w:lineRule="atLeast"/>
              <w:jc w:val="center"/>
              <w:rPr>
                <w:rFonts w:asciiTheme="minorHAnsi" w:eastAsia="Times New Roman" w:hAnsiTheme="minorHAnsi" w:cstheme="minorHAnsi"/>
                <w:iCs/>
                <w:color w:val="auto"/>
                <w:szCs w:val="17"/>
                <w:lang w:eastAsia="en-US"/>
              </w:rPr>
            </w:pPr>
            <w:r w:rsidRPr="00EC3906">
              <w:rPr>
                <w:rFonts w:asciiTheme="minorHAnsi" w:eastAsia="Times New Roman" w:hAnsiTheme="minorHAnsi" w:cstheme="minorHAnsi"/>
                <w:iCs/>
                <w:color w:val="auto"/>
                <w:szCs w:val="17"/>
                <w:lang w:eastAsia="en-US"/>
              </w:rPr>
              <w:t>5</w:t>
            </w:r>
          </w:p>
        </w:tc>
        <w:tc>
          <w:tcPr>
            <w:tcW w:w="372" w:type="pct"/>
            <w:tcBorders>
              <w:top w:val="single" w:sz="2" w:space="0" w:color="65C5B4" w:themeColor="accent1"/>
              <w:bottom w:val="single" w:sz="2" w:space="0" w:color="65C5B4" w:themeColor="accent1"/>
            </w:tcBorders>
            <w:shd w:val="clear" w:color="auto" w:fill="auto"/>
            <w:noWrap/>
          </w:tcPr>
          <w:p w14:paraId="2B4EBB9E" w14:textId="77777777" w:rsidR="00390828" w:rsidRPr="00EC3906" w:rsidRDefault="00611A6B" w:rsidP="00390828">
            <w:pPr>
              <w:keepLines/>
              <w:spacing w:before="40" w:after="40" w:line="200" w:lineRule="atLeast"/>
              <w:jc w:val="center"/>
              <w:rPr>
                <w:rFonts w:asciiTheme="minorHAnsi" w:eastAsia="Times New Roman" w:hAnsiTheme="minorHAnsi" w:cstheme="minorHAnsi"/>
                <w:iCs/>
                <w:color w:val="auto"/>
                <w:szCs w:val="17"/>
                <w:lang w:eastAsia="en-US"/>
              </w:rPr>
            </w:pPr>
            <w:r w:rsidRPr="00EC3906">
              <w:rPr>
                <w:rFonts w:asciiTheme="minorHAnsi" w:eastAsia="Times New Roman" w:hAnsiTheme="minorHAnsi" w:cstheme="minorHAnsi"/>
                <w:iCs/>
                <w:color w:val="auto"/>
                <w:szCs w:val="17"/>
                <w:lang w:eastAsia="en-US"/>
              </w:rPr>
              <w:t>3</w:t>
            </w:r>
          </w:p>
        </w:tc>
        <w:tc>
          <w:tcPr>
            <w:tcW w:w="338" w:type="pct"/>
            <w:tcBorders>
              <w:top w:val="single" w:sz="2" w:space="0" w:color="65C5B4" w:themeColor="accent1"/>
              <w:bottom w:val="single" w:sz="2" w:space="0" w:color="65C5B4" w:themeColor="accent1"/>
            </w:tcBorders>
            <w:shd w:val="clear" w:color="auto" w:fill="auto"/>
            <w:noWrap/>
          </w:tcPr>
          <w:p w14:paraId="06807318" w14:textId="77777777" w:rsidR="00390828" w:rsidRPr="00EC3906" w:rsidRDefault="00AB12ED" w:rsidP="00390828">
            <w:pPr>
              <w:keepLines/>
              <w:spacing w:before="40" w:after="40" w:line="200" w:lineRule="atLeast"/>
              <w:jc w:val="center"/>
              <w:rPr>
                <w:rFonts w:asciiTheme="minorHAnsi" w:eastAsia="Times New Roman" w:hAnsiTheme="minorHAnsi" w:cstheme="minorHAnsi"/>
                <w:iCs/>
                <w:color w:val="auto"/>
                <w:szCs w:val="17"/>
                <w:lang w:eastAsia="en-US"/>
              </w:rPr>
            </w:pPr>
            <w:r w:rsidRPr="00EC3906">
              <w:rPr>
                <w:rFonts w:asciiTheme="minorHAnsi" w:eastAsia="Times New Roman" w:hAnsiTheme="minorHAnsi" w:cstheme="minorHAnsi"/>
                <w:iCs/>
                <w:color w:val="auto"/>
                <w:szCs w:val="17"/>
                <w:lang w:eastAsia="en-US"/>
              </w:rPr>
              <w:t>4</w:t>
            </w:r>
          </w:p>
        </w:tc>
        <w:tc>
          <w:tcPr>
            <w:tcW w:w="368" w:type="pct"/>
            <w:shd w:val="clear" w:color="auto" w:fill="auto"/>
          </w:tcPr>
          <w:p w14:paraId="08CC1944" w14:textId="77777777" w:rsidR="00390828" w:rsidRPr="00F14A44" w:rsidRDefault="00390828" w:rsidP="00390828">
            <w:pPr>
              <w:keepLines/>
              <w:spacing w:before="40" w:after="40" w:line="200" w:lineRule="atLeast"/>
              <w:jc w:val="center"/>
              <w:rPr>
                <w:rFonts w:asciiTheme="minorHAnsi" w:eastAsia="Times New Roman" w:hAnsiTheme="minorHAnsi"/>
                <w:iCs/>
                <w:color w:val="auto"/>
                <w:szCs w:val="17"/>
                <w:lang w:eastAsia="en-US"/>
              </w:rPr>
            </w:pPr>
          </w:p>
        </w:tc>
        <w:tc>
          <w:tcPr>
            <w:tcW w:w="359" w:type="pct"/>
            <w:shd w:val="clear" w:color="auto" w:fill="auto"/>
          </w:tcPr>
          <w:p w14:paraId="18F20C5D" w14:textId="77777777" w:rsidR="00390828" w:rsidRPr="00F14A44" w:rsidRDefault="00390828" w:rsidP="00390828">
            <w:pPr>
              <w:keepLines/>
              <w:spacing w:before="40" w:after="40" w:line="200" w:lineRule="atLeast"/>
              <w:jc w:val="center"/>
              <w:rPr>
                <w:rFonts w:asciiTheme="minorHAnsi" w:eastAsia="Times New Roman" w:hAnsiTheme="minorHAnsi"/>
                <w:iCs/>
                <w:color w:val="auto"/>
                <w:szCs w:val="17"/>
                <w:lang w:eastAsia="en-US"/>
              </w:rPr>
            </w:pPr>
          </w:p>
        </w:tc>
      </w:tr>
      <w:tr w:rsidR="00B637DD" w:rsidRPr="002C016A" w14:paraId="0A7DF2AD" w14:textId="77777777" w:rsidTr="00D0109B">
        <w:trPr>
          <w:cnfStyle w:val="100000000000" w:firstRow="1" w:lastRow="0" w:firstColumn="0" w:lastColumn="0" w:oddVBand="0" w:evenVBand="0" w:oddHBand="0" w:evenHBand="0" w:firstRowFirstColumn="0" w:firstRowLastColumn="0" w:lastRowFirstColumn="0" w:lastRowLastColumn="0"/>
          <w:trHeight w:val="284"/>
        </w:trPr>
        <w:tc>
          <w:tcPr>
            <w:tcW w:w="1507" w:type="pct"/>
          </w:tcPr>
          <w:p w14:paraId="26840C01" w14:textId="77777777" w:rsidR="00B637DD" w:rsidRPr="00F14A44" w:rsidRDefault="00B637DD" w:rsidP="00390828">
            <w:pPr>
              <w:keepLines/>
              <w:spacing w:before="40" w:after="40" w:line="200" w:lineRule="atLeast"/>
              <w:rPr>
                <w:rFonts w:eastAsia="Times New Roman"/>
                <w:iCs/>
                <w:color w:val="auto"/>
                <w:szCs w:val="17"/>
              </w:rPr>
            </w:pPr>
          </w:p>
        </w:tc>
        <w:tc>
          <w:tcPr>
            <w:tcW w:w="578" w:type="pct"/>
          </w:tcPr>
          <w:p w14:paraId="32CD3D68" w14:textId="77777777" w:rsidR="00B637DD" w:rsidRPr="00F14A44" w:rsidRDefault="00B637DD" w:rsidP="00390828">
            <w:pPr>
              <w:autoSpaceDE w:val="0"/>
              <w:autoSpaceDN w:val="0"/>
              <w:adjustRightInd w:val="0"/>
              <w:rPr>
                <w:rFonts w:cs="Franklin Gothic Book"/>
                <w:color w:val="auto"/>
                <w:szCs w:val="17"/>
              </w:rPr>
            </w:pPr>
          </w:p>
        </w:tc>
        <w:tc>
          <w:tcPr>
            <w:tcW w:w="319" w:type="pct"/>
            <w:shd w:val="clear" w:color="auto" w:fill="auto"/>
            <w:noWrap/>
          </w:tcPr>
          <w:p w14:paraId="06B99DB8" w14:textId="77777777" w:rsidR="00B637DD" w:rsidRPr="00F14A44" w:rsidRDefault="00B637DD" w:rsidP="00390828">
            <w:pPr>
              <w:keepLines/>
              <w:spacing w:before="40" w:after="40" w:line="200" w:lineRule="atLeast"/>
              <w:jc w:val="center"/>
              <w:rPr>
                <w:rFonts w:eastAsia="Times New Roman"/>
                <w:iCs/>
                <w:color w:val="auto"/>
                <w:szCs w:val="17"/>
              </w:rPr>
            </w:pPr>
          </w:p>
        </w:tc>
        <w:tc>
          <w:tcPr>
            <w:tcW w:w="331" w:type="pct"/>
            <w:shd w:val="clear" w:color="auto" w:fill="auto"/>
            <w:noWrap/>
          </w:tcPr>
          <w:p w14:paraId="19E454A4" w14:textId="77777777" w:rsidR="00B637DD" w:rsidRPr="00F14A44" w:rsidRDefault="00B637DD" w:rsidP="00390828">
            <w:pPr>
              <w:keepLines/>
              <w:spacing w:before="40" w:after="40" w:line="200" w:lineRule="atLeast"/>
              <w:jc w:val="center"/>
              <w:rPr>
                <w:rFonts w:eastAsia="Times New Roman"/>
                <w:iCs/>
                <w:color w:val="auto"/>
                <w:szCs w:val="17"/>
              </w:rPr>
            </w:pPr>
          </w:p>
        </w:tc>
        <w:tc>
          <w:tcPr>
            <w:tcW w:w="323" w:type="pct"/>
            <w:shd w:val="clear" w:color="auto" w:fill="auto"/>
            <w:noWrap/>
          </w:tcPr>
          <w:p w14:paraId="678FE547" w14:textId="77777777" w:rsidR="00B637DD" w:rsidRPr="00F14A44" w:rsidRDefault="00B637DD" w:rsidP="00390828">
            <w:pPr>
              <w:keepLines/>
              <w:spacing w:before="40" w:after="40" w:line="200" w:lineRule="atLeast"/>
              <w:jc w:val="center"/>
              <w:rPr>
                <w:rFonts w:eastAsia="Times New Roman"/>
                <w:iCs/>
                <w:color w:val="auto"/>
                <w:szCs w:val="17"/>
              </w:rPr>
            </w:pPr>
          </w:p>
        </w:tc>
        <w:tc>
          <w:tcPr>
            <w:tcW w:w="339" w:type="pct"/>
            <w:shd w:val="clear" w:color="auto" w:fill="auto"/>
            <w:noWrap/>
          </w:tcPr>
          <w:p w14:paraId="165BBC7F" w14:textId="77777777" w:rsidR="00B637DD" w:rsidRPr="00F14A44" w:rsidRDefault="00B637DD" w:rsidP="00390828">
            <w:pPr>
              <w:keepLines/>
              <w:spacing w:before="40" w:after="40" w:line="200" w:lineRule="atLeast"/>
              <w:jc w:val="center"/>
              <w:rPr>
                <w:rFonts w:eastAsia="Times New Roman"/>
                <w:iCs/>
                <w:color w:val="auto"/>
                <w:szCs w:val="17"/>
              </w:rPr>
            </w:pPr>
          </w:p>
        </w:tc>
        <w:tc>
          <w:tcPr>
            <w:tcW w:w="372" w:type="pct"/>
            <w:shd w:val="clear" w:color="auto" w:fill="auto"/>
            <w:noWrap/>
          </w:tcPr>
          <w:p w14:paraId="585B1699" w14:textId="77777777" w:rsidR="00B637DD" w:rsidRPr="00F14A44" w:rsidRDefault="00B637DD" w:rsidP="00390828">
            <w:pPr>
              <w:keepLines/>
              <w:spacing w:before="40" w:after="40" w:line="200" w:lineRule="atLeast"/>
              <w:jc w:val="center"/>
              <w:rPr>
                <w:rFonts w:eastAsia="Times New Roman"/>
                <w:iCs/>
                <w:color w:val="auto"/>
                <w:szCs w:val="17"/>
              </w:rPr>
            </w:pPr>
          </w:p>
        </w:tc>
        <w:tc>
          <w:tcPr>
            <w:tcW w:w="338" w:type="pct"/>
            <w:shd w:val="clear" w:color="auto" w:fill="auto"/>
            <w:noWrap/>
          </w:tcPr>
          <w:p w14:paraId="397EC9D8" w14:textId="77777777" w:rsidR="00B637DD" w:rsidRPr="00F14A44" w:rsidRDefault="00B637DD" w:rsidP="00390828">
            <w:pPr>
              <w:keepLines/>
              <w:spacing w:before="40" w:after="40" w:line="200" w:lineRule="atLeast"/>
              <w:jc w:val="center"/>
              <w:rPr>
                <w:rFonts w:eastAsia="Times New Roman"/>
                <w:iCs/>
                <w:color w:val="auto"/>
                <w:szCs w:val="17"/>
              </w:rPr>
            </w:pPr>
          </w:p>
        </w:tc>
        <w:tc>
          <w:tcPr>
            <w:tcW w:w="368" w:type="pct"/>
            <w:shd w:val="clear" w:color="auto" w:fill="auto"/>
          </w:tcPr>
          <w:p w14:paraId="50122A46" w14:textId="77777777" w:rsidR="00B637DD" w:rsidRPr="00F14A44" w:rsidRDefault="00B637DD" w:rsidP="00390828">
            <w:pPr>
              <w:keepLines/>
              <w:spacing w:before="40" w:after="40" w:line="200" w:lineRule="atLeast"/>
              <w:jc w:val="center"/>
              <w:rPr>
                <w:rFonts w:eastAsia="Times New Roman"/>
                <w:iCs/>
                <w:color w:val="auto"/>
                <w:szCs w:val="17"/>
              </w:rPr>
            </w:pPr>
          </w:p>
        </w:tc>
        <w:tc>
          <w:tcPr>
            <w:tcW w:w="359" w:type="pct"/>
            <w:shd w:val="clear" w:color="auto" w:fill="auto"/>
          </w:tcPr>
          <w:p w14:paraId="63ECB238" w14:textId="77777777" w:rsidR="00B637DD" w:rsidRPr="00F14A44" w:rsidRDefault="00B637DD" w:rsidP="00390828">
            <w:pPr>
              <w:keepLines/>
              <w:spacing w:before="40" w:after="40" w:line="200" w:lineRule="atLeast"/>
              <w:jc w:val="center"/>
              <w:rPr>
                <w:rFonts w:eastAsia="Times New Roman"/>
                <w:iCs/>
                <w:color w:val="auto"/>
                <w:szCs w:val="17"/>
              </w:rPr>
            </w:pPr>
          </w:p>
        </w:tc>
      </w:tr>
    </w:tbl>
    <w:p w14:paraId="1CD392A5" w14:textId="77777777" w:rsidR="00390828" w:rsidRPr="00F14A44" w:rsidRDefault="00390828" w:rsidP="00390828">
      <w:pPr>
        <w:spacing w:before="20" w:after="20" w:line="180" w:lineRule="atLeast"/>
        <w:jc w:val="both"/>
        <w:rPr>
          <w:rFonts w:eastAsia="Times New Roman"/>
          <w:b/>
          <w:color w:val="auto"/>
          <w:sz w:val="14"/>
          <w:szCs w:val="14"/>
        </w:rPr>
      </w:pPr>
    </w:p>
    <w:p w14:paraId="7BAD7577" w14:textId="77777777" w:rsidR="00232E53" w:rsidRDefault="00232E53" w:rsidP="00390828">
      <w:pPr>
        <w:spacing w:before="20" w:after="20" w:line="180" w:lineRule="atLeast"/>
        <w:jc w:val="both"/>
        <w:rPr>
          <w:rFonts w:eastAsia="Times New Roman"/>
          <w:color w:val="auto"/>
          <w:sz w:val="16"/>
          <w:szCs w:val="14"/>
        </w:rPr>
      </w:pPr>
    </w:p>
    <w:p w14:paraId="488058E8" w14:textId="77777777" w:rsidR="00390828" w:rsidRPr="00F14A44" w:rsidRDefault="00390828" w:rsidP="00390828">
      <w:pPr>
        <w:spacing w:before="20" w:after="20" w:line="180" w:lineRule="atLeast"/>
        <w:jc w:val="both"/>
        <w:rPr>
          <w:rFonts w:eastAsia="Times New Roman"/>
          <w:color w:val="auto"/>
          <w:sz w:val="16"/>
          <w:szCs w:val="14"/>
        </w:rPr>
      </w:pPr>
      <w:r w:rsidRPr="00F14A44">
        <w:rPr>
          <w:rFonts w:eastAsia="Times New Roman"/>
          <w:color w:val="auto"/>
          <w:sz w:val="16"/>
          <w:szCs w:val="14"/>
        </w:rPr>
        <w:lastRenderedPageBreak/>
        <w:t>Definitions of rating scale:</w:t>
      </w:r>
      <w:r w:rsidRPr="00F14A44">
        <w:rPr>
          <w:rFonts w:eastAsia="Times New Roman"/>
          <w:color w:val="auto"/>
          <w:sz w:val="16"/>
          <w:szCs w:val="14"/>
        </w:rPr>
        <w:tab/>
      </w:r>
    </w:p>
    <w:p w14:paraId="7EDF8DBA" w14:textId="77777777" w:rsidR="00390828" w:rsidRPr="00F14A44" w:rsidRDefault="00390828" w:rsidP="00390828">
      <w:pPr>
        <w:spacing w:before="20" w:after="20" w:line="180" w:lineRule="atLeast"/>
        <w:jc w:val="both"/>
        <w:rPr>
          <w:rFonts w:eastAsia="Times New Roman"/>
          <w:color w:val="auto"/>
          <w:sz w:val="16"/>
          <w:szCs w:val="14"/>
          <w:u w:val="single"/>
        </w:rPr>
      </w:pPr>
      <w:r w:rsidRPr="00F14A44">
        <w:rPr>
          <w:rFonts w:eastAsia="Times New Roman"/>
          <w:color w:val="auto"/>
          <w:sz w:val="16"/>
          <w:szCs w:val="14"/>
          <w:u w:val="single"/>
        </w:rPr>
        <w:t>Satisfactory (4, 5 and 6)</w:t>
      </w:r>
    </w:p>
    <w:p w14:paraId="614D036B" w14:textId="77777777" w:rsidR="00390828" w:rsidRPr="00F14A44" w:rsidRDefault="00390828" w:rsidP="00390828">
      <w:pPr>
        <w:spacing w:before="20" w:after="20" w:line="180" w:lineRule="atLeast"/>
        <w:rPr>
          <w:rFonts w:eastAsia="Times New Roman"/>
          <w:color w:val="auto"/>
          <w:sz w:val="16"/>
          <w:szCs w:val="14"/>
        </w:rPr>
      </w:pPr>
      <w:r w:rsidRPr="00F14A44">
        <w:rPr>
          <w:rFonts w:eastAsia="Times New Roman"/>
          <w:color w:val="auto"/>
          <w:sz w:val="16"/>
          <w:szCs w:val="14"/>
        </w:rPr>
        <w:t>6 = Very good; satisfies criteria in all areas.  5 = Good; satisfies criteria in almost all areas.</w:t>
      </w:r>
    </w:p>
    <w:p w14:paraId="6288FA9C" w14:textId="77777777" w:rsidR="00390828" w:rsidRPr="00F14A44" w:rsidRDefault="00390828" w:rsidP="00390828">
      <w:pPr>
        <w:spacing w:before="20" w:after="20" w:line="180" w:lineRule="atLeast"/>
        <w:rPr>
          <w:rFonts w:eastAsia="Times New Roman"/>
          <w:color w:val="auto"/>
          <w:sz w:val="16"/>
          <w:szCs w:val="14"/>
        </w:rPr>
      </w:pPr>
      <w:r w:rsidRPr="00F14A44">
        <w:rPr>
          <w:rFonts w:eastAsia="Times New Roman"/>
          <w:color w:val="auto"/>
          <w:sz w:val="16"/>
          <w:szCs w:val="14"/>
        </w:rPr>
        <w:t>4 = Adequate; on balance, satisfies criteria; does not fail in any major area.</w:t>
      </w:r>
    </w:p>
    <w:p w14:paraId="3C030B3D" w14:textId="77777777" w:rsidR="00390828" w:rsidRPr="00F14A44" w:rsidRDefault="00390828" w:rsidP="00390828">
      <w:pPr>
        <w:spacing w:before="20" w:after="20" w:line="180" w:lineRule="atLeast"/>
        <w:rPr>
          <w:rFonts w:eastAsia="Times New Roman"/>
          <w:color w:val="auto"/>
          <w:sz w:val="16"/>
          <w:szCs w:val="14"/>
          <w:u w:val="single"/>
        </w:rPr>
      </w:pPr>
      <w:r w:rsidRPr="00F14A44">
        <w:rPr>
          <w:rFonts w:eastAsia="Times New Roman"/>
          <w:color w:val="auto"/>
          <w:sz w:val="16"/>
          <w:szCs w:val="14"/>
          <w:u w:val="single"/>
        </w:rPr>
        <w:t>Less than satisfactory (1, 2 and 3)</w:t>
      </w:r>
    </w:p>
    <w:p w14:paraId="5BD2F175" w14:textId="77777777" w:rsidR="00390828" w:rsidRPr="00F14A44" w:rsidRDefault="00390828" w:rsidP="00390828">
      <w:pPr>
        <w:spacing w:before="20" w:after="20" w:line="180" w:lineRule="atLeast"/>
        <w:rPr>
          <w:rFonts w:eastAsia="Times New Roman"/>
          <w:color w:val="auto"/>
          <w:sz w:val="16"/>
          <w:szCs w:val="14"/>
        </w:rPr>
      </w:pPr>
      <w:r w:rsidRPr="00F14A44">
        <w:rPr>
          <w:rFonts w:eastAsia="Times New Roman"/>
          <w:color w:val="auto"/>
          <w:sz w:val="16"/>
          <w:szCs w:val="14"/>
        </w:rPr>
        <w:t xml:space="preserve"> 3 = Less than adequate; on balance does not satisfy criteria and/or fails in at least one major area.</w:t>
      </w:r>
    </w:p>
    <w:p w14:paraId="46860E97" w14:textId="77777777" w:rsidR="00D65644" w:rsidRDefault="00390828" w:rsidP="00232E53">
      <w:pPr>
        <w:spacing w:before="20" w:after="20" w:line="180" w:lineRule="atLeast"/>
        <w:rPr>
          <w:rFonts w:asciiTheme="majorHAnsi" w:eastAsiaTheme="majorEastAsia" w:hAnsiTheme="majorHAnsi" w:cstheme="majorHAnsi"/>
          <w:bCs/>
          <w:iCs/>
          <w:caps/>
          <w:spacing w:val="-10"/>
          <w:kern w:val="28"/>
          <w:sz w:val="28"/>
          <w:szCs w:val="28"/>
        </w:rPr>
      </w:pPr>
      <w:r w:rsidRPr="00F14A44">
        <w:rPr>
          <w:rFonts w:eastAsia="Times New Roman"/>
          <w:color w:val="auto"/>
          <w:sz w:val="16"/>
          <w:szCs w:val="14"/>
        </w:rPr>
        <w:t xml:space="preserve"> 2 = Poor; does not satisfy criteria in major areas.  1 = Very poor; does not satisfy criteria in many major area.</w:t>
      </w:r>
    </w:p>
    <w:sectPr w:rsidR="00D65644" w:rsidSect="00EC3C2D">
      <w:headerReference w:type="even" r:id="rId21"/>
      <w:headerReference w:type="default" r:id="rId22"/>
      <w:headerReference w:type="first" r:id="rId23"/>
      <w:footerReference w:type="first" r:id="rId24"/>
      <w:pgSz w:w="11906" w:h="16838" w:code="9"/>
      <w:pgMar w:top="1701" w:right="1134" w:bottom="1418" w:left="1134" w:header="425" w:footer="493" w:gutter="0"/>
      <w:cols w:space="397"/>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F8686" w16cex:dateUtc="2020-08-25T06:45:00Z"/>
  <w16cex:commentExtensible w16cex:durableId="22EFD5A9" w16cex:dateUtc="2020-08-25T12:23:00Z"/>
  <w16cex:commentExtensible w16cex:durableId="22EFD645" w16cex:dateUtc="2020-08-25T12:26:00Z"/>
  <w16cex:commentExtensible w16cex:durableId="22EF8991" w16cex:dateUtc="2020-08-25T06:58:00Z"/>
  <w16cex:commentExtensible w16cex:durableId="22EF8332" w16cex:dateUtc="2020-08-25T06:31:00Z"/>
  <w16cex:commentExtensible w16cex:durableId="22EF83F5" w16cex:dateUtc="2020-08-25T06:35:00Z"/>
  <w16cex:commentExtensible w16cex:durableId="22EF8429" w16cex:dateUtc="2020-08-25T06:35:00Z"/>
  <w16cex:commentExtensible w16cex:durableId="22EF8A21" w16cex:dateUtc="2020-08-25T07:01:00Z"/>
  <w16cex:commentExtensible w16cex:durableId="22EF8B14" w16cex:dateUtc="2020-08-25T07:05:00Z"/>
  <w16cex:commentExtensible w16cex:durableId="22EF8B96" w16cex:dateUtc="2020-08-25T07:07:00Z"/>
  <w16cex:commentExtensible w16cex:durableId="22EF8BF9" w16cex:dateUtc="2020-08-25T07:09:00Z"/>
  <w16cex:commentExtensible w16cex:durableId="22EF8C8C" w16cex:dateUtc="2020-08-25T07:11:00Z"/>
  <w16cex:commentExtensible w16cex:durableId="22EFF164" w16cex:dateUtc="2020-08-25T14:21:00Z"/>
  <w16cex:commentExtensible w16cex:durableId="22EFF1A2" w16cex:dateUtc="2020-08-25T14: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1433C" w14:textId="77777777" w:rsidR="008251F4" w:rsidRDefault="008251F4" w:rsidP="00D37B04">
      <w:r>
        <w:separator/>
      </w:r>
    </w:p>
  </w:endnote>
  <w:endnote w:type="continuationSeparator" w:id="0">
    <w:p w14:paraId="60789385" w14:textId="77777777" w:rsidR="008251F4" w:rsidRDefault="008251F4"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93E32" w14:textId="77777777" w:rsidR="00071B98" w:rsidRPr="00FC322F" w:rsidRDefault="00071B98" w:rsidP="00FC322F">
    <w:pPr>
      <w:pStyle w:val="Footer"/>
      <w:rPr>
        <w:b/>
      </w:rPr>
    </w:pPr>
    <w:r w:rsidRPr="00FC322F">
      <w:rPr>
        <w:b/>
        <w:noProof/>
        <w:lang w:val="en-AU" w:eastAsia="en-AU"/>
      </w:rPr>
      <w:drawing>
        <wp:inline distT="0" distB="0" distL="0" distR="0" wp14:anchorId="41B38074" wp14:editId="1E53CA25">
          <wp:extent cx="108000" cy="87480"/>
          <wp:effectExtent l="0" t="0" r="6350" b="8255"/>
          <wp:docPr id="9" name="Picture 9"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4700"/>
      <w:docPartObj>
        <w:docPartGallery w:val="Page Numbers (Bottom of Page)"/>
        <w:docPartUnique/>
      </w:docPartObj>
    </w:sdtPr>
    <w:sdtEndPr>
      <w:rPr>
        <w:noProof/>
      </w:rPr>
    </w:sdtEndPr>
    <w:sdtContent>
      <w:p w14:paraId="5B953551" w14:textId="449590DC" w:rsidR="00DB1E9A" w:rsidRDefault="00DB1E9A">
        <w:pPr>
          <w:pStyle w:val="Footer"/>
          <w:jc w:val="center"/>
        </w:pPr>
        <w:r>
          <w:fldChar w:fldCharType="begin"/>
        </w:r>
        <w:r>
          <w:instrText xml:space="preserve"> PAGE   \* MERGEFORMAT </w:instrText>
        </w:r>
        <w:r>
          <w:fldChar w:fldCharType="separate"/>
        </w:r>
        <w:r w:rsidR="00F14359">
          <w:rPr>
            <w:noProof/>
          </w:rPr>
          <w:t>1</w:t>
        </w:r>
        <w:r>
          <w:rPr>
            <w:noProof/>
          </w:rPr>
          <w:fldChar w:fldCharType="end"/>
        </w:r>
      </w:p>
    </w:sdtContent>
  </w:sdt>
  <w:p w14:paraId="2A316C2F" w14:textId="4BCB9162" w:rsidR="00071B98" w:rsidRPr="00FC322F" w:rsidRDefault="00071B98"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432728"/>
      <w:docPartObj>
        <w:docPartGallery w:val="Page Numbers (Bottom of Page)"/>
        <w:docPartUnique/>
      </w:docPartObj>
    </w:sdtPr>
    <w:sdtEndPr>
      <w:rPr>
        <w:noProof/>
      </w:rPr>
    </w:sdtEndPr>
    <w:sdtContent>
      <w:p w14:paraId="6CA79895" w14:textId="1A5D81A7" w:rsidR="00DB1E9A" w:rsidRDefault="00DB1E9A">
        <w:pPr>
          <w:pStyle w:val="Footer"/>
          <w:jc w:val="center"/>
        </w:pPr>
        <w:r>
          <w:fldChar w:fldCharType="begin"/>
        </w:r>
        <w:r>
          <w:instrText xml:space="preserve"> PAGE   \* MERGEFORMAT </w:instrText>
        </w:r>
        <w:r>
          <w:fldChar w:fldCharType="separate"/>
        </w:r>
        <w:r w:rsidR="00F14359">
          <w:rPr>
            <w:noProof/>
          </w:rPr>
          <w:t>4</w:t>
        </w:r>
        <w:r>
          <w:rPr>
            <w:noProof/>
          </w:rPr>
          <w:fldChar w:fldCharType="end"/>
        </w:r>
      </w:p>
    </w:sdtContent>
  </w:sdt>
  <w:p w14:paraId="3CB606CA" w14:textId="6D1F8113" w:rsidR="00071B98" w:rsidRPr="00FC322F" w:rsidRDefault="00071B98"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6ED5C" w14:textId="77777777" w:rsidR="00071B98" w:rsidRPr="00FC322F" w:rsidRDefault="00071B98" w:rsidP="00FC322F">
    <w:pPr>
      <w:pStyle w:val="Footer"/>
      <w:rPr>
        <w:b/>
      </w:rPr>
    </w:pPr>
    <w:r w:rsidRPr="00FC322F">
      <w:rPr>
        <w:b/>
        <w:noProof/>
        <w:lang w:val="en-AU" w:eastAsia="en-AU"/>
      </w:rPr>
      <w:drawing>
        <wp:inline distT="0" distB="0" distL="0" distR="0" wp14:anchorId="4E2B2746" wp14:editId="688E91B4">
          <wp:extent cx="108000" cy="87480"/>
          <wp:effectExtent l="0" t="0" r="6350" b="8255"/>
          <wp:docPr id="55" name="Picture 55"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910927"/>
      <w:docPartObj>
        <w:docPartGallery w:val="Page Numbers (Bottom of Page)"/>
        <w:docPartUnique/>
      </w:docPartObj>
    </w:sdtPr>
    <w:sdtEndPr>
      <w:rPr>
        <w:noProof/>
      </w:rPr>
    </w:sdtEndPr>
    <w:sdtContent>
      <w:p w14:paraId="326F4556" w14:textId="07E0A7A2" w:rsidR="00DB1E9A" w:rsidRDefault="00DB1E9A">
        <w:pPr>
          <w:pStyle w:val="Footer"/>
          <w:jc w:val="center"/>
        </w:pPr>
        <w:r>
          <w:fldChar w:fldCharType="begin"/>
        </w:r>
        <w:r>
          <w:instrText xml:space="preserve"> PAGE   \* MERGEFORMAT </w:instrText>
        </w:r>
        <w:r>
          <w:fldChar w:fldCharType="separate"/>
        </w:r>
        <w:r w:rsidR="00F14359">
          <w:rPr>
            <w:noProof/>
          </w:rPr>
          <w:t>2</w:t>
        </w:r>
        <w:r>
          <w:rPr>
            <w:noProof/>
          </w:rPr>
          <w:fldChar w:fldCharType="end"/>
        </w:r>
      </w:p>
    </w:sdtContent>
  </w:sdt>
  <w:p w14:paraId="26C4838A" w14:textId="66645720" w:rsidR="00071B98" w:rsidRPr="00EC3C2D" w:rsidRDefault="00071B98" w:rsidP="00DB1E9A">
    <w:pPr>
      <w:pStyle w:val="Footer"/>
      <w:tabs>
        <w:tab w:val="left" w:pos="60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585F9" w14:textId="77777777" w:rsidR="008251F4" w:rsidRPr="008C5A0E" w:rsidRDefault="008251F4" w:rsidP="00D37B04">
      <w:pPr>
        <w:pStyle w:val="Footer"/>
      </w:pPr>
    </w:p>
  </w:footnote>
  <w:footnote w:type="continuationSeparator" w:id="0">
    <w:p w14:paraId="2052393C" w14:textId="77777777" w:rsidR="008251F4" w:rsidRDefault="008251F4"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943C5" w14:textId="77777777" w:rsidR="00071B98" w:rsidRPr="000854FD" w:rsidRDefault="00071B98" w:rsidP="002D5B25">
    <w:pPr>
      <w:pStyle w:val="Header"/>
    </w:pPr>
    <w:r w:rsidRPr="00943730">
      <w:rPr>
        <w:noProof/>
        <w:lang w:val="en-AU" w:eastAsia="en-AU"/>
      </w:rPr>
      <w:drawing>
        <wp:anchor distT="0" distB="0" distL="114300" distR="114300" simplePos="0" relativeHeight="251668480" behindDoc="1" locked="1" layoutInCell="1" allowOverlap="1" wp14:anchorId="13BBA7D6" wp14:editId="600176CF">
          <wp:simplePos x="0" y="0"/>
          <wp:positionH relativeFrom="page">
            <wp:posOffset>12700</wp:posOffset>
          </wp:positionH>
          <wp:positionV relativeFrom="page">
            <wp:posOffset>0</wp:posOffset>
          </wp:positionV>
          <wp:extent cx="7559040" cy="1069276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1A538" w14:textId="77777777" w:rsidR="00071B98" w:rsidRPr="00943730" w:rsidRDefault="00071B98" w:rsidP="00ED68D1">
    <w:pPr>
      <w:pStyle w:val="Header"/>
      <w:ind w:left="0"/>
    </w:pPr>
    <w:r w:rsidRPr="00252C04">
      <w:rPr>
        <w:noProof/>
        <w:lang w:val="en-AU" w:eastAsia="en-AU"/>
      </w:rPr>
      <w:drawing>
        <wp:anchor distT="0" distB="0" distL="114300" distR="114300" simplePos="0" relativeHeight="251669504" behindDoc="1" locked="1" layoutInCell="1" allowOverlap="1" wp14:anchorId="0F7EA56B" wp14:editId="3337CCC6">
          <wp:simplePos x="0" y="0"/>
          <wp:positionH relativeFrom="page">
            <wp:posOffset>5699125</wp:posOffset>
          </wp:positionH>
          <wp:positionV relativeFrom="topMargin">
            <wp:align>bottom</wp:align>
          </wp:positionV>
          <wp:extent cx="1115060" cy="512445"/>
          <wp:effectExtent l="0" t="0" r="889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7456" behindDoc="1" locked="1" layoutInCell="1" allowOverlap="1" wp14:anchorId="7BE435D2" wp14:editId="7EB79F25">
          <wp:simplePos x="0" y="0"/>
          <wp:positionH relativeFrom="page">
            <wp:posOffset>713740</wp:posOffset>
          </wp:positionH>
          <wp:positionV relativeFrom="topMargin">
            <wp:align>bottom</wp:align>
          </wp:positionV>
          <wp:extent cx="3166745" cy="554355"/>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6432" behindDoc="1" locked="1" layoutInCell="1" allowOverlap="1" wp14:anchorId="6206B5B1" wp14:editId="656138C3">
          <wp:simplePos x="0" y="0"/>
          <wp:positionH relativeFrom="page">
            <wp:posOffset>12700</wp:posOffset>
          </wp:positionH>
          <wp:positionV relativeFrom="page">
            <wp:posOffset>-68580</wp:posOffset>
          </wp:positionV>
          <wp:extent cx="7559040" cy="10692130"/>
          <wp:effectExtent l="0" t="0" r="381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0748" w14:textId="77777777" w:rsidR="00071B98" w:rsidRPr="000854FD" w:rsidRDefault="00071B98" w:rsidP="002D5B25">
    <w:pPr>
      <w:pStyle w:val="Header"/>
    </w:pPr>
    <w:r w:rsidRPr="00943730">
      <w:rPr>
        <w:noProof/>
        <w:lang w:val="en-AU" w:eastAsia="en-AU"/>
      </w:rPr>
      <w:drawing>
        <wp:anchor distT="0" distB="0" distL="114300" distR="114300" simplePos="0" relativeHeight="251662336" behindDoc="1" locked="1" layoutInCell="1" allowOverlap="1" wp14:anchorId="24396C4B" wp14:editId="5DCB8773">
          <wp:simplePos x="0" y="0"/>
          <wp:positionH relativeFrom="page">
            <wp:posOffset>12700</wp:posOffset>
          </wp:positionH>
          <wp:positionV relativeFrom="page">
            <wp:posOffset>0</wp:posOffset>
          </wp:positionV>
          <wp:extent cx="7559040" cy="10692765"/>
          <wp:effectExtent l="0" t="0" r="381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64F1D" w14:textId="067905C0" w:rsidR="00071B98" w:rsidRPr="00943730" w:rsidRDefault="00071B98" w:rsidP="00943730">
    <w:pPr>
      <w:pStyle w:val="Header"/>
    </w:pPr>
    <w:r w:rsidRPr="00943730">
      <w:fldChar w:fldCharType="begin"/>
    </w:r>
    <w:r w:rsidRPr="00943730">
      <w:instrText xml:space="preserve"> DATE  \@ "MMMM yyyy"  \* MERGEFORMAT </w:instrText>
    </w:r>
    <w:r w:rsidRPr="00943730">
      <w:fldChar w:fldCharType="separate"/>
    </w:r>
    <w:r w:rsidR="00D0109B">
      <w:rPr>
        <w:noProof/>
      </w:rPr>
      <w:t>November 2020</w:t>
    </w:r>
    <w:r w:rsidRPr="00943730">
      <w:fldChar w:fldCharType="end"/>
    </w:r>
    <w:r w:rsidRPr="00252C04">
      <w:rPr>
        <w:noProof/>
        <w:lang w:val="en-AU" w:eastAsia="en-AU"/>
      </w:rPr>
      <w:drawing>
        <wp:anchor distT="0" distB="0" distL="114300" distR="114300" simplePos="0" relativeHeight="251664384" behindDoc="1" locked="1" layoutInCell="1" allowOverlap="1" wp14:anchorId="75C13521" wp14:editId="64183538">
          <wp:simplePos x="0" y="0"/>
          <wp:positionH relativeFrom="page">
            <wp:posOffset>5724525</wp:posOffset>
          </wp:positionH>
          <wp:positionV relativeFrom="page">
            <wp:posOffset>720090</wp:posOffset>
          </wp:positionV>
          <wp:extent cx="1115060" cy="512445"/>
          <wp:effectExtent l="0" t="0" r="8890" b="1905"/>
          <wp:wrapNone/>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3CD781E1" wp14:editId="0FBE9B82">
          <wp:simplePos x="0" y="0"/>
          <wp:positionH relativeFrom="page">
            <wp:posOffset>720090</wp:posOffset>
          </wp:positionH>
          <wp:positionV relativeFrom="page">
            <wp:posOffset>683895</wp:posOffset>
          </wp:positionV>
          <wp:extent cx="3166745" cy="554355"/>
          <wp:effectExtent l="0" t="0" r="0" b="0"/>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0083F248" wp14:editId="1E608EDD">
          <wp:simplePos x="0" y="0"/>
          <wp:positionH relativeFrom="page">
            <wp:posOffset>12700</wp:posOffset>
          </wp:positionH>
          <wp:positionV relativeFrom="page">
            <wp:posOffset>-69850</wp:posOffset>
          </wp:positionV>
          <wp:extent cx="10585450" cy="10692130"/>
          <wp:effectExtent l="0" t="0" r="6350" b="0"/>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1058545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C4C65" w14:textId="77777777" w:rsidR="00071B98" w:rsidRDefault="00071B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6AE63" w14:textId="77777777" w:rsidR="00071B98" w:rsidRPr="00333501" w:rsidRDefault="00071B98" w:rsidP="004F7DE2">
    <w:pPr>
      <w:pStyle w:val="Header"/>
      <w:tabs>
        <w:tab w:val="clear" w:pos="4513"/>
        <w:tab w:val="clear" w:pos="9026"/>
        <w:tab w:val="left" w:pos="2651"/>
      </w:tabs>
    </w:pPr>
    <w:r>
      <w:rPr>
        <w:noProof/>
        <w:lang w:val="en-AU" w:eastAsia="en-AU"/>
      </w:rPr>
      <w:drawing>
        <wp:anchor distT="0" distB="0" distL="114300" distR="114300" simplePos="0" relativeHeight="251672576" behindDoc="1" locked="1" layoutInCell="1" allowOverlap="1" wp14:anchorId="40788819" wp14:editId="6BDE3BD6">
          <wp:simplePos x="0" y="0"/>
          <wp:positionH relativeFrom="page">
            <wp:posOffset>52705</wp:posOffset>
          </wp:positionH>
          <wp:positionV relativeFrom="page">
            <wp:posOffset>158115</wp:posOffset>
          </wp:positionV>
          <wp:extent cx="7447280" cy="10480675"/>
          <wp:effectExtent l="0" t="0" r="127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47280" cy="10480675"/>
                  </a:xfrm>
                  <a:prstGeom prst="rect">
                    <a:avLst/>
                  </a:prstGeom>
                </pic:spPr>
              </pic:pic>
            </a:graphicData>
          </a:graphic>
          <wp14:sizeRelH relativeFrom="margin">
            <wp14:pctWidth>0</wp14:pctWidth>
          </wp14:sizeRelH>
          <wp14:sizeRelV relativeFrom="margin">
            <wp14:pctHeight>0</wp14:pctHeight>
          </wp14:sizeRelV>
        </wp:anchor>
      </w:drawing>
    </w:r>
    <w:r w:rsidR="00A20111">
      <w:rPr>
        <w:noProof/>
        <w:lang w:val="en-AU" w:eastAsia="en-AU"/>
      </w:rPr>
      <w:t>z</w:t>
    </w:r>
    <w:r w:rsidR="004F7DE2">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ACEC5" w14:textId="77777777" w:rsidR="00071B98" w:rsidRPr="003D352D" w:rsidRDefault="00071B98" w:rsidP="00ED68D1">
    <w:pPr>
      <w:pStyle w:val="Header"/>
    </w:pPr>
    <w:r>
      <w:rPr>
        <w:noProof/>
        <w:lang w:val="en-AU" w:eastAsia="en-AU"/>
      </w:rPr>
      <w:drawing>
        <wp:anchor distT="0" distB="0" distL="114300" distR="114300" simplePos="0" relativeHeight="251671552" behindDoc="1" locked="1" layoutInCell="1" allowOverlap="1" wp14:anchorId="790338B7" wp14:editId="47AA7D93">
          <wp:simplePos x="0" y="0"/>
          <wp:positionH relativeFrom="page">
            <wp:align>right</wp:align>
          </wp:positionH>
          <wp:positionV relativeFrom="page">
            <wp:align>top</wp:align>
          </wp:positionV>
          <wp:extent cx="7512050" cy="10639425"/>
          <wp:effectExtent l="0" t="0" r="0"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2050"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30749"/>
    <w:multiLevelType w:val="hybridMultilevel"/>
    <w:tmpl w:val="666E0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3" w15:restartNumberingAfterBreak="0">
    <w:nsid w:val="1EFE2707"/>
    <w:multiLevelType w:val="hybridMultilevel"/>
    <w:tmpl w:val="D8E68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52553D9F"/>
    <w:multiLevelType w:val="multilevel"/>
    <w:tmpl w:val="A6FA45D0"/>
    <w:numStyleLink w:val="BulletsList"/>
  </w:abstractNum>
  <w:abstractNum w:abstractNumId="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8"/>
  </w:num>
  <w:num w:numId="2">
    <w:abstractNumId w:val="1"/>
  </w:num>
  <w:num w:numId="3">
    <w:abstractNumId w:val="4"/>
  </w:num>
  <w:num w:numId="4">
    <w:abstractNumId w:val="6"/>
  </w:num>
  <w:num w:numId="5">
    <w:abstractNumId w:val="7"/>
  </w:num>
  <w:num w:numId="6">
    <w:abstractNumId w:val="4"/>
  </w:num>
  <w:num w:numId="7">
    <w:abstractNumId w:val="1"/>
  </w:num>
  <w:num w:numId="8">
    <w:abstractNumId w:val="2"/>
  </w:num>
  <w:num w:numId="9">
    <w:abstractNumId w:val="9"/>
  </w:num>
  <w:num w:numId="10">
    <w:abstractNumId w:val="5"/>
  </w:num>
  <w:num w:numId="11">
    <w:abstractNumId w:val="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DBC"/>
    <w:rsid w:val="00001DA8"/>
    <w:rsid w:val="000020C1"/>
    <w:rsid w:val="00015783"/>
    <w:rsid w:val="00016454"/>
    <w:rsid w:val="0002080A"/>
    <w:rsid w:val="0002782F"/>
    <w:rsid w:val="00030385"/>
    <w:rsid w:val="00035BBF"/>
    <w:rsid w:val="00040DF1"/>
    <w:rsid w:val="00040FD7"/>
    <w:rsid w:val="00044EAA"/>
    <w:rsid w:val="00047665"/>
    <w:rsid w:val="00050806"/>
    <w:rsid w:val="000546D9"/>
    <w:rsid w:val="00054AAA"/>
    <w:rsid w:val="00054E4D"/>
    <w:rsid w:val="00060073"/>
    <w:rsid w:val="000616C6"/>
    <w:rsid w:val="00063511"/>
    <w:rsid w:val="00067FF0"/>
    <w:rsid w:val="00071788"/>
    <w:rsid w:val="00071B98"/>
    <w:rsid w:val="00072CB2"/>
    <w:rsid w:val="00082CB9"/>
    <w:rsid w:val="000854FD"/>
    <w:rsid w:val="00086A2A"/>
    <w:rsid w:val="0009421F"/>
    <w:rsid w:val="000A3256"/>
    <w:rsid w:val="000A7361"/>
    <w:rsid w:val="000B37F5"/>
    <w:rsid w:val="000B7816"/>
    <w:rsid w:val="000C5205"/>
    <w:rsid w:val="000D66D6"/>
    <w:rsid w:val="000E7095"/>
    <w:rsid w:val="00110C81"/>
    <w:rsid w:val="00113288"/>
    <w:rsid w:val="001214BE"/>
    <w:rsid w:val="0013101C"/>
    <w:rsid w:val="00140328"/>
    <w:rsid w:val="001461D6"/>
    <w:rsid w:val="00152735"/>
    <w:rsid w:val="001541EA"/>
    <w:rsid w:val="001616D0"/>
    <w:rsid w:val="001763B0"/>
    <w:rsid w:val="00183A45"/>
    <w:rsid w:val="00187973"/>
    <w:rsid w:val="001907AA"/>
    <w:rsid w:val="001928DB"/>
    <w:rsid w:val="001962F2"/>
    <w:rsid w:val="001A7ED5"/>
    <w:rsid w:val="001B5719"/>
    <w:rsid w:val="001C2907"/>
    <w:rsid w:val="001C3950"/>
    <w:rsid w:val="001C50B3"/>
    <w:rsid w:val="001C7B2A"/>
    <w:rsid w:val="001D3A84"/>
    <w:rsid w:val="001D5001"/>
    <w:rsid w:val="001D663E"/>
    <w:rsid w:val="001E1DC0"/>
    <w:rsid w:val="001E61F6"/>
    <w:rsid w:val="001F4615"/>
    <w:rsid w:val="001F5332"/>
    <w:rsid w:val="00203277"/>
    <w:rsid w:val="00205B2E"/>
    <w:rsid w:val="002068B7"/>
    <w:rsid w:val="00213A46"/>
    <w:rsid w:val="0022631C"/>
    <w:rsid w:val="00230777"/>
    <w:rsid w:val="00230AD0"/>
    <w:rsid w:val="00232E53"/>
    <w:rsid w:val="00235EAB"/>
    <w:rsid w:val="002361F1"/>
    <w:rsid w:val="00252C04"/>
    <w:rsid w:val="00262B1A"/>
    <w:rsid w:val="002646C3"/>
    <w:rsid w:val="00265DDB"/>
    <w:rsid w:val="00276760"/>
    <w:rsid w:val="00276A54"/>
    <w:rsid w:val="0028602A"/>
    <w:rsid w:val="0029143B"/>
    <w:rsid w:val="002A2C58"/>
    <w:rsid w:val="002A4607"/>
    <w:rsid w:val="002A60B1"/>
    <w:rsid w:val="002A7CCB"/>
    <w:rsid w:val="002A7F56"/>
    <w:rsid w:val="002B5E10"/>
    <w:rsid w:val="002C016A"/>
    <w:rsid w:val="002C793D"/>
    <w:rsid w:val="002D5B25"/>
    <w:rsid w:val="002E2839"/>
    <w:rsid w:val="002F4F2B"/>
    <w:rsid w:val="003002C0"/>
    <w:rsid w:val="00301144"/>
    <w:rsid w:val="003031C6"/>
    <w:rsid w:val="003042B6"/>
    <w:rsid w:val="00304984"/>
    <w:rsid w:val="00312BF8"/>
    <w:rsid w:val="003148B7"/>
    <w:rsid w:val="003158C3"/>
    <w:rsid w:val="00320797"/>
    <w:rsid w:val="003274CD"/>
    <w:rsid w:val="00330E12"/>
    <w:rsid w:val="00333501"/>
    <w:rsid w:val="003365E4"/>
    <w:rsid w:val="003457C4"/>
    <w:rsid w:val="003500CF"/>
    <w:rsid w:val="0035119D"/>
    <w:rsid w:val="00365569"/>
    <w:rsid w:val="00372FC5"/>
    <w:rsid w:val="003753EF"/>
    <w:rsid w:val="0037688F"/>
    <w:rsid w:val="00384D40"/>
    <w:rsid w:val="00390828"/>
    <w:rsid w:val="00390968"/>
    <w:rsid w:val="0039344A"/>
    <w:rsid w:val="00393E35"/>
    <w:rsid w:val="00395163"/>
    <w:rsid w:val="0039778D"/>
    <w:rsid w:val="003B17F5"/>
    <w:rsid w:val="003B2DF5"/>
    <w:rsid w:val="003B4F12"/>
    <w:rsid w:val="003B559A"/>
    <w:rsid w:val="003D3C1E"/>
    <w:rsid w:val="003D4C6F"/>
    <w:rsid w:val="003E097F"/>
    <w:rsid w:val="003E5281"/>
    <w:rsid w:val="003F2041"/>
    <w:rsid w:val="00401FEF"/>
    <w:rsid w:val="00402ACC"/>
    <w:rsid w:val="00406D0B"/>
    <w:rsid w:val="004120EC"/>
    <w:rsid w:val="004227FF"/>
    <w:rsid w:val="00422B8C"/>
    <w:rsid w:val="00423F31"/>
    <w:rsid w:val="00431899"/>
    <w:rsid w:val="004354F6"/>
    <w:rsid w:val="00442055"/>
    <w:rsid w:val="00452298"/>
    <w:rsid w:val="004716B1"/>
    <w:rsid w:val="00480546"/>
    <w:rsid w:val="00482AE8"/>
    <w:rsid w:val="0048439D"/>
    <w:rsid w:val="0048492D"/>
    <w:rsid w:val="00486804"/>
    <w:rsid w:val="004939C4"/>
    <w:rsid w:val="0049421F"/>
    <w:rsid w:val="00494F98"/>
    <w:rsid w:val="004A258D"/>
    <w:rsid w:val="004A5D93"/>
    <w:rsid w:val="004B1618"/>
    <w:rsid w:val="004B3775"/>
    <w:rsid w:val="004C5598"/>
    <w:rsid w:val="004C6342"/>
    <w:rsid w:val="004D0BA0"/>
    <w:rsid w:val="004D6D93"/>
    <w:rsid w:val="004E058F"/>
    <w:rsid w:val="004E3B87"/>
    <w:rsid w:val="004F7DE2"/>
    <w:rsid w:val="005013BD"/>
    <w:rsid w:val="00505577"/>
    <w:rsid w:val="00510921"/>
    <w:rsid w:val="00510AD3"/>
    <w:rsid w:val="00513348"/>
    <w:rsid w:val="00513AD8"/>
    <w:rsid w:val="005204D2"/>
    <w:rsid w:val="00522396"/>
    <w:rsid w:val="00525EBD"/>
    <w:rsid w:val="005261BB"/>
    <w:rsid w:val="00533B5D"/>
    <w:rsid w:val="00540B85"/>
    <w:rsid w:val="00544ED8"/>
    <w:rsid w:val="0057658D"/>
    <w:rsid w:val="005873B0"/>
    <w:rsid w:val="00591B5F"/>
    <w:rsid w:val="0059355C"/>
    <w:rsid w:val="00595558"/>
    <w:rsid w:val="005A20F6"/>
    <w:rsid w:val="005B299A"/>
    <w:rsid w:val="005B55E8"/>
    <w:rsid w:val="005D3655"/>
    <w:rsid w:val="005E4830"/>
    <w:rsid w:val="005F42E6"/>
    <w:rsid w:val="005F4840"/>
    <w:rsid w:val="00602291"/>
    <w:rsid w:val="0060750B"/>
    <w:rsid w:val="0061102F"/>
    <w:rsid w:val="00611A6B"/>
    <w:rsid w:val="00622002"/>
    <w:rsid w:val="00622B86"/>
    <w:rsid w:val="00623BA1"/>
    <w:rsid w:val="006325A0"/>
    <w:rsid w:val="006346BC"/>
    <w:rsid w:val="00637A94"/>
    <w:rsid w:val="00651213"/>
    <w:rsid w:val="00651831"/>
    <w:rsid w:val="0065641C"/>
    <w:rsid w:val="00660121"/>
    <w:rsid w:val="0066652A"/>
    <w:rsid w:val="00667907"/>
    <w:rsid w:val="006713EC"/>
    <w:rsid w:val="006719C3"/>
    <w:rsid w:val="0067214B"/>
    <w:rsid w:val="00674008"/>
    <w:rsid w:val="0067788C"/>
    <w:rsid w:val="00680522"/>
    <w:rsid w:val="00682167"/>
    <w:rsid w:val="0069078F"/>
    <w:rsid w:val="006919C5"/>
    <w:rsid w:val="006A0E2A"/>
    <w:rsid w:val="006A2B61"/>
    <w:rsid w:val="006A6622"/>
    <w:rsid w:val="006B4973"/>
    <w:rsid w:val="006C3976"/>
    <w:rsid w:val="006C42AF"/>
    <w:rsid w:val="006C78C2"/>
    <w:rsid w:val="006D14A7"/>
    <w:rsid w:val="006E716D"/>
    <w:rsid w:val="006E7AFF"/>
    <w:rsid w:val="006F71BF"/>
    <w:rsid w:val="007031B5"/>
    <w:rsid w:val="00711163"/>
    <w:rsid w:val="00711D8E"/>
    <w:rsid w:val="00712672"/>
    <w:rsid w:val="00712FB7"/>
    <w:rsid w:val="00715351"/>
    <w:rsid w:val="0071562C"/>
    <w:rsid w:val="00720E58"/>
    <w:rsid w:val="00733F9B"/>
    <w:rsid w:val="00734E3F"/>
    <w:rsid w:val="00736985"/>
    <w:rsid w:val="00745DF5"/>
    <w:rsid w:val="007522BC"/>
    <w:rsid w:val="0075353F"/>
    <w:rsid w:val="00760169"/>
    <w:rsid w:val="0076250F"/>
    <w:rsid w:val="00763281"/>
    <w:rsid w:val="007706B8"/>
    <w:rsid w:val="00774431"/>
    <w:rsid w:val="00774A61"/>
    <w:rsid w:val="00774EE4"/>
    <w:rsid w:val="00780FA5"/>
    <w:rsid w:val="00790171"/>
    <w:rsid w:val="007A35A7"/>
    <w:rsid w:val="007A5328"/>
    <w:rsid w:val="007A6663"/>
    <w:rsid w:val="007B06DC"/>
    <w:rsid w:val="007B323F"/>
    <w:rsid w:val="007B44A8"/>
    <w:rsid w:val="007B59BC"/>
    <w:rsid w:val="007B6200"/>
    <w:rsid w:val="007C62FF"/>
    <w:rsid w:val="007D7FC4"/>
    <w:rsid w:val="007E0DF6"/>
    <w:rsid w:val="007E3FF9"/>
    <w:rsid w:val="007E4969"/>
    <w:rsid w:val="007F3395"/>
    <w:rsid w:val="007F56A7"/>
    <w:rsid w:val="00801B9F"/>
    <w:rsid w:val="0080204D"/>
    <w:rsid w:val="00805B9C"/>
    <w:rsid w:val="00806B99"/>
    <w:rsid w:val="00810213"/>
    <w:rsid w:val="00813787"/>
    <w:rsid w:val="00817DE6"/>
    <w:rsid w:val="00820069"/>
    <w:rsid w:val="008223AB"/>
    <w:rsid w:val="00823B7F"/>
    <w:rsid w:val="008249FC"/>
    <w:rsid w:val="008251F4"/>
    <w:rsid w:val="0083052F"/>
    <w:rsid w:val="00832E2B"/>
    <w:rsid w:val="008475F0"/>
    <w:rsid w:val="00854659"/>
    <w:rsid w:val="008557A7"/>
    <w:rsid w:val="00860E8B"/>
    <w:rsid w:val="00862390"/>
    <w:rsid w:val="00870083"/>
    <w:rsid w:val="00870928"/>
    <w:rsid w:val="00880AFF"/>
    <w:rsid w:val="0088568E"/>
    <w:rsid w:val="00885A62"/>
    <w:rsid w:val="00891B77"/>
    <w:rsid w:val="0089405C"/>
    <w:rsid w:val="00897FA2"/>
    <w:rsid w:val="008A5AFE"/>
    <w:rsid w:val="008A7C0C"/>
    <w:rsid w:val="008B1006"/>
    <w:rsid w:val="008C48F9"/>
    <w:rsid w:val="008C5A0E"/>
    <w:rsid w:val="00905279"/>
    <w:rsid w:val="0092150F"/>
    <w:rsid w:val="00927172"/>
    <w:rsid w:val="009278D2"/>
    <w:rsid w:val="00930EEB"/>
    <w:rsid w:val="00935ABC"/>
    <w:rsid w:val="00943730"/>
    <w:rsid w:val="009467D4"/>
    <w:rsid w:val="00947858"/>
    <w:rsid w:val="0095053A"/>
    <w:rsid w:val="00961E72"/>
    <w:rsid w:val="00975CA5"/>
    <w:rsid w:val="00977676"/>
    <w:rsid w:val="00980574"/>
    <w:rsid w:val="00983AED"/>
    <w:rsid w:val="00986590"/>
    <w:rsid w:val="00992C76"/>
    <w:rsid w:val="009969D6"/>
    <w:rsid w:val="009A0908"/>
    <w:rsid w:val="009A3DD2"/>
    <w:rsid w:val="009B4D3B"/>
    <w:rsid w:val="009B7942"/>
    <w:rsid w:val="009B7D19"/>
    <w:rsid w:val="009D3035"/>
    <w:rsid w:val="009D4C09"/>
    <w:rsid w:val="009D57C0"/>
    <w:rsid w:val="009D7407"/>
    <w:rsid w:val="009E0866"/>
    <w:rsid w:val="009E273C"/>
    <w:rsid w:val="009E770A"/>
    <w:rsid w:val="009F1350"/>
    <w:rsid w:val="009F1DB5"/>
    <w:rsid w:val="009F6423"/>
    <w:rsid w:val="009F713D"/>
    <w:rsid w:val="00A00E8B"/>
    <w:rsid w:val="00A056B5"/>
    <w:rsid w:val="00A175B3"/>
    <w:rsid w:val="00A20111"/>
    <w:rsid w:val="00A24A62"/>
    <w:rsid w:val="00A30F2D"/>
    <w:rsid w:val="00A31C9F"/>
    <w:rsid w:val="00A35285"/>
    <w:rsid w:val="00A4144F"/>
    <w:rsid w:val="00A4721C"/>
    <w:rsid w:val="00A47631"/>
    <w:rsid w:val="00A61B4D"/>
    <w:rsid w:val="00A63917"/>
    <w:rsid w:val="00A64AAC"/>
    <w:rsid w:val="00A66DAC"/>
    <w:rsid w:val="00A72A83"/>
    <w:rsid w:val="00A80F95"/>
    <w:rsid w:val="00A91795"/>
    <w:rsid w:val="00A940CA"/>
    <w:rsid w:val="00A97BF1"/>
    <w:rsid w:val="00AA0FDE"/>
    <w:rsid w:val="00AA14F8"/>
    <w:rsid w:val="00AA298A"/>
    <w:rsid w:val="00AA315B"/>
    <w:rsid w:val="00AB12ED"/>
    <w:rsid w:val="00AB3029"/>
    <w:rsid w:val="00AB376E"/>
    <w:rsid w:val="00AB4389"/>
    <w:rsid w:val="00AB4683"/>
    <w:rsid w:val="00AC164A"/>
    <w:rsid w:val="00AC68FC"/>
    <w:rsid w:val="00AC7739"/>
    <w:rsid w:val="00AE448A"/>
    <w:rsid w:val="00AF2050"/>
    <w:rsid w:val="00AF2BE9"/>
    <w:rsid w:val="00AF2D3A"/>
    <w:rsid w:val="00AF7271"/>
    <w:rsid w:val="00B0385D"/>
    <w:rsid w:val="00B03CA8"/>
    <w:rsid w:val="00B05089"/>
    <w:rsid w:val="00B120ED"/>
    <w:rsid w:val="00B120F1"/>
    <w:rsid w:val="00B16FE3"/>
    <w:rsid w:val="00B21091"/>
    <w:rsid w:val="00B33C0A"/>
    <w:rsid w:val="00B3731B"/>
    <w:rsid w:val="00B55E19"/>
    <w:rsid w:val="00B637DD"/>
    <w:rsid w:val="00B6495A"/>
    <w:rsid w:val="00B66722"/>
    <w:rsid w:val="00B70B50"/>
    <w:rsid w:val="00B8110B"/>
    <w:rsid w:val="00B927C4"/>
    <w:rsid w:val="00B94758"/>
    <w:rsid w:val="00BA0538"/>
    <w:rsid w:val="00BA4B6D"/>
    <w:rsid w:val="00BA66B2"/>
    <w:rsid w:val="00BB107F"/>
    <w:rsid w:val="00BB26C5"/>
    <w:rsid w:val="00BB727A"/>
    <w:rsid w:val="00BC31BD"/>
    <w:rsid w:val="00BC41A8"/>
    <w:rsid w:val="00BC48CC"/>
    <w:rsid w:val="00BD2CB3"/>
    <w:rsid w:val="00BD4F31"/>
    <w:rsid w:val="00BF3897"/>
    <w:rsid w:val="00BF4DE6"/>
    <w:rsid w:val="00C03095"/>
    <w:rsid w:val="00C06B13"/>
    <w:rsid w:val="00C20518"/>
    <w:rsid w:val="00C21799"/>
    <w:rsid w:val="00C23D75"/>
    <w:rsid w:val="00C240EE"/>
    <w:rsid w:val="00C27D25"/>
    <w:rsid w:val="00C32299"/>
    <w:rsid w:val="00C33096"/>
    <w:rsid w:val="00C42541"/>
    <w:rsid w:val="00C42CDE"/>
    <w:rsid w:val="00C47A09"/>
    <w:rsid w:val="00C5182A"/>
    <w:rsid w:val="00C54D46"/>
    <w:rsid w:val="00C63EE9"/>
    <w:rsid w:val="00C753D1"/>
    <w:rsid w:val="00CA16F3"/>
    <w:rsid w:val="00CA37B1"/>
    <w:rsid w:val="00CA5BBC"/>
    <w:rsid w:val="00CB1959"/>
    <w:rsid w:val="00CB69D6"/>
    <w:rsid w:val="00CC741B"/>
    <w:rsid w:val="00CD0E4B"/>
    <w:rsid w:val="00CE21F8"/>
    <w:rsid w:val="00CE4C89"/>
    <w:rsid w:val="00CF07BA"/>
    <w:rsid w:val="00CF6C83"/>
    <w:rsid w:val="00D00153"/>
    <w:rsid w:val="00D0109B"/>
    <w:rsid w:val="00D0296C"/>
    <w:rsid w:val="00D05A80"/>
    <w:rsid w:val="00D127CF"/>
    <w:rsid w:val="00D21727"/>
    <w:rsid w:val="00D32D6F"/>
    <w:rsid w:val="00D37560"/>
    <w:rsid w:val="00D37B04"/>
    <w:rsid w:val="00D45628"/>
    <w:rsid w:val="00D540C6"/>
    <w:rsid w:val="00D56902"/>
    <w:rsid w:val="00D649EC"/>
    <w:rsid w:val="00D64BD1"/>
    <w:rsid w:val="00D64D4A"/>
    <w:rsid w:val="00D65644"/>
    <w:rsid w:val="00D65749"/>
    <w:rsid w:val="00D65E1B"/>
    <w:rsid w:val="00D661AA"/>
    <w:rsid w:val="00D719EE"/>
    <w:rsid w:val="00D7583E"/>
    <w:rsid w:val="00D75D4C"/>
    <w:rsid w:val="00D76224"/>
    <w:rsid w:val="00D8049A"/>
    <w:rsid w:val="00D81383"/>
    <w:rsid w:val="00D813DF"/>
    <w:rsid w:val="00D81D55"/>
    <w:rsid w:val="00D86466"/>
    <w:rsid w:val="00D92254"/>
    <w:rsid w:val="00D93BC6"/>
    <w:rsid w:val="00D95168"/>
    <w:rsid w:val="00DA415D"/>
    <w:rsid w:val="00DA43C2"/>
    <w:rsid w:val="00DA4C1C"/>
    <w:rsid w:val="00DB1E9A"/>
    <w:rsid w:val="00DB2EBB"/>
    <w:rsid w:val="00DC4041"/>
    <w:rsid w:val="00DD3763"/>
    <w:rsid w:val="00DE084C"/>
    <w:rsid w:val="00DE3CF7"/>
    <w:rsid w:val="00DF5AA8"/>
    <w:rsid w:val="00E0225C"/>
    <w:rsid w:val="00E14D61"/>
    <w:rsid w:val="00E14F51"/>
    <w:rsid w:val="00E2129C"/>
    <w:rsid w:val="00E263B4"/>
    <w:rsid w:val="00E26C87"/>
    <w:rsid w:val="00E319B7"/>
    <w:rsid w:val="00E357B7"/>
    <w:rsid w:val="00E43E5D"/>
    <w:rsid w:val="00E43EF5"/>
    <w:rsid w:val="00E53800"/>
    <w:rsid w:val="00E562E3"/>
    <w:rsid w:val="00E6081F"/>
    <w:rsid w:val="00E61746"/>
    <w:rsid w:val="00E655FE"/>
    <w:rsid w:val="00E77E46"/>
    <w:rsid w:val="00E82780"/>
    <w:rsid w:val="00E8296D"/>
    <w:rsid w:val="00E8457B"/>
    <w:rsid w:val="00E85CA6"/>
    <w:rsid w:val="00EA04B2"/>
    <w:rsid w:val="00EA20F3"/>
    <w:rsid w:val="00EB0F76"/>
    <w:rsid w:val="00EB398C"/>
    <w:rsid w:val="00EB43D4"/>
    <w:rsid w:val="00EB756D"/>
    <w:rsid w:val="00EC3906"/>
    <w:rsid w:val="00EC3C2D"/>
    <w:rsid w:val="00EC53BA"/>
    <w:rsid w:val="00EC6245"/>
    <w:rsid w:val="00ED2831"/>
    <w:rsid w:val="00ED43D1"/>
    <w:rsid w:val="00ED68D1"/>
    <w:rsid w:val="00EE0629"/>
    <w:rsid w:val="00EE0EBE"/>
    <w:rsid w:val="00EE1027"/>
    <w:rsid w:val="00EE25F4"/>
    <w:rsid w:val="00EE4EE1"/>
    <w:rsid w:val="00EF0903"/>
    <w:rsid w:val="00EF4574"/>
    <w:rsid w:val="00EF5FB3"/>
    <w:rsid w:val="00F023DD"/>
    <w:rsid w:val="00F02B51"/>
    <w:rsid w:val="00F031B1"/>
    <w:rsid w:val="00F05D00"/>
    <w:rsid w:val="00F07687"/>
    <w:rsid w:val="00F10A29"/>
    <w:rsid w:val="00F14359"/>
    <w:rsid w:val="00F14A44"/>
    <w:rsid w:val="00F15B18"/>
    <w:rsid w:val="00F2194B"/>
    <w:rsid w:val="00F25A93"/>
    <w:rsid w:val="00F2684E"/>
    <w:rsid w:val="00F30087"/>
    <w:rsid w:val="00F366DB"/>
    <w:rsid w:val="00F427F0"/>
    <w:rsid w:val="00F537B7"/>
    <w:rsid w:val="00F5404C"/>
    <w:rsid w:val="00F55D98"/>
    <w:rsid w:val="00F60577"/>
    <w:rsid w:val="00F617F9"/>
    <w:rsid w:val="00F729EF"/>
    <w:rsid w:val="00F744A2"/>
    <w:rsid w:val="00F74546"/>
    <w:rsid w:val="00F77CAE"/>
    <w:rsid w:val="00F82271"/>
    <w:rsid w:val="00F83428"/>
    <w:rsid w:val="00F950F7"/>
    <w:rsid w:val="00F96BB9"/>
    <w:rsid w:val="00FA2BBF"/>
    <w:rsid w:val="00FA69AF"/>
    <w:rsid w:val="00FA7833"/>
    <w:rsid w:val="00FB2C00"/>
    <w:rsid w:val="00FB6D8C"/>
    <w:rsid w:val="00FC322F"/>
    <w:rsid w:val="00FD4D7E"/>
    <w:rsid w:val="00FE49E6"/>
    <w:rsid w:val="00FE6D51"/>
    <w:rsid w:val="00FE6F2A"/>
    <w:rsid w:val="00FF228F"/>
    <w:rsid w:val="00FF23F9"/>
    <w:rsid w:val="00FF42C6"/>
    <w:rsid w:val="00FF4990"/>
    <w:rsid w:val="00FF4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DE0D31D"/>
  <w15:docId w15:val="{19BED66C-9F36-41BE-9162-E3444C68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D0109B"/>
    <w:pPr>
      <w:tabs>
        <w:tab w:val="center" w:pos="4513"/>
        <w:tab w:val="right" w:pos="9026"/>
      </w:tabs>
      <w:spacing w:before="0" w:after="0"/>
      <w:ind w:left="227"/>
    </w:pPr>
    <w:rPr>
      <w:b/>
      <w:caps/>
      <w:color w:val="auto"/>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0109B"/>
    <w:rPr>
      <w:b/>
      <w:caps/>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D0109B"/>
    <w:pPr>
      <w:spacing w:before="0" w:after="0" w:line="240" w:lineRule="exact"/>
      <w:ind w:left="284" w:right="284"/>
    </w:pPr>
    <w:rPr>
      <w:color w:val="auto"/>
    </w:rPr>
  </w:style>
  <w:style w:type="character" w:customStyle="1" w:styleId="FooterChar">
    <w:name w:val="Footer Char"/>
    <w:basedOn w:val="DefaultParagraphFont"/>
    <w:link w:val="Footer"/>
    <w:uiPriority w:val="99"/>
    <w:rsid w:val="00D0109B"/>
    <w:rPr>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D0109B"/>
    <w:rPr>
      <w:color w:val="auto"/>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49596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89661503">
      <w:bodyDiv w:val="1"/>
      <w:marLeft w:val="0"/>
      <w:marRight w:val="0"/>
      <w:marTop w:val="0"/>
      <w:marBottom w:val="0"/>
      <w:divBdr>
        <w:top w:val="none" w:sz="0" w:space="0" w:color="auto"/>
        <w:left w:val="none" w:sz="0" w:space="0" w:color="auto"/>
        <w:bottom w:val="none" w:sz="0" w:space="0" w:color="auto"/>
        <w:right w:val="none" w:sz="0" w:space="0" w:color="auto"/>
      </w:divBdr>
    </w:div>
    <w:div w:id="306471577">
      <w:bodyDiv w:val="1"/>
      <w:marLeft w:val="0"/>
      <w:marRight w:val="0"/>
      <w:marTop w:val="0"/>
      <w:marBottom w:val="0"/>
      <w:divBdr>
        <w:top w:val="none" w:sz="0" w:space="0" w:color="auto"/>
        <w:left w:val="none" w:sz="0" w:space="0" w:color="auto"/>
        <w:bottom w:val="none" w:sz="0" w:space="0" w:color="auto"/>
        <w:right w:val="none" w:sz="0" w:space="0" w:color="auto"/>
      </w:divBdr>
    </w:div>
    <w:div w:id="306907886">
      <w:bodyDiv w:val="1"/>
      <w:marLeft w:val="0"/>
      <w:marRight w:val="0"/>
      <w:marTop w:val="0"/>
      <w:marBottom w:val="0"/>
      <w:divBdr>
        <w:top w:val="none" w:sz="0" w:space="0" w:color="auto"/>
        <w:left w:val="none" w:sz="0" w:space="0" w:color="auto"/>
        <w:bottom w:val="none" w:sz="0" w:space="0" w:color="auto"/>
        <w:right w:val="none" w:sz="0" w:space="0" w:color="auto"/>
      </w:divBdr>
    </w:div>
    <w:div w:id="371810685">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05885022">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612203749">
      <w:bodyDiv w:val="1"/>
      <w:marLeft w:val="0"/>
      <w:marRight w:val="0"/>
      <w:marTop w:val="0"/>
      <w:marBottom w:val="0"/>
      <w:divBdr>
        <w:top w:val="none" w:sz="0" w:space="0" w:color="auto"/>
        <w:left w:val="none" w:sz="0" w:space="0" w:color="auto"/>
        <w:bottom w:val="none" w:sz="0" w:space="0" w:color="auto"/>
        <w:right w:val="none" w:sz="0" w:space="0" w:color="auto"/>
      </w:divBdr>
    </w:div>
    <w:div w:id="642588727">
      <w:bodyDiv w:val="1"/>
      <w:marLeft w:val="0"/>
      <w:marRight w:val="0"/>
      <w:marTop w:val="0"/>
      <w:marBottom w:val="0"/>
      <w:divBdr>
        <w:top w:val="none" w:sz="0" w:space="0" w:color="auto"/>
        <w:left w:val="none" w:sz="0" w:space="0" w:color="auto"/>
        <w:bottom w:val="none" w:sz="0" w:space="0" w:color="auto"/>
        <w:right w:val="none" w:sz="0" w:space="0" w:color="auto"/>
      </w:divBdr>
    </w:div>
    <w:div w:id="850602285">
      <w:bodyDiv w:val="1"/>
      <w:marLeft w:val="0"/>
      <w:marRight w:val="0"/>
      <w:marTop w:val="0"/>
      <w:marBottom w:val="0"/>
      <w:divBdr>
        <w:top w:val="none" w:sz="0" w:space="0" w:color="auto"/>
        <w:left w:val="none" w:sz="0" w:space="0" w:color="auto"/>
        <w:bottom w:val="none" w:sz="0" w:space="0" w:color="auto"/>
        <w:right w:val="none" w:sz="0" w:space="0" w:color="auto"/>
      </w:divBdr>
    </w:div>
    <w:div w:id="879166220">
      <w:bodyDiv w:val="1"/>
      <w:marLeft w:val="0"/>
      <w:marRight w:val="0"/>
      <w:marTop w:val="0"/>
      <w:marBottom w:val="0"/>
      <w:divBdr>
        <w:top w:val="none" w:sz="0" w:space="0" w:color="auto"/>
        <w:left w:val="none" w:sz="0" w:space="0" w:color="auto"/>
        <w:bottom w:val="none" w:sz="0" w:space="0" w:color="auto"/>
        <w:right w:val="none" w:sz="0" w:space="0" w:color="auto"/>
      </w:divBdr>
    </w:div>
    <w:div w:id="941910356">
      <w:bodyDiv w:val="1"/>
      <w:marLeft w:val="0"/>
      <w:marRight w:val="0"/>
      <w:marTop w:val="0"/>
      <w:marBottom w:val="0"/>
      <w:divBdr>
        <w:top w:val="none" w:sz="0" w:space="0" w:color="auto"/>
        <w:left w:val="none" w:sz="0" w:space="0" w:color="auto"/>
        <w:bottom w:val="none" w:sz="0" w:space="0" w:color="auto"/>
        <w:right w:val="none" w:sz="0" w:space="0" w:color="auto"/>
      </w:divBdr>
    </w:div>
    <w:div w:id="942569428">
      <w:bodyDiv w:val="1"/>
      <w:marLeft w:val="0"/>
      <w:marRight w:val="0"/>
      <w:marTop w:val="0"/>
      <w:marBottom w:val="0"/>
      <w:divBdr>
        <w:top w:val="none" w:sz="0" w:space="0" w:color="auto"/>
        <w:left w:val="none" w:sz="0" w:space="0" w:color="auto"/>
        <w:bottom w:val="none" w:sz="0" w:space="0" w:color="auto"/>
        <w:right w:val="none" w:sz="0" w:space="0" w:color="auto"/>
      </w:divBdr>
    </w:div>
    <w:div w:id="959914848">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084570539">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226910865">
      <w:bodyDiv w:val="1"/>
      <w:marLeft w:val="0"/>
      <w:marRight w:val="0"/>
      <w:marTop w:val="0"/>
      <w:marBottom w:val="0"/>
      <w:divBdr>
        <w:top w:val="none" w:sz="0" w:space="0" w:color="auto"/>
        <w:left w:val="none" w:sz="0" w:space="0" w:color="auto"/>
        <w:bottom w:val="none" w:sz="0" w:space="0" w:color="auto"/>
        <w:right w:val="none" w:sz="0" w:space="0" w:color="auto"/>
      </w:divBdr>
    </w:div>
    <w:div w:id="1234467734">
      <w:bodyDiv w:val="1"/>
      <w:marLeft w:val="0"/>
      <w:marRight w:val="0"/>
      <w:marTop w:val="0"/>
      <w:marBottom w:val="0"/>
      <w:divBdr>
        <w:top w:val="none" w:sz="0" w:space="0" w:color="auto"/>
        <w:left w:val="none" w:sz="0" w:space="0" w:color="auto"/>
        <w:bottom w:val="none" w:sz="0" w:space="0" w:color="auto"/>
        <w:right w:val="none" w:sz="0" w:space="0" w:color="auto"/>
      </w:divBdr>
    </w:div>
    <w:div w:id="1276906309">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638147858">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861240672">
          <w:marLeft w:val="274"/>
          <w:marRight w:val="0"/>
          <w:marTop w:val="120"/>
          <w:marBottom w:val="0"/>
          <w:divBdr>
            <w:top w:val="none" w:sz="0" w:space="0" w:color="auto"/>
            <w:left w:val="none" w:sz="0" w:space="0" w:color="auto"/>
            <w:bottom w:val="none" w:sz="0" w:space="0" w:color="auto"/>
            <w:right w:val="none" w:sz="0" w:space="0" w:color="auto"/>
          </w:divBdr>
        </w:div>
        <w:div w:id="104663363">
          <w:marLeft w:val="274"/>
          <w:marRight w:val="0"/>
          <w:marTop w:val="120"/>
          <w:marBottom w:val="0"/>
          <w:divBdr>
            <w:top w:val="none" w:sz="0" w:space="0" w:color="auto"/>
            <w:left w:val="none" w:sz="0" w:space="0" w:color="auto"/>
            <w:bottom w:val="none" w:sz="0" w:space="0" w:color="auto"/>
            <w:right w:val="none" w:sz="0" w:space="0" w:color="auto"/>
          </w:divBdr>
        </w:div>
      </w:divsChild>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30"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EB5D4F438FF3914DA696AB2B9777A65B" ma:contentTypeVersion="14" ma:contentTypeDescription="Intranet document content" ma:contentTypeScope="" ma:versionID="27e3518c7386a69a74b4932400cee976">
  <xsd:schema xmlns:xsd="http://www.w3.org/2001/XMLSchema" xmlns:xs="http://www.w3.org/2001/XMLSchema" xmlns:p="http://schemas.microsoft.com/office/2006/metadata/properties" xmlns:ns2="349e11ad-1311-4134-818c-bb844dbfed54" xmlns:ns3="6b894c73-1921-4299-aefc-49f5a4cb1310" targetNamespace="http://schemas.microsoft.com/office/2006/metadata/properties" ma:root="true" ma:fieldsID="99b1acd6abdce66568d9eef49fbaa838" ns2:_="" ns3:_="">
    <xsd:import namespace="349e11ad-1311-4134-818c-bb844dbfed54"/>
    <xsd:import namespace="6b894c73-1921-4299-aefc-49f5a4cb1310"/>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element ref="ns3:Template_x0020_group" minOccurs="0"/>
                <xsd:element ref="ns3:SecurityCategory" minOccurs="0"/>
                <xsd:element ref="ns3:Form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894c73-1921-4299-aefc-49f5a4cb1310"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element name="Template_x0020_group" ma:index="20" nillable="true" ma:displayName="Template group" ma:format="Dropdown" ma:internalName="Template_x0020_group">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ference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ublication Template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enumeration value="WHS Templates"/>
        </xsd:restriction>
      </xsd:simpleType>
    </xsd:element>
    <xsd:element name="SecurityCategory" ma:index="22" nillable="true" ma:displayName="Security Category" ma:format="Dropdown" ma:internalName="SecurityCategory">
      <xsd:simpleType>
        <xsd:restriction base="dms:Choice">
          <xsd:enumeration value="IT System Access &amp; Toner Cartidges"/>
          <xsd:enumeration value="Risk Assessment and Approval for Travel"/>
          <xsd:enumeration value="Security Clearances &amp; Pass Requests"/>
          <xsd:enumeration value="Security Reporting"/>
          <xsd:enumeration value="Remote Access"/>
        </xsd:restriction>
      </xsd:simpleType>
    </xsd:element>
    <xsd:element name="Format" ma:index="24" ma:displayName="Format" ma:default="N/a" ma:format="Dropdown" ma:internalName="Format">
      <xsd:simpleType>
        <xsd:restriction base="dms:Choice">
          <xsd:enumeration value="N/a"/>
          <xsd:enumeration value="1. Examples of best practice"/>
          <xsd:enumeration value="2. Fact sheets"/>
          <xsd:enumeration value="3. Fact sheets - Aid"/>
          <xsd:enumeration value="4. Reports"/>
          <xsd:enumeration value="5. Reports - Aid"/>
          <xsd:enumeration value="6. PowerPoint"/>
          <xsd:enumeration value="7. Excel"/>
          <xsd:enumeration value="8. How-to guid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at xmlns="6b894c73-1921-4299-aefc-49f5a4cb1310">3. Fact sheets - Aid</Format>
    <PageKeywords xmlns="349e11ad-1311-4134-818c-bb844dbfed54"/>
    <ExpiryDate xmlns="349e11ad-1311-4134-818c-bb844dbfed54" xsi:nil="true"/>
    <ItemActive xmlns="6b894c73-1921-4299-aefc-49f5a4cb1310">true</ItemActive>
    <OrganisationalUnit xmlns="349e11ad-1311-4134-818c-bb844dbfed54">502</OrganisationalUnit>
    <PageDescription xmlns="349e11ad-1311-4134-818c-bb844dbfed54" xsi:nil="true"/>
    <PageAuthor xmlns="349e11ad-1311-4134-818c-bb844dbfed54">
      <UserInfo>
        <DisplayName/>
        <AccountId xsi:nil="true"/>
        <AccountType/>
      </UserInfo>
    </PageAuthor>
    <ReviewDate xmlns="349e11ad-1311-4134-818c-bb844dbfed54" xsi:nil="true"/>
    <TRIMReferenceNumber xmlns="349e11ad-1311-4134-818c-bb844dbfed54" xsi:nil="true"/>
    <SecurityCategory xmlns="6b894c73-1921-4299-aefc-49f5a4cb1310" xsi:nil="true"/>
    <Template_x0020_group xmlns="6b894c73-1921-4299-aefc-49f5a4cb1310">Publication Templates</Template_x0020_grou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A6C26-75B3-47A7-9942-A2C93207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b894c73-1921-4299-aefc-49f5a4cb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4B631-7640-4A17-8550-BEE8955DE750}">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349e11ad-1311-4134-818c-bb844dbfed54"/>
    <ds:schemaRef ds:uri="http://purl.org/dc/terms/"/>
    <ds:schemaRef ds:uri="http://schemas.openxmlformats.org/package/2006/metadata/core-properties"/>
    <ds:schemaRef ds:uri="http://purl.org/dc/dcmitype/"/>
    <ds:schemaRef ds:uri="6b894c73-1921-4299-aefc-49f5a4cb1310"/>
    <ds:schemaRef ds:uri="http://www.w3.org/XML/1998/namespace"/>
  </ds:schemaRefs>
</ds:datastoreItem>
</file>

<file path=customXml/itemProps3.xml><?xml version="1.0" encoding="utf-8"?>
<ds:datastoreItem xmlns:ds="http://schemas.openxmlformats.org/officeDocument/2006/customXml" ds:itemID="{448744F3-77A8-42E6-9FDA-A7B27B5C94ED}">
  <ds:schemaRefs>
    <ds:schemaRef ds:uri="http://schemas.microsoft.com/sharepoint/v3/contenttype/forms"/>
  </ds:schemaRefs>
</ds:datastoreItem>
</file>

<file path=customXml/itemProps4.xml><?xml version="1.0" encoding="utf-8"?>
<ds:datastoreItem xmlns:ds="http://schemas.openxmlformats.org/officeDocument/2006/customXml" ds:itemID="{1E2E35DE-8234-46C1-93F6-E99BC262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Aid Fact Sheet - aqua - single column</vt:lpstr>
    </vt:vector>
  </TitlesOfParts>
  <Company>Department of Foreign Affairs and Trade</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aqua - single column</dc:title>
  <dc:creator>Ben</dc:creator>
  <cp:lastModifiedBy>Sydney Carpenter</cp:lastModifiedBy>
  <cp:revision>10</cp:revision>
  <cp:lastPrinted>2020-10-15T06:57:00Z</cp:lastPrinted>
  <dcterms:created xsi:type="dcterms:W3CDTF">2020-11-03T23:00:00Z</dcterms:created>
  <dcterms:modified xsi:type="dcterms:W3CDTF">2020-11-17T01:40:00Z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67806349-6640-47dc-8a92-bf580b6f6a96</vt:lpwstr>
  </property>
  <property fmtid="{D5CDD505-2E9C-101B-9397-08002B2CF9AE}" pid="3" name="ContentTypeId">
    <vt:lpwstr>0x01010068D47A3238F547F295FC4399B890905A00EB5D4F438FF3914DA696AB2B9777A65B</vt:lpwstr>
  </property>
  <property fmtid="{D5CDD505-2E9C-101B-9397-08002B2CF9AE}" pid="4" name="SEC">
    <vt:lpwstr>OFFICIAL</vt:lpwstr>
  </property>
  <property fmtid="{D5CDD505-2E9C-101B-9397-08002B2CF9AE}" pid="5" name="DLM">
    <vt:lpwstr>No DLM</vt:lpwstr>
  </property>
</Properties>
</file>