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5B" w:rsidRPr="001E2DA9" w:rsidRDefault="00E14F20" w:rsidP="00A97280">
      <w:pPr>
        <w:pStyle w:val="Title1"/>
      </w:pPr>
      <w:r>
        <w:rPr>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3024505"/>
            <wp:effectExtent l="0" t="0" r="2540" b="4445"/>
            <wp:wrapNone/>
            <wp:docPr id="4" name="Picture 1198" descr="Description: 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Description: AusAID_facsheet_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B6E" w:rsidRPr="001E2DA9">
        <w:t>Bangladesh</w:t>
      </w:r>
      <w:r w:rsidR="00FB6A3F" w:rsidRPr="001E2DA9">
        <w:t xml:space="preserve"> </w:t>
      </w:r>
      <w:r w:rsidR="0035177E" w:rsidRPr="001E2DA9">
        <w:t>Development Cooperation Report 2010</w:t>
      </w:r>
    </w:p>
    <w:p w:rsidR="0094365B" w:rsidRPr="00A97280" w:rsidRDefault="00E34B6E" w:rsidP="008A2154">
      <w:pPr>
        <w:pStyle w:val="Normal2A"/>
        <w:spacing w:after="1080"/>
      </w:pPr>
      <w:r w:rsidRPr="00A97280">
        <w:t>August</w:t>
      </w:r>
      <w:r w:rsidR="0035177E" w:rsidRPr="00A97280">
        <w:t xml:space="preserve"> 2011</w:t>
      </w:r>
    </w:p>
    <w:p w:rsidR="001A384A" w:rsidRDefault="001A384A">
      <w:pPr>
        <w:pStyle w:val="TOCHeading"/>
      </w:pPr>
      <w:r>
        <w:t>Table of Contents</w:t>
      </w:r>
    </w:p>
    <w:p w:rsidR="001A384A" w:rsidRDefault="001A384A">
      <w:pPr>
        <w:pStyle w:val="TOC1"/>
        <w:tabs>
          <w:tab w:val="right" w:pos="7928"/>
        </w:tabs>
        <w:rPr>
          <w:rFonts w:ascii="Calibri" w:hAnsi="Calibri" w:cs="Arial"/>
          <w:b w:val="0"/>
          <w:bCs w:val="0"/>
          <w:caps w:val="0"/>
          <w:noProof/>
          <w:sz w:val="22"/>
          <w:szCs w:val="22"/>
          <w:lang w:val="en-US" w:eastAsia="en-US"/>
        </w:rPr>
      </w:pPr>
      <w:r>
        <w:rPr>
          <w:b w:val="0"/>
          <w:bCs w:val="0"/>
          <w:caps w:val="0"/>
        </w:rPr>
        <w:fldChar w:fldCharType="begin"/>
      </w:r>
      <w:r>
        <w:rPr>
          <w:b w:val="0"/>
          <w:bCs w:val="0"/>
          <w:caps w:val="0"/>
        </w:rPr>
        <w:instrText xml:space="preserve"> TOC \h \z \t "H1A;1;H2 A;2;H33;3;H2 B;2" </w:instrText>
      </w:r>
      <w:r>
        <w:rPr>
          <w:b w:val="0"/>
          <w:bCs w:val="0"/>
          <w:caps w:val="0"/>
        </w:rPr>
        <w:fldChar w:fldCharType="separate"/>
      </w:r>
      <w:hyperlink w:anchor="_Toc360976421" w:history="1">
        <w:r w:rsidRPr="00C17EAA">
          <w:rPr>
            <w:rStyle w:val="Hyperlink"/>
            <w:noProof/>
          </w:rPr>
          <w:t>Context</w:t>
        </w:r>
        <w:r>
          <w:rPr>
            <w:noProof/>
            <w:webHidden/>
          </w:rPr>
          <w:tab/>
        </w:r>
        <w:r>
          <w:rPr>
            <w:rStyle w:val="Hyperlink"/>
            <w:noProof/>
            <w:rtl/>
          </w:rPr>
          <w:fldChar w:fldCharType="begin"/>
        </w:r>
        <w:r>
          <w:rPr>
            <w:noProof/>
            <w:webHidden/>
          </w:rPr>
          <w:instrText xml:space="preserve"> PAGEREF _Toc360976421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1A384A" w:rsidRDefault="001A384A">
      <w:pPr>
        <w:pStyle w:val="TOC1"/>
        <w:tabs>
          <w:tab w:val="right" w:pos="7928"/>
        </w:tabs>
        <w:rPr>
          <w:rFonts w:ascii="Calibri" w:hAnsi="Calibri" w:cs="Arial"/>
          <w:b w:val="0"/>
          <w:bCs w:val="0"/>
          <w:caps w:val="0"/>
          <w:noProof/>
          <w:sz w:val="22"/>
          <w:szCs w:val="22"/>
          <w:lang w:val="en-US" w:eastAsia="en-US"/>
        </w:rPr>
      </w:pPr>
      <w:hyperlink w:anchor="_Toc360976422" w:history="1">
        <w:r w:rsidRPr="00C17EAA">
          <w:rPr>
            <w:rStyle w:val="Hyperlink"/>
            <w:noProof/>
          </w:rPr>
          <w:t>Program objectives</w:t>
        </w:r>
        <w:r>
          <w:rPr>
            <w:noProof/>
            <w:webHidden/>
          </w:rPr>
          <w:tab/>
        </w:r>
        <w:r>
          <w:rPr>
            <w:rStyle w:val="Hyperlink"/>
            <w:noProof/>
            <w:rtl/>
          </w:rPr>
          <w:fldChar w:fldCharType="begin"/>
        </w:r>
        <w:r>
          <w:rPr>
            <w:noProof/>
            <w:webHidden/>
          </w:rPr>
          <w:instrText xml:space="preserve"> PAGEREF _Toc360976422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1A384A" w:rsidRDefault="001A384A">
      <w:pPr>
        <w:pStyle w:val="TOC2"/>
        <w:tabs>
          <w:tab w:val="right" w:pos="7928"/>
        </w:tabs>
        <w:rPr>
          <w:rFonts w:cs="Arial"/>
          <w:b w:val="0"/>
          <w:bCs w:val="0"/>
          <w:noProof/>
          <w:sz w:val="22"/>
          <w:szCs w:val="22"/>
          <w:lang w:val="en-US" w:eastAsia="en-US"/>
        </w:rPr>
      </w:pPr>
      <w:hyperlink w:anchor="_Toc360976423" w:history="1">
        <w:r w:rsidRPr="00C17EAA">
          <w:rPr>
            <w:rStyle w:val="Hyperlink"/>
            <w:noProof/>
          </w:rPr>
          <w:t>Expenditure</w:t>
        </w:r>
        <w:r>
          <w:rPr>
            <w:noProof/>
            <w:webHidden/>
          </w:rPr>
          <w:tab/>
        </w:r>
        <w:r>
          <w:rPr>
            <w:rStyle w:val="Hyperlink"/>
            <w:noProof/>
            <w:rtl/>
          </w:rPr>
          <w:fldChar w:fldCharType="begin"/>
        </w:r>
        <w:r>
          <w:rPr>
            <w:noProof/>
            <w:webHidden/>
          </w:rPr>
          <w:instrText xml:space="preserve"> PAGEREF _Toc360976423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1A384A" w:rsidRDefault="001A384A">
      <w:pPr>
        <w:pStyle w:val="TOC1"/>
        <w:tabs>
          <w:tab w:val="right" w:pos="7928"/>
        </w:tabs>
        <w:rPr>
          <w:rFonts w:ascii="Calibri" w:hAnsi="Calibri" w:cs="Arial"/>
          <w:b w:val="0"/>
          <w:bCs w:val="0"/>
          <w:caps w:val="0"/>
          <w:noProof/>
          <w:sz w:val="22"/>
          <w:szCs w:val="22"/>
          <w:lang w:val="en-US" w:eastAsia="en-US"/>
        </w:rPr>
      </w:pPr>
      <w:hyperlink w:anchor="_Toc360976424" w:history="1">
        <w:r w:rsidRPr="00C17EAA">
          <w:rPr>
            <w:rStyle w:val="Hyperlink"/>
            <w:noProof/>
          </w:rPr>
          <w:t>Progress against objectives</w:t>
        </w:r>
        <w:r>
          <w:rPr>
            <w:noProof/>
            <w:webHidden/>
          </w:rPr>
          <w:tab/>
        </w:r>
        <w:r>
          <w:rPr>
            <w:rStyle w:val="Hyperlink"/>
            <w:noProof/>
            <w:rtl/>
          </w:rPr>
          <w:fldChar w:fldCharType="begin"/>
        </w:r>
        <w:r>
          <w:rPr>
            <w:noProof/>
            <w:webHidden/>
          </w:rPr>
          <w:instrText xml:space="preserve"> PAGEREF _Toc360976424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1A384A" w:rsidRDefault="001A384A">
      <w:pPr>
        <w:pStyle w:val="TOC2"/>
        <w:tabs>
          <w:tab w:val="right" w:pos="7928"/>
        </w:tabs>
        <w:rPr>
          <w:rFonts w:cs="Arial"/>
          <w:b w:val="0"/>
          <w:bCs w:val="0"/>
          <w:noProof/>
          <w:sz w:val="22"/>
          <w:szCs w:val="22"/>
          <w:lang w:val="en-US" w:eastAsia="en-US"/>
        </w:rPr>
      </w:pPr>
      <w:hyperlink w:anchor="_Toc360976425" w:history="1">
        <w:r w:rsidRPr="00C17EAA">
          <w:rPr>
            <w:rStyle w:val="Hyperlink"/>
            <w:noProof/>
          </w:rPr>
          <w:t>Objective 1.1: Improve health services—with a focus on the quality, reach and management of women and children’s health and nutrition in rural and urban areas</w:t>
        </w:r>
        <w:r>
          <w:rPr>
            <w:noProof/>
            <w:webHidden/>
          </w:rPr>
          <w:tab/>
        </w:r>
        <w:r>
          <w:rPr>
            <w:rStyle w:val="Hyperlink"/>
            <w:noProof/>
            <w:rtl/>
          </w:rPr>
          <w:fldChar w:fldCharType="begin"/>
        </w:r>
        <w:r>
          <w:rPr>
            <w:noProof/>
            <w:webHidden/>
          </w:rPr>
          <w:instrText xml:space="preserve"> PAGEREF _Toc360976425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1A384A" w:rsidRDefault="001A384A">
      <w:pPr>
        <w:pStyle w:val="TOC3"/>
        <w:tabs>
          <w:tab w:val="right" w:pos="7928"/>
        </w:tabs>
        <w:rPr>
          <w:rFonts w:cs="Arial"/>
          <w:noProof/>
          <w:sz w:val="22"/>
          <w:szCs w:val="22"/>
          <w:lang w:val="en-US" w:eastAsia="en-US"/>
        </w:rPr>
      </w:pPr>
      <w:hyperlink w:anchor="_Toc360976426" w:history="1">
        <w:r w:rsidRPr="00C17EAA">
          <w:rPr>
            <w:rStyle w:val="Hyperlink"/>
            <w:noProof/>
          </w:rPr>
          <w:t>Key results in the health sector in 2010</w:t>
        </w:r>
        <w:r>
          <w:rPr>
            <w:noProof/>
            <w:webHidden/>
          </w:rPr>
          <w:tab/>
        </w:r>
        <w:r>
          <w:rPr>
            <w:rStyle w:val="Hyperlink"/>
            <w:noProof/>
            <w:rtl/>
          </w:rPr>
          <w:fldChar w:fldCharType="begin"/>
        </w:r>
        <w:r>
          <w:rPr>
            <w:noProof/>
            <w:webHidden/>
          </w:rPr>
          <w:instrText xml:space="preserve"> PAGEREF _Toc360976426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rsidR="001A384A" w:rsidRDefault="001A384A">
      <w:pPr>
        <w:pStyle w:val="TOC2"/>
        <w:tabs>
          <w:tab w:val="right" w:pos="7928"/>
        </w:tabs>
        <w:rPr>
          <w:rFonts w:cs="Arial"/>
          <w:b w:val="0"/>
          <w:bCs w:val="0"/>
          <w:noProof/>
          <w:sz w:val="22"/>
          <w:szCs w:val="22"/>
          <w:lang w:val="en-US" w:eastAsia="en-US"/>
        </w:rPr>
      </w:pPr>
      <w:hyperlink w:anchor="_Toc360976427" w:history="1">
        <w:r w:rsidRPr="00C17EAA">
          <w:rPr>
            <w:rStyle w:val="Hyperlink"/>
            <w:noProof/>
          </w:rPr>
          <w:t>Objective 1.2 Improve primary education services—with a focus on the quality, reach and management of pre-primary and primary education for children in rural and urban areas</w:t>
        </w:r>
        <w:r>
          <w:rPr>
            <w:noProof/>
            <w:webHidden/>
          </w:rPr>
          <w:tab/>
        </w:r>
        <w:r>
          <w:rPr>
            <w:rStyle w:val="Hyperlink"/>
            <w:noProof/>
            <w:rtl/>
          </w:rPr>
          <w:fldChar w:fldCharType="begin"/>
        </w:r>
        <w:r>
          <w:rPr>
            <w:noProof/>
            <w:webHidden/>
          </w:rPr>
          <w:instrText xml:space="preserve"> PAGEREF _Toc360976427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1A384A" w:rsidRDefault="001A384A">
      <w:pPr>
        <w:pStyle w:val="TOC3"/>
        <w:tabs>
          <w:tab w:val="right" w:pos="7928"/>
        </w:tabs>
        <w:rPr>
          <w:rFonts w:cs="Arial"/>
          <w:noProof/>
          <w:sz w:val="22"/>
          <w:szCs w:val="22"/>
          <w:lang w:val="en-US" w:eastAsia="en-US"/>
        </w:rPr>
      </w:pPr>
      <w:hyperlink w:anchor="_Toc360976428" w:history="1">
        <w:r w:rsidRPr="00C17EAA">
          <w:rPr>
            <w:rStyle w:val="Hyperlink"/>
            <w:noProof/>
          </w:rPr>
          <w:t>Key results in the education sector in 2010</w:t>
        </w:r>
        <w:r>
          <w:rPr>
            <w:noProof/>
            <w:webHidden/>
          </w:rPr>
          <w:tab/>
        </w:r>
        <w:r>
          <w:rPr>
            <w:rStyle w:val="Hyperlink"/>
            <w:noProof/>
            <w:rtl/>
          </w:rPr>
          <w:fldChar w:fldCharType="begin"/>
        </w:r>
        <w:r>
          <w:rPr>
            <w:noProof/>
            <w:webHidden/>
          </w:rPr>
          <w:instrText xml:space="preserve"> PAGEREF _Toc360976428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1A384A" w:rsidRDefault="001A384A">
      <w:pPr>
        <w:pStyle w:val="TOC2"/>
        <w:tabs>
          <w:tab w:val="right" w:pos="7928"/>
        </w:tabs>
        <w:rPr>
          <w:rFonts w:cs="Arial"/>
          <w:b w:val="0"/>
          <w:bCs w:val="0"/>
          <w:noProof/>
          <w:sz w:val="22"/>
          <w:szCs w:val="22"/>
          <w:lang w:val="en-US" w:eastAsia="en-US"/>
        </w:rPr>
      </w:pPr>
      <w:hyperlink w:anchor="_Toc360976429" w:history="1">
        <w:r w:rsidRPr="00C17EAA">
          <w:rPr>
            <w:rStyle w:val="Hyperlink"/>
            <w:noProof/>
          </w:rPr>
          <w:t>Objective 2.1: Reduce extreme poverty and food insecurity—improve the quality and reach of social protection and food security measures for the poorest and most vulnerable in rural and urban areas.</w:t>
        </w:r>
        <w:r>
          <w:rPr>
            <w:noProof/>
            <w:webHidden/>
          </w:rPr>
          <w:tab/>
        </w:r>
        <w:r>
          <w:rPr>
            <w:rStyle w:val="Hyperlink"/>
            <w:noProof/>
            <w:rtl/>
          </w:rPr>
          <w:fldChar w:fldCharType="begin"/>
        </w:r>
        <w:r>
          <w:rPr>
            <w:noProof/>
            <w:webHidden/>
          </w:rPr>
          <w:instrText xml:space="preserve"> PAGEREF _Toc360976429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1A384A" w:rsidRDefault="001A384A">
      <w:pPr>
        <w:pStyle w:val="TOC3"/>
        <w:tabs>
          <w:tab w:val="right" w:pos="7928"/>
        </w:tabs>
        <w:rPr>
          <w:rFonts w:cs="Arial"/>
          <w:noProof/>
          <w:sz w:val="22"/>
          <w:szCs w:val="22"/>
          <w:lang w:val="en-US" w:eastAsia="en-US"/>
        </w:rPr>
      </w:pPr>
      <w:hyperlink w:anchor="_Toc360976430" w:history="1">
        <w:r w:rsidRPr="00C17EAA">
          <w:rPr>
            <w:rStyle w:val="Hyperlink"/>
            <w:noProof/>
          </w:rPr>
          <w:t>Key results for extreme poverty reduction in 2010</w:t>
        </w:r>
        <w:r>
          <w:rPr>
            <w:noProof/>
            <w:webHidden/>
          </w:rPr>
          <w:tab/>
        </w:r>
        <w:r>
          <w:rPr>
            <w:rStyle w:val="Hyperlink"/>
            <w:noProof/>
            <w:rtl/>
          </w:rPr>
          <w:fldChar w:fldCharType="begin"/>
        </w:r>
        <w:r>
          <w:rPr>
            <w:noProof/>
            <w:webHidden/>
          </w:rPr>
          <w:instrText xml:space="preserve"> PAGEREF _Toc360976430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1A384A" w:rsidRDefault="001A384A">
      <w:pPr>
        <w:pStyle w:val="TOC2"/>
        <w:tabs>
          <w:tab w:val="right" w:pos="7928"/>
        </w:tabs>
        <w:rPr>
          <w:rFonts w:cs="Arial"/>
          <w:b w:val="0"/>
          <w:bCs w:val="0"/>
          <w:noProof/>
          <w:sz w:val="22"/>
          <w:szCs w:val="22"/>
          <w:lang w:val="en-US" w:eastAsia="en-US"/>
        </w:rPr>
      </w:pPr>
      <w:hyperlink w:anchor="_Toc360976431" w:history="1">
        <w:r w:rsidRPr="00C17EAA">
          <w:rPr>
            <w:rStyle w:val="Hyperlink"/>
            <w:noProof/>
          </w:rPr>
          <w:t>Objective 2.2: Improve climate change adaptation and disaster risk reduction</w:t>
        </w:r>
        <w:r>
          <w:rPr>
            <w:noProof/>
            <w:webHidden/>
          </w:rPr>
          <w:tab/>
        </w:r>
        <w:r>
          <w:rPr>
            <w:rStyle w:val="Hyperlink"/>
            <w:noProof/>
            <w:rtl/>
          </w:rPr>
          <w:fldChar w:fldCharType="begin"/>
        </w:r>
        <w:r>
          <w:rPr>
            <w:noProof/>
            <w:webHidden/>
          </w:rPr>
          <w:instrText xml:space="preserve"> PAGEREF _Toc360976431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1A384A" w:rsidRDefault="001A384A">
      <w:pPr>
        <w:pStyle w:val="TOC3"/>
        <w:tabs>
          <w:tab w:val="right" w:pos="7928"/>
        </w:tabs>
        <w:rPr>
          <w:rFonts w:cs="Arial"/>
          <w:noProof/>
          <w:sz w:val="22"/>
          <w:szCs w:val="22"/>
          <w:lang w:val="en-US" w:eastAsia="en-US"/>
        </w:rPr>
      </w:pPr>
      <w:hyperlink w:anchor="_Toc360976432" w:history="1">
        <w:r w:rsidRPr="00C17EAA">
          <w:rPr>
            <w:rStyle w:val="Hyperlink"/>
            <w:noProof/>
          </w:rPr>
          <w:t>Key results for climate change and disaster risk reduction in 2010</w:t>
        </w:r>
        <w:r>
          <w:rPr>
            <w:noProof/>
            <w:webHidden/>
          </w:rPr>
          <w:tab/>
        </w:r>
        <w:r>
          <w:rPr>
            <w:rStyle w:val="Hyperlink"/>
            <w:noProof/>
            <w:rtl/>
          </w:rPr>
          <w:fldChar w:fldCharType="begin"/>
        </w:r>
        <w:r>
          <w:rPr>
            <w:noProof/>
            <w:webHidden/>
          </w:rPr>
          <w:instrText xml:space="preserve"> PAGEREF _Toc360976432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1A384A" w:rsidRDefault="001A384A">
      <w:pPr>
        <w:pStyle w:val="TOC2"/>
        <w:tabs>
          <w:tab w:val="right" w:pos="7928"/>
        </w:tabs>
        <w:rPr>
          <w:rFonts w:cs="Arial"/>
          <w:b w:val="0"/>
          <w:bCs w:val="0"/>
          <w:noProof/>
          <w:sz w:val="22"/>
          <w:szCs w:val="22"/>
          <w:lang w:val="en-US" w:eastAsia="en-US"/>
        </w:rPr>
      </w:pPr>
      <w:hyperlink w:anchor="_Toc360976433" w:history="1">
        <w:r w:rsidRPr="00C17EAA">
          <w:rPr>
            <w:rStyle w:val="Hyperlink"/>
            <w:noProof/>
          </w:rPr>
          <w:t>Objective 3: Assist Bangladesh to strengthen leadership and human resource capacity, working with the Government of Bangladesh and civil society institutions</w:t>
        </w:r>
        <w:r>
          <w:rPr>
            <w:noProof/>
            <w:webHidden/>
          </w:rPr>
          <w:tab/>
        </w:r>
        <w:r>
          <w:rPr>
            <w:rStyle w:val="Hyperlink"/>
            <w:noProof/>
            <w:rtl/>
          </w:rPr>
          <w:fldChar w:fldCharType="begin"/>
        </w:r>
        <w:r>
          <w:rPr>
            <w:noProof/>
            <w:webHidden/>
          </w:rPr>
          <w:instrText xml:space="preserve"> PAGEREF _Toc360976433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1A384A" w:rsidRDefault="001A384A">
      <w:pPr>
        <w:pStyle w:val="TOC3"/>
        <w:tabs>
          <w:tab w:val="right" w:pos="7928"/>
        </w:tabs>
        <w:rPr>
          <w:rFonts w:cs="Arial"/>
          <w:noProof/>
          <w:sz w:val="22"/>
          <w:szCs w:val="22"/>
          <w:lang w:val="en-US" w:eastAsia="en-US"/>
        </w:rPr>
      </w:pPr>
      <w:hyperlink w:anchor="_Toc360976434" w:history="1">
        <w:r w:rsidRPr="00C17EAA">
          <w:rPr>
            <w:rStyle w:val="Hyperlink"/>
            <w:noProof/>
          </w:rPr>
          <w:t>Australian Scholarships in 2010</w:t>
        </w:r>
        <w:r>
          <w:rPr>
            <w:noProof/>
            <w:webHidden/>
          </w:rPr>
          <w:tab/>
        </w:r>
        <w:r>
          <w:rPr>
            <w:rStyle w:val="Hyperlink"/>
            <w:noProof/>
            <w:rtl/>
          </w:rPr>
          <w:fldChar w:fldCharType="begin"/>
        </w:r>
        <w:r>
          <w:rPr>
            <w:noProof/>
            <w:webHidden/>
          </w:rPr>
          <w:instrText xml:space="preserve"> PAGEREF _Toc360976434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1A384A" w:rsidRDefault="001A384A">
      <w:pPr>
        <w:pStyle w:val="TOC3"/>
        <w:tabs>
          <w:tab w:val="right" w:pos="7928"/>
        </w:tabs>
        <w:rPr>
          <w:rFonts w:cs="Arial"/>
          <w:noProof/>
          <w:sz w:val="22"/>
          <w:szCs w:val="22"/>
          <w:lang w:val="en-US" w:eastAsia="en-US"/>
        </w:rPr>
      </w:pPr>
      <w:hyperlink w:anchor="_Toc360976435" w:history="1">
        <w:r w:rsidRPr="00C17EAA">
          <w:rPr>
            <w:rStyle w:val="Hyperlink"/>
            <w:noProof/>
          </w:rPr>
          <w:t>Public Sector Linkages Program</w:t>
        </w:r>
        <w:r>
          <w:rPr>
            <w:noProof/>
            <w:webHidden/>
          </w:rPr>
          <w:tab/>
        </w:r>
        <w:r>
          <w:rPr>
            <w:rStyle w:val="Hyperlink"/>
            <w:noProof/>
            <w:rtl/>
          </w:rPr>
          <w:fldChar w:fldCharType="begin"/>
        </w:r>
        <w:r>
          <w:rPr>
            <w:noProof/>
            <w:webHidden/>
          </w:rPr>
          <w:instrText xml:space="preserve"> PAGEREF _Toc360976435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1A384A" w:rsidRDefault="001A384A">
      <w:pPr>
        <w:pStyle w:val="TOC3"/>
        <w:tabs>
          <w:tab w:val="right" w:pos="7928"/>
        </w:tabs>
        <w:rPr>
          <w:rFonts w:cs="Arial"/>
          <w:noProof/>
          <w:sz w:val="22"/>
          <w:szCs w:val="22"/>
          <w:lang w:val="en-US" w:eastAsia="en-US"/>
        </w:rPr>
      </w:pPr>
      <w:hyperlink w:anchor="_Toc360976436" w:history="1">
        <w:r w:rsidRPr="00C17EAA">
          <w:rPr>
            <w:rStyle w:val="Hyperlink"/>
            <w:noProof/>
          </w:rPr>
          <w:t>Australian NGO Cooperation Program</w:t>
        </w:r>
        <w:r>
          <w:rPr>
            <w:noProof/>
            <w:webHidden/>
          </w:rPr>
          <w:tab/>
        </w:r>
        <w:r>
          <w:rPr>
            <w:rStyle w:val="Hyperlink"/>
            <w:noProof/>
            <w:rtl/>
          </w:rPr>
          <w:fldChar w:fldCharType="begin"/>
        </w:r>
        <w:r>
          <w:rPr>
            <w:noProof/>
            <w:webHidden/>
          </w:rPr>
          <w:instrText xml:space="preserve"> PAGEREF _Toc360976436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1A384A" w:rsidRDefault="001A384A">
      <w:pPr>
        <w:pStyle w:val="TOC2"/>
        <w:tabs>
          <w:tab w:val="right" w:pos="7928"/>
        </w:tabs>
        <w:rPr>
          <w:rFonts w:cs="Arial"/>
          <w:b w:val="0"/>
          <w:bCs w:val="0"/>
          <w:noProof/>
          <w:sz w:val="22"/>
          <w:szCs w:val="22"/>
          <w:lang w:val="en-US" w:eastAsia="en-US"/>
        </w:rPr>
      </w:pPr>
      <w:hyperlink w:anchor="_Toc360976437" w:history="1">
        <w:r w:rsidRPr="00C17EAA">
          <w:rPr>
            <w:rStyle w:val="Hyperlink"/>
            <w:noProof/>
          </w:rPr>
          <w:t>Gender</w:t>
        </w:r>
        <w:r>
          <w:rPr>
            <w:noProof/>
            <w:webHidden/>
          </w:rPr>
          <w:tab/>
        </w:r>
        <w:r>
          <w:rPr>
            <w:rStyle w:val="Hyperlink"/>
            <w:noProof/>
            <w:rtl/>
          </w:rPr>
          <w:fldChar w:fldCharType="begin"/>
        </w:r>
        <w:r>
          <w:rPr>
            <w:noProof/>
            <w:webHidden/>
          </w:rPr>
          <w:instrText xml:space="preserve"> PAGEREF _Toc360976437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1A384A" w:rsidRDefault="001A384A">
      <w:pPr>
        <w:pStyle w:val="TOC3"/>
        <w:tabs>
          <w:tab w:val="right" w:pos="7928"/>
        </w:tabs>
        <w:rPr>
          <w:rFonts w:cs="Arial"/>
          <w:noProof/>
          <w:sz w:val="22"/>
          <w:szCs w:val="22"/>
          <w:lang w:val="en-US" w:eastAsia="en-US"/>
        </w:rPr>
      </w:pPr>
      <w:hyperlink w:anchor="_Toc360976438" w:history="1">
        <w:r w:rsidRPr="00C17EAA">
          <w:rPr>
            <w:rStyle w:val="Hyperlink"/>
            <w:noProof/>
          </w:rPr>
          <w:t>Key results for gender in 2010</w:t>
        </w:r>
        <w:r>
          <w:rPr>
            <w:noProof/>
            <w:webHidden/>
          </w:rPr>
          <w:tab/>
        </w:r>
        <w:r>
          <w:rPr>
            <w:rStyle w:val="Hyperlink"/>
            <w:noProof/>
            <w:rtl/>
          </w:rPr>
          <w:fldChar w:fldCharType="begin"/>
        </w:r>
        <w:r>
          <w:rPr>
            <w:noProof/>
            <w:webHidden/>
          </w:rPr>
          <w:instrText xml:space="preserve"> PAGEREF _Toc360976438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1A384A" w:rsidRDefault="001A384A">
      <w:pPr>
        <w:pStyle w:val="TOC1"/>
        <w:tabs>
          <w:tab w:val="right" w:pos="7928"/>
        </w:tabs>
        <w:rPr>
          <w:rFonts w:ascii="Calibri" w:hAnsi="Calibri" w:cs="Arial"/>
          <w:b w:val="0"/>
          <w:bCs w:val="0"/>
          <w:caps w:val="0"/>
          <w:noProof/>
          <w:sz w:val="22"/>
          <w:szCs w:val="22"/>
          <w:lang w:val="en-US" w:eastAsia="en-US"/>
        </w:rPr>
      </w:pPr>
      <w:hyperlink w:anchor="_Toc360976439" w:history="1">
        <w:r w:rsidRPr="00C17EAA">
          <w:rPr>
            <w:rStyle w:val="Hyperlink"/>
            <w:noProof/>
          </w:rPr>
          <w:t>Quality of aid activities</w:t>
        </w:r>
        <w:r>
          <w:rPr>
            <w:noProof/>
            <w:webHidden/>
          </w:rPr>
          <w:tab/>
        </w:r>
        <w:r>
          <w:rPr>
            <w:rStyle w:val="Hyperlink"/>
            <w:noProof/>
            <w:rtl/>
          </w:rPr>
          <w:fldChar w:fldCharType="begin"/>
        </w:r>
        <w:r>
          <w:rPr>
            <w:noProof/>
            <w:webHidden/>
          </w:rPr>
          <w:instrText xml:space="preserve"> PAGEREF _Toc360976439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1A384A" w:rsidRDefault="001A384A">
      <w:pPr>
        <w:pStyle w:val="TOC1"/>
        <w:tabs>
          <w:tab w:val="right" w:pos="7928"/>
        </w:tabs>
        <w:rPr>
          <w:rFonts w:ascii="Calibri" w:hAnsi="Calibri" w:cs="Arial"/>
          <w:b w:val="0"/>
          <w:bCs w:val="0"/>
          <w:caps w:val="0"/>
          <w:noProof/>
          <w:sz w:val="22"/>
          <w:szCs w:val="22"/>
          <w:lang w:val="en-US" w:eastAsia="en-US"/>
        </w:rPr>
      </w:pPr>
      <w:hyperlink w:anchor="_Toc360976440" w:history="1">
        <w:r w:rsidRPr="00C17EAA">
          <w:rPr>
            <w:rStyle w:val="Hyperlink"/>
            <w:noProof/>
          </w:rPr>
          <w:t>Next steps</w:t>
        </w:r>
        <w:r>
          <w:rPr>
            <w:noProof/>
            <w:webHidden/>
          </w:rPr>
          <w:tab/>
        </w:r>
        <w:r>
          <w:rPr>
            <w:rStyle w:val="Hyperlink"/>
            <w:noProof/>
            <w:rtl/>
          </w:rPr>
          <w:fldChar w:fldCharType="begin"/>
        </w:r>
        <w:r>
          <w:rPr>
            <w:noProof/>
            <w:webHidden/>
          </w:rPr>
          <w:instrText xml:space="preserve"> PAGEREF _Toc360976440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1A384A" w:rsidRPr="001A384A" w:rsidRDefault="001A384A">
      <w:pPr>
        <w:rPr>
          <w:lang w:val="en-US"/>
        </w:rPr>
      </w:pPr>
      <w:r>
        <w:rPr>
          <w:rFonts w:ascii="Cambria" w:hAnsi="Cambria"/>
          <w:b/>
          <w:bCs/>
          <w:caps/>
          <w:sz w:val="24"/>
          <w:szCs w:val="28"/>
        </w:rPr>
        <w:fldChar w:fldCharType="end"/>
      </w:r>
    </w:p>
    <w:p w:rsidR="006422AA" w:rsidRPr="00E17E42" w:rsidRDefault="00E34B6E" w:rsidP="008A2154">
      <w:pPr>
        <w:pStyle w:val="BodyText1"/>
        <w:spacing w:after="240"/>
      </w:pPr>
      <w:r w:rsidRPr="00E17E42">
        <w:lastRenderedPageBreak/>
        <w:t xml:space="preserve">This report summarises the aid program’s progress in 2010 towards the objectives of the Bangladesh program. </w:t>
      </w:r>
      <w:r>
        <w:t>I</w:t>
      </w:r>
      <w:r w:rsidRPr="00E17E42">
        <w:t xml:space="preserve">n previous years </w:t>
      </w:r>
      <w:r>
        <w:t>t</w:t>
      </w:r>
      <w:r w:rsidRPr="00E17E42">
        <w:t xml:space="preserve">he </w:t>
      </w:r>
      <w:r>
        <w:t xml:space="preserve">Bangladesh </w:t>
      </w:r>
      <w:r w:rsidRPr="00E17E42">
        <w:t xml:space="preserve">program’s performance </w:t>
      </w:r>
      <w:r>
        <w:t>has been</w:t>
      </w:r>
      <w:r w:rsidRPr="00E17E42">
        <w:t xml:space="preserve"> reported as part of the South Asia R</w:t>
      </w:r>
      <w:r>
        <w:t xml:space="preserve">egional reports. These are </w:t>
      </w:r>
      <w:r w:rsidRPr="00E17E42">
        <w:t>available on the Australian Agency for International Development’s (AusAID) website.</w:t>
      </w:r>
    </w:p>
    <w:p w:rsidR="006422AA" w:rsidRPr="00174585" w:rsidRDefault="006422AA" w:rsidP="00324AB6">
      <w:pPr>
        <w:pStyle w:val="H1A"/>
      </w:pPr>
      <w:bookmarkStart w:id="0" w:name="_Toc241560108"/>
      <w:bookmarkStart w:id="1" w:name="_Toc360976421"/>
      <w:r>
        <w:t>C</w:t>
      </w:r>
      <w:r w:rsidRPr="00174585">
        <w:t>ontext</w:t>
      </w:r>
      <w:bookmarkEnd w:id="1"/>
      <w:r w:rsidRPr="00174585">
        <w:t xml:space="preserve"> </w:t>
      </w:r>
    </w:p>
    <w:p w:rsidR="00E34B6E" w:rsidRPr="003C57F5" w:rsidRDefault="00E34B6E" w:rsidP="00E34B6E">
      <w:pPr>
        <w:pStyle w:val="BodyText"/>
      </w:pPr>
      <w:r>
        <w:t>2010 was a positive year for Bangladesh</w:t>
      </w:r>
      <w:r w:rsidR="00C0320F">
        <w:t xml:space="preserve">. </w:t>
      </w:r>
      <w:r w:rsidRPr="003C57F5">
        <w:t xml:space="preserve">The economy grew at </w:t>
      </w:r>
      <w:r>
        <w:t>a</w:t>
      </w:r>
      <w:r w:rsidRPr="003C57F5">
        <w:t xml:space="preserve"> rate of around </w:t>
      </w:r>
      <w:r>
        <w:t>6</w:t>
      </w:r>
      <w:r w:rsidR="00063AA8">
        <w:t>%</w:t>
      </w:r>
      <w:r>
        <w:t xml:space="preserve"> </w:t>
      </w:r>
      <w:r w:rsidRPr="003C57F5">
        <w:t>in 2010 from 5.8</w:t>
      </w:r>
      <w:r w:rsidR="00063AA8">
        <w:t>%</w:t>
      </w:r>
      <w:r>
        <w:t xml:space="preserve"> in 2009</w:t>
      </w:r>
      <w:r w:rsidR="00E521EB">
        <w:t>, with sustained direct foreign investment in industry particularly in garment manufacturing</w:t>
      </w:r>
      <w:r>
        <w:t xml:space="preserve">. </w:t>
      </w:r>
      <w:r w:rsidR="004D31A0">
        <w:t>S</w:t>
      </w:r>
      <w:r w:rsidRPr="003C57F5">
        <w:t xml:space="preserve">low global </w:t>
      </w:r>
      <w:r w:rsidR="008E368F">
        <w:t xml:space="preserve">economic </w:t>
      </w:r>
      <w:r w:rsidRPr="003C57F5">
        <w:t>rec</w:t>
      </w:r>
      <w:r>
        <w:t xml:space="preserve">overy, severe power shortages, infrastructure bottlenecks </w:t>
      </w:r>
      <w:r w:rsidRPr="003C57F5">
        <w:t xml:space="preserve">and labour unrest in the garment sector </w:t>
      </w:r>
      <w:r w:rsidR="004D31A0">
        <w:t xml:space="preserve">however </w:t>
      </w:r>
      <w:r w:rsidRPr="003C57F5">
        <w:t>remain prominent concerns.</w:t>
      </w:r>
      <w:r>
        <w:t xml:space="preserve"> Inflation had a serious impact, </w:t>
      </w:r>
      <w:r w:rsidRPr="003C57F5">
        <w:t xml:space="preserve">especially </w:t>
      </w:r>
      <w:r>
        <w:t xml:space="preserve">on </w:t>
      </w:r>
      <w:r w:rsidRPr="003C57F5">
        <w:t>food prices and food insecurity</w:t>
      </w:r>
      <w:r>
        <w:t xml:space="preserve">. </w:t>
      </w:r>
    </w:p>
    <w:p w:rsidR="00554A2E" w:rsidRDefault="00E34B6E" w:rsidP="00E34B6E">
      <w:pPr>
        <w:pStyle w:val="BodyText"/>
      </w:pPr>
      <w:r>
        <w:t>Bangladesh was globally recognised in 2010 for its progress against the Mille</w:t>
      </w:r>
      <w:r w:rsidR="004C6B4B">
        <w:t>nnium Development Goals (MDGs)</w:t>
      </w:r>
      <w:r w:rsidR="00C0320F">
        <w:t xml:space="preserve">. </w:t>
      </w:r>
      <w:r>
        <w:t>At the 2010 U</w:t>
      </w:r>
      <w:r w:rsidR="00554A2E">
        <w:t xml:space="preserve">nited </w:t>
      </w:r>
      <w:r>
        <w:t>N</w:t>
      </w:r>
      <w:r w:rsidR="00554A2E">
        <w:t>ations (UN)</w:t>
      </w:r>
      <w:r>
        <w:t xml:space="preserve"> Summit, Bangladesh won an award for progress towards achieving MDG4—to reduce child mortality</w:t>
      </w:r>
      <w:r w:rsidR="00C0320F">
        <w:t xml:space="preserve">. </w:t>
      </w:r>
      <w:r>
        <w:t>Bangladesh’s</w:t>
      </w:r>
      <w:r w:rsidRPr="003C57F5">
        <w:t xml:space="preserve"> ranking in the</w:t>
      </w:r>
      <w:r>
        <w:t xml:space="preserve"> UN Human Development Index</w:t>
      </w:r>
      <w:r w:rsidRPr="003C57F5">
        <w:t xml:space="preserve"> </w:t>
      </w:r>
      <w:r>
        <w:t xml:space="preserve">also </w:t>
      </w:r>
      <w:r w:rsidRPr="003C57F5">
        <w:t xml:space="preserve">improved </w:t>
      </w:r>
      <w:r>
        <w:t xml:space="preserve">in 2010 </w:t>
      </w:r>
      <w:r w:rsidRPr="003C57F5">
        <w:t>to 129, from 140 in 2009</w:t>
      </w:r>
      <w:r w:rsidR="00C0320F">
        <w:t xml:space="preserve">. </w:t>
      </w:r>
      <w:r>
        <w:t>The country’s effective response to</w:t>
      </w:r>
      <w:r w:rsidR="00554A2E">
        <w:t xml:space="preserve"> the</w:t>
      </w:r>
      <w:r>
        <w:t xml:space="preserve"> seasonal floods in October that inundated </w:t>
      </w:r>
      <w:r w:rsidR="005B4467">
        <w:t>s</w:t>
      </w:r>
      <w:r>
        <w:t>outhern parts of the country</w:t>
      </w:r>
      <w:r w:rsidR="0020513E">
        <w:t>,</w:t>
      </w:r>
      <w:r>
        <w:t xml:space="preserve"> affecting 150</w:t>
      </w:r>
      <w:r w:rsidR="004C6B4B">
        <w:t> </w:t>
      </w:r>
      <w:r>
        <w:t>000 people</w:t>
      </w:r>
      <w:r w:rsidR="0020513E">
        <w:t>,</w:t>
      </w:r>
      <w:r w:rsidRPr="00632662">
        <w:t xml:space="preserve"> </w:t>
      </w:r>
      <w:r>
        <w:t xml:space="preserve">was also </w:t>
      </w:r>
      <w:r w:rsidR="00554A2E">
        <w:t xml:space="preserve">praised </w:t>
      </w:r>
      <w:r>
        <w:t>by global commentators</w:t>
      </w:r>
      <w:r w:rsidR="00C0320F">
        <w:t xml:space="preserve">. </w:t>
      </w:r>
      <w:r w:rsidR="004D31A0">
        <w:t>More recently Bangladesh has been lauded for its 40% reduction in maternal mortality.</w:t>
      </w:r>
      <w:r w:rsidR="004D31A0">
        <w:rPr>
          <w:rStyle w:val="FootnoteReference"/>
        </w:rPr>
        <w:footnoteReference w:id="2"/>
      </w:r>
    </w:p>
    <w:p w:rsidR="00E34B6E" w:rsidRDefault="00E34B6E" w:rsidP="00E34B6E">
      <w:pPr>
        <w:pStyle w:val="BodyText"/>
      </w:pPr>
      <w:r>
        <w:t>Despite these impressive gains, o</w:t>
      </w:r>
      <w:r w:rsidRPr="003C57F5">
        <w:t xml:space="preserve">verall </w:t>
      </w:r>
      <w:r>
        <w:t xml:space="preserve">economic and social </w:t>
      </w:r>
      <w:r w:rsidRPr="003C57F5">
        <w:t>improvement ha</w:t>
      </w:r>
      <w:r w:rsidR="00D66FD0">
        <w:t>s</w:t>
      </w:r>
      <w:r w:rsidRPr="003C57F5">
        <w:t xml:space="preserve"> been accompanied by rising regional and social disparities</w:t>
      </w:r>
      <w:r>
        <w:t xml:space="preserve">. Women face extreme social and economic disadvantage and the extreme poor, including those living </w:t>
      </w:r>
      <w:r w:rsidR="008D30D3">
        <w:t xml:space="preserve">in remote parts of the </w:t>
      </w:r>
      <w:proofErr w:type="gramStart"/>
      <w:r w:rsidR="008D30D3">
        <w:t>country</w:t>
      </w:r>
      <w:r w:rsidR="004D31A0">
        <w:t>,</w:t>
      </w:r>
      <w:proofErr w:type="gramEnd"/>
      <w:r w:rsidR="008D30D3" w:rsidRPr="008D30D3">
        <w:t xml:space="preserve"> </w:t>
      </w:r>
      <w:r w:rsidR="008D30D3">
        <w:t xml:space="preserve">remain particularly vulnerable to natural disasters, climate change and global food and fuel price </w:t>
      </w:r>
      <w:r w:rsidR="00530034">
        <w:t>ris</w:t>
      </w:r>
      <w:r w:rsidR="008D30D3">
        <w:t xml:space="preserve">es. The poor in urban slums, people from the many </w:t>
      </w:r>
      <w:r w:rsidR="003617C5">
        <w:t xml:space="preserve">small ethnic </w:t>
      </w:r>
      <w:r w:rsidR="008D30D3">
        <w:t xml:space="preserve">communities in Bangladesh and </w:t>
      </w:r>
      <w:r w:rsidR="004D31A0">
        <w:t xml:space="preserve">people living with </w:t>
      </w:r>
      <w:r w:rsidR="008D30D3">
        <w:t>disab</w:t>
      </w:r>
      <w:r w:rsidR="00430BC4">
        <w:t>i</w:t>
      </w:r>
      <w:r w:rsidR="008D30D3">
        <w:t>l</w:t>
      </w:r>
      <w:r w:rsidR="004D31A0">
        <w:t>ity</w:t>
      </w:r>
      <w:r w:rsidR="008D30D3">
        <w:t xml:space="preserve"> continue to experience high levels of poverty and disadvantage. </w:t>
      </w:r>
    </w:p>
    <w:p w:rsidR="002D2EEF" w:rsidRDefault="00E34B6E" w:rsidP="00DD322E">
      <w:pPr>
        <w:pStyle w:val="BodyText"/>
      </w:pPr>
      <w:bookmarkStart w:id="2" w:name="_Toc241560111"/>
      <w:bookmarkEnd w:id="0"/>
      <w:r w:rsidRPr="002D265C">
        <w:t>Total aid flows to Bangladesh in 2009</w:t>
      </w:r>
      <w:r w:rsidR="00ED5506">
        <w:t>–</w:t>
      </w:r>
      <w:r w:rsidR="00554A2E">
        <w:t>1</w:t>
      </w:r>
      <w:r w:rsidRPr="002D265C">
        <w:t>0 were US$2.15</w:t>
      </w:r>
      <w:r>
        <w:t xml:space="preserve"> billion</w:t>
      </w:r>
      <w:r w:rsidR="00885790">
        <w:t xml:space="preserve"> and around</w:t>
      </w:r>
      <w:r w:rsidR="008B7082">
        <w:t xml:space="preserve"> 2% of g</w:t>
      </w:r>
      <w:r w:rsidR="008B7082" w:rsidRPr="004C6B4B">
        <w:rPr>
          <w:rFonts w:cs="Arial"/>
        </w:rPr>
        <w:t>ross</w:t>
      </w:r>
      <w:r w:rsidR="008B7082">
        <w:rPr>
          <w:rFonts w:cs="Arial"/>
        </w:rPr>
        <w:t xml:space="preserve"> d</w:t>
      </w:r>
      <w:r w:rsidR="008B7082" w:rsidRPr="004C6B4B">
        <w:rPr>
          <w:rFonts w:cs="Arial"/>
        </w:rPr>
        <w:t xml:space="preserve">omestic </w:t>
      </w:r>
      <w:r w:rsidR="008B7082">
        <w:rPr>
          <w:rFonts w:cs="Arial"/>
        </w:rPr>
        <w:t>p</w:t>
      </w:r>
      <w:r w:rsidR="008B7082" w:rsidRPr="004C6B4B">
        <w:rPr>
          <w:rFonts w:cs="Arial"/>
        </w:rPr>
        <w:t>roduct</w:t>
      </w:r>
      <w:r w:rsidR="008B7082">
        <w:rPr>
          <w:rFonts w:cs="Arial"/>
        </w:rPr>
        <w:t xml:space="preserve">. While aid was </w:t>
      </w:r>
      <w:r>
        <w:t>50</w:t>
      </w:r>
      <w:r w:rsidR="00063AA8">
        <w:t>%</w:t>
      </w:r>
      <w:r>
        <w:t xml:space="preserve"> of the national annual development </w:t>
      </w:r>
      <w:r w:rsidR="008B7082">
        <w:t xml:space="preserve">budget, it </w:t>
      </w:r>
      <w:r w:rsidR="00885790">
        <w:t>was only</w:t>
      </w:r>
      <w:r w:rsidR="008B7082">
        <w:t xml:space="preserve"> 4.5% of the combined recurrent and development budgets</w:t>
      </w:r>
      <w:r w:rsidR="00C0320F">
        <w:t>.</w:t>
      </w:r>
      <w:r w:rsidR="00885790">
        <w:t xml:space="preserve"> </w:t>
      </w:r>
      <w:r w:rsidRPr="005C02BC">
        <w:t>Australia is regarded as a medium sized donor</w:t>
      </w:r>
      <w:r w:rsidR="00885790">
        <w:t xml:space="preserve"> in Bangladesh</w:t>
      </w:r>
      <w:r w:rsidRPr="005C02BC">
        <w:t>. In 2009</w:t>
      </w:r>
      <w:r w:rsidR="00554A2E">
        <w:t>–</w:t>
      </w:r>
      <w:r w:rsidRPr="005C02BC">
        <w:t xml:space="preserve">10 </w:t>
      </w:r>
      <w:r w:rsidRPr="00266A5A">
        <w:t xml:space="preserve">our </w:t>
      </w:r>
      <w:r w:rsidR="00266A5A" w:rsidRPr="00266A5A">
        <w:rPr>
          <w:rFonts w:cs="Arial"/>
        </w:rPr>
        <w:t>official development assistance</w:t>
      </w:r>
      <w:r w:rsidR="00266A5A" w:rsidRPr="00266A5A">
        <w:t xml:space="preserve"> (</w:t>
      </w:r>
      <w:r w:rsidRPr="00266A5A">
        <w:t>ODA</w:t>
      </w:r>
      <w:r w:rsidR="00266A5A" w:rsidRPr="00266A5A">
        <w:t>)</w:t>
      </w:r>
      <w:r w:rsidRPr="00266A5A">
        <w:t xml:space="preserve"> to</w:t>
      </w:r>
      <w:r w:rsidR="00A9055E">
        <w:t xml:space="preserve"> </w:t>
      </w:r>
    </w:p>
    <w:p w:rsidR="00430BC4" w:rsidRPr="00DD322E" w:rsidRDefault="00E34B6E" w:rsidP="002D2EEF">
      <w:pPr>
        <w:pStyle w:val="BodyText"/>
      </w:pPr>
      <w:r w:rsidRPr="005C02BC">
        <w:t xml:space="preserve">Bangladesh was around </w:t>
      </w:r>
      <w:r>
        <w:t>$60 million</w:t>
      </w:r>
      <w:r w:rsidR="00C0320F">
        <w:t xml:space="preserve">. </w:t>
      </w:r>
      <w:r>
        <w:t>Australia’s ODA to Bangladesh grew</w:t>
      </w:r>
      <w:r w:rsidRPr="005C02BC">
        <w:t xml:space="preserve"> to </w:t>
      </w:r>
      <w:r>
        <w:t>a</w:t>
      </w:r>
      <w:r w:rsidR="00530034">
        <w:t>pproximately</w:t>
      </w:r>
      <w:r>
        <w:t xml:space="preserve"> $74 million in 2010</w:t>
      </w:r>
      <w:r w:rsidR="004F5B5C">
        <w:t>–</w:t>
      </w:r>
      <w:r w:rsidRPr="005C02BC">
        <w:t>11</w:t>
      </w:r>
      <w:r>
        <w:t xml:space="preserve">. </w:t>
      </w:r>
    </w:p>
    <w:p w:rsidR="001C7904" w:rsidRPr="00A97280" w:rsidRDefault="001C7904" w:rsidP="00E14F20">
      <w:pPr>
        <w:pStyle w:val="H1A"/>
        <w:spacing w:before="240" w:after="120"/>
      </w:pPr>
      <w:bookmarkStart w:id="3" w:name="_Toc360976422"/>
      <w:r w:rsidRPr="00A97280">
        <w:t>Program objectives</w:t>
      </w:r>
      <w:bookmarkEnd w:id="3"/>
    </w:p>
    <w:p w:rsidR="00430BC4" w:rsidRDefault="00430BC4" w:rsidP="00430BC4">
      <w:pPr>
        <w:pStyle w:val="BodyText"/>
      </w:pPr>
      <w:r>
        <w:t xml:space="preserve">In 2010 AusAID worked with the Department of Foreign Affairs and Trade and other Australian government departments to develop </w:t>
      </w:r>
      <w:r w:rsidRPr="00127C1F">
        <w:rPr>
          <w:i/>
        </w:rPr>
        <w:t xml:space="preserve">Australia’s strategic approach to aid in Bangladesh </w:t>
      </w:r>
      <w:r>
        <w:rPr>
          <w:i/>
        </w:rPr>
        <w:t>2011-12 to 2015-16</w:t>
      </w:r>
      <w:r>
        <w:t>.  AusAID plans to review and finalise its strategic objectives for aid in Bangladesh following the release of Australia</w:t>
      </w:r>
      <w:r w:rsidR="00885790">
        <w:t xml:space="preserve">‘s </w:t>
      </w:r>
      <w:r>
        <w:t xml:space="preserve">new aid policy in 2011.  </w:t>
      </w:r>
    </w:p>
    <w:p w:rsidR="00E34B6E" w:rsidRDefault="00A24920" w:rsidP="00E34B6E">
      <w:pPr>
        <w:pStyle w:val="BodyText"/>
      </w:pPr>
      <w:r>
        <w:t xml:space="preserve">With an emphasis on reducing poverty and vulnerability, particularly for women, Australia’s interim </w:t>
      </w:r>
      <w:r w:rsidR="004D31A0">
        <w:t>strategic objectives for development cooperation in Bangladesh</w:t>
      </w:r>
      <w:r w:rsidR="004D31A0" w:rsidDel="004D31A0">
        <w:t xml:space="preserve"> </w:t>
      </w:r>
      <w:r w:rsidR="004D31A0">
        <w:t>are</w:t>
      </w:r>
      <w:r>
        <w:t>:  (1)</w:t>
      </w:r>
      <w:r w:rsidR="00885790">
        <w:t xml:space="preserve"> to</w:t>
      </w:r>
      <w:r>
        <w:t xml:space="preserve"> </w:t>
      </w:r>
      <w:r w:rsidR="00BF5089">
        <w:t>i</w:t>
      </w:r>
      <w:r>
        <w:t xml:space="preserve">mprove </w:t>
      </w:r>
      <w:r>
        <w:lastRenderedPageBreak/>
        <w:t>basic health and primary education services; and (2</w:t>
      </w:r>
      <w:r w:rsidR="00885790">
        <w:t xml:space="preserve">) to </w:t>
      </w:r>
      <w:r w:rsidR="00BF5089">
        <w:t>r</w:t>
      </w:r>
      <w:r>
        <w:t>educe vulnerabilities caused by natural disasters, climate change and lack of social protection.</w:t>
      </w:r>
      <w:r w:rsidR="00BF5089" w:rsidRPr="00BF5089">
        <w:t xml:space="preserve"> </w:t>
      </w:r>
      <w:r w:rsidR="00BF5089">
        <w:t xml:space="preserve"> </w:t>
      </w:r>
      <w:bookmarkEnd w:id="2"/>
    </w:p>
    <w:p w:rsidR="009A2913" w:rsidRPr="00A97280" w:rsidRDefault="009A2913" w:rsidP="00E14F20">
      <w:pPr>
        <w:pStyle w:val="H2A0"/>
        <w:spacing w:before="240"/>
      </w:pPr>
      <w:bookmarkStart w:id="4" w:name="_Toc360976423"/>
      <w:r w:rsidRPr="00A97280">
        <w:t>Expenditure</w:t>
      </w:r>
      <w:bookmarkEnd w:id="4"/>
    </w:p>
    <w:p w:rsidR="009A2913" w:rsidRPr="00DD322E" w:rsidRDefault="009A2913" w:rsidP="00DD322E">
      <w:pPr>
        <w:pStyle w:val="Caption"/>
      </w:pPr>
      <w:r w:rsidRPr="00DD322E">
        <w:t xml:space="preserve">Table 1: Estimated </w:t>
      </w:r>
      <w:r w:rsidR="00E026F0" w:rsidRPr="00DD322E">
        <w:t>e</w:t>
      </w:r>
      <w:r w:rsidRPr="00DD322E">
        <w:t>xpenditure in 2010</w:t>
      </w:r>
      <w:r w:rsidR="004F5B5C" w:rsidRPr="00DD322E">
        <w:t>–</w:t>
      </w:r>
      <w:r w:rsidRPr="00DD322E">
        <w:t>11</w:t>
      </w:r>
    </w:p>
    <w:tbl>
      <w:tblPr>
        <w:tblW w:w="7822" w:type="dxa"/>
        <w:tblInd w:w="57" w:type="dxa"/>
        <w:tblLayout w:type="fixed"/>
        <w:tblLook w:val="0000" w:firstRow="0" w:lastRow="0" w:firstColumn="0" w:lastColumn="0" w:noHBand="0" w:noVBand="0"/>
      </w:tblPr>
      <w:tblGrid>
        <w:gridCol w:w="4440"/>
        <w:gridCol w:w="1127"/>
        <w:gridCol w:w="1127"/>
        <w:gridCol w:w="1128"/>
      </w:tblGrid>
      <w:tr w:rsidR="006B27EF" w:rsidRPr="003E4C57" w:rsidTr="00DD322E">
        <w:trPr>
          <w:cantSplit/>
          <w:tblHeader/>
        </w:trPr>
        <w:tc>
          <w:tcPr>
            <w:tcW w:w="4440" w:type="dxa"/>
            <w:tcBorders>
              <w:top w:val="single" w:sz="12" w:space="0" w:color="auto"/>
              <w:bottom w:val="single" w:sz="2" w:space="0" w:color="auto"/>
            </w:tcBorders>
            <w:shd w:val="clear" w:color="auto" w:fill="auto"/>
            <w:tcMar>
              <w:left w:w="57" w:type="dxa"/>
              <w:right w:w="57" w:type="dxa"/>
            </w:tcMar>
          </w:tcPr>
          <w:p w:rsidR="006B27EF" w:rsidRDefault="006B27EF" w:rsidP="007B2694">
            <w:pPr>
              <w:pStyle w:val="TableDataColumnHeading"/>
              <w:jc w:val="left"/>
            </w:pPr>
            <w:r>
              <w:t xml:space="preserve">Objective </w:t>
            </w:r>
          </w:p>
        </w:tc>
        <w:tc>
          <w:tcPr>
            <w:tcW w:w="1127" w:type="dxa"/>
            <w:tcBorders>
              <w:top w:val="single" w:sz="12" w:space="0" w:color="auto"/>
              <w:bottom w:val="single" w:sz="2" w:space="0" w:color="auto"/>
            </w:tcBorders>
          </w:tcPr>
          <w:p w:rsidR="006B27EF" w:rsidRDefault="006B27EF" w:rsidP="007B2694">
            <w:pPr>
              <w:pStyle w:val="TableDataColumnHeading"/>
            </w:pPr>
            <w:r>
              <w:t>Objective</w:t>
            </w:r>
          </w:p>
        </w:tc>
        <w:tc>
          <w:tcPr>
            <w:tcW w:w="1127" w:type="dxa"/>
            <w:tcBorders>
              <w:top w:val="single" w:sz="12" w:space="0" w:color="auto"/>
              <w:bottom w:val="single" w:sz="2" w:space="0" w:color="auto"/>
            </w:tcBorders>
            <w:shd w:val="clear" w:color="auto" w:fill="auto"/>
            <w:tcMar>
              <w:left w:w="57" w:type="dxa"/>
              <w:right w:w="57" w:type="dxa"/>
            </w:tcMar>
          </w:tcPr>
          <w:p w:rsidR="006B27EF" w:rsidRDefault="006B27EF" w:rsidP="007B2694">
            <w:pPr>
              <w:pStyle w:val="TableDataColumnHeading"/>
            </w:pPr>
            <w:r>
              <w:t>A$ million</w:t>
            </w:r>
          </w:p>
        </w:tc>
        <w:tc>
          <w:tcPr>
            <w:tcW w:w="1128" w:type="dxa"/>
            <w:tcBorders>
              <w:top w:val="single" w:sz="12" w:space="0" w:color="auto"/>
              <w:bottom w:val="single" w:sz="2" w:space="0" w:color="auto"/>
            </w:tcBorders>
            <w:shd w:val="clear" w:color="auto" w:fill="auto"/>
            <w:tcMar>
              <w:left w:w="57" w:type="dxa"/>
              <w:right w:w="57" w:type="dxa"/>
            </w:tcMar>
          </w:tcPr>
          <w:p w:rsidR="006B27EF" w:rsidRDefault="006B27EF" w:rsidP="007B2694">
            <w:pPr>
              <w:pStyle w:val="TableDataColumnHeading"/>
            </w:pPr>
            <w:r>
              <w:t>% of bilateral program</w:t>
            </w:r>
          </w:p>
        </w:tc>
      </w:tr>
      <w:tr w:rsidR="006B27EF" w:rsidRPr="002452D0" w:rsidTr="00DD322E">
        <w:trPr>
          <w:cantSplit/>
        </w:trPr>
        <w:tc>
          <w:tcPr>
            <w:tcW w:w="4440" w:type="dxa"/>
            <w:shd w:val="clear" w:color="auto" w:fill="auto"/>
            <w:tcMar>
              <w:left w:w="57" w:type="dxa"/>
              <w:right w:w="57" w:type="dxa"/>
            </w:tcMar>
          </w:tcPr>
          <w:p w:rsidR="006B27EF" w:rsidRPr="00D15E0C" w:rsidRDefault="005771AF" w:rsidP="004F5B5C">
            <w:pPr>
              <w:pStyle w:val="TableDataEntries"/>
              <w:jc w:val="left"/>
            </w:pPr>
            <w:r>
              <w:t xml:space="preserve">1.1 </w:t>
            </w:r>
            <w:r w:rsidR="006B27EF">
              <w:t>I</w:t>
            </w:r>
            <w:r w:rsidR="006B27EF" w:rsidRPr="00D15E0C">
              <w:t>mprove health services</w:t>
            </w:r>
            <w:r w:rsidR="004F5B5C">
              <w:t>—</w:t>
            </w:r>
            <w:r w:rsidR="006B27EF" w:rsidRPr="00D15E0C">
              <w:t>with a focus on the quality, reach and management of women and children’s health and nutrition in rural and urban areas</w:t>
            </w:r>
          </w:p>
        </w:tc>
        <w:tc>
          <w:tcPr>
            <w:tcW w:w="1127" w:type="dxa"/>
          </w:tcPr>
          <w:p w:rsidR="006B27EF" w:rsidRPr="00D81C7F" w:rsidRDefault="006B27EF" w:rsidP="007B2694">
            <w:pPr>
              <w:pStyle w:val="TableDataEntries"/>
            </w:pPr>
            <w:r>
              <w:t>1.1</w:t>
            </w:r>
          </w:p>
        </w:tc>
        <w:tc>
          <w:tcPr>
            <w:tcW w:w="1127" w:type="dxa"/>
            <w:shd w:val="clear" w:color="auto" w:fill="auto"/>
            <w:tcMar>
              <w:left w:w="57" w:type="dxa"/>
              <w:right w:w="57" w:type="dxa"/>
            </w:tcMar>
          </w:tcPr>
          <w:p w:rsidR="006B27EF" w:rsidRPr="00D81C7F" w:rsidRDefault="00A67A2B" w:rsidP="007B2694">
            <w:pPr>
              <w:pStyle w:val="TableDataEntries"/>
            </w:pPr>
            <w:r>
              <w:t>19.9</w:t>
            </w:r>
            <w:r w:rsidR="006B27EF" w:rsidRPr="00D81C7F">
              <w:t xml:space="preserve"> </w:t>
            </w:r>
          </w:p>
        </w:tc>
        <w:tc>
          <w:tcPr>
            <w:tcW w:w="1128" w:type="dxa"/>
            <w:shd w:val="clear" w:color="auto" w:fill="auto"/>
            <w:tcMar>
              <w:left w:w="57" w:type="dxa"/>
              <w:right w:w="57" w:type="dxa"/>
            </w:tcMar>
          </w:tcPr>
          <w:p w:rsidR="006B27EF" w:rsidRPr="002452D0" w:rsidRDefault="006B27EF" w:rsidP="007B2694">
            <w:pPr>
              <w:pStyle w:val="TableDataEntries"/>
            </w:pPr>
            <w:r w:rsidRPr="00D81C7F">
              <w:t>29</w:t>
            </w:r>
          </w:p>
        </w:tc>
      </w:tr>
      <w:tr w:rsidR="006B27EF" w:rsidRPr="002452D0" w:rsidTr="00DD322E">
        <w:trPr>
          <w:cantSplit/>
        </w:trPr>
        <w:tc>
          <w:tcPr>
            <w:tcW w:w="4440" w:type="dxa"/>
            <w:shd w:val="clear" w:color="auto" w:fill="auto"/>
            <w:tcMar>
              <w:left w:w="57" w:type="dxa"/>
              <w:right w:w="57" w:type="dxa"/>
            </w:tcMar>
          </w:tcPr>
          <w:p w:rsidR="006B27EF" w:rsidRPr="00C70CD4" w:rsidRDefault="005771AF" w:rsidP="007B2694">
            <w:pPr>
              <w:pStyle w:val="TableDataEntries"/>
              <w:jc w:val="left"/>
            </w:pPr>
            <w:r>
              <w:t xml:space="preserve">1.2 </w:t>
            </w:r>
            <w:r w:rsidR="006B27EF" w:rsidRPr="00C70CD4">
              <w:t>Improve primary education services—with a focus on the quality, reach and management of pre-primary and primary education for children in rural and urban areas</w:t>
            </w:r>
          </w:p>
        </w:tc>
        <w:tc>
          <w:tcPr>
            <w:tcW w:w="1127" w:type="dxa"/>
          </w:tcPr>
          <w:p w:rsidR="006B27EF" w:rsidRDefault="006B27EF" w:rsidP="007B2694">
            <w:pPr>
              <w:pStyle w:val="TableDataEntries"/>
            </w:pPr>
            <w:r>
              <w:t>1.2</w:t>
            </w:r>
          </w:p>
        </w:tc>
        <w:tc>
          <w:tcPr>
            <w:tcW w:w="1127" w:type="dxa"/>
            <w:shd w:val="clear" w:color="auto" w:fill="auto"/>
            <w:tcMar>
              <w:left w:w="57" w:type="dxa"/>
              <w:right w:w="57" w:type="dxa"/>
            </w:tcMar>
          </w:tcPr>
          <w:p w:rsidR="006B27EF" w:rsidRPr="002452D0" w:rsidRDefault="006B27EF" w:rsidP="007B2694">
            <w:pPr>
              <w:pStyle w:val="TableDataEntries"/>
            </w:pPr>
            <w:r>
              <w:t>22.9</w:t>
            </w:r>
          </w:p>
        </w:tc>
        <w:tc>
          <w:tcPr>
            <w:tcW w:w="1128" w:type="dxa"/>
            <w:shd w:val="clear" w:color="auto" w:fill="auto"/>
            <w:tcMar>
              <w:left w:w="57" w:type="dxa"/>
              <w:right w:w="57" w:type="dxa"/>
            </w:tcMar>
          </w:tcPr>
          <w:p w:rsidR="006B27EF" w:rsidRPr="002452D0" w:rsidRDefault="006B27EF" w:rsidP="007B2694">
            <w:pPr>
              <w:pStyle w:val="TableDataEntries"/>
            </w:pPr>
            <w:r>
              <w:t>33</w:t>
            </w:r>
          </w:p>
        </w:tc>
      </w:tr>
      <w:tr w:rsidR="006B27EF" w:rsidRPr="002452D0" w:rsidTr="00DD322E">
        <w:trPr>
          <w:cantSplit/>
        </w:trPr>
        <w:tc>
          <w:tcPr>
            <w:tcW w:w="4440" w:type="dxa"/>
            <w:shd w:val="clear" w:color="auto" w:fill="auto"/>
            <w:tcMar>
              <w:left w:w="57" w:type="dxa"/>
              <w:right w:w="57" w:type="dxa"/>
            </w:tcMar>
          </w:tcPr>
          <w:p w:rsidR="006B27EF" w:rsidRPr="00D15E0C" w:rsidRDefault="005771AF" w:rsidP="004F5B5C">
            <w:pPr>
              <w:pStyle w:val="TableDataEntries"/>
              <w:jc w:val="left"/>
            </w:pPr>
            <w:r>
              <w:t xml:space="preserve">2.1 </w:t>
            </w:r>
            <w:r w:rsidR="006B27EF" w:rsidRPr="00D15E0C">
              <w:t>Reduce extreme poverty and food insecurity—improve the quality and reach of social protection and food security measures for the poorest and most vulnerable in rural and urban areas.</w:t>
            </w:r>
          </w:p>
        </w:tc>
        <w:tc>
          <w:tcPr>
            <w:tcW w:w="1127" w:type="dxa"/>
          </w:tcPr>
          <w:p w:rsidR="006B27EF" w:rsidRDefault="006B27EF" w:rsidP="007B2694">
            <w:pPr>
              <w:pStyle w:val="TableDataEntries"/>
            </w:pPr>
            <w:r>
              <w:t>2.1</w:t>
            </w:r>
          </w:p>
        </w:tc>
        <w:tc>
          <w:tcPr>
            <w:tcW w:w="1127" w:type="dxa"/>
            <w:shd w:val="clear" w:color="auto" w:fill="auto"/>
            <w:tcMar>
              <w:left w:w="57" w:type="dxa"/>
              <w:right w:w="57" w:type="dxa"/>
            </w:tcMar>
          </w:tcPr>
          <w:p w:rsidR="006B27EF" w:rsidRPr="002452D0" w:rsidRDefault="006B27EF" w:rsidP="007B2694">
            <w:pPr>
              <w:pStyle w:val="TableDataEntries"/>
            </w:pPr>
            <w:r>
              <w:t>11.6</w:t>
            </w:r>
          </w:p>
        </w:tc>
        <w:tc>
          <w:tcPr>
            <w:tcW w:w="1128" w:type="dxa"/>
            <w:shd w:val="clear" w:color="auto" w:fill="auto"/>
            <w:tcMar>
              <w:left w:w="57" w:type="dxa"/>
              <w:right w:w="57" w:type="dxa"/>
            </w:tcMar>
          </w:tcPr>
          <w:p w:rsidR="006B27EF" w:rsidRPr="002452D0" w:rsidRDefault="006B27EF" w:rsidP="007B2694">
            <w:pPr>
              <w:pStyle w:val="TableDataEntries"/>
            </w:pPr>
            <w:r w:rsidRPr="004B5660">
              <w:t>16.8</w:t>
            </w:r>
          </w:p>
        </w:tc>
      </w:tr>
      <w:tr w:rsidR="006B27EF" w:rsidRPr="002452D0" w:rsidTr="00DD322E">
        <w:trPr>
          <w:cantSplit/>
        </w:trPr>
        <w:tc>
          <w:tcPr>
            <w:tcW w:w="4440" w:type="dxa"/>
            <w:shd w:val="clear" w:color="auto" w:fill="auto"/>
            <w:tcMar>
              <w:left w:w="57" w:type="dxa"/>
              <w:right w:w="57" w:type="dxa"/>
            </w:tcMar>
          </w:tcPr>
          <w:p w:rsidR="006B27EF" w:rsidRPr="000721CF" w:rsidRDefault="005771AF" w:rsidP="007B2694">
            <w:pPr>
              <w:pStyle w:val="TableDataEntries"/>
              <w:jc w:val="left"/>
            </w:pPr>
            <w:r>
              <w:t xml:space="preserve">2.2 </w:t>
            </w:r>
            <w:r w:rsidR="006B27EF" w:rsidRPr="000721CF">
              <w:t>Improve climate change adaptation and disaster risk reduction</w:t>
            </w:r>
          </w:p>
        </w:tc>
        <w:tc>
          <w:tcPr>
            <w:tcW w:w="1127" w:type="dxa"/>
          </w:tcPr>
          <w:p w:rsidR="006B27EF" w:rsidRPr="00C7731B" w:rsidRDefault="006B27EF" w:rsidP="007B2694">
            <w:pPr>
              <w:pStyle w:val="TableDataEntries"/>
            </w:pPr>
            <w:r>
              <w:t>2.2</w:t>
            </w:r>
          </w:p>
        </w:tc>
        <w:tc>
          <w:tcPr>
            <w:tcW w:w="1127" w:type="dxa"/>
            <w:shd w:val="clear" w:color="auto" w:fill="auto"/>
            <w:tcMar>
              <w:left w:w="57" w:type="dxa"/>
              <w:right w:w="57" w:type="dxa"/>
            </w:tcMar>
          </w:tcPr>
          <w:p w:rsidR="006B27EF" w:rsidRPr="00C7731B" w:rsidRDefault="00A67A2B" w:rsidP="007B2694">
            <w:pPr>
              <w:pStyle w:val="TableDataEntries"/>
            </w:pPr>
            <w:r>
              <w:t>1</w:t>
            </w:r>
          </w:p>
        </w:tc>
        <w:tc>
          <w:tcPr>
            <w:tcW w:w="1128" w:type="dxa"/>
            <w:shd w:val="clear" w:color="auto" w:fill="auto"/>
            <w:tcMar>
              <w:left w:w="57" w:type="dxa"/>
              <w:right w:w="57" w:type="dxa"/>
            </w:tcMar>
          </w:tcPr>
          <w:p w:rsidR="006B27EF" w:rsidRPr="002452D0" w:rsidRDefault="006B27EF" w:rsidP="007B2694">
            <w:pPr>
              <w:pStyle w:val="TableDataEntries"/>
            </w:pPr>
            <w:r w:rsidRPr="00C7731B">
              <w:t>1</w:t>
            </w:r>
          </w:p>
        </w:tc>
      </w:tr>
      <w:tr w:rsidR="006B27EF" w:rsidRPr="002452D0" w:rsidTr="00DD322E">
        <w:trPr>
          <w:cantSplit/>
        </w:trPr>
        <w:tc>
          <w:tcPr>
            <w:tcW w:w="4440" w:type="dxa"/>
            <w:tcBorders>
              <w:bottom w:val="single" w:sz="12" w:space="0" w:color="auto"/>
            </w:tcBorders>
            <w:shd w:val="clear" w:color="auto" w:fill="auto"/>
            <w:tcMar>
              <w:left w:w="57" w:type="dxa"/>
              <w:right w:w="57" w:type="dxa"/>
            </w:tcMar>
          </w:tcPr>
          <w:p w:rsidR="006B27EF" w:rsidRPr="002452D0" w:rsidRDefault="005771AF" w:rsidP="003E4F5E">
            <w:pPr>
              <w:pStyle w:val="TableDataEntries"/>
              <w:jc w:val="left"/>
            </w:pPr>
            <w:r>
              <w:t xml:space="preserve">3 </w:t>
            </w:r>
            <w:r w:rsidR="006B27EF">
              <w:t xml:space="preserve">Assist Bangladesh to strengthen leadership and human resource capacity working with </w:t>
            </w:r>
            <w:r w:rsidR="003E4F5E">
              <w:t>the Government of Bangladesh</w:t>
            </w:r>
            <w:r w:rsidR="006B27EF">
              <w:t xml:space="preserve"> and civil society institutions </w:t>
            </w:r>
          </w:p>
        </w:tc>
        <w:tc>
          <w:tcPr>
            <w:tcW w:w="1127" w:type="dxa"/>
            <w:tcBorders>
              <w:bottom w:val="single" w:sz="12" w:space="0" w:color="auto"/>
            </w:tcBorders>
          </w:tcPr>
          <w:p w:rsidR="006B27EF" w:rsidRDefault="006B27EF" w:rsidP="007B2694">
            <w:pPr>
              <w:pStyle w:val="TableDataEntries"/>
            </w:pPr>
            <w:r>
              <w:t>5</w:t>
            </w:r>
          </w:p>
        </w:tc>
        <w:tc>
          <w:tcPr>
            <w:tcW w:w="1127" w:type="dxa"/>
            <w:tcBorders>
              <w:bottom w:val="single" w:sz="12" w:space="0" w:color="auto"/>
            </w:tcBorders>
            <w:shd w:val="clear" w:color="auto" w:fill="auto"/>
            <w:tcMar>
              <w:left w:w="57" w:type="dxa"/>
              <w:right w:w="57" w:type="dxa"/>
            </w:tcMar>
          </w:tcPr>
          <w:p w:rsidR="006B27EF" w:rsidRPr="00B72A21" w:rsidRDefault="006B27EF" w:rsidP="007B2694">
            <w:pPr>
              <w:pStyle w:val="TableDataEntries"/>
            </w:pPr>
            <w:r>
              <w:t>15</w:t>
            </w:r>
            <w:r w:rsidR="00A67A2B">
              <w:t>.5</w:t>
            </w:r>
          </w:p>
        </w:tc>
        <w:tc>
          <w:tcPr>
            <w:tcW w:w="1128" w:type="dxa"/>
            <w:tcBorders>
              <w:bottom w:val="single" w:sz="12" w:space="0" w:color="auto"/>
            </w:tcBorders>
            <w:shd w:val="clear" w:color="auto" w:fill="auto"/>
            <w:tcMar>
              <w:left w:w="57" w:type="dxa"/>
              <w:right w:w="57" w:type="dxa"/>
            </w:tcMar>
          </w:tcPr>
          <w:p w:rsidR="006B27EF" w:rsidRPr="002452D0" w:rsidRDefault="006B27EF" w:rsidP="007B2694">
            <w:pPr>
              <w:pStyle w:val="TableDataEntries"/>
            </w:pPr>
            <w:r>
              <w:t>22.5</w:t>
            </w:r>
          </w:p>
        </w:tc>
      </w:tr>
    </w:tbl>
    <w:p w:rsidR="006932DA" w:rsidRPr="00717ED3" w:rsidRDefault="009A2913" w:rsidP="00DD322E">
      <w:pPr>
        <w:pStyle w:val="BodyText1A"/>
        <w:rPr>
          <w:color w:val="AD495D"/>
          <w:kern w:val="28"/>
        </w:rPr>
      </w:pPr>
      <w:r w:rsidRPr="00717ED3">
        <w:t xml:space="preserve">Source: </w:t>
      </w:r>
      <w:r w:rsidR="009A2418" w:rsidRPr="00717ED3">
        <w:t xml:space="preserve">Asia Regional Branch, AusAID’s </w:t>
      </w:r>
      <w:r w:rsidRPr="00717ED3">
        <w:t>Bangladesh Country Overview</w:t>
      </w:r>
      <w:r w:rsidR="005B2672" w:rsidRPr="00717ED3">
        <w:t>—u</w:t>
      </w:r>
      <w:r w:rsidRPr="00717ED3">
        <w:t xml:space="preserve">pdated </w:t>
      </w:r>
      <w:r w:rsidR="0037730C" w:rsidRPr="00717ED3">
        <w:t>3 February 2011</w:t>
      </w:r>
      <w:r w:rsidR="005B2672" w:rsidRPr="00717ED3">
        <w:t xml:space="preserve">  </w:t>
      </w:r>
    </w:p>
    <w:p w:rsidR="006422AA" w:rsidRPr="00DD322E" w:rsidRDefault="006422AA" w:rsidP="00E14F20">
      <w:pPr>
        <w:pStyle w:val="H1A"/>
        <w:spacing w:before="240"/>
      </w:pPr>
      <w:bookmarkStart w:id="5" w:name="_Toc360976424"/>
      <w:r w:rsidRPr="00DD322E">
        <w:t>Progress against objectives</w:t>
      </w:r>
      <w:bookmarkEnd w:id="5"/>
    </w:p>
    <w:p w:rsidR="006422AA" w:rsidRPr="00DD322E" w:rsidRDefault="006D7A62" w:rsidP="00324AB6">
      <w:pPr>
        <w:pStyle w:val="H2A0"/>
      </w:pPr>
      <w:bookmarkStart w:id="6" w:name="_Toc360976425"/>
      <w:r w:rsidRPr="00DD322E">
        <w:t>Objective 1.1: Improve health services—with a focus on the quality, reach and management of women and children’s health and nutrition in rural and urban areas</w:t>
      </w:r>
      <w:bookmarkEnd w:id="6"/>
    </w:p>
    <w:p w:rsidR="00E34B6E" w:rsidRDefault="00E34B6E" w:rsidP="00E34B6E">
      <w:pPr>
        <w:pStyle w:val="BodyText"/>
      </w:pPr>
      <w:bookmarkStart w:id="7" w:name="OLE_LINK3"/>
      <w:r w:rsidRPr="0031450A">
        <w:t>Bangladesh has made significant pr</w:t>
      </w:r>
      <w:r>
        <w:t xml:space="preserve">ogress in </w:t>
      </w:r>
      <w:r w:rsidR="0020513E">
        <w:t>reducing child mortality and improving</w:t>
      </w:r>
      <w:r w:rsidRPr="0031450A">
        <w:t xml:space="preserve"> maternal health</w:t>
      </w:r>
      <w:r w:rsidR="0020513E">
        <w:t xml:space="preserve"> </w:t>
      </w:r>
      <w:r>
        <w:t>(MDG</w:t>
      </w:r>
      <w:r w:rsidR="0020513E">
        <w:t>s</w:t>
      </w:r>
      <w:r>
        <w:t xml:space="preserve"> 4 </w:t>
      </w:r>
      <w:r w:rsidR="004C6B4B">
        <w:t>and</w:t>
      </w:r>
      <w:r>
        <w:t xml:space="preserve"> 5)</w:t>
      </w:r>
      <w:r w:rsidR="00C0320F">
        <w:t xml:space="preserve">. </w:t>
      </w:r>
      <w:r>
        <w:t xml:space="preserve">While there is still </w:t>
      </w:r>
      <w:r w:rsidR="00B94462">
        <w:t>need</w:t>
      </w:r>
      <w:r>
        <w:t xml:space="preserve"> for </w:t>
      </w:r>
      <w:r w:rsidR="00530034">
        <w:t>further</w:t>
      </w:r>
      <w:r w:rsidR="00B94462">
        <w:t xml:space="preserve"> </w:t>
      </w:r>
      <w:r>
        <w:t>improvements, m</w:t>
      </w:r>
      <w:r w:rsidRPr="0031450A">
        <w:t xml:space="preserve">aternal mortality has fallen by an unprecedented 40% in </w:t>
      </w:r>
      <w:r>
        <w:t xml:space="preserve">Bangladesh in </w:t>
      </w:r>
      <w:r w:rsidRPr="0031450A">
        <w:t>the last decade.</w:t>
      </w:r>
      <w:r>
        <w:rPr>
          <w:rStyle w:val="FootnoteReference"/>
        </w:rPr>
        <w:footnoteReference w:id="3"/>
      </w:r>
      <w:r w:rsidRPr="0031450A">
        <w:t xml:space="preserve"> </w:t>
      </w:r>
      <w:r>
        <w:t xml:space="preserve">Australia’s </w:t>
      </w:r>
      <w:r w:rsidRPr="0031450A">
        <w:t xml:space="preserve">support </w:t>
      </w:r>
      <w:r>
        <w:t xml:space="preserve">for maternal and child programs, delivered in </w:t>
      </w:r>
      <w:r w:rsidRPr="00A1656D">
        <w:rPr>
          <w:rFonts w:cs="Georgia"/>
        </w:rPr>
        <w:t xml:space="preserve">partnership with the </w:t>
      </w:r>
      <w:r>
        <w:rPr>
          <w:rFonts w:cs="Georgia"/>
        </w:rPr>
        <w:t>G</w:t>
      </w:r>
      <w:r w:rsidR="00530034">
        <w:rPr>
          <w:rFonts w:cs="Georgia"/>
        </w:rPr>
        <w:t>overnment of Bangladesh</w:t>
      </w:r>
      <w:r w:rsidRPr="00A1656D">
        <w:rPr>
          <w:rFonts w:cs="Georgia"/>
        </w:rPr>
        <w:t xml:space="preserve">, </w:t>
      </w:r>
      <w:r w:rsidRPr="003B54A8">
        <w:t>United Nations Children's Fund</w:t>
      </w:r>
      <w:r>
        <w:t xml:space="preserve"> </w:t>
      </w:r>
      <w:r>
        <w:rPr>
          <w:rFonts w:cs="Georgia"/>
        </w:rPr>
        <w:t>(</w:t>
      </w:r>
      <w:r w:rsidRPr="00A1656D">
        <w:rPr>
          <w:rFonts w:cs="Georgia"/>
        </w:rPr>
        <w:t>UNICEF</w:t>
      </w:r>
      <w:r>
        <w:rPr>
          <w:rFonts w:cs="Georgia"/>
        </w:rPr>
        <w:t>)</w:t>
      </w:r>
      <w:r w:rsidRPr="00A1656D">
        <w:rPr>
          <w:rFonts w:cs="Georgia"/>
        </w:rPr>
        <w:t xml:space="preserve"> </w:t>
      </w:r>
      <w:r w:rsidRPr="00E026F0">
        <w:rPr>
          <w:rFonts w:cs="Georgia"/>
        </w:rPr>
        <w:t>and BRAC</w:t>
      </w:r>
      <w:r w:rsidR="003617C5">
        <w:rPr>
          <w:rFonts w:cs="Georgia"/>
        </w:rPr>
        <w:t>–the largest NGO in Bangladesh and one</w:t>
      </w:r>
      <w:r w:rsidR="00F94188">
        <w:rPr>
          <w:rFonts w:cs="Georgia"/>
        </w:rPr>
        <w:t xml:space="preserve">  </w:t>
      </w:r>
      <w:r w:rsidR="003617C5">
        <w:rPr>
          <w:rFonts w:cs="Georgia"/>
        </w:rPr>
        <w:t xml:space="preserve">of </w:t>
      </w:r>
      <w:r w:rsidR="006932DA">
        <w:rPr>
          <w:rFonts w:cs="Georgia"/>
        </w:rPr>
        <w:t>t</w:t>
      </w:r>
      <w:r w:rsidR="003617C5">
        <w:rPr>
          <w:rFonts w:cs="Georgia"/>
        </w:rPr>
        <w:t xml:space="preserve">he largest </w:t>
      </w:r>
      <w:r w:rsidR="006932DA">
        <w:rPr>
          <w:rFonts w:cs="Georgia"/>
        </w:rPr>
        <w:t xml:space="preserve">NGOs </w:t>
      </w:r>
      <w:r w:rsidR="003617C5">
        <w:rPr>
          <w:rFonts w:cs="Georgia"/>
        </w:rPr>
        <w:t>in the world</w:t>
      </w:r>
      <w:r>
        <w:t>—</w:t>
      </w:r>
      <w:r w:rsidR="0020513E">
        <w:t xml:space="preserve">is </w:t>
      </w:r>
      <w:r>
        <w:t>supporting improved health care for more than 27</w:t>
      </w:r>
      <w:r w:rsidR="00E026F0">
        <w:t> </w:t>
      </w:r>
      <w:r>
        <w:t>million people</w:t>
      </w:r>
      <w:r w:rsidR="00530034">
        <w:t>, mostly poor women and children</w:t>
      </w:r>
      <w:r>
        <w:t xml:space="preserve"> in 18</w:t>
      </w:r>
      <w:r w:rsidR="00E026F0">
        <w:t> </w:t>
      </w:r>
      <w:r>
        <w:t xml:space="preserve">districts.  </w:t>
      </w:r>
    </w:p>
    <w:p w:rsidR="00E34B6E" w:rsidRPr="006617B3" w:rsidRDefault="00447C9A" w:rsidP="00324AB6">
      <w:pPr>
        <w:pStyle w:val="H3"/>
      </w:pPr>
      <w:bookmarkStart w:id="8" w:name="_Toc360976426"/>
      <w:r w:rsidRPr="006617B3">
        <w:t>Key results in the h</w:t>
      </w:r>
      <w:r w:rsidR="00E34B6E" w:rsidRPr="006617B3">
        <w:t>ealth sector in 2010</w:t>
      </w:r>
      <w:bookmarkEnd w:id="8"/>
    </w:p>
    <w:p w:rsidR="00E34B6E" w:rsidRDefault="00E34B6E" w:rsidP="00930CB6">
      <w:pPr>
        <w:pStyle w:val="BodyText"/>
        <w:numPr>
          <w:ilvl w:val="0"/>
          <w:numId w:val="22"/>
        </w:numPr>
      </w:pPr>
      <w:r w:rsidRPr="009172B6">
        <w:rPr>
          <w:b/>
        </w:rPr>
        <w:t>Maternal, Neonatal and Child Health Project</w:t>
      </w:r>
      <w:r w:rsidR="00D66FD0">
        <w:t>—</w:t>
      </w:r>
      <w:r>
        <w:t xml:space="preserve">delivered by UNICEF, </w:t>
      </w:r>
      <w:r w:rsidR="00530034">
        <w:t>Government of Bangladesh</w:t>
      </w:r>
      <w:r>
        <w:t xml:space="preserve"> and BRAC</w:t>
      </w:r>
      <w:r w:rsidR="0020513E">
        <w:t xml:space="preserve">, </w:t>
      </w:r>
      <w:r>
        <w:t>contributed to an average annual 17</w:t>
      </w:r>
      <w:r w:rsidR="00E026F0">
        <w:t>%</w:t>
      </w:r>
      <w:r>
        <w:t xml:space="preserve"> decrease in maternal mortality in four target districts between 2007 and 2010. This compares to the national annual average of a 5.5</w:t>
      </w:r>
      <w:r w:rsidR="00E026F0">
        <w:t>%</w:t>
      </w:r>
      <w:r>
        <w:t xml:space="preserve"> decrease</w:t>
      </w:r>
      <w:r w:rsidR="00C0320F">
        <w:t xml:space="preserve">. </w:t>
      </w:r>
      <w:r>
        <w:t>District</w:t>
      </w:r>
      <w:r w:rsidR="0020513E">
        <w:t>-</w:t>
      </w:r>
      <w:r>
        <w:t xml:space="preserve">level Ministry of Health officers have been </w:t>
      </w:r>
      <w:r>
        <w:lastRenderedPageBreak/>
        <w:t xml:space="preserve">trained in public health management to </w:t>
      </w:r>
      <w:r w:rsidR="00515CA5">
        <w:t>improve</w:t>
      </w:r>
      <w:r>
        <w:t xml:space="preserve"> </w:t>
      </w:r>
      <w:r w:rsidR="0020513E">
        <w:t xml:space="preserve">the </w:t>
      </w:r>
      <w:r>
        <w:t>capacity of local</w:t>
      </w:r>
      <w:r w:rsidR="00E026F0">
        <w:t>-</w:t>
      </w:r>
      <w:r>
        <w:t xml:space="preserve">level service providers and managers. </w:t>
      </w:r>
      <w:r w:rsidR="00CA3514">
        <w:t>More than</w:t>
      </w:r>
      <w:r>
        <w:t xml:space="preserve"> 48</w:t>
      </w:r>
      <w:r w:rsidR="000A1E68">
        <w:t>,</w:t>
      </w:r>
      <w:r>
        <w:t xml:space="preserve">000 community health workers and community volunteers have </w:t>
      </w:r>
      <w:r w:rsidR="00515CA5">
        <w:t xml:space="preserve">also </w:t>
      </w:r>
      <w:r>
        <w:t>been trained and deployed to support women during pregnancy</w:t>
      </w:r>
      <w:r w:rsidR="00530034">
        <w:t xml:space="preserve">, </w:t>
      </w:r>
      <w:r>
        <w:t xml:space="preserve">childbirth and to care for </w:t>
      </w:r>
      <w:r w:rsidR="00530034">
        <w:t>newborn children</w:t>
      </w:r>
      <w:r>
        <w:t>.</w:t>
      </w:r>
    </w:p>
    <w:p w:rsidR="00885790" w:rsidRPr="00885790" w:rsidRDefault="00E34B6E" w:rsidP="00156A35">
      <w:pPr>
        <w:pStyle w:val="BodyText"/>
        <w:numPr>
          <w:ilvl w:val="0"/>
          <w:numId w:val="22"/>
        </w:numPr>
        <w:rPr>
          <w:b/>
        </w:rPr>
      </w:pPr>
      <w:r w:rsidRPr="009172B6">
        <w:rPr>
          <w:b/>
        </w:rPr>
        <w:t>Integrated Package of Maternal, Neonatal and Child Health</w:t>
      </w:r>
      <w:r w:rsidR="00530034">
        <w:rPr>
          <w:b/>
        </w:rPr>
        <w:t xml:space="preserve"> </w:t>
      </w:r>
      <w:r w:rsidR="00530034">
        <w:t>(separate to above project)</w:t>
      </w:r>
      <w:r w:rsidR="00D66FD0">
        <w:rPr>
          <w:b/>
        </w:rPr>
        <w:t>—</w:t>
      </w:r>
      <w:r>
        <w:t>delivered by UNICEF</w:t>
      </w:r>
      <w:r w:rsidR="0020513E">
        <w:t>,</w:t>
      </w:r>
      <w:r>
        <w:t xml:space="preserve"> supported two </w:t>
      </w:r>
      <w:r w:rsidR="00E026F0">
        <w:t>‘</w:t>
      </w:r>
      <w:r>
        <w:t>women friendly</w:t>
      </w:r>
      <w:r w:rsidR="00E026F0">
        <w:t>’</w:t>
      </w:r>
      <w:r>
        <w:t xml:space="preserve"> hospitals and complementary care to increase women’s confidence in the formal health system. By 2010 women giving birth in hospitals increased </w:t>
      </w:r>
      <w:r w:rsidR="00E026F0">
        <w:t xml:space="preserve">to 22%, </w:t>
      </w:r>
      <w:r>
        <w:t>from 13.5</w:t>
      </w:r>
      <w:r w:rsidR="00E026F0">
        <w:t>%</w:t>
      </w:r>
      <w:r>
        <w:t xml:space="preserve"> in 2008</w:t>
      </w:r>
      <w:r w:rsidR="00E026F0">
        <w:t>,</w:t>
      </w:r>
      <w:r>
        <w:t xml:space="preserve"> in four target districts. </w:t>
      </w:r>
      <w:r w:rsidR="00584193">
        <w:t>D</w:t>
      </w:r>
      <w:r>
        <w:t xml:space="preserve">uring the same period, women </w:t>
      </w:r>
      <w:r w:rsidR="00EF4A70">
        <w:t>receiv</w:t>
      </w:r>
      <w:r w:rsidR="00515CA5">
        <w:t>ing</w:t>
      </w:r>
      <w:r w:rsidR="00EF4A70">
        <w:t xml:space="preserve"> </w:t>
      </w:r>
      <w:r>
        <w:t>medical care for pregnancy</w:t>
      </w:r>
      <w:r w:rsidR="00584193">
        <w:t>-</w:t>
      </w:r>
      <w:r>
        <w:t>related complications increased</w:t>
      </w:r>
      <w:r w:rsidR="00584193">
        <w:t xml:space="preserve"> </w:t>
      </w:r>
      <w:r>
        <w:t xml:space="preserve">from </w:t>
      </w:r>
      <w:r w:rsidR="00584193">
        <w:t>6</w:t>
      </w:r>
      <w:r w:rsidR="00E026F0">
        <w:t>%</w:t>
      </w:r>
      <w:r w:rsidR="00584193">
        <w:t xml:space="preserve"> </w:t>
      </w:r>
      <w:r>
        <w:t>to 39.5</w:t>
      </w:r>
      <w:r w:rsidR="00E026F0">
        <w:t>%</w:t>
      </w:r>
      <w:r w:rsidR="003617C5">
        <w:t xml:space="preserve">, </w:t>
      </w:r>
      <w:r w:rsidR="00530034">
        <w:t xml:space="preserve">while </w:t>
      </w:r>
      <w:r w:rsidR="003617C5">
        <w:t xml:space="preserve">children </w:t>
      </w:r>
      <w:r w:rsidR="00515CA5">
        <w:t>receiving</w:t>
      </w:r>
      <w:r w:rsidR="003617C5">
        <w:t xml:space="preserve"> care from a medically trained provider rose to 4</w:t>
      </w:r>
      <w:r>
        <w:t>7.3</w:t>
      </w:r>
      <w:r w:rsidR="00E026F0">
        <w:t>%</w:t>
      </w:r>
      <w:r>
        <w:t xml:space="preserve"> </w:t>
      </w:r>
      <w:r w:rsidR="003617C5">
        <w:t xml:space="preserve">from just </w:t>
      </w:r>
      <w:r w:rsidR="00584193">
        <w:t>15.4</w:t>
      </w:r>
      <w:r w:rsidR="00E026F0" w:rsidRPr="00E026F0">
        <w:t>%</w:t>
      </w:r>
      <w:r w:rsidRPr="00E026F0">
        <w:t>.</w:t>
      </w:r>
      <w:r>
        <w:t xml:space="preserve"> Likewise, children with acute respiratory illness </w:t>
      </w:r>
      <w:r w:rsidR="00515CA5">
        <w:t>receiving</w:t>
      </w:r>
      <w:r>
        <w:t xml:space="preserve"> trained medical treatment increased </w:t>
      </w:r>
      <w:r w:rsidR="008523DD">
        <w:t xml:space="preserve">markedly </w:t>
      </w:r>
      <w:r>
        <w:t>from 22.7</w:t>
      </w:r>
      <w:r w:rsidR="00D72F3E">
        <w:t>%</w:t>
      </w:r>
      <w:r>
        <w:t xml:space="preserve"> to 75.1</w:t>
      </w:r>
      <w:r w:rsidR="00E026F0">
        <w:t>%</w:t>
      </w:r>
      <w:r>
        <w:t xml:space="preserve"> in four target districts. </w:t>
      </w:r>
    </w:p>
    <w:p w:rsidR="00EF4A70" w:rsidRPr="00156A35" w:rsidRDefault="00E34B6E" w:rsidP="00156A35">
      <w:pPr>
        <w:pStyle w:val="BodyText"/>
        <w:numPr>
          <w:ilvl w:val="0"/>
          <w:numId w:val="22"/>
        </w:numPr>
        <w:rPr>
          <w:b/>
        </w:rPr>
      </w:pPr>
      <w:r w:rsidRPr="00156A35">
        <w:rPr>
          <w:b/>
        </w:rPr>
        <w:t>Hygiene, Sanitation and Water Fund (HYSAWA)</w:t>
      </w:r>
      <w:r w:rsidRPr="00D37340">
        <w:t>—</w:t>
      </w:r>
      <w:r w:rsidR="00D66FD0">
        <w:t>t</w:t>
      </w:r>
      <w:r>
        <w:t xml:space="preserve">hrough a partnership with the </w:t>
      </w:r>
      <w:r w:rsidR="003E4F5E">
        <w:t>Government of Bangladesh</w:t>
      </w:r>
      <w:r>
        <w:t xml:space="preserve"> and</w:t>
      </w:r>
      <w:r w:rsidR="00584193">
        <w:t xml:space="preserve"> the</w:t>
      </w:r>
      <w:r>
        <w:t xml:space="preserve"> </w:t>
      </w:r>
      <w:r w:rsidR="00584193" w:rsidRPr="00584193">
        <w:t>Danish International Development Agency</w:t>
      </w:r>
      <w:r w:rsidR="00156A35">
        <w:t>,</w:t>
      </w:r>
      <w:r w:rsidR="003617C5">
        <w:t xml:space="preserve"> Australia </w:t>
      </w:r>
      <w:r w:rsidR="00530034">
        <w:t>contributed to the construction of</w:t>
      </w:r>
      <w:r w:rsidR="003617C5">
        <w:t xml:space="preserve"> </w:t>
      </w:r>
      <w:r w:rsidRPr="00871CCA">
        <w:t>5</w:t>
      </w:r>
      <w:r>
        <w:t>883</w:t>
      </w:r>
      <w:r w:rsidRPr="00871CCA">
        <w:t xml:space="preserve"> additional water points and </w:t>
      </w:r>
      <w:r>
        <w:t>87</w:t>
      </w:r>
      <w:r w:rsidR="00D66FD0">
        <w:t> </w:t>
      </w:r>
      <w:r>
        <w:t>community</w:t>
      </w:r>
      <w:r w:rsidRPr="00871CCA">
        <w:t xml:space="preserve"> latrines in the southern </w:t>
      </w:r>
      <w:r w:rsidR="00065B9A">
        <w:t xml:space="preserve">coastal </w:t>
      </w:r>
      <w:r w:rsidRPr="00871CCA">
        <w:t>districts of Bangladesh</w:t>
      </w:r>
      <w:r w:rsidR="00C0320F">
        <w:t xml:space="preserve">. </w:t>
      </w:r>
      <w:r>
        <w:t xml:space="preserve">In total, water and sanitation infrastructure built </w:t>
      </w:r>
      <w:r w:rsidR="00584193">
        <w:t xml:space="preserve">through the </w:t>
      </w:r>
      <w:r>
        <w:t>HYSAWA</w:t>
      </w:r>
      <w:r w:rsidR="00584193">
        <w:t xml:space="preserve"> project</w:t>
      </w:r>
      <w:r>
        <w:t xml:space="preserve"> benefits around 250</w:t>
      </w:r>
      <w:r w:rsidR="008E3173">
        <w:t> </w:t>
      </w:r>
      <w:r>
        <w:t>000</w:t>
      </w:r>
      <w:r w:rsidR="00D66FD0">
        <w:t> </w:t>
      </w:r>
      <w:r>
        <w:t>people</w:t>
      </w:r>
      <w:r w:rsidRPr="00871CCA">
        <w:t>.</w:t>
      </w:r>
    </w:p>
    <w:p w:rsidR="003617C5" w:rsidRDefault="00E34B6E" w:rsidP="00D3610A">
      <w:pPr>
        <w:pStyle w:val="BodyText"/>
        <w:numPr>
          <w:ilvl w:val="0"/>
          <w:numId w:val="22"/>
        </w:numPr>
      </w:pPr>
      <w:r w:rsidRPr="00EF4A70">
        <w:rPr>
          <w:b/>
        </w:rPr>
        <w:t>Core funding for the International Centre of Diarrhoeal Research, Bangladesh</w:t>
      </w:r>
      <w:r>
        <w:t xml:space="preserve"> </w:t>
      </w:r>
      <w:r w:rsidRPr="00EF4A70">
        <w:rPr>
          <w:b/>
        </w:rPr>
        <w:t>(ICDDR,B)</w:t>
      </w:r>
      <w:r w:rsidRPr="00ED5506">
        <w:t>—</w:t>
      </w:r>
      <w:r w:rsidR="00BA128A">
        <w:t xml:space="preserve"> i</w:t>
      </w:r>
      <w:r w:rsidR="00156A35">
        <w:t xml:space="preserve">n 2010 the centre trained more than 1000 students, fellows and interns from 29 countries (including Bangladesh), treated 115 000 patients for acute </w:t>
      </w:r>
      <w:r w:rsidR="00156A35" w:rsidRPr="00696663">
        <w:t xml:space="preserve">diarrheal </w:t>
      </w:r>
      <w:r w:rsidR="00156A35">
        <w:t xml:space="preserve">disease and published 269 research articles in high-impact journals (compared to 131 in 2007). </w:t>
      </w:r>
      <w:r>
        <w:t xml:space="preserve">Reform of the </w:t>
      </w:r>
      <w:r w:rsidR="00B74208">
        <w:t>m</w:t>
      </w:r>
      <w:r>
        <w:t xml:space="preserve">onitoring and </w:t>
      </w:r>
      <w:r w:rsidR="00B74208">
        <w:t>e</w:t>
      </w:r>
      <w:r>
        <w:t xml:space="preserve">valuation framework, development of </w:t>
      </w:r>
      <w:r w:rsidR="00D72F3E">
        <w:t xml:space="preserve">the </w:t>
      </w:r>
      <w:r w:rsidR="00B74208">
        <w:t>centre’s s</w:t>
      </w:r>
      <w:r>
        <w:t xml:space="preserve">trategic </w:t>
      </w:r>
      <w:r w:rsidR="00B74208">
        <w:t>p</w:t>
      </w:r>
      <w:r>
        <w:t>lan</w:t>
      </w:r>
      <w:r w:rsidR="00D72F3E">
        <w:t xml:space="preserve"> for</w:t>
      </w:r>
      <w:r>
        <w:t xml:space="preserve"> 2010</w:t>
      </w:r>
      <w:r w:rsidR="00D72F3E">
        <w:t xml:space="preserve"> to 2020</w:t>
      </w:r>
      <w:r>
        <w:t xml:space="preserve"> and the development of a fundraising strategy were key institutional strengthening outputs in 2010. </w:t>
      </w:r>
    </w:p>
    <w:p w:rsidR="00E34B6E" w:rsidRDefault="00E34B6E" w:rsidP="005D2D61">
      <w:pPr>
        <w:pStyle w:val="BodyText"/>
        <w:ind w:left="360"/>
      </w:pPr>
      <w:r w:rsidRPr="00300F3B">
        <w:t>ICDDR</w:t>
      </w:r>
      <w:proofErr w:type="gramStart"/>
      <w:r w:rsidRPr="00300F3B">
        <w:t>,B</w:t>
      </w:r>
      <w:proofErr w:type="gramEnd"/>
      <w:r w:rsidRPr="00300F3B">
        <w:t xml:space="preserve"> also</w:t>
      </w:r>
      <w:r w:rsidR="00BA128A">
        <w:t xml:space="preserve"> collaborated with the Government of Bangladesh</w:t>
      </w:r>
      <w:r>
        <w:t xml:space="preserve"> and other research institutes </w:t>
      </w:r>
      <w:r w:rsidR="00885790">
        <w:t>in 2010</w:t>
      </w:r>
      <w:r w:rsidR="00885790" w:rsidRPr="00300F3B">
        <w:t xml:space="preserve"> </w:t>
      </w:r>
      <w:r>
        <w:t>to conduct the second Bangladesh Maternal Mortality and Health Service Survey</w:t>
      </w:r>
      <w:r w:rsidR="00C0320F">
        <w:t xml:space="preserve">. </w:t>
      </w:r>
      <w:r>
        <w:t xml:space="preserve">This survey has provided a reliable updated baseline on the </w:t>
      </w:r>
      <w:r w:rsidRPr="00D72F3E">
        <w:t xml:space="preserve">maternal mortality rate </w:t>
      </w:r>
      <w:r>
        <w:t xml:space="preserve">in Bangladesh and will help inform policies and programs to ensure continued improvements in maternal and newborn survival. </w:t>
      </w:r>
    </w:p>
    <w:p w:rsidR="006D7A62" w:rsidRPr="00324AB6" w:rsidRDefault="006D7A62" w:rsidP="008A2154">
      <w:pPr>
        <w:pStyle w:val="H2A0"/>
        <w:spacing w:before="360"/>
      </w:pPr>
      <w:bookmarkStart w:id="9" w:name="_Toc360976427"/>
      <w:r w:rsidRPr="00324AB6">
        <w:t>Objective 1.2 Improve primary education services—with a focus on the quality, reach and management of pre-primary and primary education for children in rural and urban areas</w:t>
      </w:r>
      <w:bookmarkEnd w:id="9"/>
    </w:p>
    <w:bookmarkEnd w:id="7"/>
    <w:p w:rsidR="000B06CB" w:rsidRDefault="00E34B6E" w:rsidP="00E34B6E">
      <w:pPr>
        <w:pStyle w:val="BodyText"/>
      </w:pPr>
      <w:r>
        <w:t>While considerable progress has been made towards reaching</w:t>
      </w:r>
      <w:r w:rsidR="00A77957">
        <w:t xml:space="preserve"> </w:t>
      </w:r>
      <w:r w:rsidR="00065B9A">
        <w:t xml:space="preserve">the </w:t>
      </w:r>
      <w:r w:rsidR="00B74208">
        <w:t>G</w:t>
      </w:r>
      <w:r w:rsidR="00BA128A">
        <w:t>overnment of Bangladesh</w:t>
      </w:r>
      <w:r w:rsidR="00B74208">
        <w:t xml:space="preserve">’s </w:t>
      </w:r>
      <w:r w:rsidR="00BA128A">
        <w:t>e</w:t>
      </w:r>
      <w:r>
        <w:t>ducation goals, concerted efforts are</w:t>
      </w:r>
      <w:r w:rsidR="00BA128A">
        <w:t xml:space="preserve"> still</w:t>
      </w:r>
      <w:r>
        <w:t xml:space="preserve"> needed to reach </w:t>
      </w:r>
      <w:r w:rsidR="00BA128A">
        <w:t xml:space="preserve">the goal of </w:t>
      </w:r>
      <w:r>
        <w:t>universal primary education completion with gender parity by 2015 (MDG</w:t>
      </w:r>
      <w:r w:rsidR="00E75C5D">
        <w:t xml:space="preserve"> </w:t>
      </w:r>
      <w:r>
        <w:t>2). In 2010</w:t>
      </w:r>
      <w:r w:rsidR="00CE0675">
        <w:t>,</w:t>
      </w:r>
      <w:r>
        <w:t xml:space="preserve"> Australia continued to </w:t>
      </w:r>
    </w:p>
    <w:p w:rsidR="00E34B6E" w:rsidRPr="00D72F3E" w:rsidRDefault="00E34B6E" w:rsidP="00E34B6E">
      <w:pPr>
        <w:pStyle w:val="BodyText"/>
      </w:pPr>
      <w:proofErr w:type="gramStart"/>
      <w:r>
        <w:t>support</w:t>
      </w:r>
      <w:proofErr w:type="gramEnd"/>
      <w:r>
        <w:t xml:space="preserve"> </w:t>
      </w:r>
      <w:r w:rsidR="00E375F6">
        <w:t xml:space="preserve">the </w:t>
      </w:r>
      <w:r w:rsidR="00156A35">
        <w:t>G</w:t>
      </w:r>
      <w:r w:rsidR="00BA128A">
        <w:t>overnment of Bangladesh</w:t>
      </w:r>
      <w:r w:rsidR="00E375F6">
        <w:t xml:space="preserve">’s </w:t>
      </w:r>
      <w:r w:rsidR="00CE0675">
        <w:t>Second Primary Education Development Program through UNICEF.</w:t>
      </w:r>
      <w:r w:rsidRPr="00D72F3E">
        <w:t xml:space="preserve"> Australia also </w:t>
      </w:r>
      <w:r w:rsidR="00BA128A">
        <w:t>funded</w:t>
      </w:r>
      <w:r w:rsidRPr="00D72F3E">
        <w:t xml:space="preserve"> </w:t>
      </w:r>
      <w:r w:rsidR="00CE0675">
        <w:t>BRAC</w:t>
      </w:r>
      <w:r w:rsidRPr="00D72F3E">
        <w:t xml:space="preserve"> to deliver non</w:t>
      </w:r>
      <w:r w:rsidR="00B74208" w:rsidRPr="00D72F3E">
        <w:t>-</w:t>
      </w:r>
      <w:r w:rsidRPr="00D72F3E">
        <w:t xml:space="preserve">formal education for children who </w:t>
      </w:r>
      <w:r w:rsidR="00156A35">
        <w:t>are not</w:t>
      </w:r>
      <w:r w:rsidR="00156A35" w:rsidRPr="00D72F3E">
        <w:t xml:space="preserve"> </w:t>
      </w:r>
      <w:r w:rsidRPr="00D72F3E">
        <w:t>enrol</w:t>
      </w:r>
      <w:r w:rsidR="00156A35">
        <w:t>led</w:t>
      </w:r>
      <w:r w:rsidR="00B74208" w:rsidRPr="00D72F3E">
        <w:t xml:space="preserve"> in,</w:t>
      </w:r>
      <w:r w:rsidRPr="00D72F3E">
        <w:t xml:space="preserve"> or</w:t>
      </w:r>
      <w:r w:rsidR="00B74208" w:rsidRPr="00D72F3E">
        <w:t xml:space="preserve"> who</w:t>
      </w:r>
      <w:r w:rsidRPr="00D72F3E">
        <w:t xml:space="preserve"> </w:t>
      </w:r>
      <w:r w:rsidR="00156A35">
        <w:t xml:space="preserve">have </w:t>
      </w:r>
      <w:r w:rsidRPr="00D72F3E">
        <w:t>drop</w:t>
      </w:r>
      <w:r w:rsidR="00156A35">
        <w:t>ped</w:t>
      </w:r>
      <w:r w:rsidRPr="00D72F3E">
        <w:t xml:space="preserve"> out of</w:t>
      </w:r>
      <w:r w:rsidR="00B74208" w:rsidRPr="00D72F3E">
        <w:t>,</w:t>
      </w:r>
      <w:r w:rsidRPr="00D72F3E">
        <w:t xml:space="preserve"> the formal </w:t>
      </w:r>
      <w:r w:rsidR="00BA128A">
        <w:t xml:space="preserve">education </w:t>
      </w:r>
      <w:r w:rsidRPr="00D72F3E">
        <w:t>system</w:t>
      </w:r>
      <w:r w:rsidR="00C0320F" w:rsidRPr="00D72F3E">
        <w:t xml:space="preserve">. </w:t>
      </w:r>
      <w:r w:rsidRPr="00D72F3E">
        <w:t>BRAC provides education for 7</w:t>
      </w:r>
      <w:r w:rsidR="00D72F3E">
        <w:t>%</w:t>
      </w:r>
      <w:r w:rsidRPr="00D72F3E">
        <w:t xml:space="preserve"> of the primary school age children in Bangladesh, complementing </w:t>
      </w:r>
      <w:r w:rsidR="00BA128A">
        <w:t>the Government of Bangladesh</w:t>
      </w:r>
      <w:r w:rsidRPr="00D72F3E">
        <w:t xml:space="preserve"> efforts to achieve</w:t>
      </w:r>
      <w:r w:rsidR="00BA128A">
        <w:t xml:space="preserve"> their goal of</w:t>
      </w:r>
      <w:r w:rsidRPr="00D72F3E">
        <w:t xml:space="preserve"> Education for All.  </w:t>
      </w:r>
    </w:p>
    <w:p w:rsidR="00E34B6E" w:rsidRPr="00324AB6" w:rsidRDefault="00B74208" w:rsidP="00324AB6">
      <w:pPr>
        <w:pStyle w:val="H3"/>
      </w:pPr>
      <w:bookmarkStart w:id="10" w:name="_Toc360976428"/>
      <w:r w:rsidRPr="00324AB6">
        <w:lastRenderedPageBreak/>
        <w:t>K</w:t>
      </w:r>
      <w:r w:rsidR="00E34B6E" w:rsidRPr="00324AB6">
        <w:t>ey results</w:t>
      </w:r>
      <w:r w:rsidRPr="00324AB6">
        <w:t xml:space="preserve"> in the education sector</w:t>
      </w:r>
      <w:r w:rsidR="00E34B6E" w:rsidRPr="00324AB6">
        <w:t xml:space="preserve"> </w:t>
      </w:r>
      <w:r w:rsidR="00447C9A" w:rsidRPr="00324AB6">
        <w:t xml:space="preserve">in </w:t>
      </w:r>
      <w:r w:rsidR="00E34B6E" w:rsidRPr="00324AB6">
        <w:t>2010</w:t>
      </w:r>
      <w:bookmarkEnd w:id="10"/>
    </w:p>
    <w:p w:rsidR="00E34B6E" w:rsidRPr="00D72F3E" w:rsidRDefault="00E34B6E" w:rsidP="00930CB6">
      <w:pPr>
        <w:pStyle w:val="BodyText"/>
        <w:numPr>
          <w:ilvl w:val="0"/>
          <w:numId w:val="24"/>
        </w:numPr>
      </w:pPr>
      <w:r w:rsidRPr="00D72F3E">
        <w:rPr>
          <w:b/>
        </w:rPr>
        <w:t>UNICEF support for the Primary Education Development Program 2</w:t>
      </w:r>
      <w:r w:rsidRPr="00D72F3E">
        <w:t xml:space="preserve">—In 2010, </w:t>
      </w:r>
      <w:r w:rsidR="00BE23AC">
        <w:t xml:space="preserve">Australian funding enabled </w:t>
      </w:r>
      <w:r w:rsidRPr="00D72F3E">
        <w:t xml:space="preserve">8.8 million children </w:t>
      </w:r>
      <w:r w:rsidR="00231AB5" w:rsidRPr="00D72F3E">
        <w:t xml:space="preserve">in </w:t>
      </w:r>
      <w:r w:rsidR="00787C55">
        <w:t xml:space="preserve">over </w:t>
      </w:r>
      <w:r w:rsidRPr="00D72F3E">
        <w:t>39</w:t>
      </w:r>
      <w:r w:rsidR="00E9526E">
        <w:t xml:space="preserve">,000  </w:t>
      </w:r>
      <w:r w:rsidRPr="00D72F3E">
        <w:t xml:space="preserve">schools </w:t>
      </w:r>
      <w:r w:rsidR="00E9526E">
        <w:t>(including over 3,000</w:t>
      </w:r>
      <w:r w:rsidR="00E9526E" w:rsidRPr="00D72F3E">
        <w:t xml:space="preserve"> </w:t>
      </w:r>
      <w:r w:rsidR="00E9526E">
        <w:t>schools in urban slums)</w:t>
      </w:r>
      <w:r w:rsidR="000A1E68">
        <w:t xml:space="preserve"> </w:t>
      </w:r>
      <w:r w:rsidR="00BE23AC">
        <w:t xml:space="preserve">to </w:t>
      </w:r>
      <w:r w:rsidRPr="00D72F3E">
        <w:t xml:space="preserve">benefit directly from teacher training, school improvements and improved district level planning through the </w:t>
      </w:r>
      <w:r w:rsidR="00B74208" w:rsidRPr="00D72F3E">
        <w:t>Primary Education Development Program 2</w:t>
      </w:r>
      <w:r w:rsidR="00C0320F" w:rsidRPr="00D72F3E">
        <w:t xml:space="preserve">. </w:t>
      </w:r>
      <w:r w:rsidR="00787C55">
        <w:t>The Government of Bangladesh</w:t>
      </w:r>
      <w:r w:rsidRPr="00D72F3E">
        <w:t xml:space="preserve"> embraced </w:t>
      </w:r>
      <w:r w:rsidR="005915F4">
        <w:t xml:space="preserve">the </w:t>
      </w:r>
      <w:r w:rsidR="005915F4" w:rsidRPr="00D72F3E">
        <w:t>School Level Improvement Plans approach</w:t>
      </w:r>
      <w:r w:rsidR="005915F4">
        <w:t xml:space="preserve"> </w:t>
      </w:r>
      <w:r w:rsidRPr="00D72F3E">
        <w:t>of providing funds directly to</w:t>
      </w:r>
      <w:r w:rsidR="00396309">
        <w:t xml:space="preserve"> </w:t>
      </w:r>
      <w:r w:rsidR="00810149">
        <w:t xml:space="preserve">primary schools. </w:t>
      </w:r>
      <w:r w:rsidRPr="00D72F3E">
        <w:t>This reform</w:t>
      </w:r>
      <w:r w:rsidR="005915F4">
        <w:t>,</w:t>
      </w:r>
      <w:r w:rsidRPr="00D72F3E">
        <w:t xml:space="preserve"> </w:t>
      </w:r>
      <w:r w:rsidR="005915F4">
        <w:t>piloted by</w:t>
      </w:r>
      <w:r w:rsidR="005915F4" w:rsidRPr="00D72F3E">
        <w:t xml:space="preserve"> </w:t>
      </w:r>
      <w:r w:rsidR="005915F4">
        <w:t xml:space="preserve">UNICEF with Australian funding, </w:t>
      </w:r>
      <w:r w:rsidRPr="00D72F3E">
        <w:t>devolves responsibility</w:t>
      </w:r>
      <w:r w:rsidR="00396309">
        <w:t xml:space="preserve"> for primary school improvements </w:t>
      </w:r>
      <w:r w:rsidRPr="00D72F3E">
        <w:t xml:space="preserve">to </w:t>
      </w:r>
      <w:r w:rsidR="00396309">
        <w:t>the</w:t>
      </w:r>
      <w:r w:rsidR="00396309" w:rsidRPr="00D72F3E">
        <w:t xml:space="preserve"> </w:t>
      </w:r>
      <w:r w:rsidRPr="00D72F3E">
        <w:t>sub-district level</w:t>
      </w:r>
      <w:r w:rsidR="00787C55">
        <w:t xml:space="preserve"> of school administration</w:t>
      </w:r>
      <w:r w:rsidRPr="00D72F3E">
        <w:t xml:space="preserve">.  </w:t>
      </w:r>
    </w:p>
    <w:p w:rsidR="00E34B6E" w:rsidRDefault="00E34B6E" w:rsidP="00930CB6">
      <w:pPr>
        <w:pStyle w:val="BodyText"/>
        <w:numPr>
          <w:ilvl w:val="1"/>
          <w:numId w:val="26"/>
        </w:numPr>
      </w:pPr>
      <w:r w:rsidRPr="00D72F3E">
        <w:rPr>
          <w:b/>
        </w:rPr>
        <w:t>BRAC Basic Education Program</w:t>
      </w:r>
      <w:r w:rsidRPr="00D72F3E">
        <w:t xml:space="preserve">—In 2010 Australia </w:t>
      </w:r>
      <w:r w:rsidR="00990F55">
        <w:t>helped over</w:t>
      </w:r>
      <w:r w:rsidRPr="00D72F3E">
        <w:t xml:space="preserve"> 313</w:t>
      </w:r>
      <w:r w:rsidR="00990F55">
        <w:t>,000</w:t>
      </w:r>
      <w:r w:rsidRPr="00D72F3E">
        <w:t xml:space="preserve"> students </w:t>
      </w:r>
      <w:r w:rsidR="00990F55">
        <w:t xml:space="preserve">to graduate </w:t>
      </w:r>
      <w:r w:rsidRPr="00D72F3E">
        <w:t>from BRAC primary schools, of which 97</w:t>
      </w:r>
      <w:r w:rsidR="00D72F3E">
        <w:t>%</w:t>
      </w:r>
      <w:r>
        <w:t xml:space="preserve"> transitioned to mainstream secondary schools</w:t>
      </w:r>
      <w:r w:rsidR="00C0320F">
        <w:t xml:space="preserve">. </w:t>
      </w:r>
      <w:r w:rsidR="00990F55">
        <w:t>Over</w:t>
      </w:r>
      <w:r w:rsidR="00231AB5">
        <w:t xml:space="preserve"> </w:t>
      </w:r>
      <w:r w:rsidR="00CE0675">
        <w:t>223</w:t>
      </w:r>
      <w:r w:rsidR="00990F55">
        <w:t>,000</w:t>
      </w:r>
      <w:r w:rsidR="00CE0675">
        <w:t xml:space="preserve"> children</w:t>
      </w:r>
      <w:r w:rsidR="00EF4A70">
        <w:t xml:space="preserve"> </w:t>
      </w:r>
      <w:r w:rsidR="00CE0675">
        <w:t xml:space="preserve">(61% girls) received pre-primary education </w:t>
      </w:r>
      <w:r w:rsidR="00B563D3">
        <w:t xml:space="preserve">and </w:t>
      </w:r>
      <w:r w:rsidR="00CE0675">
        <w:t xml:space="preserve">99 </w:t>
      </w:r>
      <w:r w:rsidR="00B563D3">
        <w:t>%</w:t>
      </w:r>
      <w:r w:rsidR="00CE0675">
        <w:t xml:space="preserve"> of these children graduated and went on to </w:t>
      </w:r>
      <w:r>
        <w:t xml:space="preserve">enrol in mainstream primary schools. </w:t>
      </w:r>
      <w:r w:rsidRPr="00E647DB">
        <w:t>In 2010,</w:t>
      </w:r>
      <w:r w:rsidR="008E3173" w:rsidRPr="00E647DB">
        <w:t xml:space="preserve"> </w:t>
      </w:r>
      <w:r>
        <w:t>2</w:t>
      </w:r>
      <w:r w:rsidR="00B563D3">
        <w:t>,</w:t>
      </w:r>
      <w:r>
        <w:t>236</w:t>
      </w:r>
      <w:r w:rsidR="00742912">
        <w:t> </w:t>
      </w:r>
      <w:r>
        <w:t xml:space="preserve">children from Bangladesh’s small ethnic communities completed BRAC pre-primary school.  </w:t>
      </w:r>
    </w:p>
    <w:p w:rsidR="00E34B6E" w:rsidRDefault="00E34B6E" w:rsidP="005D2D61">
      <w:pPr>
        <w:pStyle w:val="BodyText"/>
        <w:ind w:left="360"/>
      </w:pPr>
      <w:r>
        <w:t>79</w:t>
      </w:r>
      <w:r w:rsidR="00063AA8">
        <w:t>%</w:t>
      </w:r>
      <w:r>
        <w:t xml:space="preserve"> of </w:t>
      </w:r>
      <w:r w:rsidR="00B563D3">
        <w:t>BRAC’</w:t>
      </w:r>
      <w:r w:rsidR="00552C73">
        <w:t xml:space="preserve">s </w:t>
      </w:r>
      <w:r>
        <w:t xml:space="preserve">pre-primary </w:t>
      </w:r>
      <w:r w:rsidR="00B563D3">
        <w:t>students</w:t>
      </w:r>
      <w:r>
        <w:t xml:space="preserve"> completed primary school compared to the national average of 50%. This included a 97% pass rate</w:t>
      </w:r>
      <w:r w:rsidR="00231AB5">
        <w:t xml:space="preserve"> in Grade</w:t>
      </w:r>
      <w:r w:rsidR="00742912">
        <w:t> </w:t>
      </w:r>
      <w:r w:rsidR="00231AB5">
        <w:t>5 terminal exams</w:t>
      </w:r>
      <w:r>
        <w:t xml:space="preserve">, compared to </w:t>
      </w:r>
      <w:r w:rsidR="00742912">
        <w:t xml:space="preserve">the </w:t>
      </w:r>
      <w:r>
        <w:t>national average of 89%</w:t>
      </w:r>
      <w:r w:rsidR="00C0320F">
        <w:t xml:space="preserve">. </w:t>
      </w:r>
      <w:r w:rsidRPr="00742912">
        <w:t xml:space="preserve">The </w:t>
      </w:r>
      <w:r w:rsidR="00231AB5" w:rsidRPr="00742912">
        <w:t>Program</w:t>
      </w:r>
      <w:r w:rsidRPr="00742912">
        <w:t xml:space="preserve"> included education for </w:t>
      </w:r>
      <w:r w:rsidR="00B563D3">
        <w:t>i</w:t>
      </w:r>
      <w:r w:rsidRPr="00742912">
        <w:t>ndigenous children</w:t>
      </w:r>
      <w:r>
        <w:t xml:space="preserve"> from the Chittagong Hills Tracts (CHT) in their local language as well as non-formal education for children in urban slums.</w:t>
      </w:r>
      <w:r w:rsidR="00CE0675">
        <w:t xml:space="preserve"> </w:t>
      </w:r>
      <w:r>
        <w:t>The G</w:t>
      </w:r>
      <w:r w:rsidR="00B563D3">
        <w:t>overnment of Bangladesh</w:t>
      </w:r>
      <w:r>
        <w:t xml:space="preserve"> recently introduced pre-primary education into the public system</w:t>
      </w:r>
      <w:r w:rsidR="00CE0675">
        <w:t xml:space="preserve">, drawing on the positive </w:t>
      </w:r>
      <w:r w:rsidR="00B563D3">
        <w:t>experiences of</w:t>
      </w:r>
      <w:r w:rsidR="00CE0675">
        <w:t xml:space="preserve"> BRAC and other civil society organisations working in this area.</w:t>
      </w:r>
      <w:r>
        <w:t xml:space="preserve"> </w:t>
      </w:r>
      <w:r w:rsidRPr="000C4FA6">
        <w:t xml:space="preserve"> </w:t>
      </w:r>
    </w:p>
    <w:p w:rsidR="006D7A62" w:rsidRPr="00324AB6" w:rsidRDefault="006D7A62" w:rsidP="008A2154">
      <w:pPr>
        <w:pStyle w:val="H2A0"/>
        <w:spacing w:before="360"/>
      </w:pPr>
      <w:bookmarkStart w:id="11" w:name="_Toc360976429"/>
      <w:r w:rsidRPr="00324AB6">
        <w:t>Objective 2.1: Reduce extreme poverty and food insecurity</w:t>
      </w:r>
      <w:r w:rsidR="00841B46" w:rsidRPr="00324AB6">
        <w:t>—</w:t>
      </w:r>
      <w:r w:rsidRPr="00324AB6">
        <w:t>improve the quality and reach of social protection and food security measures for the poorest and most vulnerable in rural and urban areas.</w:t>
      </w:r>
      <w:bookmarkEnd w:id="11"/>
    </w:p>
    <w:p w:rsidR="00E34B6E" w:rsidRDefault="005918DC" w:rsidP="00E34B6E">
      <w:pPr>
        <w:pStyle w:val="BodyText"/>
      </w:pPr>
      <w:r>
        <w:t>A</w:t>
      </w:r>
      <w:r w:rsidR="00355C59">
        <w:t xml:space="preserve">pproximately 25 million </w:t>
      </w:r>
      <w:r w:rsidR="00E34B6E">
        <w:t>people</w:t>
      </w:r>
      <w:r>
        <w:t xml:space="preserve"> in Bangladesh (17% of the population</w:t>
      </w:r>
      <w:r w:rsidR="00E34B6E">
        <w:t>) live below or on the lower poverty line and face a multiple set of disadvantages</w:t>
      </w:r>
      <w:r w:rsidR="00C0320F">
        <w:t xml:space="preserve">. </w:t>
      </w:r>
      <w:r w:rsidR="00E34B6E">
        <w:t>Women and female</w:t>
      </w:r>
      <w:r w:rsidR="00447C9A">
        <w:t>-</w:t>
      </w:r>
      <w:r w:rsidR="00E34B6E">
        <w:t>headed households are particularly vulnerable and disproportionately represented in this population, as are</w:t>
      </w:r>
      <w:r w:rsidR="006A1F9A">
        <w:t xml:space="preserve"> ethnic minority groups and</w:t>
      </w:r>
      <w:r w:rsidR="00E34B6E">
        <w:t xml:space="preserve"> people living with disability.</w:t>
      </w:r>
    </w:p>
    <w:p w:rsidR="00E34B6E" w:rsidRPr="00324AB6" w:rsidRDefault="00447C9A" w:rsidP="00324AB6">
      <w:pPr>
        <w:pStyle w:val="H3"/>
      </w:pPr>
      <w:bookmarkStart w:id="12" w:name="_Toc360976430"/>
      <w:r w:rsidRPr="00324AB6">
        <w:t>Key results for e</w:t>
      </w:r>
      <w:r w:rsidR="00E34B6E" w:rsidRPr="00324AB6">
        <w:t>xtreme poverty reduction in 2010</w:t>
      </w:r>
      <w:bookmarkEnd w:id="12"/>
    </w:p>
    <w:p w:rsidR="00E34B6E" w:rsidRDefault="00E34B6E" w:rsidP="00930CB6">
      <w:pPr>
        <w:pStyle w:val="BodyText"/>
        <w:numPr>
          <w:ilvl w:val="1"/>
          <w:numId w:val="26"/>
        </w:numPr>
      </w:pPr>
      <w:r w:rsidRPr="000E4BF5">
        <w:rPr>
          <w:b/>
        </w:rPr>
        <w:t>Chars Livelihood Program Phase 2</w:t>
      </w:r>
      <w:r w:rsidR="00AC2510">
        <w:rPr>
          <w:b/>
        </w:rPr>
        <w:t xml:space="preserve"> (CLP II)</w:t>
      </w:r>
      <w:r>
        <w:t xml:space="preserve">—through a delegated cooperation arrangement with </w:t>
      </w:r>
      <w:r w:rsidR="00266A5A">
        <w:t xml:space="preserve">the </w:t>
      </w:r>
      <w:r w:rsidR="00266A5A" w:rsidRPr="0052271F">
        <w:rPr>
          <w:rFonts w:cs="Arial"/>
        </w:rPr>
        <w:t xml:space="preserve">United Kingdom Department for International </w:t>
      </w:r>
      <w:r w:rsidR="00266A5A" w:rsidRPr="00266A5A">
        <w:rPr>
          <w:rFonts w:cs="Arial"/>
        </w:rPr>
        <w:t>Development</w:t>
      </w:r>
      <w:r w:rsidR="001E7602">
        <w:t xml:space="preserve"> </w:t>
      </w:r>
      <w:r w:rsidR="00396309">
        <w:t xml:space="preserve">AusAID contributes </w:t>
      </w:r>
      <w:r w:rsidR="00B563D3">
        <w:t xml:space="preserve">10% </w:t>
      </w:r>
      <w:r w:rsidR="001E7602">
        <w:t>program funding</w:t>
      </w:r>
      <w:r w:rsidR="00CE0675">
        <w:t xml:space="preserve"> </w:t>
      </w:r>
      <w:r w:rsidR="001E7602">
        <w:t>for CLPII</w:t>
      </w:r>
      <w:r w:rsidR="00396309">
        <w:t xml:space="preserve">.  This </w:t>
      </w:r>
      <w:r>
        <w:t xml:space="preserve">program aims to lift </w:t>
      </w:r>
      <w:r w:rsidR="00EF4A70">
        <w:t xml:space="preserve">67,000 households (300,500 people) </w:t>
      </w:r>
      <w:r>
        <w:t>out of extreme poverty</w:t>
      </w:r>
      <w:r w:rsidR="00072226">
        <w:t xml:space="preserve">, and improve the livelihoods of </w:t>
      </w:r>
      <w:r>
        <w:t>1 million people living in the Chars (river islands) by 2016. In 2010</w:t>
      </w:r>
      <w:r w:rsidR="00266A5A">
        <w:t xml:space="preserve"> </w:t>
      </w:r>
      <w:r w:rsidR="00AC2510">
        <w:t>CLP II</w:t>
      </w:r>
      <w:r>
        <w:t xml:space="preserve"> provided </w:t>
      </w:r>
      <w:r w:rsidR="00CE0675">
        <w:t xml:space="preserve">productive </w:t>
      </w:r>
      <w:r w:rsidRPr="000E4BF5">
        <w:t>asset</w:t>
      </w:r>
      <w:r w:rsidR="00B563D3">
        <w:t>s</w:t>
      </w:r>
      <w:r w:rsidR="00CE0675">
        <w:t xml:space="preserve"> </w:t>
      </w:r>
      <w:r w:rsidR="00CE0675" w:rsidRPr="00742912">
        <w:t>(for example, livestock and poultry)</w:t>
      </w:r>
      <w:r w:rsidRPr="000E4BF5">
        <w:t xml:space="preserve">, enterprise training, </w:t>
      </w:r>
      <w:proofErr w:type="gramStart"/>
      <w:r w:rsidR="00B563D3">
        <w:t>a</w:t>
      </w:r>
      <w:proofErr w:type="gramEnd"/>
      <w:r w:rsidR="00B563D3">
        <w:t xml:space="preserve"> </w:t>
      </w:r>
      <w:r w:rsidRPr="000E4BF5">
        <w:t>daily stipend</w:t>
      </w:r>
      <w:r w:rsidR="00E30B59">
        <w:t xml:space="preserve"> and</w:t>
      </w:r>
      <w:r w:rsidRPr="000E4BF5">
        <w:t xml:space="preserve"> subsidised health care</w:t>
      </w:r>
      <w:r>
        <w:t xml:space="preserve">—to </w:t>
      </w:r>
      <w:r w:rsidR="0037730C">
        <w:t>more than</w:t>
      </w:r>
      <w:r>
        <w:t xml:space="preserve"> 10</w:t>
      </w:r>
      <w:r w:rsidR="00B563D3">
        <w:t>,</w:t>
      </w:r>
      <w:r>
        <w:t>000 families</w:t>
      </w:r>
      <w:r w:rsidR="00C0320F">
        <w:t xml:space="preserve">. </w:t>
      </w:r>
      <w:r w:rsidR="00B563D3">
        <w:t>Further, in 2010:</w:t>
      </w:r>
      <w:r>
        <w:t xml:space="preserve"> 10</w:t>
      </w:r>
      <w:r w:rsidR="00B563D3">
        <w:t>,</w:t>
      </w:r>
      <w:r>
        <w:t>090 people were engaged in cash-for-work activities to counter seasonal variations in cropping cycles and employment; 9</w:t>
      </w:r>
      <w:r w:rsidR="00B563D3">
        <w:t>,</w:t>
      </w:r>
      <w:r>
        <w:t>526</w:t>
      </w:r>
      <w:r w:rsidR="00D66FD0">
        <w:t> </w:t>
      </w:r>
      <w:r>
        <w:t>families received livestock assets for food security; and 2</w:t>
      </w:r>
      <w:r w:rsidR="00B563D3">
        <w:t>,</w:t>
      </w:r>
      <w:r>
        <w:t>393</w:t>
      </w:r>
      <w:r w:rsidR="00742912">
        <w:t> </w:t>
      </w:r>
      <w:r>
        <w:t>households were raised above flood level</w:t>
      </w:r>
      <w:r w:rsidR="00C0320F">
        <w:t>.</w:t>
      </w:r>
    </w:p>
    <w:p w:rsidR="00E34B6E" w:rsidRDefault="00E34B6E" w:rsidP="00930CB6">
      <w:pPr>
        <w:pStyle w:val="BodyText"/>
        <w:numPr>
          <w:ilvl w:val="1"/>
          <w:numId w:val="26"/>
        </w:numPr>
      </w:pPr>
      <w:r w:rsidRPr="000E4BF5">
        <w:rPr>
          <w:b/>
        </w:rPr>
        <w:t xml:space="preserve">BRAC’s </w:t>
      </w:r>
      <w:proofErr w:type="gramStart"/>
      <w:r w:rsidRPr="000E4BF5">
        <w:rPr>
          <w:b/>
        </w:rPr>
        <w:t>Challenging</w:t>
      </w:r>
      <w:proofErr w:type="gramEnd"/>
      <w:r w:rsidRPr="000E4BF5">
        <w:rPr>
          <w:b/>
        </w:rPr>
        <w:t xml:space="preserve"> the Frontiers of Poverty Reduction (CFPR)</w:t>
      </w:r>
      <w:r>
        <w:t>—AusAID provided 20</w:t>
      </w:r>
      <w:r w:rsidR="00D72F3E">
        <w:t>%</w:t>
      </w:r>
      <w:r>
        <w:t xml:space="preserve"> of the funding for BRAC’s C</w:t>
      </w:r>
      <w:r w:rsidR="00AC2510">
        <w:t xml:space="preserve">FPR </w:t>
      </w:r>
      <w:r w:rsidR="006A1F9A">
        <w:t>p</w:t>
      </w:r>
      <w:r>
        <w:t>rogram ($10.7</w:t>
      </w:r>
      <w:r w:rsidR="00742912">
        <w:t> </w:t>
      </w:r>
      <w:r>
        <w:t>million) in 2009</w:t>
      </w:r>
      <w:r w:rsidR="00841B46">
        <w:t>–</w:t>
      </w:r>
      <w:r>
        <w:t>10</w:t>
      </w:r>
      <w:r w:rsidR="00C0320F">
        <w:t xml:space="preserve">. </w:t>
      </w:r>
      <w:r w:rsidR="008E3173">
        <w:t xml:space="preserve">A total of </w:t>
      </w:r>
      <w:r>
        <w:t>462</w:t>
      </w:r>
      <w:r w:rsidR="00B563D3">
        <w:t>,</w:t>
      </w:r>
      <w:r>
        <w:t xml:space="preserve">000 families </w:t>
      </w:r>
      <w:r w:rsidR="006A1F9A">
        <w:t>were lifted out of</w:t>
      </w:r>
      <w:r>
        <w:t xml:space="preserve"> </w:t>
      </w:r>
      <w:r w:rsidRPr="00742912">
        <w:t xml:space="preserve">extreme poverty </w:t>
      </w:r>
      <w:r w:rsidR="00B563D3">
        <w:t>between</w:t>
      </w:r>
      <w:r w:rsidRPr="00742912">
        <w:t xml:space="preserve"> 2007 </w:t>
      </w:r>
      <w:r w:rsidR="00B563D3">
        <w:t>and</w:t>
      </w:r>
      <w:r w:rsidRPr="00742912">
        <w:t xml:space="preserve"> 2010</w:t>
      </w:r>
      <w:r w:rsidR="006A1F9A" w:rsidRPr="00742912">
        <w:t>, as</w:t>
      </w:r>
      <w:r w:rsidRPr="00742912">
        <w:t xml:space="preserve"> measured by</w:t>
      </w:r>
      <w:r w:rsidR="00B563D3">
        <w:t xml:space="preserve"> improved</w:t>
      </w:r>
      <w:r w:rsidRPr="00742912">
        <w:t xml:space="preserve"> income, food security and access to water and sanitation facilities. </w:t>
      </w:r>
      <w:r w:rsidR="006A1F9A" w:rsidRPr="00742912">
        <w:lastRenderedPageBreak/>
        <w:t>Through the program, f</w:t>
      </w:r>
      <w:r w:rsidRPr="00742912">
        <w:t xml:space="preserve">amilies receive productive assets, skill development training and </w:t>
      </w:r>
      <w:r w:rsidR="00742912" w:rsidRPr="00742912">
        <w:t xml:space="preserve">a </w:t>
      </w:r>
      <w:r w:rsidRPr="00742912">
        <w:t xml:space="preserve">daily stipend until </w:t>
      </w:r>
      <w:r w:rsidR="00742912" w:rsidRPr="00742912">
        <w:t xml:space="preserve">they start to earn </w:t>
      </w:r>
      <w:r w:rsidRPr="00742912">
        <w:t>income from the</w:t>
      </w:r>
      <w:r w:rsidR="00742912" w:rsidRPr="00742912">
        <w:t>ir</w:t>
      </w:r>
      <w:r w:rsidRPr="00742912">
        <w:t xml:space="preserve"> assets</w:t>
      </w:r>
      <w:r w:rsidR="00742912" w:rsidRPr="00742912">
        <w:t>. Families also receive</w:t>
      </w:r>
      <w:r w:rsidRPr="00742912">
        <w:t xml:space="preserve"> </w:t>
      </w:r>
      <w:r w:rsidR="00B563D3">
        <w:t xml:space="preserve">access to </w:t>
      </w:r>
      <w:r w:rsidRPr="00742912">
        <w:t>basic health care.</w:t>
      </w:r>
    </w:p>
    <w:p w:rsidR="005918DC" w:rsidRDefault="00E34B6E" w:rsidP="002171C9">
      <w:pPr>
        <w:pStyle w:val="BodyText"/>
        <w:numPr>
          <w:ilvl w:val="0"/>
          <w:numId w:val="24"/>
        </w:numPr>
      </w:pPr>
      <w:r>
        <w:t xml:space="preserve">This program </w:t>
      </w:r>
      <w:r w:rsidR="006A1F9A">
        <w:t xml:space="preserve">is producing solid </w:t>
      </w:r>
      <w:proofErr w:type="gramStart"/>
      <w:r w:rsidR="006A1F9A">
        <w:t>results</w:t>
      </w:r>
      <w:r w:rsidR="00B563D3">
        <w:t>,</w:t>
      </w:r>
      <w:proofErr w:type="gramEnd"/>
      <w:r>
        <w:t xml:space="preserve"> a 2009 BRAC study found </w:t>
      </w:r>
      <w:r w:rsidR="008B7082">
        <w:t xml:space="preserve">that </w:t>
      </w:r>
      <w:r>
        <w:t xml:space="preserve">98% </w:t>
      </w:r>
      <w:r w:rsidR="008B7082">
        <w:t xml:space="preserve">of beneficiary households </w:t>
      </w:r>
      <w:r>
        <w:t>sustain</w:t>
      </w:r>
      <w:r w:rsidR="008B7082">
        <w:t>ed</w:t>
      </w:r>
      <w:r w:rsidR="00B563D3">
        <w:t xml:space="preserve"> their improved income generation levels</w:t>
      </w:r>
      <w:r>
        <w:t xml:space="preserve"> after </w:t>
      </w:r>
      <w:r w:rsidR="008E3173">
        <w:t>four</w:t>
      </w:r>
      <w:r>
        <w:t xml:space="preserve"> years</w:t>
      </w:r>
      <w:r w:rsidR="00B563D3">
        <w:t>,</w:t>
      </w:r>
      <w:r>
        <w:t xml:space="preserve"> with </w:t>
      </w:r>
      <w:r w:rsidR="006A1F9A">
        <w:t xml:space="preserve">participants having </w:t>
      </w:r>
      <w:r>
        <w:t>an average income 27% higher than non-participants</w:t>
      </w:r>
      <w:r w:rsidR="00C0320F">
        <w:t xml:space="preserve">. </w:t>
      </w:r>
      <w:r>
        <w:t>The study showed that CFPR participants</w:t>
      </w:r>
      <w:r w:rsidR="006A1F9A">
        <w:t xml:space="preserve"> had</w:t>
      </w:r>
      <w:r>
        <w:t xml:space="preserve"> increase</w:t>
      </w:r>
      <w:r w:rsidR="006A1F9A">
        <w:t>d</w:t>
      </w:r>
      <w:r>
        <w:t xml:space="preserve"> their consumption of protein, spen</w:t>
      </w:r>
      <w:r w:rsidR="006A1F9A">
        <w:t>t</w:t>
      </w:r>
      <w:r>
        <w:t xml:space="preserve"> more on health care and increase</w:t>
      </w:r>
      <w:r w:rsidR="006A1F9A">
        <w:t>d</w:t>
      </w:r>
      <w:r>
        <w:t xml:space="preserve"> their cash savings</w:t>
      </w:r>
      <w:r w:rsidR="00C0320F">
        <w:t xml:space="preserve">. </w:t>
      </w:r>
      <w:r>
        <w:t>Importantly, CFPR has been successful in building confidence among extreme</w:t>
      </w:r>
      <w:r w:rsidR="0002545E">
        <w:t>ly</w:t>
      </w:r>
      <w:r>
        <w:t xml:space="preserve"> poor women which is a </w:t>
      </w:r>
      <w:r w:rsidRPr="00742912">
        <w:t>driving force to take their enterprises forward after the support cycle ends</w:t>
      </w:r>
      <w:r w:rsidR="00C0320F">
        <w:t xml:space="preserve">. </w:t>
      </w:r>
      <w:r>
        <w:t>CFPR is also influencing</w:t>
      </w:r>
      <w:r w:rsidR="006A1F9A">
        <w:t xml:space="preserve"> gender-related</w:t>
      </w:r>
      <w:r>
        <w:t xml:space="preserve"> behaviour</w:t>
      </w:r>
      <w:r w:rsidR="006A1F9A">
        <w:t>s</w:t>
      </w:r>
      <w:r>
        <w:t xml:space="preserve"> with an increase in women and men sharing meals equally and having meals together a</w:t>
      </w:r>
      <w:r w:rsidR="0002545E">
        <w:t>s well as</w:t>
      </w:r>
      <w:r>
        <w:t xml:space="preserve"> greater participation of men in childcare, cooking and washing</w:t>
      </w:r>
      <w:r w:rsidR="00C0320F">
        <w:t xml:space="preserve">. </w:t>
      </w:r>
      <w:r w:rsidR="006A1F9A">
        <w:t>Due to</w:t>
      </w:r>
      <w:r w:rsidR="0002545E">
        <w:t xml:space="preserve"> the</w:t>
      </w:r>
      <w:r w:rsidR="006A1F9A">
        <w:t xml:space="preserve"> project</w:t>
      </w:r>
      <w:r w:rsidR="0002545E">
        <w:t>’s</w:t>
      </w:r>
      <w:r w:rsidR="006A1F9A">
        <w:t xml:space="preserve"> success, f</w:t>
      </w:r>
      <w:r>
        <w:t xml:space="preserve">ive NGOs are </w:t>
      </w:r>
      <w:r w:rsidR="006A1F9A">
        <w:t xml:space="preserve">now </w:t>
      </w:r>
      <w:r>
        <w:t xml:space="preserve">replicating CFPR with technical assistance from BRAC. </w:t>
      </w:r>
    </w:p>
    <w:p w:rsidR="002171C9" w:rsidRPr="002171C9" w:rsidRDefault="002171C9" w:rsidP="00E14F20">
      <w:pPr>
        <w:pStyle w:val="BodyText"/>
        <w:keepNext/>
        <w:numPr>
          <w:ilvl w:val="0"/>
          <w:numId w:val="24"/>
        </w:numPr>
        <w:tabs>
          <w:tab w:val="left" w:pos="284"/>
        </w:tabs>
        <w:spacing w:before="0" w:after="120" w:line="320" w:lineRule="atLeast"/>
        <w:rPr>
          <w:b/>
        </w:rPr>
      </w:pPr>
      <w:r w:rsidRPr="005918DC">
        <w:rPr>
          <w:b/>
        </w:rPr>
        <w:t>Policy dialogue with the G</w:t>
      </w:r>
      <w:r w:rsidR="008D5585">
        <w:rPr>
          <w:b/>
        </w:rPr>
        <w:t>overnment of Bangladesh</w:t>
      </w:r>
      <w:r w:rsidRPr="005918DC">
        <w:rPr>
          <w:b/>
        </w:rPr>
        <w:t xml:space="preserve"> on social protection</w:t>
      </w:r>
      <w:r>
        <w:t>—</w:t>
      </w:r>
      <w:r w:rsidRPr="005918DC">
        <w:t>AusAID worked with a small group of other like-minded development partners to encourage greater discussion on social protection with the G</w:t>
      </w:r>
      <w:r w:rsidR="008D5585">
        <w:t>overnment of Bangladesh</w:t>
      </w:r>
      <w:r w:rsidRPr="005918DC">
        <w:t>. This group, initially established as an informal network, has now become a formal group and is working with the G</w:t>
      </w:r>
      <w:r w:rsidR="008D5585">
        <w:t>overnment of Bangladesh</w:t>
      </w:r>
      <w:r w:rsidRPr="005918DC">
        <w:t xml:space="preserve"> to develop a</w:t>
      </w:r>
      <w:r w:rsidRPr="002171C9">
        <w:t xml:space="preserve"> comprehensive social protection framework for Bangladesh.</w:t>
      </w:r>
    </w:p>
    <w:p w:rsidR="006D7A62" w:rsidRPr="002D2EEF" w:rsidRDefault="00EF4A70" w:rsidP="00E14F20">
      <w:pPr>
        <w:pStyle w:val="H2B"/>
        <w:spacing w:before="480"/>
      </w:pPr>
      <w:bookmarkStart w:id="13" w:name="_Toc360976431"/>
      <w:r w:rsidRPr="002D2EEF">
        <w:t>O</w:t>
      </w:r>
      <w:r w:rsidR="006D7A62" w:rsidRPr="002D2EEF">
        <w:t>bjective 2.2: Improve climate change adaptation and disaster risk reduction</w:t>
      </w:r>
      <w:bookmarkEnd w:id="13"/>
    </w:p>
    <w:p w:rsidR="00E34B6E" w:rsidRDefault="008D5585" w:rsidP="00E34B6E">
      <w:pPr>
        <w:pStyle w:val="BodyText"/>
      </w:pPr>
      <w:r>
        <w:t>In 2010 the Government of Bangladesh</w:t>
      </w:r>
      <w:r w:rsidR="00E34B6E">
        <w:t xml:space="preserve"> directed </w:t>
      </w:r>
      <w:r w:rsidR="00504B80">
        <w:t>more</w:t>
      </w:r>
      <w:r w:rsidR="00E34B6E">
        <w:t xml:space="preserve"> time and money to understanding and preparing for natural disasters and the impacts of climate change. Australia </w:t>
      </w:r>
      <w:r w:rsidR="00291B5E">
        <w:t xml:space="preserve">started to work </w:t>
      </w:r>
      <w:r>
        <w:t xml:space="preserve">more closely </w:t>
      </w:r>
      <w:r w:rsidR="00CE0675">
        <w:t xml:space="preserve">with the </w:t>
      </w:r>
      <w:r>
        <w:t xml:space="preserve">government </w:t>
      </w:r>
      <w:r w:rsidR="00CE0675">
        <w:t xml:space="preserve">and other development partners in the </w:t>
      </w:r>
      <w:r w:rsidR="002171C9">
        <w:t xml:space="preserve">climate change </w:t>
      </w:r>
      <w:r w:rsidR="00CE0675">
        <w:t>sector.</w:t>
      </w:r>
      <w:r w:rsidR="00E34B6E">
        <w:t xml:space="preserve"> </w:t>
      </w:r>
    </w:p>
    <w:p w:rsidR="00E34B6E" w:rsidRPr="00324AB6" w:rsidRDefault="00447C9A" w:rsidP="00324AB6">
      <w:pPr>
        <w:pStyle w:val="H3"/>
      </w:pPr>
      <w:bookmarkStart w:id="14" w:name="_Toc360976432"/>
      <w:r w:rsidRPr="00324AB6">
        <w:t>Key results for c</w:t>
      </w:r>
      <w:r w:rsidR="00E34B6E" w:rsidRPr="00324AB6">
        <w:t>limate change and disaster risk reduction</w:t>
      </w:r>
      <w:r w:rsidRPr="00324AB6">
        <w:t xml:space="preserve"> </w:t>
      </w:r>
      <w:r w:rsidR="00E34B6E" w:rsidRPr="00324AB6">
        <w:t>in 2010</w:t>
      </w:r>
      <w:bookmarkEnd w:id="14"/>
    </w:p>
    <w:p w:rsidR="00E34B6E" w:rsidRDefault="008D5585" w:rsidP="00E34B6E">
      <w:pPr>
        <w:pStyle w:val="BodyText"/>
        <w:numPr>
          <w:ilvl w:val="0"/>
          <w:numId w:val="19"/>
        </w:numPr>
      </w:pPr>
      <w:r>
        <w:rPr>
          <w:b/>
        </w:rPr>
        <w:t>The Government of Bangladesh</w:t>
      </w:r>
      <w:r w:rsidR="00841B46">
        <w:rPr>
          <w:b/>
        </w:rPr>
        <w:t>–</w:t>
      </w:r>
      <w:r w:rsidR="00266A5A" w:rsidRPr="00266A5A">
        <w:rPr>
          <w:rFonts w:cs="Arial"/>
          <w:b/>
        </w:rPr>
        <w:t>United Nations Development Program</w:t>
      </w:r>
      <w:r w:rsidR="00E34B6E" w:rsidRPr="00266A5A">
        <w:rPr>
          <w:b/>
        </w:rPr>
        <w:t xml:space="preserve"> Comprehensive</w:t>
      </w:r>
      <w:r w:rsidR="00E34B6E" w:rsidRPr="000E4BF5">
        <w:rPr>
          <w:b/>
        </w:rPr>
        <w:t xml:space="preserve"> Disaster Management Program</w:t>
      </w:r>
      <w:r w:rsidR="00CE0675">
        <w:rPr>
          <w:b/>
        </w:rPr>
        <w:t>–</w:t>
      </w:r>
      <w:r w:rsidR="00CE0675" w:rsidRPr="00F77B66">
        <w:t>Through our support to the Local Disaster Risk Reduction Facility of th</w:t>
      </w:r>
      <w:r w:rsidR="00F77B66" w:rsidRPr="00F77B66">
        <w:t xml:space="preserve">is program, </w:t>
      </w:r>
      <w:r w:rsidR="00F77B66">
        <w:t>Au</w:t>
      </w:r>
      <w:r w:rsidR="00F77B66" w:rsidRPr="00F77B66">
        <w:t xml:space="preserve">stralia </w:t>
      </w:r>
      <w:r w:rsidR="00F77B66">
        <w:t xml:space="preserve">contributed to the development of a </w:t>
      </w:r>
      <w:r w:rsidR="00E34B6E">
        <w:t>simplified cyclone signalling system and a comprehensive disaster management approach</w:t>
      </w:r>
      <w:r w:rsidR="00C0320F">
        <w:t xml:space="preserve">. </w:t>
      </w:r>
      <w:r w:rsidR="00E34B6E" w:rsidRPr="000E4BF5">
        <w:t>The program</w:t>
      </w:r>
      <w:r w:rsidR="00FA438E">
        <w:t xml:space="preserve"> </w:t>
      </w:r>
      <w:r w:rsidR="007B3273">
        <w:t>has</w:t>
      </w:r>
      <w:r w:rsidR="00E34B6E" w:rsidRPr="000E4BF5">
        <w:t xml:space="preserve"> established a baseline database on national disa</w:t>
      </w:r>
      <w:r w:rsidR="00E34B6E">
        <w:t>ster risk reduction initiatives and</w:t>
      </w:r>
      <w:r w:rsidR="00E34B6E" w:rsidRPr="000E4BF5">
        <w:t xml:space="preserve"> trained </w:t>
      </w:r>
      <w:r>
        <w:t xml:space="preserve">over </w:t>
      </w:r>
      <w:r w:rsidR="00E34B6E" w:rsidRPr="000E4BF5">
        <w:t>67</w:t>
      </w:r>
      <w:r>
        <w:t>0</w:t>
      </w:r>
      <w:r w:rsidR="00F80EBE">
        <w:t> </w:t>
      </w:r>
      <w:r w:rsidR="00E34B6E" w:rsidRPr="000E4BF5">
        <w:t>district management committee members in disaster preparedness at union and district levels for communities</w:t>
      </w:r>
      <w:r>
        <w:t xml:space="preserve"> considered most-at-risk</w:t>
      </w:r>
      <w:r w:rsidR="00C0320F">
        <w:t xml:space="preserve">. </w:t>
      </w:r>
      <w:r>
        <w:t>T</w:t>
      </w:r>
      <w:r w:rsidR="007B3273">
        <w:t xml:space="preserve">he </w:t>
      </w:r>
      <w:r w:rsidR="007B3273">
        <w:rPr>
          <w:rFonts w:cs="Arial"/>
        </w:rPr>
        <w:t>c</w:t>
      </w:r>
      <w:r w:rsidR="00266A5A" w:rsidRPr="0052271F">
        <w:rPr>
          <w:rFonts w:cs="Arial"/>
        </w:rPr>
        <w:t xml:space="preserve">omprehensive disaster management </w:t>
      </w:r>
      <w:r w:rsidR="00266A5A" w:rsidRPr="00266A5A">
        <w:rPr>
          <w:rFonts w:cs="Arial"/>
        </w:rPr>
        <w:t>program</w:t>
      </w:r>
      <w:r w:rsidR="00266A5A" w:rsidRPr="00266A5A">
        <w:t xml:space="preserve"> </w:t>
      </w:r>
      <w:r w:rsidR="00E34B6E" w:rsidRPr="00871CCA">
        <w:t>will help to reduce the vulnerability of communities in 40</w:t>
      </w:r>
      <w:r w:rsidR="00775D42">
        <w:t> </w:t>
      </w:r>
      <w:r w:rsidR="00E34B6E" w:rsidRPr="00871CCA">
        <w:t>districts to disaster risks, build their resilience to the impacts of climate change and develop livelihood security and adaptation strategies.</w:t>
      </w:r>
      <w:r w:rsidR="00E34B6E" w:rsidRPr="000E4BF5">
        <w:t xml:space="preserve"> </w:t>
      </w:r>
      <w:r w:rsidR="00E34B6E">
        <w:t xml:space="preserve"> </w:t>
      </w:r>
    </w:p>
    <w:p w:rsidR="00E34B6E" w:rsidRDefault="00E34B6E" w:rsidP="00E34B6E">
      <w:pPr>
        <w:pStyle w:val="BodyText"/>
        <w:numPr>
          <w:ilvl w:val="0"/>
          <w:numId w:val="18"/>
        </w:numPr>
      </w:pPr>
      <w:r w:rsidRPr="005A6211">
        <w:rPr>
          <w:b/>
        </w:rPr>
        <w:t>AusAID</w:t>
      </w:r>
      <w:r w:rsidR="00841B46">
        <w:rPr>
          <w:b/>
        </w:rPr>
        <w:t>–</w:t>
      </w:r>
      <w:r w:rsidR="003F3497" w:rsidRPr="003F3497">
        <w:rPr>
          <w:b/>
          <w:bCs/>
        </w:rPr>
        <w:t>Commonwealth Scientific and Industrial Research Organisation</w:t>
      </w:r>
      <w:r w:rsidRPr="005A6211">
        <w:rPr>
          <w:b/>
        </w:rPr>
        <w:t xml:space="preserve"> Research for Development Alliance</w:t>
      </w:r>
      <w:r w:rsidRPr="00EE11E0">
        <w:t xml:space="preserve"> is implementing a major research project with Bangladesh partners to examine groundwater and surface water dynamics. </w:t>
      </w:r>
    </w:p>
    <w:p w:rsidR="00E34B6E" w:rsidRDefault="00E34B6E" w:rsidP="00E34B6E">
      <w:pPr>
        <w:pStyle w:val="BodyText"/>
        <w:numPr>
          <w:ilvl w:val="0"/>
          <w:numId w:val="18"/>
        </w:numPr>
      </w:pPr>
      <w:r w:rsidRPr="00481DB8">
        <w:rPr>
          <w:b/>
        </w:rPr>
        <w:t>Australian Centre for International Agricultural Research</w:t>
      </w:r>
      <w:r>
        <w:rPr>
          <w:b/>
        </w:rPr>
        <w:t xml:space="preserve"> </w:t>
      </w:r>
      <w:r>
        <w:t xml:space="preserve">also </w:t>
      </w:r>
      <w:r w:rsidRPr="00EE11E0">
        <w:t>has a long</w:t>
      </w:r>
      <w:r w:rsidR="007B3273">
        <w:t>-</w:t>
      </w:r>
      <w:r w:rsidRPr="00EE11E0">
        <w:t xml:space="preserve">standing relationship with Bangladesh and </w:t>
      </w:r>
      <w:r>
        <w:t xml:space="preserve">in 2010 </w:t>
      </w:r>
      <w:r w:rsidRPr="00EE11E0">
        <w:t>r</w:t>
      </w:r>
      <w:r>
        <w:t>a</w:t>
      </w:r>
      <w:r w:rsidRPr="00EE11E0">
        <w:t xml:space="preserve">n a program in Bangladesh to improve cropping systems.  </w:t>
      </w:r>
    </w:p>
    <w:p w:rsidR="00324A4F" w:rsidRPr="00324AB6" w:rsidRDefault="009A2913" w:rsidP="008A2154">
      <w:pPr>
        <w:pStyle w:val="H2A0"/>
        <w:spacing w:before="360"/>
      </w:pPr>
      <w:bookmarkStart w:id="15" w:name="_Toc360976433"/>
      <w:r w:rsidRPr="00324AB6">
        <w:lastRenderedPageBreak/>
        <w:t xml:space="preserve">Objective </w:t>
      </w:r>
      <w:r w:rsidR="003C5F27" w:rsidRPr="00324AB6">
        <w:t>3</w:t>
      </w:r>
      <w:r w:rsidR="00324A4F" w:rsidRPr="00324AB6">
        <w:t>: Assist Bangladesh to strengthen leadership and human resource capacity</w:t>
      </w:r>
      <w:r w:rsidR="0036452D" w:rsidRPr="00324AB6">
        <w:t>,</w:t>
      </w:r>
      <w:r w:rsidR="00324A4F" w:rsidRPr="00324AB6">
        <w:t xml:space="preserve"> working with </w:t>
      </w:r>
      <w:r w:rsidR="008D5585" w:rsidRPr="00324AB6">
        <w:t>the Government of Bangladesh</w:t>
      </w:r>
      <w:r w:rsidR="00324A4F" w:rsidRPr="00324AB6">
        <w:t xml:space="preserve"> and civil society institutions</w:t>
      </w:r>
      <w:bookmarkEnd w:id="15"/>
    </w:p>
    <w:p w:rsidR="008A2652" w:rsidRPr="00324AB6" w:rsidRDefault="008A2652" w:rsidP="00324AB6">
      <w:pPr>
        <w:pStyle w:val="H3"/>
      </w:pPr>
      <w:bookmarkStart w:id="16" w:name="_Toc360976434"/>
      <w:r w:rsidRPr="00324AB6">
        <w:t>Australian Scholarships in 2010</w:t>
      </w:r>
      <w:bookmarkEnd w:id="16"/>
    </w:p>
    <w:p w:rsidR="008D5585" w:rsidRDefault="008D5585" w:rsidP="008D5585">
      <w:pPr>
        <w:pStyle w:val="BodyText"/>
      </w:pPr>
      <w:r w:rsidRPr="008A2652">
        <w:t xml:space="preserve">Scholarships are a valued form of development cooperation between Australia and Bangladesh. Through scholarships, AusAID is strengthening the capacity of the Government of Bangladesh, key partner institutions and </w:t>
      </w:r>
      <w:r>
        <w:t xml:space="preserve">is </w:t>
      </w:r>
      <w:r w:rsidRPr="008A2652">
        <w:t xml:space="preserve">also developing skills and expertise in disadvantaged communities.  </w:t>
      </w:r>
    </w:p>
    <w:p w:rsidR="00F77B66" w:rsidRPr="008501F4" w:rsidRDefault="00FA438E" w:rsidP="00F77B66">
      <w:pPr>
        <w:pStyle w:val="BodyText"/>
        <w:numPr>
          <w:ilvl w:val="0"/>
          <w:numId w:val="20"/>
        </w:numPr>
        <w:rPr>
          <w:rFonts w:cs="Arial"/>
          <w:color w:val="FF0000"/>
        </w:rPr>
      </w:pPr>
      <w:r>
        <w:rPr>
          <w:rFonts w:cs="Arial"/>
        </w:rPr>
        <w:t xml:space="preserve">In 2010 </w:t>
      </w:r>
      <w:r w:rsidR="00EF4A70" w:rsidRPr="008A2652">
        <w:rPr>
          <w:rFonts w:cs="Arial"/>
        </w:rPr>
        <w:t xml:space="preserve">75 scholarships were awarded to candidates from Bangladesh for study in Australia, an increase of 60% from the previous year. These included </w:t>
      </w:r>
      <w:r w:rsidRPr="008A2652">
        <w:t>Australian Development Scholarships</w:t>
      </w:r>
      <w:r w:rsidRPr="008A2652">
        <w:rPr>
          <w:rFonts w:cs="Arial"/>
        </w:rPr>
        <w:t xml:space="preserve"> </w:t>
      </w:r>
      <w:r>
        <w:rPr>
          <w:rFonts w:cs="Arial"/>
        </w:rPr>
        <w:t>(</w:t>
      </w:r>
      <w:r w:rsidR="00EF4A70" w:rsidRPr="008A2652">
        <w:rPr>
          <w:rFonts w:cs="Arial"/>
        </w:rPr>
        <w:t>ADS</w:t>
      </w:r>
      <w:r>
        <w:rPr>
          <w:rFonts w:cs="Arial"/>
        </w:rPr>
        <w:t>)</w:t>
      </w:r>
      <w:r w:rsidR="00EF4A70" w:rsidRPr="008A2652">
        <w:rPr>
          <w:rFonts w:cs="Arial"/>
        </w:rPr>
        <w:t xml:space="preserve"> and Australian Leadership Awards.   </w:t>
      </w:r>
      <w:r>
        <w:t>T</w:t>
      </w:r>
      <w:r w:rsidR="00020CA6" w:rsidRPr="008A2652">
        <w:t xml:space="preserve">he ADS program </w:t>
      </w:r>
      <w:r w:rsidR="008D5585">
        <w:t xml:space="preserve">aims to </w:t>
      </w:r>
      <w:r w:rsidR="00020CA6" w:rsidRPr="008A2652">
        <w:t>develop the human resource base of the</w:t>
      </w:r>
      <w:r w:rsidR="008D5585">
        <w:t xml:space="preserve"> Bangladesh </w:t>
      </w:r>
      <w:r w:rsidR="00020CA6" w:rsidRPr="008A2652">
        <w:t>public service</w:t>
      </w:r>
      <w:r w:rsidR="008D5585">
        <w:t>,</w:t>
      </w:r>
      <w:r w:rsidR="00F77B66" w:rsidRPr="008A2652">
        <w:t xml:space="preserve"> build the capacity of ICDDR</w:t>
      </w:r>
      <w:proofErr w:type="gramStart"/>
      <w:r w:rsidR="00F77B66" w:rsidRPr="008A2652">
        <w:t>,B</w:t>
      </w:r>
      <w:proofErr w:type="gramEnd"/>
      <w:r w:rsidR="00F77B66" w:rsidRPr="008A2652">
        <w:t>–a partner for the Australian aid program in Bangladesh</w:t>
      </w:r>
      <w:r w:rsidR="008D5585">
        <w:t>,</w:t>
      </w:r>
      <w:r w:rsidR="00F77B66" w:rsidRPr="008A2652">
        <w:t xml:space="preserve"> and </w:t>
      </w:r>
      <w:r w:rsidR="008D5585" w:rsidRPr="000A1E68">
        <w:t>improve</w:t>
      </w:r>
      <w:r w:rsidR="00F77B66" w:rsidRPr="008A2652">
        <w:t xml:space="preserve"> </w:t>
      </w:r>
      <w:r>
        <w:t xml:space="preserve">the </w:t>
      </w:r>
      <w:r w:rsidR="00F77B66" w:rsidRPr="008A2652">
        <w:t xml:space="preserve">skills </w:t>
      </w:r>
      <w:r w:rsidR="008A2652" w:rsidRPr="008A2652">
        <w:t xml:space="preserve">of </w:t>
      </w:r>
      <w:r w:rsidR="00F77B66" w:rsidRPr="008A2652">
        <w:t>communities living in the Chitta</w:t>
      </w:r>
      <w:r w:rsidR="003C5F27" w:rsidRPr="008A2652">
        <w:t>gong Hill Tracts</w:t>
      </w:r>
      <w:r w:rsidR="00F77B66" w:rsidRPr="008A2652">
        <w:t xml:space="preserve">. </w:t>
      </w:r>
      <w:r w:rsidR="003C5F27" w:rsidRPr="008A2652">
        <w:t xml:space="preserve"> </w:t>
      </w:r>
    </w:p>
    <w:p w:rsidR="008501F4" w:rsidRPr="008A2652" w:rsidRDefault="00F77B66" w:rsidP="008501F4">
      <w:pPr>
        <w:pStyle w:val="BodyText"/>
      </w:pPr>
      <w:r w:rsidRPr="008A2652">
        <w:t>In 2010</w:t>
      </w:r>
      <w:r w:rsidR="00761698">
        <w:t>,</w:t>
      </w:r>
      <w:r w:rsidRPr="008A2652">
        <w:t xml:space="preserve"> work commence</w:t>
      </w:r>
      <w:r w:rsidR="00B37EA2" w:rsidRPr="008A2652">
        <w:t xml:space="preserve">d on adopting a more strategic </w:t>
      </w:r>
      <w:r w:rsidRPr="008A2652">
        <w:t>approach to scholarships</w:t>
      </w:r>
      <w:r w:rsidR="00761698">
        <w:t>. This will involve</w:t>
      </w:r>
      <w:r w:rsidRPr="008A2652">
        <w:t xml:space="preserve"> greater </w:t>
      </w:r>
      <w:r w:rsidR="00B37EA2" w:rsidRPr="008A2652">
        <w:t xml:space="preserve">targeting–both within and outside of Government to meet key skills gaps </w:t>
      </w:r>
      <w:r w:rsidR="008501F4" w:rsidRPr="008A2652">
        <w:t>in Bangladeshi government agencies and in civil society institutions that can influence poverty reduction</w:t>
      </w:r>
      <w:r w:rsidR="00291B5E" w:rsidRPr="008A2652">
        <w:t>–</w:t>
      </w:r>
      <w:r w:rsidRPr="008A2652">
        <w:t xml:space="preserve">and </w:t>
      </w:r>
      <w:r w:rsidR="00B37EA2" w:rsidRPr="008A2652">
        <w:t xml:space="preserve">using scholarships to empower people from the many small ethnic communities across the breadth of Bangladesh. This </w:t>
      </w:r>
      <w:r w:rsidR="00020CA6">
        <w:t xml:space="preserve">approach </w:t>
      </w:r>
      <w:r w:rsidR="00761698">
        <w:t>reflects</w:t>
      </w:r>
      <w:r w:rsidR="008501F4" w:rsidRPr="008A2652">
        <w:t xml:space="preserve"> a stronger results focus in </w:t>
      </w:r>
      <w:r w:rsidR="00761698" w:rsidRPr="000A1E68">
        <w:t>Australia’s</w:t>
      </w:r>
      <w:r w:rsidR="008501F4" w:rsidRPr="008A2652">
        <w:t xml:space="preserve"> scholarships program.</w:t>
      </w:r>
    </w:p>
    <w:p w:rsidR="00E34B6E" w:rsidRPr="00324AB6" w:rsidRDefault="00E34B6E" w:rsidP="00324AB6">
      <w:pPr>
        <w:pStyle w:val="H3"/>
      </w:pPr>
      <w:bookmarkStart w:id="17" w:name="_Toc360976435"/>
      <w:r w:rsidRPr="00324AB6">
        <w:t>Public Sector Linkages Program</w:t>
      </w:r>
      <w:bookmarkEnd w:id="17"/>
      <w:r w:rsidRPr="00324AB6">
        <w:t xml:space="preserve"> </w:t>
      </w:r>
    </w:p>
    <w:p w:rsidR="00E34B6E" w:rsidRDefault="00E34B6E" w:rsidP="00E34B6E">
      <w:pPr>
        <w:pStyle w:val="BodyText"/>
      </w:pPr>
      <w:r>
        <w:t xml:space="preserve">With the support of AusAID’s </w:t>
      </w:r>
      <w:r w:rsidR="0036452D">
        <w:t xml:space="preserve">South Asia </w:t>
      </w:r>
      <w:r>
        <w:t>Public Sector Linkages Program</w:t>
      </w:r>
      <w:r w:rsidR="0036452D">
        <w:t xml:space="preserve"> </w:t>
      </w:r>
      <w:r w:rsidR="0036452D" w:rsidRPr="00266A5A">
        <w:t>(PSLP)</w:t>
      </w:r>
      <w:r>
        <w:t xml:space="preserve">, the </w:t>
      </w:r>
      <w:r w:rsidR="00266A5A" w:rsidRPr="00266A5A">
        <w:t>Australian National University’s</w:t>
      </w:r>
      <w:r w:rsidRPr="00266A5A">
        <w:t xml:space="preserve"> National</w:t>
      </w:r>
      <w:r>
        <w:t xml:space="preserve"> Centre for Information Systems Research is helping to build e-government capacity in Bangladesh. This is improving the uptake of information and communication technology</w:t>
      </w:r>
      <w:r w:rsidR="004E2D42">
        <w:t xml:space="preserve"> in the public sector</w:t>
      </w:r>
      <w:r>
        <w:t xml:space="preserve"> and helping to change an entrenched paper-dependent</w:t>
      </w:r>
      <w:r w:rsidR="004E2D42">
        <w:t xml:space="preserve"> and inefficient</w:t>
      </w:r>
      <w:r>
        <w:t xml:space="preserve"> bureaucracy. The project has received a lot of media coverage in Bangladesh, </w:t>
      </w:r>
      <w:r w:rsidR="0037730C">
        <w:t>while</w:t>
      </w:r>
      <w:r>
        <w:t xml:space="preserve"> also being recognised in Australia </w:t>
      </w:r>
      <w:r w:rsidR="00CA3514">
        <w:t>th</w:t>
      </w:r>
      <w:r w:rsidR="00020CA6">
        <w:t>r</w:t>
      </w:r>
      <w:r w:rsidR="00CA3514">
        <w:t>ough the</w:t>
      </w:r>
      <w:r>
        <w:t xml:space="preserve"> </w:t>
      </w:r>
      <w:r w:rsidR="003F3497">
        <w:t xml:space="preserve">university’s </w:t>
      </w:r>
      <w:r>
        <w:t xml:space="preserve">Vice Chancellor’s award for community outreach program in 2010. Other activities funded under </w:t>
      </w:r>
      <w:r w:rsidR="0036452D">
        <w:t>PSLP</w:t>
      </w:r>
      <w:r w:rsidR="00266A5A" w:rsidRPr="00266A5A">
        <w:t xml:space="preserve"> </w:t>
      </w:r>
      <w:r w:rsidRPr="00266A5A">
        <w:t>are helping</w:t>
      </w:r>
      <w:r>
        <w:t xml:space="preserve"> Bangladesh public institutions to address issues around money laundering and terrorism financing, climate change and child malnutrition.</w:t>
      </w:r>
    </w:p>
    <w:p w:rsidR="00E34B6E" w:rsidRPr="00324AB6" w:rsidRDefault="00E34B6E" w:rsidP="00324AB6">
      <w:pPr>
        <w:pStyle w:val="H3"/>
      </w:pPr>
      <w:bookmarkStart w:id="18" w:name="_Toc360976436"/>
      <w:r w:rsidRPr="00324AB6">
        <w:t xml:space="preserve">Australian NGO Cooperation </w:t>
      </w:r>
      <w:r w:rsidR="003F3497" w:rsidRPr="00324AB6">
        <w:t>Program</w:t>
      </w:r>
      <w:bookmarkEnd w:id="18"/>
      <w:r w:rsidR="003F3497" w:rsidRPr="00324AB6">
        <w:t xml:space="preserve"> </w:t>
      </w:r>
    </w:p>
    <w:p w:rsidR="000A1E68" w:rsidRDefault="00E34B6E" w:rsidP="00E34B6E">
      <w:pPr>
        <w:pStyle w:val="BodyText"/>
      </w:pPr>
      <w:r>
        <w:t>The Australian NGO Cooperation Program supports Oxfam,</w:t>
      </w:r>
      <w:r w:rsidR="00387870">
        <w:t xml:space="preserve"> T</w:t>
      </w:r>
      <w:r w:rsidR="003C5F27">
        <w:t>ransformation Empowerment Advocacy Relief (T</w:t>
      </w:r>
      <w:r w:rsidR="00387870">
        <w:t>EAR</w:t>
      </w:r>
      <w:r w:rsidR="003C5F27">
        <w:t>)</w:t>
      </w:r>
      <w:r>
        <w:t xml:space="preserve"> Australia, World Vision Australia, Baptist World Aid, Plan International, Fred Hollows, </w:t>
      </w:r>
      <w:r w:rsidR="00266A5A" w:rsidRPr="00744BCB">
        <w:rPr>
          <w:rFonts w:cs="Arial"/>
        </w:rPr>
        <w:t>Christian Blind Mission</w:t>
      </w:r>
      <w:r w:rsidR="007A05B0">
        <w:rPr>
          <w:rFonts w:cs="Arial"/>
        </w:rPr>
        <w:t xml:space="preserve"> </w:t>
      </w:r>
      <w:r w:rsidRPr="00266A5A">
        <w:t>and</w:t>
      </w:r>
      <w:r>
        <w:t xml:space="preserve"> Interplast to deliver community based social development and disability support activities in </w:t>
      </w:r>
      <w:r w:rsidR="00761698">
        <w:t xml:space="preserve">Bangladesh in </w:t>
      </w:r>
      <w:r>
        <w:t>partnership with local organisations</w:t>
      </w:r>
      <w:r w:rsidR="00C0320F">
        <w:t xml:space="preserve">. </w:t>
      </w:r>
    </w:p>
    <w:p w:rsidR="00E34B6E" w:rsidRPr="000A1E68" w:rsidRDefault="000A1E68" w:rsidP="00E34B6E">
      <w:pPr>
        <w:pStyle w:val="BodyText"/>
      </w:pPr>
      <w:r w:rsidRPr="000A1E68">
        <w:t xml:space="preserve">In 2010, with Australian NGO Cooperation Program funding, the Australian NGO Interplast supported the Bangladeshi Centre for Rehabilitation of the Paralysed to successfully influence the Government of Bangladesh to including burns in its next strategic health policy framework.  </w:t>
      </w:r>
      <w:r w:rsidR="00E34B6E" w:rsidRPr="000A1E68">
        <w:t>Disability support projects in Bangladesh are an important area of work</w:t>
      </w:r>
      <w:r w:rsidR="007A05B0" w:rsidRPr="000A1E68">
        <w:t xml:space="preserve"> given that</w:t>
      </w:r>
      <w:r w:rsidR="00E34B6E" w:rsidRPr="000A1E68">
        <w:t xml:space="preserve"> at least 10% of the population liv</w:t>
      </w:r>
      <w:r w:rsidR="004E2D42" w:rsidRPr="000A1E68">
        <w:t>es</w:t>
      </w:r>
      <w:r w:rsidR="00E34B6E" w:rsidRPr="000A1E68">
        <w:t xml:space="preserve"> with a disability</w:t>
      </w:r>
      <w:r w:rsidR="00C0320F" w:rsidRPr="000A1E68">
        <w:t xml:space="preserve">. </w:t>
      </w:r>
    </w:p>
    <w:p w:rsidR="003C5F27" w:rsidRPr="00324AB6" w:rsidRDefault="003C5F27" w:rsidP="00324AB6">
      <w:pPr>
        <w:pStyle w:val="H2A0"/>
      </w:pPr>
      <w:bookmarkStart w:id="19" w:name="_Toc360976437"/>
      <w:bookmarkStart w:id="20" w:name="_GoBack"/>
      <w:bookmarkEnd w:id="20"/>
      <w:r w:rsidRPr="00324AB6">
        <w:lastRenderedPageBreak/>
        <w:t>Gender</w:t>
      </w:r>
      <w:bookmarkEnd w:id="19"/>
    </w:p>
    <w:p w:rsidR="00E34B6E" w:rsidRPr="00B43CF4" w:rsidRDefault="00E34B6E" w:rsidP="0068061C">
      <w:pPr>
        <w:pStyle w:val="BodyText"/>
      </w:pPr>
      <w:r w:rsidRPr="00B43CF4">
        <w:t xml:space="preserve">Gender is a </w:t>
      </w:r>
      <w:r w:rsidR="004E2D42">
        <w:t>priority</w:t>
      </w:r>
      <w:r w:rsidRPr="00B43CF4">
        <w:t xml:space="preserve"> </w:t>
      </w:r>
      <w:r w:rsidR="000A1E68">
        <w:t>for Australia’s development</w:t>
      </w:r>
      <w:r w:rsidR="00761698">
        <w:t xml:space="preserve"> assistance to</w:t>
      </w:r>
      <w:r w:rsidRPr="00B43CF4">
        <w:t xml:space="preserve"> Bangladesh</w:t>
      </w:r>
      <w:r w:rsidR="00C0320F" w:rsidRPr="00B43CF4">
        <w:t xml:space="preserve">. </w:t>
      </w:r>
      <w:r w:rsidRPr="00B43CF4">
        <w:t>The BRAC extreme poverty program</w:t>
      </w:r>
      <w:r w:rsidR="004E2D42">
        <w:t xml:space="preserve">, for example, </w:t>
      </w:r>
      <w:r w:rsidRPr="00B43CF4">
        <w:t>is wholly focused on women and female headed households</w:t>
      </w:r>
      <w:r w:rsidR="00C0320F" w:rsidRPr="00B43CF4">
        <w:t xml:space="preserve">. </w:t>
      </w:r>
      <w:r w:rsidRPr="00B43CF4">
        <w:t>The education program has a strong focus on girls and female teachers</w:t>
      </w:r>
      <w:r w:rsidR="00C0320F" w:rsidRPr="00B43CF4">
        <w:t xml:space="preserve">. </w:t>
      </w:r>
      <w:r w:rsidRPr="00B43CF4">
        <w:t>Likewise, health programs focus on antenatal and postnatal women and their babies</w:t>
      </w:r>
      <w:r w:rsidR="00C0320F" w:rsidRPr="00B43CF4">
        <w:t xml:space="preserve">. </w:t>
      </w:r>
      <w:r w:rsidRPr="00B43CF4">
        <w:t xml:space="preserve">AusAID is working to strengthen gender analysis and approaches to gender inequalities across the program.  </w:t>
      </w:r>
    </w:p>
    <w:p w:rsidR="005771AF" w:rsidRPr="00324AB6" w:rsidRDefault="005771AF" w:rsidP="00324AB6">
      <w:pPr>
        <w:pStyle w:val="H3"/>
      </w:pPr>
      <w:bookmarkStart w:id="21" w:name="_Toc360976438"/>
      <w:r w:rsidRPr="00324AB6">
        <w:t>Key results for gender in 2010</w:t>
      </w:r>
      <w:bookmarkEnd w:id="21"/>
    </w:p>
    <w:p w:rsidR="00E34B6E" w:rsidRDefault="00E34B6E" w:rsidP="00E34B6E">
      <w:pPr>
        <w:pStyle w:val="BodyText"/>
        <w:numPr>
          <w:ilvl w:val="0"/>
          <w:numId w:val="21"/>
        </w:numPr>
      </w:pPr>
      <w:r>
        <w:t xml:space="preserve">The BRAC basic education program funded by Australia enabled </w:t>
      </w:r>
      <w:r w:rsidR="00761698">
        <w:t>over 535,000</w:t>
      </w:r>
      <w:r>
        <w:t xml:space="preserve"> girls (60% of </w:t>
      </w:r>
      <w:r w:rsidR="00761698">
        <w:t xml:space="preserve">BRAC </w:t>
      </w:r>
      <w:r>
        <w:t>students) to complete pre-primary and primary school. These girls</w:t>
      </w:r>
      <w:r w:rsidR="004E2D42">
        <w:t>,</w:t>
      </w:r>
      <w:r>
        <w:t xml:space="preserve"> from the most disadvantaged groups, would otherwise not have had the opportunity to enrol or </w:t>
      </w:r>
      <w:r w:rsidR="004E2D42">
        <w:t>stay in</w:t>
      </w:r>
      <w:r>
        <w:t xml:space="preserve"> school</w:t>
      </w:r>
      <w:r w:rsidR="00C0320F">
        <w:t xml:space="preserve">. </w:t>
      </w:r>
      <w:r>
        <w:t xml:space="preserve"> Almost 100% of all BRAC teachers </w:t>
      </w:r>
      <w:r w:rsidR="008A2652">
        <w:t xml:space="preserve">and facilitators </w:t>
      </w:r>
      <w:r>
        <w:t xml:space="preserve">at the community learning centres </w:t>
      </w:r>
      <w:r w:rsidR="00823FBC">
        <w:t xml:space="preserve">and </w:t>
      </w:r>
      <w:r>
        <w:t>in the community based adolescent clubs</w:t>
      </w:r>
      <w:r w:rsidR="008A2652" w:rsidRPr="008A2652">
        <w:t xml:space="preserve"> </w:t>
      </w:r>
      <w:r w:rsidR="008A2652">
        <w:t>are female</w:t>
      </w:r>
      <w:r>
        <w:t>. This is in contrast to the national norm where</w:t>
      </w:r>
      <w:r w:rsidR="00D27A3F">
        <w:t xml:space="preserve"> the</w:t>
      </w:r>
      <w:r>
        <w:t xml:space="preserve"> majority of primary school teacher</w:t>
      </w:r>
      <w:r w:rsidR="008A2652">
        <w:t xml:space="preserve">s </w:t>
      </w:r>
      <w:r>
        <w:t>are male.</w:t>
      </w:r>
    </w:p>
    <w:p w:rsidR="00E34B6E" w:rsidRDefault="00E34B6E" w:rsidP="00E34B6E">
      <w:pPr>
        <w:pStyle w:val="BodyText"/>
        <w:numPr>
          <w:ilvl w:val="0"/>
          <w:numId w:val="21"/>
        </w:numPr>
      </w:pPr>
      <w:r>
        <w:t xml:space="preserve">Through UNICEF’s Maternal Neonatal Child Survival project in Bangladesh, Australia supported </w:t>
      </w:r>
      <w:r w:rsidRPr="00184C65">
        <w:t xml:space="preserve">two </w:t>
      </w:r>
      <w:r w:rsidR="007A05B0" w:rsidRPr="00184C65">
        <w:t>‘</w:t>
      </w:r>
      <w:r w:rsidRPr="00184C65">
        <w:t>women friendly</w:t>
      </w:r>
      <w:r w:rsidR="007A05B0" w:rsidRPr="00184C65">
        <w:t>’</w:t>
      </w:r>
      <w:r w:rsidRPr="00184C65">
        <w:t xml:space="preserve"> hospitals</w:t>
      </w:r>
      <w:r>
        <w:t xml:space="preserve"> to increase women’s confidence in the formal health system</w:t>
      </w:r>
      <w:r w:rsidR="00C0320F">
        <w:t xml:space="preserve">. </w:t>
      </w:r>
      <w:r>
        <w:t xml:space="preserve">By 2010 the two facilities had </w:t>
      </w:r>
      <w:r w:rsidR="001757EB">
        <w:t xml:space="preserve">established </w:t>
      </w:r>
      <w:r>
        <w:t>an information desk for women, developed separate drug dispensing facilities, seating arrangements and separate examination rooms for women.</w:t>
      </w:r>
    </w:p>
    <w:p w:rsidR="00E34B6E" w:rsidRDefault="00E34B6E" w:rsidP="00E34B6E">
      <w:pPr>
        <w:pStyle w:val="BodyText"/>
        <w:numPr>
          <w:ilvl w:val="0"/>
          <w:numId w:val="21"/>
        </w:numPr>
      </w:pPr>
      <w:r>
        <w:t>In 2010 BRAC provided a comprehensive support package—including productive assets</w:t>
      </w:r>
      <w:r w:rsidR="009E77C4">
        <w:t>, for example,</w:t>
      </w:r>
      <w:r>
        <w:t xml:space="preserve"> cow</w:t>
      </w:r>
      <w:r w:rsidR="00761698">
        <w:t>s</w:t>
      </w:r>
      <w:r>
        <w:t xml:space="preserve"> or goats, stipend and training—to</w:t>
      </w:r>
      <w:r w:rsidR="00761698">
        <w:t xml:space="preserve"> over</w:t>
      </w:r>
      <w:r>
        <w:t xml:space="preserve"> 21</w:t>
      </w:r>
      <w:r w:rsidR="00761698">
        <w:t>,</w:t>
      </w:r>
      <w:r>
        <w:t>6</w:t>
      </w:r>
      <w:r w:rsidR="00761698">
        <w:t>00</w:t>
      </w:r>
      <w:r>
        <w:t xml:space="preserve"> extreme poor women in 2010 to develop sustainable income generating enterprises. </w:t>
      </w:r>
    </w:p>
    <w:p w:rsidR="00E34B6E" w:rsidRPr="00324AB6" w:rsidRDefault="00E34B6E" w:rsidP="00E14F20">
      <w:pPr>
        <w:pStyle w:val="H1A"/>
        <w:spacing w:before="360"/>
      </w:pPr>
      <w:bookmarkStart w:id="22" w:name="_Toc360976439"/>
      <w:r w:rsidRPr="00324AB6">
        <w:t>Quality of aid activities</w:t>
      </w:r>
      <w:bookmarkEnd w:id="22"/>
    </w:p>
    <w:p w:rsidR="00330367" w:rsidRDefault="00330367" w:rsidP="00330367">
      <w:pPr>
        <w:pStyle w:val="BodyText"/>
      </w:pPr>
      <w:r>
        <w:t>Monitoring and evaluation at individual program level is generally strong, but requires more focus,</w:t>
      </w:r>
      <w:r w:rsidRPr="00CB2C22">
        <w:t xml:space="preserve"> </w:t>
      </w:r>
      <w:r>
        <w:t xml:space="preserve">particularly at the country strategy level and for scholarships. Through the Bangladesh country strategy process, AusAID is developing a country program Performance Assessment Framework. This will help AusAID to monitor and evaluate the Bangladesh Program better at the country strategy level. </w:t>
      </w:r>
    </w:p>
    <w:p w:rsidR="00E34B6E" w:rsidRDefault="00330367" w:rsidP="00E34B6E">
      <w:pPr>
        <w:pStyle w:val="BodyText"/>
      </w:pPr>
      <w:r>
        <w:t>Q</w:t>
      </w:r>
      <w:r w:rsidR="00E34B6E">
        <w:t>uality assessment</w:t>
      </w:r>
      <w:r w:rsidR="008A2652">
        <w:t>s</w:t>
      </w:r>
      <w:r>
        <w:t xml:space="preserve"> undertaken in 2010</w:t>
      </w:r>
      <w:r w:rsidR="008A2652">
        <w:t xml:space="preserve"> </w:t>
      </w:r>
      <w:r w:rsidR="00761698">
        <w:t>indicate a high quality program.</w:t>
      </w:r>
    </w:p>
    <w:p w:rsidR="00E34B6E" w:rsidRDefault="00E34B6E" w:rsidP="00E34B6E">
      <w:pPr>
        <w:pStyle w:val="BodyText"/>
      </w:pPr>
      <w:r>
        <w:t>Relevance</w:t>
      </w:r>
      <w:r w:rsidR="00B43CF4">
        <w:t xml:space="preserve"> of individual programs</w:t>
      </w:r>
      <w:r>
        <w:t xml:space="preserve"> was </w:t>
      </w:r>
      <w:r w:rsidR="00761698">
        <w:t xml:space="preserve">rated as </w:t>
      </w:r>
      <w:r>
        <w:t xml:space="preserve">generally good, with most </w:t>
      </w:r>
      <w:r w:rsidR="00B43CF4">
        <w:t>(82</w:t>
      </w:r>
      <w:r w:rsidR="00D72F3E">
        <w:t>%</w:t>
      </w:r>
      <w:r w:rsidR="00B43CF4">
        <w:t xml:space="preserve">) </w:t>
      </w:r>
      <w:r>
        <w:t xml:space="preserve">receiving a rating of good or very good. </w:t>
      </w:r>
    </w:p>
    <w:p w:rsidR="00E34B6E" w:rsidRDefault="00E34B6E" w:rsidP="00E34B6E">
      <w:pPr>
        <w:pStyle w:val="BodyText"/>
      </w:pPr>
      <w:r>
        <w:t xml:space="preserve">Effectiveness was </w:t>
      </w:r>
      <w:r w:rsidR="00B43CF4">
        <w:t xml:space="preserve">also </w:t>
      </w:r>
      <w:r w:rsidR="00761698">
        <w:t xml:space="preserve">considered </w:t>
      </w:r>
      <w:r>
        <w:t xml:space="preserve">good with 73 % of </w:t>
      </w:r>
      <w:r w:rsidR="00B43CF4">
        <w:t xml:space="preserve">programs </w:t>
      </w:r>
      <w:r>
        <w:t>rated as effective</w:t>
      </w:r>
      <w:r w:rsidR="00C0320F">
        <w:t xml:space="preserve">. </w:t>
      </w:r>
      <w:r>
        <w:t>The</w:t>
      </w:r>
      <w:r w:rsidR="0006340A">
        <w:t xml:space="preserve">re is a strong focus on women and girls </w:t>
      </w:r>
      <w:r>
        <w:t xml:space="preserve">across all programs and AusAID </w:t>
      </w:r>
      <w:r w:rsidR="00B43CF4">
        <w:t>will continue</w:t>
      </w:r>
      <w:r>
        <w:t xml:space="preserve"> to strengthen gender inequality in Bangladesh. Other </w:t>
      </w:r>
      <w:r w:rsidR="00B43CF4">
        <w:t xml:space="preserve">key </w:t>
      </w:r>
      <w:r>
        <w:t>cross cutting issues need to be more consistently addressed and reflected in reporting</w:t>
      </w:r>
      <w:r w:rsidR="00B43CF4">
        <w:t xml:space="preserve"> in 2011, including </w:t>
      </w:r>
      <w:r w:rsidR="00CE42C7">
        <w:t>through</w:t>
      </w:r>
      <w:r w:rsidR="00B43CF4">
        <w:t xml:space="preserve"> studies on</w:t>
      </w:r>
      <w:r>
        <w:t xml:space="preserve"> urban poverty, ethnic minority groups, disability</w:t>
      </w:r>
      <w:r w:rsidRPr="004A70EB">
        <w:t xml:space="preserve"> </w:t>
      </w:r>
      <w:r>
        <w:t>and gender</w:t>
      </w:r>
      <w:r w:rsidR="00C0320F">
        <w:t xml:space="preserve">. </w:t>
      </w:r>
      <w:r>
        <w:t>Nutrition</w:t>
      </w:r>
      <w:r w:rsidR="00B43CF4">
        <w:t xml:space="preserve"> and </w:t>
      </w:r>
      <w:r>
        <w:t>food insecurity is another key cross cutting issue need</w:t>
      </w:r>
      <w:r w:rsidR="00CE42C7">
        <w:t>ing</w:t>
      </w:r>
      <w:r>
        <w:t xml:space="preserve"> attention.</w:t>
      </w:r>
    </w:p>
    <w:p w:rsidR="00E34B6E" w:rsidRDefault="00E34B6E" w:rsidP="00E34B6E">
      <w:pPr>
        <w:pStyle w:val="BodyText"/>
      </w:pPr>
      <w:r>
        <w:t xml:space="preserve">AusAID made positive steps </w:t>
      </w:r>
      <w:r w:rsidR="00BF5089">
        <w:t xml:space="preserve">towards </w:t>
      </w:r>
      <w:r w:rsidR="00127C1F">
        <w:t xml:space="preserve">the </w:t>
      </w:r>
      <w:r w:rsidR="00BF5089">
        <w:t xml:space="preserve">Paris Declaration </w:t>
      </w:r>
      <w:r w:rsidR="00127C1F">
        <w:t xml:space="preserve">on Aid Effectiveness and the Accra Agenda </w:t>
      </w:r>
      <w:r w:rsidR="002A09C7">
        <w:t>in Bangladesh</w:t>
      </w:r>
      <w:r>
        <w:t xml:space="preserve"> in 2010</w:t>
      </w:r>
      <w:r w:rsidR="00C0320F">
        <w:t xml:space="preserve">. </w:t>
      </w:r>
      <w:r w:rsidR="002B00CF">
        <w:t xml:space="preserve">An important milestone was reached in </w:t>
      </w:r>
      <w:r>
        <w:t xml:space="preserve">June 2010 </w:t>
      </w:r>
      <w:r w:rsidR="002B00CF">
        <w:t xml:space="preserve">when </w:t>
      </w:r>
      <w:r>
        <w:t xml:space="preserve">Australia signed a Joint Cooperation Strategy with the </w:t>
      </w:r>
      <w:r w:rsidR="0055354A">
        <w:t>G</w:t>
      </w:r>
      <w:r w:rsidR="00761698">
        <w:t>overnment of Bangladesh</w:t>
      </w:r>
      <w:r>
        <w:t xml:space="preserve"> and 18</w:t>
      </w:r>
      <w:r w:rsidR="007A05B0">
        <w:t> </w:t>
      </w:r>
      <w:r>
        <w:t>development partners to improve aid effectiveness in the country</w:t>
      </w:r>
      <w:r w:rsidR="00C0320F">
        <w:t xml:space="preserve">. </w:t>
      </w:r>
      <w:r>
        <w:t xml:space="preserve">Programming decisions were shaped by a commitment to harmonise assistance and work through </w:t>
      </w:r>
      <w:r w:rsidR="00761698">
        <w:t>the Government of Bangladesh</w:t>
      </w:r>
      <w:r>
        <w:t xml:space="preserve"> systems including </w:t>
      </w:r>
      <w:r w:rsidR="00CE42C7">
        <w:t xml:space="preserve">with </w:t>
      </w:r>
      <w:r>
        <w:t xml:space="preserve">proposed support </w:t>
      </w:r>
      <w:r w:rsidR="00CE42C7">
        <w:t xml:space="preserve">for </w:t>
      </w:r>
      <w:r>
        <w:t xml:space="preserve">the next phases of </w:t>
      </w:r>
      <w:r w:rsidR="0055354A">
        <w:t>e</w:t>
      </w:r>
      <w:r w:rsidRPr="00266A5A">
        <w:t xml:space="preserve">ducation and </w:t>
      </w:r>
      <w:r w:rsidR="0055354A">
        <w:t>h</w:t>
      </w:r>
      <w:r w:rsidRPr="00266A5A">
        <w:t>ealth</w:t>
      </w:r>
      <w:r w:rsidR="00CE42C7">
        <w:t>-</w:t>
      </w:r>
      <w:r w:rsidR="00266A5A">
        <w:t>sector approach</w:t>
      </w:r>
      <w:r>
        <w:t>.</w:t>
      </w:r>
    </w:p>
    <w:p w:rsidR="00E34B6E" w:rsidRDefault="00E34B6E" w:rsidP="00E34B6E">
      <w:pPr>
        <w:pStyle w:val="BodyText"/>
      </w:pPr>
      <w:r>
        <w:lastRenderedPageBreak/>
        <w:t xml:space="preserve">Further efforts to </w:t>
      </w:r>
      <w:r w:rsidR="00CE42C7">
        <w:t xml:space="preserve">improve </w:t>
      </w:r>
      <w:r>
        <w:t xml:space="preserve">donor harmonisation were made by Australia becoming one of </w:t>
      </w:r>
      <w:r w:rsidR="00CA3514">
        <w:t>six</w:t>
      </w:r>
      <w:r>
        <w:t xml:space="preserve"> development partner representatives on the Executive Committee of the Local Consultative Group, the </w:t>
      </w:r>
      <w:r w:rsidRPr="00CE42C7">
        <w:t>coordination mechanism for development assistance in Bangladesh</w:t>
      </w:r>
      <w:r w:rsidR="00C0320F" w:rsidRPr="00CE42C7">
        <w:t xml:space="preserve">. </w:t>
      </w:r>
      <w:r w:rsidRPr="00CE42C7">
        <w:t xml:space="preserve">Australia also engaged in the </w:t>
      </w:r>
      <w:r w:rsidR="00CE42C7">
        <w:t xml:space="preserve">group </w:t>
      </w:r>
      <w:r w:rsidRPr="00CE42C7">
        <w:t>plenary and several</w:t>
      </w:r>
      <w:r w:rsidR="00CE42C7">
        <w:t xml:space="preserve"> of its</w:t>
      </w:r>
      <w:r w:rsidRPr="00CE42C7">
        <w:t xml:space="preserve"> </w:t>
      </w:r>
      <w:r w:rsidR="007A05B0" w:rsidRPr="00CE42C7">
        <w:t>s</w:t>
      </w:r>
      <w:r w:rsidRPr="00CE42C7">
        <w:t>ubgroups</w:t>
      </w:r>
      <w:r w:rsidR="009E77C4" w:rsidRPr="00CE42C7">
        <w:t>—</w:t>
      </w:r>
      <w:r w:rsidRPr="00CE42C7">
        <w:t>health, education, poverty, urban, climate change, water and sanitation</w:t>
      </w:r>
      <w:r w:rsidR="00CE42C7">
        <w:t>,</w:t>
      </w:r>
      <w:r w:rsidRPr="00CE42C7">
        <w:t xml:space="preserve"> and disaster </w:t>
      </w:r>
      <w:r w:rsidR="007A05B0" w:rsidRPr="00CE42C7">
        <w:t>and</w:t>
      </w:r>
      <w:r w:rsidRPr="00CE42C7">
        <w:t xml:space="preserve"> emergency relief.</w:t>
      </w:r>
      <w:r w:rsidRPr="00FA1EE9">
        <w:t xml:space="preserve"> </w:t>
      </w:r>
    </w:p>
    <w:p w:rsidR="00E34B6E" w:rsidRPr="00324AB6" w:rsidRDefault="00E34B6E" w:rsidP="00E14F20">
      <w:pPr>
        <w:pStyle w:val="H1A"/>
        <w:spacing w:before="360"/>
      </w:pPr>
      <w:bookmarkStart w:id="23" w:name="_Toc360976440"/>
      <w:r w:rsidRPr="00324AB6">
        <w:t xml:space="preserve">Next </w:t>
      </w:r>
      <w:r w:rsidR="005D5F00" w:rsidRPr="00324AB6">
        <w:t>s</w:t>
      </w:r>
      <w:r w:rsidRPr="00324AB6">
        <w:t>teps</w:t>
      </w:r>
      <w:bookmarkEnd w:id="23"/>
    </w:p>
    <w:p w:rsidR="00E34B6E" w:rsidRDefault="00CE42C7" w:rsidP="00E34B6E">
      <w:pPr>
        <w:pStyle w:val="BodyText"/>
      </w:pPr>
      <w:r>
        <w:t xml:space="preserve">Australia’s </w:t>
      </w:r>
      <w:r w:rsidR="00E34B6E">
        <w:t>forward agenda in Bangladesh is to support a more direct relationship with the G</w:t>
      </w:r>
      <w:r w:rsidR="00761698">
        <w:t>overnment of Bangladesh</w:t>
      </w:r>
      <w:r w:rsidR="00ED74DD">
        <w:t>, while continu</w:t>
      </w:r>
      <w:r w:rsidR="00BF5089">
        <w:t>ing</w:t>
      </w:r>
      <w:r w:rsidR="00ED74DD">
        <w:t xml:space="preserve"> </w:t>
      </w:r>
      <w:r w:rsidR="00BF5089">
        <w:t>to build upon our current</w:t>
      </w:r>
      <w:r w:rsidR="00ED74DD">
        <w:t xml:space="preserve"> partnerships with local NGOs and other international organisations. AusAID’s Bangladesh program will continue </w:t>
      </w:r>
      <w:r w:rsidR="00E34B6E">
        <w:t>to deliver an increased amount of aid</w:t>
      </w:r>
      <w:r w:rsidR="00E34B6E" w:rsidRPr="006A63A7">
        <w:t xml:space="preserve"> </w:t>
      </w:r>
      <w:r w:rsidR="00E34B6E">
        <w:t xml:space="preserve">by </w:t>
      </w:r>
      <w:r w:rsidR="00E34B6E" w:rsidRPr="006A63A7">
        <w:t>2015</w:t>
      </w:r>
      <w:r w:rsidR="009E77C4">
        <w:t>–</w:t>
      </w:r>
      <w:r w:rsidR="00E34B6E">
        <w:t xml:space="preserve">16, with a clear focus on results.  </w:t>
      </w:r>
    </w:p>
    <w:p w:rsidR="00E34B6E" w:rsidRDefault="00BF5089" w:rsidP="00E34B6E">
      <w:pPr>
        <w:pStyle w:val="BodyText"/>
      </w:pPr>
      <w:r>
        <w:t xml:space="preserve">Australia plans to review and finalise its strategic objectives for aid in Bangladesh following the </w:t>
      </w:r>
      <w:r w:rsidR="00291B5E">
        <w:t xml:space="preserve">release of Australia’s new aid policy </w:t>
      </w:r>
      <w:r w:rsidR="00127C1F">
        <w:t>in 2011</w:t>
      </w:r>
      <w:r>
        <w:t xml:space="preserve">.  </w:t>
      </w:r>
      <w:r w:rsidR="00127C1F">
        <w:t xml:space="preserve">As part of this process </w:t>
      </w:r>
      <w:r w:rsidR="00ED74DD">
        <w:t>i</w:t>
      </w:r>
      <w:r w:rsidR="00E34B6E">
        <w:t>n 2011</w:t>
      </w:r>
      <w:r w:rsidR="00127C1F">
        <w:t>-12</w:t>
      </w:r>
      <w:r w:rsidR="00E34B6E">
        <w:t xml:space="preserve"> Australia </w:t>
      </w:r>
      <w:r w:rsidR="0055354A">
        <w:t>and</w:t>
      </w:r>
      <w:r w:rsidR="00E34B6E">
        <w:t xml:space="preserve"> the</w:t>
      </w:r>
      <w:r w:rsidR="003E4F5E">
        <w:t xml:space="preserve"> Government of Bangladesh</w:t>
      </w:r>
      <w:r w:rsidR="00E34B6E">
        <w:t xml:space="preserve"> </w:t>
      </w:r>
      <w:r w:rsidR="0055354A">
        <w:t>will agree on</w:t>
      </w:r>
      <w:r w:rsidR="00E34B6E">
        <w:t xml:space="preserve"> shared development outcomes</w:t>
      </w:r>
      <w:r w:rsidR="00C0320F">
        <w:t xml:space="preserve">. </w:t>
      </w:r>
      <w:r w:rsidR="00E34B6E">
        <w:t xml:space="preserve">These will be articulated in a Performance Assessment Framework for the Bangladesh program. </w:t>
      </w:r>
    </w:p>
    <w:p w:rsidR="00E34B6E" w:rsidRDefault="00E34B6E" w:rsidP="00E34B6E">
      <w:pPr>
        <w:pStyle w:val="BodyText"/>
      </w:pPr>
      <w:r>
        <w:t xml:space="preserve">To ensure that cross-cutting themes identified in the </w:t>
      </w:r>
      <w:r w:rsidRPr="00170789">
        <w:rPr>
          <w:i/>
        </w:rPr>
        <w:t xml:space="preserve">Australia’s Strategic </w:t>
      </w:r>
      <w:r>
        <w:rPr>
          <w:i/>
        </w:rPr>
        <w:t>A</w:t>
      </w:r>
      <w:r w:rsidRPr="00170789">
        <w:rPr>
          <w:i/>
        </w:rPr>
        <w:t xml:space="preserve">pproach to </w:t>
      </w:r>
      <w:r>
        <w:rPr>
          <w:i/>
        </w:rPr>
        <w:t>A</w:t>
      </w:r>
      <w:r w:rsidRPr="00170789">
        <w:rPr>
          <w:i/>
        </w:rPr>
        <w:t>id in Bangladesh</w:t>
      </w:r>
      <w:r>
        <w:t xml:space="preserve"> are adequately addressed, in 2011 the Bangladesh program will conduct </w:t>
      </w:r>
      <w:r w:rsidR="00D153C7">
        <w:t xml:space="preserve">studies </w:t>
      </w:r>
      <w:r>
        <w:t>on cross-cutting issues</w:t>
      </w:r>
      <w:r w:rsidR="00C0320F">
        <w:t xml:space="preserve">. </w:t>
      </w:r>
      <w:r>
        <w:t>The</w:t>
      </w:r>
      <w:r w:rsidR="00D153C7">
        <w:t xml:space="preserve"> resulting analysis will be used to develop</w:t>
      </w:r>
      <w:r>
        <w:t xml:space="preserve"> recommend</w:t>
      </w:r>
      <w:r w:rsidR="00D153C7">
        <w:t>ation</w:t>
      </w:r>
      <w:r w:rsidR="00291B5E">
        <w:t>s</w:t>
      </w:r>
      <w:r w:rsidR="00D153C7">
        <w:t xml:space="preserve"> on how</w:t>
      </w:r>
      <w:r>
        <w:t xml:space="preserve"> the Australian aid program can strengthen its support for urban poverty, ethnic minority groups, </w:t>
      </w:r>
      <w:proofErr w:type="gramStart"/>
      <w:r>
        <w:t>disability</w:t>
      </w:r>
      <w:proofErr w:type="gramEnd"/>
      <w:r>
        <w:t xml:space="preserve"> and</w:t>
      </w:r>
      <w:r w:rsidRPr="004A70EB">
        <w:t xml:space="preserve"> </w:t>
      </w:r>
      <w:r>
        <w:t>gender</w:t>
      </w:r>
      <w:r w:rsidRPr="000755B9">
        <w:t xml:space="preserve"> </w:t>
      </w:r>
      <w:r>
        <w:t>issues, working as much as possible through our existing programs.</w:t>
      </w:r>
      <w:r w:rsidDel="002C1875">
        <w:t xml:space="preserve"> </w:t>
      </w:r>
      <w:r>
        <w:t xml:space="preserve"> </w:t>
      </w:r>
    </w:p>
    <w:p w:rsidR="00E34B6E" w:rsidRDefault="00E34B6E" w:rsidP="00E34B6E">
      <w:pPr>
        <w:pStyle w:val="BodyText"/>
      </w:pPr>
      <w:r>
        <w:t>A</w:t>
      </w:r>
      <w:r w:rsidRPr="00D5575E">
        <w:t xml:space="preserve"> key focus in 2010 was to prepare the </w:t>
      </w:r>
      <w:r>
        <w:t xml:space="preserve">Bangladesh </w:t>
      </w:r>
      <w:r w:rsidRPr="00D5575E">
        <w:t xml:space="preserve">program to </w:t>
      </w:r>
      <w:r w:rsidR="00E600BE">
        <w:t xml:space="preserve">move towards supporting </w:t>
      </w:r>
      <w:r w:rsidRPr="00D5575E">
        <w:t>larger partnership</w:t>
      </w:r>
      <w:r w:rsidR="00E600BE">
        <w:t xml:space="preserve">s </w:t>
      </w:r>
      <w:r>
        <w:t>with the G</w:t>
      </w:r>
      <w:r w:rsidR="00761698">
        <w:t>overnment of Bangladesh</w:t>
      </w:r>
      <w:r>
        <w:t xml:space="preserve"> and other development partners</w:t>
      </w:r>
      <w:r w:rsidR="00C0320F">
        <w:t xml:space="preserve">. </w:t>
      </w:r>
      <w:r>
        <w:t xml:space="preserve">In 2011 </w:t>
      </w:r>
      <w:r w:rsidR="00E600BE">
        <w:t>AusAID</w:t>
      </w:r>
      <w:r>
        <w:t xml:space="preserve"> will</w:t>
      </w:r>
      <w:r w:rsidR="00E600BE">
        <w:t xml:space="preserve"> </w:t>
      </w:r>
      <w:r>
        <w:t>enter into large G</w:t>
      </w:r>
      <w:r w:rsidR="00761698">
        <w:t>overnment of Bangladesh</w:t>
      </w:r>
      <w:r w:rsidR="0055354A">
        <w:t>-</w:t>
      </w:r>
      <w:r>
        <w:t>led</w:t>
      </w:r>
      <w:r w:rsidR="0055354A">
        <w:t>,</w:t>
      </w:r>
      <w:r>
        <w:t xml:space="preserve"> multi-donor partnerships </w:t>
      </w:r>
      <w:r w:rsidRPr="00C81858">
        <w:t xml:space="preserve">in </w:t>
      </w:r>
      <w:r w:rsidR="0055354A">
        <w:t>h</w:t>
      </w:r>
      <w:r w:rsidRPr="00C81858">
        <w:t xml:space="preserve">ealth and </w:t>
      </w:r>
      <w:r w:rsidR="0055354A">
        <w:t>e</w:t>
      </w:r>
      <w:r w:rsidRPr="00C81858">
        <w:t xml:space="preserve">ducation </w:t>
      </w:r>
      <w:r>
        <w:t xml:space="preserve">and join with </w:t>
      </w:r>
      <w:r w:rsidR="00447C9A" w:rsidRPr="0052271F">
        <w:rPr>
          <w:rFonts w:cs="Arial"/>
        </w:rPr>
        <w:t xml:space="preserve">United Kingdom Department for International </w:t>
      </w:r>
      <w:r w:rsidR="00447C9A" w:rsidRPr="00266A5A">
        <w:rPr>
          <w:rFonts w:cs="Arial"/>
        </w:rPr>
        <w:t>Development</w:t>
      </w:r>
      <w:r w:rsidR="00447C9A">
        <w:t xml:space="preserve"> </w:t>
      </w:r>
      <w:r>
        <w:t xml:space="preserve">in establishing </w:t>
      </w:r>
      <w:r w:rsidRPr="00C81858">
        <w:t xml:space="preserve">a </w:t>
      </w:r>
      <w:r>
        <w:t>S</w:t>
      </w:r>
      <w:r w:rsidRPr="00C81858">
        <w:t xml:space="preserve">trategic </w:t>
      </w:r>
      <w:r>
        <w:t>P</w:t>
      </w:r>
      <w:r w:rsidRPr="00C81858">
        <w:t xml:space="preserve">artnership </w:t>
      </w:r>
      <w:r>
        <w:t>A</w:t>
      </w:r>
      <w:r w:rsidRPr="00C81858">
        <w:t>greement with BRAC</w:t>
      </w:r>
      <w:r>
        <w:t xml:space="preserve">.  </w:t>
      </w:r>
    </w:p>
    <w:p w:rsidR="00D04DD6" w:rsidRPr="00BC36DE" w:rsidRDefault="00ED74DD" w:rsidP="00D3610A">
      <w:pPr>
        <w:pStyle w:val="BodyText"/>
      </w:pPr>
      <w:r>
        <w:t>AusAID</w:t>
      </w:r>
      <w:r w:rsidR="00E34B6E">
        <w:t xml:space="preserve"> will continue to build a team of internal managers and specialists to support </w:t>
      </w:r>
      <w:r w:rsidR="00D153C7">
        <w:t xml:space="preserve">this new style of </w:t>
      </w:r>
      <w:r w:rsidR="00E34B6E">
        <w:t>engagement</w:t>
      </w:r>
      <w:r w:rsidR="00E600BE">
        <w:t xml:space="preserve"> in Bangladesh</w:t>
      </w:r>
      <w:r w:rsidR="00C0320F">
        <w:t>.</w:t>
      </w:r>
      <w:r w:rsidR="00F40467">
        <w:t xml:space="preserve">  </w:t>
      </w:r>
      <w:r w:rsidR="00E34B6E">
        <w:t>In 2011</w:t>
      </w:r>
      <w:r w:rsidR="004134C4">
        <w:t>-12,</w:t>
      </w:r>
      <w:r w:rsidR="00E34B6E">
        <w:t xml:space="preserve"> the Bangladesh program will conduct workforce planning to ensure the right human resources</w:t>
      </w:r>
      <w:r w:rsidR="0055354A">
        <w:t xml:space="preserve"> are on hand</w:t>
      </w:r>
      <w:r w:rsidR="00E34B6E">
        <w:t xml:space="preserve"> to support the effective delivery of aid</w:t>
      </w:r>
      <w:r w:rsidR="004134C4">
        <w:t>,</w:t>
      </w:r>
      <w:r w:rsidR="00E34B6E">
        <w:t xml:space="preserve"> as we move towards the expected future </w:t>
      </w:r>
      <w:r w:rsidR="00E600BE">
        <w:t xml:space="preserve">overall </w:t>
      </w:r>
      <w:r w:rsidR="00E34B6E">
        <w:t>increase in Australian aid by 2015</w:t>
      </w:r>
      <w:r w:rsidR="00792A03">
        <w:t xml:space="preserve"> to 0.5 </w:t>
      </w:r>
      <w:r w:rsidR="00D3610A">
        <w:t xml:space="preserve">% </w:t>
      </w:r>
      <w:r w:rsidR="00792A03">
        <w:t>o</w:t>
      </w:r>
      <w:r w:rsidR="00761698">
        <w:t>f the Gross National Income.</w:t>
      </w:r>
    </w:p>
    <w:sectPr w:rsidR="00D04DD6" w:rsidRPr="00BC36DE" w:rsidSect="00E77D0C">
      <w:headerReference w:type="even" r:id="rId14"/>
      <w:footerReference w:type="even" r:id="rId15"/>
      <w:footerReference w:type="default" r:id="rId16"/>
      <w:footerReference w:type="first" r:id="rId17"/>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21" w:rsidRDefault="00254C21">
      <w:r>
        <w:separator/>
      </w:r>
    </w:p>
    <w:p w:rsidR="00254C21" w:rsidRDefault="00254C21"/>
    <w:p w:rsidR="00254C21" w:rsidRDefault="00254C21"/>
    <w:p w:rsidR="00254C21" w:rsidRDefault="00254C21"/>
  </w:endnote>
  <w:endnote w:type="continuationSeparator" w:id="0">
    <w:p w:rsidR="00254C21" w:rsidRDefault="00254C21">
      <w:r>
        <w:continuationSeparator/>
      </w:r>
    </w:p>
    <w:p w:rsidR="00254C21" w:rsidRDefault="00254C21"/>
    <w:p w:rsidR="00254C21" w:rsidRDefault="00254C21"/>
    <w:p w:rsidR="00254C21" w:rsidRDefault="00254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42">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68" w:rsidRPr="00AD612A" w:rsidRDefault="00E14F20">
    <w:pPr>
      <w:pStyle w:val="Footer"/>
    </w:pPr>
    <w:r>
      <w:rPr>
        <w:noProof/>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 name="Picture 256" descr="Description: 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Description: 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E68" w:rsidRPr="007C1ECE">
      <w:tab/>
    </w:r>
    <w:r w:rsidR="000A1E68">
      <w:tab/>
    </w:r>
    <w:r w:rsidR="000A1E68">
      <w:tab/>
    </w:r>
    <w:r w:rsidR="000A1E68">
      <w:rPr>
        <w:rStyle w:val="PageNumber"/>
      </w:rPr>
      <w:fldChar w:fldCharType="begin"/>
    </w:r>
    <w:r w:rsidR="000A1E68">
      <w:rPr>
        <w:rStyle w:val="PageNumber"/>
      </w:rPr>
      <w:instrText xml:space="preserve"> PAGE </w:instrText>
    </w:r>
    <w:r w:rsidR="000A1E68">
      <w:rPr>
        <w:rStyle w:val="PageNumber"/>
      </w:rPr>
      <w:fldChar w:fldCharType="separate"/>
    </w:r>
    <w:r w:rsidR="002D2EEF">
      <w:rPr>
        <w:rStyle w:val="PageNumber"/>
        <w:noProof/>
      </w:rPr>
      <w:t>1</w:t>
    </w:r>
    <w:r w:rsidR="000A1E68">
      <w:rPr>
        <w:rStyle w:val="PageNumber"/>
      </w:rPr>
      <w:fldChar w:fldCharType="end"/>
    </w:r>
  </w:p>
  <w:p w:rsidR="000A1E68" w:rsidRDefault="000A1E68" w:rsidP="002B2514"/>
  <w:p w:rsidR="00B241DE" w:rsidRDefault="00B241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EF" w:rsidRDefault="00E14F20" w:rsidP="002D2EEF">
    <w:pPr>
      <w:pStyle w:val="Footer"/>
      <w:ind w:left="0"/>
      <w:rPr>
        <w:noProof/>
      </w:rP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1" name="Picture 274"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EEF">
      <w:rPr>
        <w:noProof/>
      </w:rPr>
      <w:t>Bangladesh Development Cooperation Report 2010</w:t>
    </w:r>
  </w:p>
  <w:p w:rsidR="00B241DE" w:rsidRDefault="000A1E68" w:rsidP="002D2EEF">
    <w:pPr>
      <w:pStyle w:val="Footer"/>
      <w:ind w:left="0"/>
    </w:pP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8A2154">
      <w:rPr>
        <w:rStyle w:val="PageNumber"/>
        <w:noProof/>
      </w:rPr>
      <w:t>9</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68" w:rsidRDefault="000A1E68">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8A2154">
      <w:rPr>
        <w:rStyle w:val="PageNumber"/>
        <w:noProof/>
      </w:rPr>
      <w:t>1</w:t>
    </w:r>
    <w:r>
      <w:rPr>
        <w:rStyle w:val="PageNumber"/>
      </w:rPr>
      <w:fldChar w:fldCharType="end"/>
    </w:r>
  </w:p>
  <w:p w:rsidR="00B241DE" w:rsidRDefault="00B241DE" w:rsidP="002D2E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21" w:rsidRDefault="00254C21" w:rsidP="00D62AA4">
      <w:pPr>
        <w:spacing w:before="60" w:after="40" w:line="180" w:lineRule="exact"/>
      </w:pPr>
      <w:r>
        <w:continuationSeparator/>
      </w:r>
    </w:p>
    <w:p w:rsidR="00254C21" w:rsidRDefault="00254C21"/>
    <w:p w:rsidR="00254C21" w:rsidRDefault="00254C21"/>
  </w:footnote>
  <w:footnote w:type="continuationSeparator" w:id="0">
    <w:p w:rsidR="00254C21" w:rsidRDefault="00254C21">
      <w:r>
        <w:continuationSeparator/>
      </w:r>
    </w:p>
    <w:p w:rsidR="00254C21" w:rsidRDefault="00254C21"/>
    <w:p w:rsidR="00254C21" w:rsidRDefault="00254C21"/>
    <w:p w:rsidR="00254C21" w:rsidRDefault="00254C21"/>
  </w:footnote>
  <w:footnote w:type="continuationNotice" w:id="1">
    <w:p w:rsidR="00254C21" w:rsidRDefault="00254C21"/>
    <w:p w:rsidR="00254C21" w:rsidRDefault="00254C21"/>
    <w:p w:rsidR="00254C21" w:rsidRDefault="00254C21"/>
    <w:p w:rsidR="00254C21" w:rsidRDefault="00254C21"/>
  </w:footnote>
  <w:footnote w:id="2">
    <w:p w:rsidR="000A1E68" w:rsidRDefault="000A1E68" w:rsidP="004D31A0">
      <w:pPr>
        <w:pStyle w:val="FootnoteText"/>
      </w:pPr>
      <w:r>
        <w:rPr>
          <w:rStyle w:val="FootnoteReference"/>
        </w:rPr>
        <w:footnoteRef/>
      </w:r>
      <w:r>
        <w:t xml:space="preserve"> </w:t>
      </w:r>
      <w:r w:rsidRPr="009172B6">
        <w:t>Bangladesh Maternal Mortality Survey released in 2011, co-funded by AusAID</w:t>
      </w:r>
      <w:r>
        <w:t>.</w:t>
      </w:r>
    </w:p>
  </w:footnote>
  <w:footnote w:id="3">
    <w:p w:rsidR="000A1E68" w:rsidRPr="009172B6" w:rsidRDefault="000A1E68" w:rsidP="00E34B6E">
      <w:pPr>
        <w:pStyle w:val="FootnoteText"/>
      </w:pPr>
      <w:r>
        <w:rPr>
          <w:rStyle w:val="FootnoteReference"/>
        </w:rPr>
        <w:footnoteRef/>
      </w:r>
      <w:r>
        <w:t xml:space="preserve"> </w:t>
      </w:r>
      <w:proofErr w:type="gramStart"/>
      <w:r>
        <w:t xml:space="preserve">National Institute of Population Research and Training (NIPORT) 2011 </w:t>
      </w:r>
      <w:r w:rsidRPr="00556A97">
        <w:rPr>
          <w:i/>
        </w:rPr>
        <w:t>Bangladesh Maternal Mortality Surve</w:t>
      </w:r>
      <w:r>
        <w:rPr>
          <w:i/>
        </w:rPr>
        <w:t xml:space="preserve">y </w:t>
      </w:r>
      <w:r>
        <w:t>.</w:t>
      </w:r>
      <w:r w:rsidRPr="009172B6">
        <w:t>co-funded by AusAID</w:t>
      </w:r>
      <w:r>
        <w:t>.</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68" w:rsidRDefault="00E14F20"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3" name="Picture 262"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E68" w:rsidRDefault="000A1E68" w:rsidP="00B744B2"/>
  <w:p w:rsidR="00B241DE" w:rsidRDefault="00B241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251E"/>
    <w:multiLevelType w:val="hybridMultilevel"/>
    <w:tmpl w:val="1EC6F6F6"/>
    <w:lvl w:ilvl="0" w:tplc="D95AF8B8">
      <w:start w:val="1"/>
      <w:numFmt w:val="bullet"/>
      <w:lvlText w:val="&gt;"/>
      <w:lvlJc w:val="left"/>
      <w:pPr>
        <w:tabs>
          <w:tab w:val="num" w:pos="360"/>
        </w:tabs>
        <w:ind w:left="360" w:hanging="360"/>
      </w:pPr>
      <w:rPr>
        <w:rFonts w:ascii="font242" w:hAnsi="font242" w:hint="default"/>
        <w:color w:val="auto"/>
        <w:position w:val="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ED52CA3"/>
    <w:multiLevelType w:val="hybridMultilevel"/>
    <w:tmpl w:val="397A83E8"/>
    <w:lvl w:ilvl="0" w:tplc="9B12A9EC">
      <w:numFmt w:val="bullet"/>
      <w:lvlText w:val="•"/>
      <w:lvlJc w:val="left"/>
      <w:pPr>
        <w:ind w:left="720" w:hanging="360"/>
      </w:pPr>
      <w:rPr>
        <w:rFonts w:ascii="Georgia" w:eastAsia="Times New Roman"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F23EC232">
      <w:start w:val="1"/>
      <w:numFmt w:val="lowerLetter"/>
      <w:pStyle w:val="TableListNumber2"/>
      <w:lvlText w:val="%1."/>
      <w:lvlJc w:val="left"/>
      <w:pPr>
        <w:tabs>
          <w:tab w:val="num" w:pos="454"/>
        </w:tabs>
        <w:ind w:left="454" w:hanging="227"/>
      </w:pPr>
      <w:rPr>
        <w:rFonts w:hint="default"/>
      </w:rPr>
    </w:lvl>
    <w:lvl w:ilvl="1" w:tplc="847AD1B8" w:tentative="1">
      <w:start w:val="1"/>
      <w:numFmt w:val="lowerLetter"/>
      <w:lvlText w:val="%2."/>
      <w:lvlJc w:val="left"/>
      <w:pPr>
        <w:tabs>
          <w:tab w:val="num" w:pos="1440"/>
        </w:tabs>
        <w:ind w:left="1440" w:hanging="360"/>
      </w:pPr>
    </w:lvl>
    <w:lvl w:ilvl="2" w:tplc="F7F8A62C" w:tentative="1">
      <w:start w:val="1"/>
      <w:numFmt w:val="lowerRoman"/>
      <w:lvlText w:val="%3."/>
      <w:lvlJc w:val="right"/>
      <w:pPr>
        <w:tabs>
          <w:tab w:val="num" w:pos="2160"/>
        </w:tabs>
        <w:ind w:left="2160" w:hanging="180"/>
      </w:pPr>
    </w:lvl>
    <w:lvl w:ilvl="3" w:tplc="96D4D8BE" w:tentative="1">
      <w:start w:val="1"/>
      <w:numFmt w:val="decimal"/>
      <w:lvlText w:val="%4."/>
      <w:lvlJc w:val="left"/>
      <w:pPr>
        <w:tabs>
          <w:tab w:val="num" w:pos="2880"/>
        </w:tabs>
        <w:ind w:left="2880" w:hanging="360"/>
      </w:pPr>
    </w:lvl>
    <w:lvl w:ilvl="4" w:tplc="8EA24AB4" w:tentative="1">
      <w:start w:val="1"/>
      <w:numFmt w:val="lowerLetter"/>
      <w:lvlText w:val="%5."/>
      <w:lvlJc w:val="left"/>
      <w:pPr>
        <w:tabs>
          <w:tab w:val="num" w:pos="3600"/>
        </w:tabs>
        <w:ind w:left="3600" w:hanging="360"/>
      </w:pPr>
    </w:lvl>
    <w:lvl w:ilvl="5" w:tplc="2FF4FE2E" w:tentative="1">
      <w:start w:val="1"/>
      <w:numFmt w:val="lowerRoman"/>
      <w:lvlText w:val="%6."/>
      <w:lvlJc w:val="right"/>
      <w:pPr>
        <w:tabs>
          <w:tab w:val="num" w:pos="4320"/>
        </w:tabs>
        <w:ind w:left="4320" w:hanging="180"/>
      </w:pPr>
    </w:lvl>
    <w:lvl w:ilvl="6" w:tplc="AE7AF398" w:tentative="1">
      <w:start w:val="1"/>
      <w:numFmt w:val="decimal"/>
      <w:lvlText w:val="%7."/>
      <w:lvlJc w:val="left"/>
      <w:pPr>
        <w:tabs>
          <w:tab w:val="num" w:pos="5040"/>
        </w:tabs>
        <w:ind w:left="5040" w:hanging="360"/>
      </w:pPr>
    </w:lvl>
    <w:lvl w:ilvl="7" w:tplc="C6924156" w:tentative="1">
      <w:start w:val="1"/>
      <w:numFmt w:val="lowerLetter"/>
      <w:lvlText w:val="%8."/>
      <w:lvlJc w:val="left"/>
      <w:pPr>
        <w:tabs>
          <w:tab w:val="num" w:pos="5760"/>
        </w:tabs>
        <w:ind w:left="5760" w:hanging="360"/>
      </w:pPr>
    </w:lvl>
    <w:lvl w:ilvl="8" w:tplc="E3A03156"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517167A"/>
    <w:multiLevelType w:val="hybridMultilevel"/>
    <w:tmpl w:val="917604EC"/>
    <w:lvl w:ilvl="0" w:tplc="85941988">
      <w:start w:val="1"/>
      <w:numFmt w:val="bullet"/>
      <w:lvlText w:val="&gt;"/>
      <w:lvlJc w:val="left"/>
      <w:pPr>
        <w:ind w:left="720" w:hanging="360"/>
      </w:pPr>
      <w:rPr>
        <w:rFonts w:ascii="font242" w:hAnsi="font242" w:hint="default"/>
        <w:color w:val="auto"/>
        <w:position w:val="0"/>
      </w:rPr>
    </w:lvl>
    <w:lvl w:ilvl="1" w:tplc="238C13A4">
      <w:start w:val="1"/>
      <w:numFmt w:val="bullet"/>
      <w:lvlText w:val="&gt;"/>
      <w:lvlJc w:val="left"/>
      <w:pPr>
        <w:ind w:left="360" w:hanging="360"/>
      </w:pPr>
      <w:rPr>
        <w:rFonts w:ascii="font242" w:hAnsi="font242" w:hint="default"/>
        <w:color w:val="000000"/>
        <w:position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462C1D"/>
    <w:multiLevelType w:val="hybridMultilevel"/>
    <w:tmpl w:val="DC46177E"/>
    <w:lvl w:ilvl="0" w:tplc="D95AF8B8">
      <w:start w:val="1"/>
      <w:numFmt w:val="bullet"/>
      <w:lvlText w:val="&gt;"/>
      <w:lvlJc w:val="left"/>
      <w:pPr>
        <w:tabs>
          <w:tab w:val="num" w:pos="360"/>
        </w:tabs>
        <w:ind w:left="360" w:hanging="360"/>
      </w:pPr>
      <w:rPr>
        <w:rFonts w:ascii="font242" w:hAnsi="font242" w:hint="default"/>
        <w:color w:val="auto"/>
        <w:position w:val="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345565A8"/>
    <w:multiLevelType w:val="hybridMultilevel"/>
    <w:tmpl w:val="D98C720C"/>
    <w:lvl w:ilvl="0" w:tplc="DB6678E8">
      <w:start w:val="1"/>
      <w:numFmt w:val="bullet"/>
      <w:lvlText w:val="&gt;"/>
      <w:lvlJc w:val="left"/>
      <w:pPr>
        <w:ind w:left="720" w:hanging="360"/>
      </w:pPr>
      <w:rPr>
        <w:rFonts w:ascii="font242" w:hAnsi="font242" w:hint="default"/>
        <w:color w:val="0000FF"/>
        <w:position w:val="0"/>
      </w:rPr>
    </w:lvl>
    <w:lvl w:ilvl="1" w:tplc="9A7644E8">
      <w:start w:val="1"/>
      <w:numFmt w:val="bullet"/>
      <w:lvlText w:val="&gt;"/>
      <w:lvlJc w:val="left"/>
      <w:pPr>
        <w:ind w:left="360" w:hanging="360"/>
      </w:pPr>
      <w:rPr>
        <w:rFonts w:ascii="font242" w:hAnsi="font242" w:hint="default"/>
        <w:color w:val="000000"/>
        <w:position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233F6B"/>
    <w:multiLevelType w:val="hybridMultilevel"/>
    <w:tmpl w:val="53929CB2"/>
    <w:lvl w:ilvl="0" w:tplc="40FA40E0">
      <w:start w:val="1"/>
      <w:numFmt w:val="lowerLetter"/>
      <w:pStyle w:val="BoxListNumber2"/>
      <w:lvlText w:val="%1."/>
      <w:lvlJc w:val="left"/>
      <w:pPr>
        <w:tabs>
          <w:tab w:val="num" w:pos="567"/>
        </w:tabs>
        <w:ind w:left="567" w:hanging="283"/>
      </w:pPr>
      <w:rPr>
        <w:rFonts w:hint="default"/>
      </w:rPr>
    </w:lvl>
    <w:lvl w:ilvl="1" w:tplc="49E8B4E8" w:tentative="1">
      <w:start w:val="1"/>
      <w:numFmt w:val="lowerLetter"/>
      <w:lvlText w:val="%2."/>
      <w:lvlJc w:val="left"/>
      <w:pPr>
        <w:tabs>
          <w:tab w:val="num" w:pos="1440"/>
        </w:tabs>
        <w:ind w:left="1440" w:hanging="360"/>
      </w:pPr>
    </w:lvl>
    <w:lvl w:ilvl="2" w:tplc="D3086214" w:tentative="1">
      <w:start w:val="1"/>
      <w:numFmt w:val="lowerRoman"/>
      <w:lvlText w:val="%3."/>
      <w:lvlJc w:val="right"/>
      <w:pPr>
        <w:tabs>
          <w:tab w:val="num" w:pos="2160"/>
        </w:tabs>
        <w:ind w:left="2160" w:hanging="180"/>
      </w:pPr>
    </w:lvl>
    <w:lvl w:ilvl="3" w:tplc="16C04A7E" w:tentative="1">
      <w:start w:val="1"/>
      <w:numFmt w:val="decimal"/>
      <w:lvlText w:val="%4."/>
      <w:lvlJc w:val="left"/>
      <w:pPr>
        <w:tabs>
          <w:tab w:val="num" w:pos="2880"/>
        </w:tabs>
        <w:ind w:left="2880" w:hanging="360"/>
      </w:pPr>
    </w:lvl>
    <w:lvl w:ilvl="4" w:tplc="5088BFA8" w:tentative="1">
      <w:start w:val="1"/>
      <w:numFmt w:val="lowerLetter"/>
      <w:lvlText w:val="%5."/>
      <w:lvlJc w:val="left"/>
      <w:pPr>
        <w:tabs>
          <w:tab w:val="num" w:pos="3600"/>
        </w:tabs>
        <w:ind w:left="3600" w:hanging="360"/>
      </w:pPr>
    </w:lvl>
    <w:lvl w:ilvl="5" w:tplc="05C6C690" w:tentative="1">
      <w:start w:val="1"/>
      <w:numFmt w:val="lowerRoman"/>
      <w:lvlText w:val="%6."/>
      <w:lvlJc w:val="right"/>
      <w:pPr>
        <w:tabs>
          <w:tab w:val="num" w:pos="4320"/>
        </w:tabs>
        <w:ind w:left="4320" w:hanging="180"/>
      </w:pPr>
    </w:lvl>
    <w:lvl w:ilvl="6" w:tplc="28D86702" w:tentative="1">
      <w:start w:val="1"/>
      <w:numFmt w:val="decimal"/>
      <w:lvlText w:val="%7."/>
      <w:lvlJc w:val="left"/>
      <w:pPr>
        <w:tabs>
          <w:tab w:val="num" w:pos="5040"/>
        </w:tabs>
        <w:ind w:left="5040" w:hanging="360"/>
      </w:pPr>
    </w:lvl>
    <w:lvl w:ilvl="7" w:tplc="4C28F3BA" w:tentative="1">
      <w:start w:val="1"/>
      <w:numFmt w:val="lowerLetter"/>
      <w:lvlText w:val="%8."/>
      <w:lvlJc w:val="left"/>
      <w:pPr>
        <w:tabs>
          <w:tab w:val="num" w:pos="5760"/>
        </w:tabs>
        <w:ind w:left="5760" w:hanging="360"/>
      </w:pPr>
    </w:lvl>
    <w:lvl w:ilvl="8" w:tplc="ABC09A6C" w:tentative="1">
      <w:start w:val="1"/>
      <w:numFmt w:val="lowerRoman"/>
      <w:lvlText w:val="%9."/>
      <w:lvlJc w:val="right"/>
      <w:pPr>
        <w:tabs>
          <w:tab w:val="num" w:pos="6480"/>
        </w:tabs>
        <w:ind w:left="6480" w:hanging="180"/>
      </w:pPr>
    </w:lvl>
  </w:abstractNum>
  <w:abstractNum w:abstractNumId="11">
    <w:nsid w:val="3FF42DE5"/>
    <w:multiLevelType w:val="hybridMultilevel"/>
    <w:tmpl w:val="D7E02BE0"/>
    <w:lvl w:ilvl="0" w:tplc="85941988">
      <w:start w:val="1"/>
      <w:numFmt w:val="bullet"/>
      <w:lvlText w:val="&gt;"/>
      <w:lvlJc w:val="left"/>
      <w:pPr>
        <w:ind w:left="360" w:hanging="360"/>
      </w:pPr>
      <w:rPr>
        <w:rFonts w:ascii="font242" w:hAnsi="font242" w:hint="default"/>
        <w:color w:val="auto"/>
        <w:position w:val="0"/>
      </w:rPr>
    </w:lvl>
    <w:lvl w:ilvl="1" w:tplc="23888D6C">
      <w:numFmt w:val="bullet"/>
      <w:lvlText w:val="•"/>
      <w:lvlJc w:val="left"/>
      <w:pPr>
        <w:ind w:left="1080" w:hanging="360"/>
      </w:pPr>
      <w:rPr>
        <w:rFonts w:ascii="Georgia" w:eastAsia="Times New Roman" w:hAnsi="Georgi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6CD579B"/>
    <w:multiLevelType w:val="hybridMultilevel"/>
    <w:tmpl w:val="36F2514A"/>
    <w:lvl w:ilvl="0" w:tplc="AB92A3A2">
      <w:start w:val="1"/>
      <w:numFmt w:val="bullet"/>
      <w:pStyle w:val="BoxListBullet"/>
      <w:lvlText w:val="&gt;"/>
      <w:lvlJc w:val="left"/>
      <w:pPr>
        <w:tabs>
          <w:tab w:val="num" w:pos="284"/>
        </w:tabs>
        <w:ind w:left="284" w:hanging="284"/>
      </w:pPr>
      <w:rPr>
        <w:rFonts w:hint="default"/>
        <w:color w:val="auto"/>
      </w:rPr>
    </w:lvl>
    <w:lvl w:ilvl="1" w:tplc="FF58A000" w:tentative="1">
      <w:start w:val="1"/>
      <w:numFmt w:val="bullet"/>
      <w:lvlText w:val="o"/>
      <w:lvlJc w:val="left"/>
      <w:pPr>
        <w:tabs>
          <w:tab w:val="num" w:pos="1440"/>
        </w:tabs>
        <w:ind w:left="1440" w:hanging="360"/>
      </w:pPr>
      <w:rPr>
        <w:rFonts w:ascii="Courier New" w:hAnsi="Courier New" w:cs="Courier New" w:hint="default"/>
      </w:rPr>
    </w:lvl>
    <w:lvl w:ilvl="2" w:tplc="BEA439CA" w:tentative="1">
      <w:start w:val="1"/>
      <w:numFmt w:val="bullet"/>
      <w:lvlText w:val=""/>
      <w:lvlJc w:val="left"/>
      <w:pPr>
        <w:tabs>
          <w:tab w:val="num" w:pos="2160"/>
        </w:tabs>
        <w:ind w:left="2160" w:hanging="360"/>
      </w:pPr>
      <w:rPr>
        <w:rFonts w:ascii="Wingdings" w:hAnsi="Wingdings" w:hint="default"/>
      </w:rPr>
    </w:lvl>
    <w:lvl w:ilvl="3" w:tplc="8B329188" w:tentative="1">
      <w:start w:val="1"/>
      <w:numFmt w:val="bullet"/>
      <w:lvlText w:val=""/>
      <w:lvlJc w:val="left"/>
      <w:pPr>
        <w:tabs>
          <w:tab w:val="num" w:pos="2880"/>
        </w:tabs>
        <w:ind w:left="2880" w:hanging="360"/>
      </w:pPr>
      <w:rPr>
        <w:rFonts w:ascii="Symbol" w:hAnsi="Symbol" w:hint="default"/>
      </w:rPr>
    </w:lvl>
    <w:lvl w:ilvl="4" w:tplc="A1608C0E" w:tentative="1">
      <w:start w:val="1"/>
      <w:numFmt w:val="bullet"/>
      <w:lvlText w:val="o"/>
      <w:lvlJc w:val="left"/>
      <w:pPr>
        <w:tabs>
          <w:tab w:val="num" w:pos="3600"/>
        </w:tabs>
        <w:ind w:left="3600" w:hanging="360"/>
      </w:pPr>
      <w:rPr>
        <w:rFonts w:ascii="Courier New" w:hAnsi="Courier New" w:cs="Courier New" w:hint="default"/>
      </w:rPr>
    </w:lvl>
    <w:lvl w:ilvl="5" w:tplc="7BC22FBE" w:tentative="1">
      <w:start w:val="1"/>
      <w:numFmt w:val="bullet"/>
      <w:lvlText w:val=""/>
      <w:lvlJc w:val="left"/>
      <w:pPr>
        <w:tabs>
          <w:tab w:val="num" w:pos="4320"/>
        </w:tabs>
        <w:ind w:left="4320" w:hanging="360"/>
      </w:pPr>
      <w:rPr>
        <w:rFonts w:ascii="Wingdings" w:hAnsi="Wingdings" w:hint="default"/>
      </w:rPr>
    </w:lvl>
    <w:lvl w:ilvl="6" w:tplc="07EAE454" w:tentative="1">
      <w:start w:val="1"/>
      <w:numFmt w:val="bullet"/>
      <w:lvlText w:val=""/>
      <w:lvlJc w:val="left"/>
      <w:pPr>
        <w:tabs>
          <w:tab w:val="num" w:pos="5040"/>
        </w:tabs>
        <w:ind w:left="5040" w:hanging="360"/>
      </w:pPr>
      <w:rPr>
        <w:rFonts w:ascii="Symbol" w:hAnsi="Symbol" w:hint="default"/>
      </w:rPr>
    </w:lvl>
    <w:lvl w:ilvl="7" w:tplc="0B029AA4" w:tentative="1">
      <w:start w:val="1"/>
      <w:numFmt w:val="bullet"/>
      <w:lvlText w:val="o"/>
      <w:lvlJc w:val="left"/>
      <w:pPr>
        <w:tabs>
          <w:tab w:val="num" w:pos="5760"/>
        </w:tabs>
        <w:ind w:left="5760" w:hanging="360"/>
      </w:pPr>
      <w:rPr>
        <w:rFonts w:ascii="Courier New" w:hAnsi="Courier New" w:cs="Courier New" w:hint="default"/>
      </w:rPr>
    </w:lvl>
    <w:lvl w:ilvl="8" w:tplc="F16EA9E4" w:tentative="1">
      <w:start w:val="1"/>
      <w:numFmt w:val="bullet"/>
      <w:lvlText w:val=""/>
      <w:lvlJc w:val="left"/>
      <w:pPr>
        <w:tabs>
          <w:tab w:val="num" w:pos="6480"/>
        </w:tabs>
        <w:ind w:left="6480" w:hanging="360"/>
      </w:pPr>
      <w:rPr>
        <w:rFonts w:ascii="Wingdings" w:hAnsi="Wingdings" w:hint="default"/>
      </w:rPr>
    </w:lvl>
  </w:abstractNum>
  <w:abstractNum w:abstractNumId="13">
    <w:nsid w:val="529619A5"/>
    <w:multiLevelType w:val="hybridMultilevel"/>
    <w:tmpl w:val="86587DFA"/>
    <w:lvl w:ilvl="0" w:tplc="8680583A">
      <w:start w:val="1"/>
      <w:numFmt w:val="bullet"/>
      <w:lvlText w:val="&gt;"/>
      <w:lvlJc w:val="left"/>
      <w:pPr>
        <w:tabs>
          <w:tab w:val="num" w:pos="360"/>
        </w:tabs>
        <w:ind w:left="360" w:hanging="360"/>
      </w:pPr>
      <w:rPr>
        <w:rFonts w:ascii="font242" w:hAnsi="font242" w:hint="default"/>
        <w:color w:val="auto"/>
        <w:position w:val="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98A5214"/>
    <w:multiLevelType w:val="hybridMultilevel"/>
    <w:tmpl w:val="0B5AC610"/>
    <w:lvl w:ilvl="0" w:tplc="EE3AB634">
      <w:start w:val="1"/>
      <w:numFmt w:val="decimal"/>
      <w:pStyle w:val="TableListNumber"/>
      <w:lvlText w:val="%1."/>
      <w:lvlJc w:val="left"/>
      <w:pPr>
        <w:tabs>
          <w:tab w:val="num" w:pos="227"/>
        </w:tabs>
        <w:ind w:left="227" w:hanging="227"/>
      </w:pPr>
      <w:rPr>
        <w:rFonts w:hint="default"/>
      </w:rPr>
    </w:lvl>
    <w:lvl w:ilvl="1" w:tplc="778E1CB0">
      <w:start w:val="1"/>
      <w:numFmt w:val="lowerLetter"/>
      <w:lvlText w:val="%2."/>
      <w:lvlJc w:val="left"/>
      <w:pPr>
        <w:tabs>
          <w:tab w:val="num" w:pos="1440"/>
        </w:tabs>
        <w:ind w:left="1440" w:hanging="360"/>
      </w:pPr>
    </w:lvl>
    <w:lvl w:ilvl="2" w:tplc="E6E2223C" w:tentative="1">
      <w:start w:val="1"/>
      <w:numFmt w:val="lowerRoman"/>
      <w:lvlText w:val="%3."/>
      <w:lvlJc w:val="right"/>
      <w:pPr>
        <w:tabs>
          <w:tab w:val="num" w:pos="2160"/>
        </w:tabs>
        <w:ind w:left="2160" w:hanging="180"/>
      </w:pPr>
    </w:lvl>
    <w:lvl w:ilvl="3" w:tplc="C2BC3788" w:tentative="1">
      <w:start w:val="1"/>
      <w:numFmt w:val="decimal"/>
      <w:lvlText w:val="%4."/>
      <w:lvlJc w:val="left"/>
      <w:pPr>
        <w:tabs>
          <w:tab w:val="num" w:pos="2880"/>
        </w:tabs>
        <w:ind w:left="2880" w:hanging="360"/>
      </w:pPr>
    </w:lvl>
    <w:lvl w:ilvl="4" w:tplc="EB3846B0" w:tentative="1">
      <w:start w:val="1"/>
      <w:numFmt w:val="lowerLetter"/>
      <w:lvlText w:val="%5."/>
      <w:lvlJc w:val="left"/>
      <w:pPr>
        <w:tabs>
          <w:tab w:val="num" w:pos="3600"/>
        </w:tabs>
        <w:ind w:left="3600" w:hanging="360"/>
      </w:pPr>
    </w:lvl>
    <w:lvl w:ilvl="5" w:tplc="26700A08" w:tentative="1">
      <w:start w:val="1"/>
      <w:numFmt w:val="lowerRoman"/>
      <w:lvlText w:val="%6."/>
      <w:lvlJc w:val="right"/>
      <w:pPr>
        <w:tabs>
          <w:tab w:val="num" w:pos="4320"/>
        </w:tabs>
        <w:ind w:left="4320" w:hanging="180"/>
      </w:pPr>
    </w:lvl>
    <w:lvl w:ilvl="6" w:tplc="3F00651E" w:tentative="1">
      <w:start w:val="1"/>
      <w:numFmt w:val="decimal"/>
      <w:lvlText w:val="%7."/>
      <w:lvlJc w:val="left"/>
      <w:pPr>
        <w:tabs>
          <w:tab w:val="num" w:pos="5040"/>
        </w:tabs>
        <w:ind w:left="5040" w:hanging="360"/>
      </w:pPr>
    </w:lvl>
    <w:lvl w:ilvl="7" w:tplc="BE86A240" w:tentative="1">
      <w:start w:val="1"/>
      <w:numFmt w:val="lowerLetter"/>
      <w:lvlText w:val="%8."/>
      <w:lvlJc w:val="left"/>
      <w:pPr>
        <w:tabs>
          <w:tab w:val="num" w:pos="5760"/>
        </w:tabs>
        <w:ind w:left="5760" w:hanging="360"/>
      </w:pPr>
    </w:lvl>
    <w:lvl w:ilvl="8" w:tplc="F626A890" w:tentative="1">
      <w:start w:val="1"/>
      <w:numFmt w:val="lowerRoman"/>
      <w:lvlText w:val="%9."/>
      <w:lvlJc w:val="right"/>
      <w:pPr>
        <w:tabs>
          <w:tab w:val="num" w:pos="6480"/>
        </w:tabs>
        <w:ind w:left="6480" w:hanging="180"/>
      </w:pPr>
    </w:lvl>
  </w:abstractNum>
  <w:abstractNum w:abstractNumId="17">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B487B36"/>
    <w:multiLevelType w:val="hybridMultilevel"/>
    <w:tmpl w:val="BF4C802C"/>
    <w:lvl w:ilvl="0" w:tplc="B8CE577C">
      <w:start w:val="1"/>
      <w:numFmt w:val="bullet"/>
      <w:lvlText w:val="&gt;"/>
      <w:lvlJc w:val="left"/>
      <w:pPr>
        <w:tabs>
          <w:tab w:val="num" w:pos="360"/>
        </w:tabs>
        <w:ind w:left="360" w:hanging="360"/>
      </w:pPr>
      <w:rPr>
        <w:rFonts w:ascii="font242" w:hAnsi="font242" w:hint="default"/>
        <w:color w:val="auto"/>
        <w:position w:val="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vertAlign w:val="baseline"/>
        <w:em w:val="no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2">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147238"/>
    <w:multiLevelType w:val="hybridMultilevel"/>
    <w:tmpl w:val="903E36B4"/>
    <w:lvl w:ilvl="0" w:tplc="F91C4E26">
      <w:numFmt w:val="bullet"/>
      <w:lvlText w:val="•"/>
      <w:lvlJc w:val="left"/>
      <w:pPr>
        <w:ind w:left="720" w:hanging="360"/>
      </w:pPr>
      <w:rPr>
        <w:rFonts w:ascii="Georgia" w:eastAsia="Times New Roman"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3A242E"/>
    <w:multiLevelType w:val="hybridMultilevel"/>
    <w:tmpl w:val="1F566C14"/>
    <w:lvl w:ilvl="0" w:tplc="B56A3D88">
      <w:start w:val="1"/>
      <w:numFmt w:val="bullet"/>
      <w:lvlText w:val="&gt;"/>
      <w:lvlJc w:val="left"/>
      <w:pPr>
        <w:ind w:left="360" w:hanging="360"/>
      </w:pPr>
      <w:rPr>
        <w:rFonts w:ascii="font242" w:hAnsi="font242" w:hint="default"/>
        <w:color w:val="000000"/>
        <w:position w:val="0"/>
      </w:rPr>
    </w:lvl>
    <w:lvl w:ilvl="1" w:tplc="49D4CEC6">
      <w:numFmt w:val="bullet"/>
      <w:lvlText w:val="•"/>
      <w:lvlJc w:val="left"/>
      <w:pPr>
        <w:ind w:left="1080" w:hanging="360"/>
      </w:pPr>
      <w:rPr>
        <w:rFonts w:ascii="Georgia" w:eastAsia="Times New Roman" w:hAnsi="Georgi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9E1124E"/>
    <w:multiLevelType w:val="hybridMultilevel"/>
    <w:tmpl w:val="6D42E656"/>
    <w:lvl w:ilvl="0" w:tplc="52A262BE">
      <w:start w:val="1"/>
      <w:numFmt w:val="lowerLetter"/>
      <w:pStyle w:val="ListNumber2"/>
      <w:lvlText w:val="%1."/>
      <w:lvlJc w:val="left"/>
      <w:pPr>
        <w:tabs>
          <w:tab w:val="num" w:pos="567"/>
        </w:tabs>
        <w:ind w:left="567" w:hanging="283"/>
      </w:pPr>
      <w:rPr>
        <w:rFonts w:hint="default"/>
      </w:rPr>
    </w:lvl>
    <w:lvl w:ilvl="1" w:tplc="A0241E24" w:tentative="1">
      <w:start w:val="1"/>
      <w:numFmt w:val="lowerLetter"/>
      <w:lvlText w:val="%2."/>
      <w:lvlJc w:val="left"/>
      <w:pPr>
        <w:tabs>
          <w:tab w:val="num" w:pos="1440"/>
        </w:tabs>
        <w:ind w:left="1440" w:hanging="360"/>
      </w:pPr>
    </w:lvl>
    <w:lvl w:ilvl="2" w:tplc="C45CB38C" w:tentative="1">
      <w:start w:val="1"/>
      <w:numFmt w:val="lowerRoman"/>
      <w:lvlText w:val="%3."/>
      <w:lvlJc w:val="right"/>
      <w:pPr>
        <w:tabs>
          <w:tab w:val="num" w:pos="2160"/>
        </w:tabs>
        <w:ind w:left="2160" w:hanging="180"/>
      </w:pPr>
    </w:lvl>
    <w:lvl w:ilvl="3" w:tplc="99B4136A" w:tentative="1">
      <w:start w:val="1"/>
      <w:numFmt w:val="decimal"/>
      <w:lvlText w:val="%4."/>
      <w:lvlJc w:val="left"/>
      <w:pPr>
        <w:tabs>
          <w:tab w:val="num" w:pos="2880"/>
        </w:tabs>
        <w:ind w:left="2880" w:hanging="360"/>
      </w:pPr>
    </w:lvl>
    <w:lvl w:ilvl="4" w:tplc="4F028810" w:tentative="1">
      <w:start w:val="1"/>
      <w:numFmt w:val="lowerLetter"/>
      <w:lvlText w:val="%5."/>
      <w:lvlJc w:val="left"/>
      <w:pPr>
        <w:tabs>
          <w:tab w:val="num" w:pos="3600"/>
        </w:tabs>
        <w:ind w:left="3600" w:hanging="360"/>
      </w:pPr>
    </w:lvl>
    <w:lvl w:ilvl="5" w:tplc="6B4A4F52" w:tentative="1">
      <w:start w:val="1"/>
      <w:numFmt w:val="lowerRoman"/>
      <w:lvlText w:val="%6."/>
      <w:lvlJc w:val="right"/>
      <w:pPr>
        <w:tabs>
          <w:tab w:val="num" w:pos="4320"/>
        </w:tabs>
        <w:ind w:left="4320" w:hanging="180"/>
      </w:pPr>
    </w:lvl>
    <w:lvl w:ilvl="6" w:tplc="85324548" w:tentative="1">
      <w:start w:val="1"/>
      <w:numFmt w:val="decimal"/>
      <w:lvlText w:val="%7."/>
      <w:lvlJc w:val="left"/>
      <w:pPr>
        <w:tabs>
          <w:tab w:val="num" w:pos="5040"/>
        </w:tabs>
        <w:ind w:left="5040" w:hanging="360"/>
      </w:pPr>
    </w:lvl>
    <w:lvl w:ilvl="7" w:tplc="6C521C74" w:tentative="1">
      <w:start w:val="1"/>
      <w:numFmt w:val="lowerLetter"/>
      <w:lvlText w:val="%8."/>
      <w:lvlJc w:val="left"/>
      <w:pPr>
        <w:tabs>
          <w:tab w:val="num" w:pos="5760"/>
        </w:tabs>
        <w:ind w:left="5760" w:hanging="360"/>
      </w:pPr>
    </w:lvl>
    <w:lvl w:ilvl="8" w:tplc="E02EC252" w:tentative="1">
      <w:start w:val="1"/>
      <w:numFmt w:val="lowerRoman"/>
      <w:lvlText w:val="%9."/>
      <w:lvlJc w:val="right"/>
      <w:pPr>
        <w:tabs>
          <w:tab w:val="num" w:pos="6480"/>
        </w:tabs>
        <w:ind w:left="6480" w:hanging="180"/>
      </w:pPr>
    </w:lvl>
  </w:abstractNum>
  <w:abstractNum w:abstractNumId="26">
    <w:nsid w:val="7F7A528B"/>
    <w:multiLevelType w:val="hybridMultilevel"/>
    <w:tmpl w:val="4ADC517C"/>
    <w:lvl w:ilvl="0" w:tplc="6AE2F43C">
      <w:start w:val="1"/>
      <w:numFmt w:val="bullet"/>
      <w:lvlText w:val="&gt;"/>
      <w:lvlJc w:val="left"/>
      <w:pPr>
        <w:tabs>
          <w:tab w:val="num" w:pos="284"/>
        </w:tabs>
        <w:ind w:left="284" w:hanging="284"/>
      </w:pPr>
      <w:rPr>
        <w:rFonts w:hint="default"/>
        <w:color w:val="auto"/>
        <w:position w:val="3"/>
      </w:rPr>
    </w:lvl>
    <w:lvl w:ilvl="1" w:tplc="5EB268BA" w:tentative="1">
      <w:start w:val="1"/>
      <w:numFmt w:val="bullet"/>
      <w:lvlText w:val="o"/>
      <w:lvlJc w:val="left"/>
      <w:pPr>
        <w:tabs>
          <w:tab w:val="num" w:pos="1440"/>
        </w:tabs>
        <w:ind w:left="1440" w:hanging="360"/>
      </w:pPr>
      <w:rPr>
        <w:rFonts w:ascii="Courier New" w:hAnsi="Courier New" w:cs="Courier New" w:hint="default"/>
      </w:rPr>
    </w:lvl>
    <w:lvl w:ilvl="2" w:tplc="047C7F88" w:tentative="1">
      <w:start w:val="1"/>
      <w:numFmt w:val="bullet"/>
      <w:lvlText w:val=""/>
      <w:lvlJc w:val="left"/>
      <w:pPr>
        <w:tabs>
          <w:tab w:val="num" w:pos="2160"/>
        </w:tabs>
        <w:ind w:left="2160" w:hanging="360"/>
      </w:pPr>
      <w:rPr>
        <w:rFonts w:ascii="Wingdings" w:hAnsi="Wingdings" w:hint="default"/>
      </w:rPr>
    </w:lvl>
    <w:lvl w:ilvl="3" w:tplc="E44CBA10" w:tentative="1">
      <w:start w:val="1"/>
      <w:numFmt w:val="bullet"/>
      <w:lvlText w:val=""/>
      <w:lvlJc w:val="left"/>
      <w:pPr>
        <w:tabs>
          <w:tab w:val="num" w:pos="2880"/>
        </w:tabs>
        <w:ind w:left="2880" w:hanging="360"/>
      </w:pPr>
      <w:rPr>
        <w:rFonts w:ascii="Symbol" w:hAnsi="Symbol" w:hint="default"/>
      </w:rPr>
    </w:lvl>
    <w:lvl w:ilvl="4" w:tplc="A1D63644" w:tentative="1">
      <w:start w:val="1"/>
      <w:numFmt w:val="bullet"/>
      <w:lvlText w:val="o"/>
      <w:lvlJc w:val="left"/>
      <w:pPr>
        <w:tabs>
          <w:tab w:val="num" w:pos="3600"/>
        </w:tabs>
        <w:ind w:left="3600" w:hanging="360"/>
      </w:pPr>
      <w:rPr>
        <w:rFonts w:ascii="Courier New" w:hAnsi="Courier New" w:cs="Courier New" w:hint="default"/>
      </w:rPr>
    </w:lvl>
    <w:lvl w:ilvl="5" w:tplc="1770723C" w:tentative="1">
      <w:start w:val="1"/>
      <w:numFmt w:val="bullet"/>
      <w:lvlText w:val=""/>
      <w:lvlJc w:val="left"/>
      <w:pPr>
        <w:tabs>
          <w:tab w:val="num" w:pos="4320"/>
        </w:tabs>
        <w:ind w:left="4320" w:hanging="360"/>
      </w:pPr>
      <w:rPr>
        <w:rFonts w:ascii="Wingdings" w:hAnsi="Wingdings" w:hint="default"/>
      </w:rPr>
    </w:lvl>
    <w:lvl w:ilvl="6" w:tplc="DC58C0D2" w:tentative="1">
      <w:start w:val="1"/>
      <w:numFmt w:val="bullet"/>
      <w:lvlText w:val=""/>
      <w:lvlJc w:val="left"/>
      <w:pPr>
        <w:tabs>
          <w:tab w:val="num" w:pos="5040"/>
        </w:tabs>
        <w:ind w:left="5040" w:hanging="360"/>
      </w:pPr>
      <w:rPr>
        <w:rFonts w:ascii="Symbol" w:hAnsi="Symbol" w:hint="default"/>
      </w:rPr>
    </w:lvl>
    <w:lvl w:ilvl="7" w:tplc="CD94474E" w:tentative="1">
      <w:start w:val="1"/>
      <w:numFmt w:val="bullet"/>
      <w:lvlText w:val="o"/>
      <w:lvlJc w:val="left"/>
      <w:pPr>
        <w:tabs>
          <w:tab w:val="num" w:pos="5760"/>
        </w:tabs>
        <w:ind w:left="5760" w:hanging="360"/>
      </w:pPr>
      <w:rPr>
        <w:rFonts w:ascii="Courier New" w:hAnsi="Courier New" w:cs="Courier New" w:hint="default"/>
      </w:rPr>
    </w:lvl>
    <w:lvl w:ilvl="8" w:tplc="0CD827EA"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10"/>
  </w:num>
  <w:num w:numId="4">
    <w:abstractNumId w:val="15"/>
  </w:num>
  <w:num w:numId="5">
    <w:abstractNumId w:val="12"/>
  </w:num>
  <w:num w:numId="6">
    <w:abstractNumId w:val="9"/>
  </w:num>
  <w:num w:numId="7">
    <w:abstractNumId w:val="18"/>
  </w:num>
  <w:num w:numId="8">
    <w:abstractNumId w:val="19"/>
  </w:num>
  <w:num w:numId="9">
    <w:abstractNumId w:val="2"/>
  </w:num>
  <w:num w:numId="10">
    <w:abstractNumId w:val="14"/>
  </w:num>
  <w:num w:numId="11">
    <w:abstractNumId w:val="22"/>
  </w:num>
  <w:num w:numId="12">
    <w:abstractNumId w:val="5"/>
  </w:num>
  <w:num w:numId="13">
    <w:abstractNumId w:val="4"/>
  </w:num>
  <w:num w:numId="14">
    <w:abstractNumId w:val="25"/>
  </w:num>
  <w:num w:numId="15">
    <w:abstractNumId w:val="26"/>
  </w:num>
  <w:num w:numId="16">
    <w:abstractNumId w:val="21"/>
  </w:num>
  <w:num w:numId="17">
    <w:abstractNumId w:val="17"/>
  </w:num>
  <w:num w:numId="18">
    <w:abstractNumId w:val="13"/>
  </w:num>
  <w:num w:numId="19">
    <w:abstractNumId w:val="0"/>
  </w:num>
  <w:num w:numId="20">
    <w:abstractNumId w:val="20"/>
  </w:num>
  <w:num w:numId="21">
    <w:abstractNumId w:val="7"/>
  </w:num>
  <w:num w:numId="22">
    <w:abstractNumId w:val="11"/>
  </w:num>
  <w:num w:numId="23">
    <w:abstractNumId w:val="23"/>
  </w:num>
  <w:num w:numId="24">
    <w:abstractNumId w:val="24"/>
  </w:num>
  <w:num w:numId="25">
    <w:abstractNumId w:val="1"/>
  </w:num>
  <w:num w:numId="26">
    <w:abstractNumId w:val="6"/>
  </w:num>
  <w:num w:numId="2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3210"/>
    <w:rsid w:val="00004368"/>
    <w:rsid w:val="00011550"/>
    <w:rsid w:val="0001170C"/>
    <w:rsid w:val="000129D7"/>
    <w:rsid w:val="0001356A"/>
    <w:rsid w:val="00014038"/>
    <w:rsid w:val="0001508D"/>
    <w:rsid w:val="00015DBC"/>
    <w:rsid w:val="00016771"/>
    <w:rsid w:val="00016CBA"/>
    <w:rsid w:val="00017D33"/>
    <w:rsid w:val="00017E33"/>
    <w:rsid w:val="00020CA6"/>
    <w:rsid w:val="000211DA"/>
    <w:rsid w:val="0002235F"/>
    <w:rsid w:val="00022D41"/>
    <w:rsid w:val="0002545E"/>
    <w:rsid w:val="000257E7"/>
    <w:rsid w:val="00030588"/>
    <w:rsid w:val="0003385B"/>
    <w:rsid w:val="00034B41"/>
    <w:rsid w:val="00034E45"/>
    <w:rsid w:val="00035E2A"/>
    <w:rsid w:val="00037673"/>
    <w:rsid w:val="000433AB"/>
    <w:rsid w:val="00044EDD"/>
    <w:rsid w:val="000452A6"/>
    <w:rsid w:val="0004636D"/>
    <w:rsid w:val="00046974"/>
    <w:rsid w:val="000513B2"/>
    <w:rsid w:val="00053BB3"/>
    <w:rsid w:val="00053D8A"/>
    <w:rsid w:val="00060624"/>
    <w:rsid w:val="00060A32"/>
    <w:rsid w:val="00061389"/>
    <w:rsid w:val="0006340A"/>
    <w:rsid w:val="00063AA8"/>
    <w:rsid w:val="00063C90"/>
    <w:rsid w:val="000655EB"/>
    <w:rsid w:val="00065B9A"/>
    <w:rsid w:val="00065C12"/>
    <w:rsid w:val="00067F6E"/>
    <w:rsid w:val="00070BAE"/>
    <w:rsid w:val="00070F05"/>
    <w:rsid w:val="00072226"/>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3E1A"/>
    <w:rsid w:val="00097A76"/>
    <w:rsid w:val="000A0794"/>
    <w:rsid w:val="000A1E68"/>
    <w:rsid w:val="000A3437"/>
    <w:rsid w:val="000A4433"/>
    <w:rsid w:val="000A5BCC"/>
    <w:rsid w:val="000A7400"/>
    <w:rsid w:val="000A7708"/>
    <w:rsid w:val="000A7AD4"/>
    <w:rsid w:val="000B0232"/>
    <w:rsid w:val="000B06CB"/>
    <w:rsid w:val="000B108C"/>
    <w:rsid w:val="000B13AB"/>
    <w:rsid w:val="000B146D"/>
    <w:rsid w:val="000B4054"/>
    <w:rsid w:val="000B4271"/>
    <w:rsid w:val="000B56CF"/>
    <w:rsid w:val="000B5B55"/>
    <w:rsid w:val="000B6330"/>
    <w:rsid w:val="000B7FF7"/>
    <w:rsid w:val="000C0125"/>
    <w:rsid w:val="000C0807"/>
    <w:rsid w:val="000C0D83"/>
    <w:rsid w:val="000C45A2"/>
    <w:rsid w:val="000C6046"/>
    <w:rsid w:val="000D074E"/>
    <w:rsid w:val="000D32D5"/>
    <w:rsid w:val="000D444F"/>
    <w:rsid w:val="000D47A5"/>
    <w:rsid w:val="000E0333"/>
    <w:rsid w:val="000E2E8A"/>
    <w:rsid w:val="000E595E"/>
    <w:rsid w:val="000E5C21"/>
    <w:rsid w:val="000F5F51"/>
    <w:rsid w:val="000F706A"/>
    <w:rsid w:val="000F7DB9"/>
    <w:rsid w:val="000F7EBB"/>
    <w:rsid w:val="0010001A"/>
    <w:rsid w:val="00101137"/>
    <w:rsid w:val="001020A5"/>
    <w:rsid w:val="00104CCC"/>
    <w:rsid w:val="001104EF"/>
    <w:rsid w:val="00115A8C"/>
    <w:rsid w:val="00115D91"/>
    <w:rsid w:val="001204E2"/>
    <w:rsid w:val="001250BF"/>
    <w:rsid w:val="001260C2"/>
    <w:rsid w:val="00127B7F"/>
    <w:rsid w:val="00127C1F"/>
    <w:rsid w:val="00130109"/>
    <w:rsid w:val="00132E41"/>
    <w:rsid w:val="00135A4C"/>
    <w:rsid w:val="001360A4"/>
    <w:rsid w:val="00136E47"/>
    <w:rsid w:val="00136FF9"/>
    <w:rsid w:val="00137BA1"/>
    <w:rsid w:val="0014049B"/>
    <w:rsid w:val="001411C9"/>
    <w:rsid w:val="00141818"/>
    <w:rsid w:val="0014252B"/>
    <w:rsid w:val="0014282B"/>
    <w:rsid w:val="00142A4D"/>
    <w:rsid w:val="00142E47"/>
    <w:rsid w:val="00143525"/>
    <w:rsid w:val="001436A7"/>
    <w:rsid w:val="00144611"/>
    <w:rsid w:val="00144B1B"/>
    <w:rsid w:val="0014787F"/>
    <w:rsid w:val="00152D98"/>
    <w:rsid w:val="001564B4"/>
    <w:rsid w:val="00156521"/>
    <w:rsid w:val="00156A18"/>
    <w:rsid w:val="00156A35"/>
    <w:rsid w:val="0016217F"/>
    <w:rsid w:val="001644AA"/>
    <w:rsid w:val="00165C4D"/>
    <w:rsid w:val="00166BE1"/>
    <w:rsid w:val="001702D7"/>
    <w:rsid w:val="001705C5"/>
    <w:rsid w:val="001707ED"/>
    <w:rsid w:val="00170B04"/>
    <w:rsid w:val="00172093"/>
    <w:rsid w:val="001726E7"/>
    <w:rsid w:val="0017313D"/>
    <w:rsid w:val="00174585"/>
    <w:rsid w:val="001756DD"/>
    <w:rsid w:val="001757EB"/>
    <w:rsid w:val="00175CFE"/>
    <w:rsid w:val="00176846"/>
    <w:rsid w:val="001772C7"/>
    <w:rsid w:val="00177AE1"/>
    <w:rsid w:val="00180E63"/>
    <w:rsid w:val="00180EC6"/>
    <w:rsid w:val="00182E7D"/>
    <w:rsid w:val="001840DC"/>
    <w:rsid w:val="00184C65"/>
    <w:rsid w:val="00184C6E"/>
    <w:rsid w:val="00187D56"/>
    <w:rsid w:val="00190A25"/>
    <w:rsid w:val="00193384"/>
    <w:rsid w:val="001957F2"/>
    <w:rsid w:val="0019627A"/>
    <w:rsid w:val="00197485"/>
    <w:rsid w:val="001A0653"/>
    <w:rsid w:val="001A157D"/>
    <w:rsid w:val="001A384A"/>
    <w:rsid w:val="001A4314"/>
    <w:rsid w:val="001A4CB0"/>
    <w:rsid w:val="001A4F3D"/>
    <w:rsid w:val="001A64D6"/>
    <w:rsid w:val="001A676A"/>
    <w:rsid w:val="001A76CD"/>
    <w:rsid w:val="001A7A00"/>
    <w:rsid w:val="001B0BC3"/>
    <w:rsid w:val="001B11EB"/>
    <w:rsid w:val="001B1559"/>
    <w:rsid w:val="001B3A25"/>
    <w:rsid w:val="001B40B6"/>
    <w:rsid w:val="001B7441"/>
    <w:rsid w:val="001B7D36"/>
    <w:rsid w:val="001C1650"/>
    <w:rsid w:val="001C18A5"/>
    <w:rsid w:val="001C27DD"/>
    <w:rsid w:val="001C54D5"/>
    <w:rsid w:val="001C557B"/>
    <w:rsid w:val="001C68A6"/>
    <w:rsid w:val="001C6E03"/>
    <w:rsid w:val="001C6E25"/>
    <w:rsid w:val="001C7904"/>
    <w:rsid w:val="001C7FAB"/>
    <w:rsid w:val="001D0D54"/>
    <w:rsid w:val="001D0D75"/>
    <w:rsid w:val="001D21D0"/>
    <w:rsid w:val="001D24B1"/>
    <w:rsid w:val="001D2D04"/>
    <w:rsid w:val="001D4D20"/>
    <w:rsid w:val="001D5233"/>
    <w:rsid w:val="001D5666"/>
    <w:rsid w:val="001D5E9A"/>
    <w:rsid w:val="001D65A4"/>
    <w:rsid w:val="001E2DA9"/>
    <w:rsid w:val="001E521E"/>
    <w:rsid w:val="001E5458"/>
    <w:rsid w:val="001E61C0"/>
    <w:rsid w:val="001E7602"/>
    <w:rsid w:val="001E77A7"/>
    <w:rsid w:val="001E7C2A"/>
    <w:rsid w:val="001F0E53"/>
    <w:rsid w:val="001F0E62"/>
    <w:rsid w:val="001F1365"/>
    <w:rsid w:val="001F353B"/>
    <w:rsid w:val="001F3903"/>
    <w:rsid w:val="001F39C9"/>
    <w:rsid w:val="001F4CD3"/>
    <w:rsid w:val="001F4E51"/>
    <w:rsid w:val="001F5AA9"/>
    <w:rsid w:val="0020245F"/>
    <w:rsid w:val="002028B6"/>
    <w:rsid w:val="00203160"/>
    <w:rsid w:val="0020410B"/>
    <w:rsid w:val="0020513E"/>
    <w:rsid w:val="00205552"/>
    <w:rsid w:val="00205AA6"/>
    <w:rsid w:val="00206865"/>
    <w:rsid w:val="0021017E"/>
    <w:rsid w:val="00210F50"/>
    <w:rsid w:val="00212975"/>
    <w:rsid w:val="00213176"/>
    <w:rsid w:val="00214C9D"/>
    <w:rsid w:val="002171C9"/>
    <w:rsid w:val="002178C9"/>
    <w:rsid w:val="00222F3B"/>
    <w:rsid w:val="00226029"/>
    <w:rsid w:val="00226880"/>
    <w:rsid w:val="0022688E"/>
    <w:rsid w:val="002274D0"/>
    <w:rsid w:val="00227783"/>
    <w:rsid w:val="00227D6B"/>
    <w:rsid w:val="00230BD1"/>
    <w:rsid w:val="00230F10"/>
    <w:rsid w:val="00231AB5"/>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3146"/>
    <w:rsid w:val="00253B3E"/>
    <w:rsid w:val="00254C21"/>
    <w:rsid w:val="00254E43"/>
    <w:rsid w:val="00254E51"/>
    <w:rsid w:val="00257199"/>
    <w:rsid w:val="002600C7"/>
    <w:rsid w:val="00260CE2"/>
    <w:rsid w:val="0026347A"/>
    <w:rsid w:val="00263B78"/>
    <w:rsid w:val="00266A5A"/>
    <w:rsid w:val="00266A89"/>
    <w:rsid w:val="00266B56"/>
    <w:rsid w:val="00266C05"/>
    <w:rsid w:val="002702DD"/>
    <w:rsid w:val="00272699"/>
    <w:rsid w:val="0027351E"/>
    <w:rsid w:val="0027441E"/>
    <w:rsid w:val="0027483C"/>
    <w:rsid w:val="00281D52"/>
    <w:rsid w:val="002820D7"/>
    <w:rsid w:val="00286E03"/>
    <w:rsid w:val="00287F57"/>
    <w:rsid w:val="00291B3A"/>
    <w:rsid w:val="00291B5E"/>
    <w:rsid w:val="00292656"/>
    <w:rsid w:val="00292C3C"/>
    <w:rsid w:val="00294AA6"/>
    <w:rsid w:val="00294D4C"/>
    <w:rsid w:val="00296270"/>
    <w:rsid w:val="00297DF9"/>
    <w:rsid w:val="002A09C7"/>
    <w:rsid w:val="002A1D2F"/>
    <w:rsid w:val="002A1DE3"/>
    <w:rsid w:val="002A2305"/>
    <w:rsid w:val="002A477C"/>
    <w:rsid w:val="002A4BB1"/>
    <w:rsid w:val="002A561C"/>
    <w:rsid w:val="002A6CE4"/>
    <w:rsid w:val="002B00CF"/>
    <w:rsid w:val="002B02EA"/>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7822"/>
    <w:rsid w:val="002C79E4"/>
    <w:rsid w:val="002D0510"/>
    <w:rsid w:val="002D2EEF"/>
    <w:rsid w:val="002D468F"/>
    <w:rsid w:val="002D5DED"/>
    <w:rsid w:val="002D657C"/>
    <w:rsid w:val="002D6E19"/>
    <w:rsid w:val="002D7A0A"/>
    <w:rsid w:val="002E000E"/>
    <w:rsid w:val="002E0115"/>
    <w:rsid w:val="002E1AC2"/>
    <w:rsid w:val="002E2CDD"/>
    <w:rsid w:val="002E499B"/>
    <w:rsid w:val="002E626C"/>
    <w:rsid w:val="002E7F6A"/>
    <w:rsid w:val="002F056E"/>
    <w:rsid w:val="002F0B59"/>
    <w:rsid w:val="002F1932"/>
    <w:rsid w:val="002F1AB4"/>
    <w:rsid w:val="002F3393"/>
    <w:rsid w:val="002F36D2"/>
    <w:rsid w:val="002F3C1A"/>
    <w:rsid w:val="002F3E97"/>
    <w:rsid w:val="002F4300"/>
    <w:rsid w:val="002F489A"/>
    <w:rsid w:val="00300F3B"/>
    <w:rsid w:val="003023FD"/>
    <w:rsid w:val="0030414F"/>
    <w:rsid w:val="00305213"/>
    <w:rsid w:val="00305565"/>
    <w:rsid w:val="00310C02"/>
    <w:rsid w:val="0031131B"/>
    <w:rsid w:val="00312B95"/>
    <w:rsid w:val="00312E50"/>
    <w:rsid w:val="003147DD"/>
    <w:rsid w:val="00315D84"/>
    <w:rsid w:val="00316AAC"/>
    <w:rsid w:val="00317DF8"/>
    <w:rsid w:val="00321C81"/>
    <w:rsid w:val="00322444"/>
    <w:rsid w:val="003225AB"/>
    <w:rsid w:val="00323965"/>
    <w:rsid w:val="00324A4F"/>
    <w:rsid w:val="00324AB6"/>
    <w:rsid w:val="00330367"/>
    <w:rsid w:val="00330A76"/>
    <w:rsid w:val="00330D74"/>
    <w:rsid w:val="00332945"/>
    <w:rsid w:val="00333127"/>
    <w:rsid w:val="003341A9"/>
    <w:rsid w:val="00334B60"/>
    <w:rsid w:val="003360B5"/>
    <w:rsid w:val="003368B5"/>
    <w:rsid w:val="003369D5"/>
    <w:rsid w:val="00336FAC"/>
    <w:rsid w:val="003379F3"/>
    <w:rsid w:val="00337AAE"/>
    <w:rsid w:val="003405D1"/>
    <w:rsid w:val="00341566"/>
    <w:rsid w:val="00342A5A"/>
    <w:rsid w:val="00345682"/>
    <w:rsid w:val="00345C2F"/>
    <w:rsid w:val="0034794C"/>
    <w:rsid w:val="00347D10"/>
    <w:rsid w:val="00347E04"/>
    <w:rsid w:val="0035098F"/>
    <w:rsid w:val="0035177E"/>
    <w:rsid w:val="003522B0"/>
    <w:rsid w:val="00352A66"/>
    <w:rsid w:val="00353B7B"/>
    <w:rsid w:val="00354CF6"/>
    <w:rsid w:val="003557A9"/>
    <w:rsid w:val="00355C59"/>
    <w:rsid w:val="0035655A"/>
    <w:rsid w:val="00357879"/>
    <w:rsid w:val="00360C27"/>
    <w:rsid w:val="0036152B"/>
    <w:rsid w:val="003617C5"/>
    <w:rsid w:val="00361A07"/>
    <w:rsid w:val="00362300"/>
    <w:rsid w:val="00362945"/>
    <w:rsid w:val="00363DA6"/>
    <w:rsid w:val="003643A3"/>
    <w:rsid w:val="0036452D"/>
    <w:rsid w:val="00364555"/>
    <w:rsid w:val="0036493C"/>
    <w:rsid w:val="00365BED"/>
    <w:rsid w:val="00365ECE"/>
    <w:rsid w:val="00366135"/>
    <w:rsid w:val="00366306"/>
    <w:rsid w:val="00366EAE"/>
    <w:rsid w:val="0037000D"/>
    <w:rsid w:val="00372980"/>
    <w:rsid w:val="00372C90"/>
    <w:rsid w:val="00373509"/>
    <w:rsid w:val="00373545"/>
    <w:rsid w:val="00373D61"/>
    <w:rsid w:val="0037730C"/>
    <w:rsid w:val="003813B0"/>
    <w:rsid w:val="00381894"/>
    <w:rsid w:val="00382BC2"/>
    <w:rsid w:val="00382EFA"/>
    <w:rsid w:val="003852FD"/>
    <w:rsid w:val="003864C0"/>
    <w:rsid w:val="00386714"/>
    <w:rsid w:val="00386BBA"/>
    <w:rsid w:val="00386D59"/>
    <w:rsid w:val="003870E2"/>
    <w:rsid w:val="00387870"/>
    <w:rsid w:val="003908F2"/>
    <w:rsid w:val="0039171C"/>
    <w:rsid w:val="00393C49"/>
    <w:rsid w:val="00395037"/>
    <w:rsid w:val="003950F3"/>
    <w:rsid w:val="00396309"/>
    <w:rsid w:val="00396AAB"/>
    <w:rsid w:val="00396E51"/>
    <w:rsid w:val="00396FEE"/>
    <w:rsid w:val="00397842"/>
    <w:rsid w:val="003A12E4"/>
    <w:rsid w:val="003A1A4E"/>
    <w:rsid w:val="003A2AFB"/>
    <w:rsid w:val="003A3E3B"/>
    <w:rsid w:val="003A437D"/>
    <w:rsid w:val="003A49D6"/>
    <w:rsid w:val="003A5F6E"/>
    <w:rsid w:val="003B01D4"/>
    <w:rsid w:val="003B0602"/>
    <w:rsid w:val="003B3833"/>
    <w:rsid w:val="003B5B3A"/>
    <w:rsid w:val="003B669E"/>
    <w:rsid w:val="003B6AF8"/>
    <w:rsid w:val="003C4418"/>
    <w:rsid w:val="003C5F27"/>
    <w:rsid w:val="003D277A"/>
    <w:rsid w:val="003D3401"/>
    <w:rsid w:val="003D41D9"/>
    <w:rsid w:val="003D602C"/>
    <w:rsid w:val="003D7C66"/>
    <w:rsid w:val="003E15BE"/>
    <w:rsid w:val="003E4703"/>
    <w:rsid w:val="003E4C57"/>
    <w:rsid w:val="003E4E42"/>
    <w:rsid w:val="003E4F5E"/>
    <w:rsid w:val="003E6A24"/>
    <w:rsid w:val="003E74A4"/>
    <w:rsid w:val="003F0648"/>
    <w:rsid w:val="003F159A"/>
    <w:rsid w:val="003F1928"/>
    <w:rsid w:val="003F23B0"/>
    <w:rsid w:val="003F291D"/>
    <w:rsid w:val="003F2F80"/>
    <w:rsid w:val="003F3497"/>
    <w:rsid w:val="003F4406"/>
    <w:rsid w:val="003F4998"/>
    <w:rsid w:val="003F6535"/>
    <w:rsid w:val="003F7DFD"/>
    <w:rsid w:val="004030F5"/>
    <w:rsid w:val="00403EC1"/>
    <w:rsid w:val="00404378"/>
    <w:rsid w:val="00404981"/>
    <w:rsid w:val="00404EA8"/>
    <w:rsid w:val="004069E3"/>
    <w:rsid w:val="00407CFC"/>
    <w:rsid w:val="00410D4E"/>
    <w:rsid w:val="00411191"/>
    <w:rsid w:val="00412989"/>
    <w:rsid w:val="004131F2"/>
    <w:rsid w:val="004134C4"/>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3018B"/>
    <w:rsid w:val="00430BC4"/>
    <w:rsid w:val="004323E1"/>
    <w:rsid w:val="00433FEB"/>
    <w:rsid w:val="0043622D"/>
    <w:rsid w:val="00436F52"/>
    <w:rsid w:val="00441D9B"/>
    <w:rsid w:val="00442BE6"/>
    <w:rsid w:val="0044452B"/>
    <w:rsid w:val="00445908"/>
    <w:rsid w:val="00446BFE"/>
    <w:rsid w:val="00447C9A"/>
    <w:rsid w:val="00447F42"/>
    <w:rsid w:val="0045116A"/>
    <w:rsid w:val="00451E60"/>
    <w:rsid w:val="00452C48"/>
    <w:rsid w:val="00452E9D"/>
    <w:rsid w:val="0045304C"/>
    <w:rsid w:val="004530AC"/>
    <w:rsid w:val="00453EB3"/>
    <w:rsid w:val="00454368"/>
    <w:rsid w:val="004547C0"/>
    <w:rsid w:val="00454AE8"/>
    <w:rsid w:val="004559D3"/>
    <w:rsid w:val="004561F5"/>
    <w:rsid w:val="00456D32"/>
    <w:rsid w:val="0045720E"/>
    <w:rsid w:val="00457853"/>
    <w:rsid w:val="00457902"/>
    <w:rsid w:val="00460B25"/>
    <w:rsid w:val="00461AD2"/>
    <w:rsid w:val="00462194"/>
    <w:rsid w:val="00462797"/>
    <w:rsid w:val="00464228"/>
    <w:rsid w:val="00467537"/>
    <w:rsid w:val="0047058E"/>
    <w:rsid w:val="00471026"/>
    <w:rsid w:val="004732C0"/>
    <w:rsid w:val="00473A93"/>
    <w:rsid w:val="00474394"/>
    <w:rsid w:val="004744D3"/>
    <w:rsid w:val="00475EFF"/>
    <w:rsid w:val="00476144"/>
    <w:rsid w:val="0047786B"/>
    <w:rsid w:val="004822A1"/>
    <w:rsid w:val="00482EF4"/>
    <w:rsid w:val="0048343C"/>
    <w:rsid w:val="00483A17"/>
    <w:rsid w:val="00483DD5"/>
    <w:rsid w:val="004845F1"/>
    <w:rsid w:val="00484BC2"/>
    <w:rsid w:val="00486E8C"/>
    <w:rsid w:val="004872E3"/>
    <w:rsid w:val="00487630"/>
    <w:rsid w:val="00487A09"/>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EFC"/>
    <w:rsid w:val="004A31C3"/>
    <w:rsid w:val="004A472E"/>
    <w:rsid w:val="004A4B6B"/>
    <w:rsid w:val="004B0361"/>
    <w:rsid w:val="004B3904"/>
    <w:rsid w:val="004B42F1"/>
    <w:rsid w:val="004B6157"/>
    <w:rsid w:val="004B7492"/>
    <w:rsid w:val="004B7C61"/>
    <w:rsid w:val="004C0E63"/>
    <w:rsid w:val="004C3546"/>
    <w:rsid w:val="004C3568"/>
    <w:rsid w:val="004C4638"/>
    <w:rsid w:val="004C60B8"/>
    <w:rsid w:val="004C6B4B"/>
    <w:rsid w:val="004C7DD7"/>
    <w:rsid w:val="004D18D0"/>
    <w:rsid w:val="004D27D6"/>
    <w:rsid w:val="004D2F5D"/>
    <w:rsid w:val="004D31A0"/>
    <w:rsid w:val="004D5771"/>
    <w:rsid w:val="004D79AD"/>
    <w:rsid w:val="004E2D42"/>
    <w:rsid w:val="004E493E"/>
    <w:rsid w:val="004E6274"/>
    <w:rsid w:val="004E63CC"/>
    <w:rsid w:val="004E7C2E"/>
    <w:rsid w:val="004F096E"/>
    <w:rsid w:val="004F0BE2"/>
    <w:rsid w:val="004F256B"/>
    <w:rsid w:val="004F32A0"/>
    <w:rsid w:val="004F5B5C"/>
    <w:rsid w:val="004F72C7"/>
    <w:rsid w:val="004F75A1"/>
    <w:rsid w:val="004F79BD"/>
    <w:rsid w:val="00502E98"/>
    <w:rsid w:val="005031B6"/>
    <w:rsid w:val="00504B80"/>
    <w:rsid w:val="00506BC4"/>
    <w:rsid w:val="00507A63"/>
    <w:rsid w:val="00507D05"/>
    <w:rsid w:val="00510FCB"/>
    <w:rsid w:val="00513602"/>
    <w:rsid w:val="005157A6"/>
    <w:rsid w:val="00515CA5"/>
    <w:rsid w:val="0052067C"/>
    <w:rsid w:val="005216EE"/>
    <w:rsid w:val="00522F30"/>
    <w:rsid w:val="005249F5"/>
    <w:rsid w:val="00530034"/>
    <w:rsid w:val="00531479"/>
    <w:rsid w:val="005335EE"/>
    <w:rsid w:val="005343DE"/>
    <w:rsid w:val="005348EF"/>
    <w:rsid w:val="005351E9"/>
    <w:rsid w:val="005353FE"/>
    <w:rsid w:val="005363D4"/>
    <w:rsid w:val="005374AC"/>
    <w:rsid w:val="005445D6"/>
    <w:rsid w:val="00545090"/>
    <w:rsid w:val="00546C44"/>
    <w:rsid w:val="005510FE"/>
    <w:rsid w:val="00552C73"/>
    <w:rsid w:val="0055354A"/>
    <w:rsid w:val="00554A2E"/>
    <w:rsid w:val="00556A97"/>
    <w:rsid w:val="00556B35"/>
    <w:rsid w:val="00561EE2"/>
    <w:rsid w:val="005631AD"/>
    <w:rsid w:val="005639EA"/>
    <w:rsid w:val="00564BCE"/>
    <w:rsid w:val="005667D5"/>
    <w:rsid w:val="005722A1"/>
    <w:rsid w:val="00572319"/>
    <w:rsid w:val="00572841"/>
    <w:rsid w:val="00573370"/>
    <w:rsid w:val="00573B43"/>
    <w:rsid w:val="00574314"/>
    <w:rsid w:val="00575350"/>
    <w:rsid w:val="00575D08"/>
    <w:rsid w:val="005771AF"/>
    <w:rsid w:val="00577298"/>
    <w:rsid w:val="00580DC4"/>
    <w:rsid w:val="00584193"/>
    <w:rsid w:val="0058536F"/>
    <w:rsid w:val="00585433"/>
    <w:rsid w:val="0058729F"/>
    <w:rsid w:val="005879C7"/>
    <w:rsid w:val="0059107D"/>
    <w:rsid w:val="005910A3"/>
    <w:rsid w:val="005915F4"/>
    <w:rsid w:val="005918DC"/>
    <w:rsid w:val="00591DD6"/>
    <w:rsid w:val="005925E4"/>
    <w:rsid w:val="00592A83"/>
    <w:rsid w:val="00593B07"/>
    <w:rsid w:val="00593E3E"/>
    <w:rsid w:val="005942EA"/>
    <w:rsid w:val="005943A7"/>
    <w:rsid w:val="00596832"/>
    <w:rsid w:val="005A1052"/>
    <w:rsid w:val="005A341D"/>
    <w:rsid w:val="005A3AA3"/>
    <w:rsid w:val="005A3FE0"/>
    <w:rsid w:val="005B2672"/>
    <w:rsid w:val="005B2981"/>
    <w:rsid w:val="005B4467"/>
    <w:rsid w:val="005B522F"/>
    <w:rsid w:val="005B7710"/>
    <w:rsid w:val="005C10C7"/>
    <w:rsid w:val="005C206D"/>
    <w:rsid w:val="005C2C17"/>
    <w:rsid w:val="005C349D"/>
    <w:rsid w:val="005C4005"/>
    <w:rsid w:val="005C4BD3"/>
    <w:rsid w:val="005C6FD6"/>
    <w:rsid w:val="005C7A9F"/>
    <w:rsid w:val="005D0AF9"/>
    <w:rsid w:val="005D1E18"/>
    <w:rsid w:val="005D244B"/>
    <w:rsid w:val="005D2B37"/>
    <w:rsid w:val="005D2D61"/>
    <w:rsid w:val="005D4715"/>
    <w:rsid w:val="005D5F00"/>
    <w:rsid w:val="005D6F2C"/>
    <w:rsid w:val="005E0A0B"/>
    <w:rsid w:val="005E1812"/>
    <w:rsid w:val="005E1AF2"/>
    <w:rsid w:val="005E1D7A"/>
    <w:rsid w:val="005E2411"/>
    <w:rsid w:val="005E344F"/>
    <w:rsid w:val="005E3CEF"/>
    <w:rsid w:val="005E4D16"/>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D21"/>
    <w:rsid w:val="00604147"/>
    <w:rsid w:val="00605815"/>
    <w:rsid w:val="00605C82"/>
    <w:rsid w:val="0060617B"/>
    <w:rsid w:val="00607978"/>
    <w:rsid w:val="00607E92"/>
    <w:rsid w:val="00614A27"/>
    <w:rsid w:val="00615247"/>
    <w:rsid w:val="006155FC"/>
    <w:rsid w:val="00615695"/>
    <w:rsid w:val="0061714E"/>
    <w:rsid w:val="006203BD"/>
    <w:rsid w:val="0062059B"/>
    <w:rsid w:val="006207C0"/>
    <w:rsid w:val="006247BA"/>
    <w:rsid w:val="00624C5C"/>
    <w:rsid w:val="00627E76"/>
    <w:rsid w:val="006323A6"/>
    <w:rsid w:val="00632B1F"/>
    <w:rsid w:val="00635A99"/>
    <w:rsid w:val="00636A86"/>
    <w:rsid w:val="006409FF"/>
    <w:rsid w:val="006422AA"/>
    <w:rsid w:val="00642ACD"/>
    <w:rsid w:val="00645987"/>
    <w:rsid w:val="0065046E"/>
    <w:rsid w:val="006504EE"/>
    <w:rsid w:val="00650B00"/>
    <w:rsid w:val="0065259E"/>
    <w:rsid w:val="0065282A"/>
    <w:rsid w:val="00652F48"/>
    <w:rsid w:val="006536A9"/>
    <w:rsid w:val="00657C61"/>
    <w:rsid w:val="00657CB6"/>
    <w:rsid w:val="00657E00"/>
    <w:rsid w:val="006613A9"/>
    <w:rsid w:val="006617B3"/>
    <w:rsid w:val="006625B4"/>
    <w:rsid w:val="006640FE"/>
    <w:rsid w:val="006650D3"/>
    <w:rsid w:val="00671255"/>
    <w:rsid w:val="00672BEE"/>
    <w:rsid w:val="00674467"/>
    <w:rsid w:val="0067448D"/>
    <w:rsid w:val="006762E5"/>
    <w:rsid w:val="006764C8"/>
    <w:rsid w:val="0067772C"/>
    <w:rsid w:val="006777A0"/>
    <w:rsid w:val="0068061C"/>
    <w:rsid w:val="006813C8"/>
    <w:rsid w:val="00681A3E"/>
    <w:rsid w:val="00682A07"/>
    <w:rsid w:val="00683B97"/>
    <w:rsid w:val="00683CCF"/>
    <w:rsid w:val="00683DC7"/>
    <w:rsid w:val="00683E06"/>
    <w:rsid w:val="006846ED"/>
    <w:rsid w:val="0068568E"/>
    <w:rsid w:val="00685B51"/>
    <w:rsid w:val="00685E07"/>
    <w:rsid w:val="0069068B"/>
    <w:rsid w:val="006931D5"/>
    <w:rsid w:val="006932DA"/>
    <w:rsid w:val="00694103"/>
    <w:rsid w:val="00696C06"/>
    <w:rsid w:val="006974FC"/>
    <w:rsid w:val="006A0482"/>
    <w:rsid w:val="006A13BF"/>
    <w:rsid w:val="006A1F9A"/>
    <w:rsid w:val="006A4046"/>
    <w:rsid w:val="006A53F6"/>
    <w:rsid w:val="006A5585"/>
    <w:rsid w:val="006B27EF"/>
    <w:rsid w:val="006B432F"/>
    <w:rsid w:val="006B7C24"/>
    <w:rsid w:val="006B7CF9"/>
    <w:rsid w:val="006C0139"/>
    <w:rsid w:val="006C111C"/>
    <w:rsid w:val="006C1AEE"/>
    <w:rsid w:val="006C27E2"/>
    <w:rsid w:val="006C3927"/>
    <w:rsid w:val="006C51F7"/>
    <w:rsid w:val="006C5261"/>
    <w:rsid w:val="006C6452"/>
    <w:rsid w:val="006C6761"/>
    <w:rsid w:val="006D0368"/>
    <w:rsid w:val="006D2333"/>
    <w:rsid w:val="006D2DEC"/>
    <w:rsid w:val="006D3DBE"/>
    <w:rsid w:val="006D571E"/>
    <w:rsid w:val="006D6CC7"/>
    <w:rsid w:val="006D70CD"/>
    <w:rsid w:val="006D7A62"/>
    <w:rsid w:val="006D7C85"/>
    <w:rsid w:val="006E1CA2"/>
    <w:rsid w:val="006E2C81"/>
    <w:rsid w:val="006E343F"/>
    <w:rsid w:val="006E42F5"/>
    <w:rsid w:val="006E4AA9"/>
    <w:rsid w:val="006E53D1"/>
    <w:rsid w:val="006E6DB3"/>
    <w:rsid w:val="006E7CC1"/>
    <w:rsid w:val="006F0B6B"/>
    <w:rsid w:val="006F1C48"/>
    <w:rsid w:val="006F1E01"/>
    <w:rsid w:val="006F47C8"/>
    <w:rsid w:val="006F4AF5"/>
    <w:rsid w:val="006F51F9"/>
    <w:rsid w:val="006F715C"/>
    <w:rsid w:val="006F7A23"/>
    <w:rsid w:val="0070010D"/>
    <w:rsid w:val="007004DA"/>
    <w:rsid w:val="00701726"/>
    <w:rsid w:val="007031E2"/>
    <w:rsid w:val="00703733"/>
    <w:rsid w:val="00711B43"/>
    <w:rsid w:val="007122CC"/>
    <w:rsid w:val="00716799"/>
    <w:rsid w:val="00717ED3"/>
    <w:rsid w:val="0072229D"/>
    <w:rsid w:val="007339FC"/>
    <w:rsid w:val="00733A81"/>
    <w:rsid w:val="0073548A"/>
    <w:rsid w:val="007375CF"/>
    <w:rsid w:val="00737F14"/>
    <w:rsid w:val="00740BD4"/>
    <w:rsid w:val="00742912"/>
    <w:rsid w:val="00742F5B"/>
    <w:rsid w:val="0074328B"/>
    <w:rsid w:val="00744BCB"/>
    <w:rsid w:val="007500A2"/>
    <w:rsid w:val="00751A18"/>
    <w:rsid w:val="0075426C"/>
    <w:rsid w:val="00754B6C"/>
    <w:rsid w:val="007609DE"/>
    <w:rsid w:val="00760D7B"/>
    <w:rsid w:val="00761698"/>
    <w:rsid w:val="00762176"/>
    <w:rsid w:val="0076664B"/>
    <w:rsid w:val="00766D48"/>
    <w:rsid w:val="00773ADD"/>
    <w:rsid w:val="00774FA0"/>
    <w:rsid w:val="00775D42"/>
    <w:rsid w:val="00777A11"/>
    <w:rsid w:val="00780026"/>
    <w:rsid w:val="0078013B"/>
    <w:rsid w:val="00780E9B"/>
    <w:rsid w:val="00784027"/>
    <w:rsid w:val="007848F3"/>
    <w:rsid w:val="00784C7B"/>
    <w:rsid w:val="007857B4"/>
    <w:rsid w:val="007864C1"/>
    <w:rsid w:val="00786718"/>
    <w:rsid w:val="00787C55"/>
    <w:rsid w:val="00787FCF"/>
    <w:rsid w:val="00791CE4"/>
    <w:rsid w:val="00792A03"/>
    <w:rsid w:val="00794312"/>
    <w:rsid w:val="0079518B"/>
    <w:rsid w:val="00797D46"/>
    <w:rsid w:val="007A01CC"/>
    <w:rsid w:val="007A0524"/>
    <w:rsid w:val="007A05B0"/>
    <w:rsid w:val="007A0A3F"/>
    <w:rsid w:val="007A2365"/>
    <w:rsid w:val="007A2597"/>
    <w:rsid w:val="007A25C9"/>
    <w:rsid w:val="007A2CC5"/>
    <w:rsid w:val="007A2D4A"/>
    <w:rsid w:val="007A32BB"/>
    <w:rsid w:val="007A4679"/>
    <w:rsid w:val="007A4C9D"/>
    <w:rsid w:val="007A5DFF"/>
    <w:rsid w:val="007B149E"/>
    <w:rsid w:val="007B19B1"/>
    <w:rsid w:val="007B1D16"/>
    <w:rsid w:val="007B2694"/>
    <w:rsid w:val="007B2DB4"/>
    <w:rsid w:val="007B3273"/>
    <w:rsid w:val="007B3B56"/>
    <w:rsid w:val="007B403A"/>
    <w:rsid w:val="007B4213"/>
    <w:rsid w:val="007B4677"/>
    <w:rsid w:val="007B497F"/>
    <w:rsid w:val="007B4ED1"/>
    <w:rsid w:val="007B794B"/>
    <w:rsid w:val="007C0DEC"/>
    <w:rsid w:val="007C1ECE"/>
    <w:rsid w:val="007C3820"/>
    <w:rsid w:val="007C4C18"/>
    <w:rsid w:val="007C574F"/>
    <w:rsid w:val="007D1A32"/>
    <w:rsid w:val="007D3FA4"/>
    <w:rsid w:val="007D5153"/>
    <w:rsid w:val="007D620F"/>
    <w:rsid w:val="007E14BD"/>
    <w:rsid w:val="007E31EA"/>
    <w:rsid w:val="007E3B25"/>
    <w:rsid w:val="007E3B7D"/>
    <w:rsid w:val="007E5A22"/>
    <w:rsid w:val="007E75E3"/>
    <w:rsid w:val="007E7710"/>
    <w:rsid w:val="007E78A2"/>
    <w:rsid w:val="007F2008"/>
    <w:rsid w:val="007F22AC"/>
    <w:rsid w:val="007F29E1"/>
    <w:rsid w:val="007F3CDF"/>
    <w:rsid w:val="007F42E3"/>
    <w:rsid w:val="007F4388"/>
    <w:rsid w:val="007F4788"/>
    <w:rsid w:val="007F618A"/>
    <w:rsid w:val="00801104"/>
    <w:rsid w:val="00801432"/>
    <w:rsid w:val="00802290"/>
    <w:rsid w:val="00803305"/>
    <w:rsid w:val="0080375B"/>
    <w:rsid w:val="00803FCC"/>
    <w:rsid w:val="008041F5"/>
    <w:rsid w:val="00804F53"/>
    <w:rsid w:val="00807CB9"/>
    <w:rsid w:val="00810149"/>
    <w:rsid w:val="0081042F"/>
    <w:rsid w:val="008120AF"/>
    <w:rsid w:val="008125B6"/>
    <w:rsid w:val="00812625"/>
    <w:rsid w:val="00814DBF"/>
    <w:rsid w:val="00817759"/>
    <w:rsid w:val="00817C8F"/>
    <w:rsid w:val="00820982"/>
    <w:rsid w:val="008213C2"/>
    <w:rsid w:val="0082170D"/>
    <w:rsid w:val="0082187A"/>
    <w:rsid w:val="00822223"/>
    <w:rsid w:val="00822802"/>
    <w:rsid w:val="00823FBC"/>
    <w:rsid w:val="00825521"/>
    <w:rsid w:val="00831989"/>
    <w:rsid w:val="00831EBD"/>
    <w:rsid w:val="00836BE4"/>
    <w:rsid w:val="008374B7"/>
    <w:rsid w:val="008378B4"/>
    <w:rsid w:val="00840A1A"/>
    <w:rsid w:val="00840D02"/>
    <w:rsid w:val="00841B46"/>
    <w:rsid w:val="00842196"/>
    <w:rsid w:val="008431E0"/>
    <w:rsid w:val="00843A16"/>
    <w:rsid w:val="00844665"/>
    <w:rsid w:val="00845E4B"/>
    <w:rsid w:val="00846735"/>
    <w:rsid w:val="00846837"/>
    <w:rsid w:val="00846E42"/>
    <w:rsid w:val="008501F4"/>
    <w:rsid w:val="00850601"/>
    <w:rsid w:val="008523DD"/>
    <w:rsid w:val="00852698"/>
    <w:rsid w:val="008527C1"/>
    <w:rsid w:val="00852948"/>
    <w:rsid w:val="00853065"/>
    <w:rsid w:val="00854598"/>
    <w:rsid w:val="00856BDC"/>
    <w:rsid w:val="00857CBA"/>
    <w:rsid w:val="00861C4F"/>
    <w:rsid w:val="00862D0B"/>
    <w:rsid w:val="00863D30"/>
    <w:rsid w:val="008642DF"/>
    <w:rsid w:val="0086434F"/>
    <w:rsid w:val="00864FC3"/>
    <w:rsid w:val="00865AD8"/>
    <w:rsid w:val="00866CE0"/>
    <w:rsid w:val="008721CC"/>
    <w:rsid w:val="00872226"/>
    <w:rsid w:val="0087239F"/>
    <w:rsid w:val="00872695"/>
    <w:rsid w:val="00872B47"/>
    <w:rsid w:val="00873208"/>
    <w:rsid w:val="00874730"/>
    <w:rsid w:val="008751CE"/>
    <w:rsid w:val="00875F84"/>
    <w:rsid w:val="008773C3"/>
    <w:rsid w:val="00877623"/>
    <w:rsid w:val="008824EE"/>
    <w:rsid w:val="00882B7E"/>
    <w:rsid w:val="00882D96"/>
    <w:rsid w:val="00883EFA"/>
    <w:rsid w:val="00885790"/>
    <w:rsid w:val="00885A80"/>
    <w:rsid w:val="008867F6"/>
    <w:rsid w:val="00887818"/>
    <w:rsid w:val="00892C54"/>
    <w:rsid w:val="00893260"/>
    <w:rsid w:val="008952E6"/>
    <w:rsid w:val="0089533A"/>
    <w:rsid w:val="00896227"/>
    <w:rsid w:val="008A063A"/>
    <w:rsid w:val="008A0CAF"/>
    <w:rsid w:val="008A146D"/>
    <w:rsid w:val="008A2154"/>
    <w:rsid w:val="008A2652"/>
    <w:rsid w:val="008A37E3"/>
    <w:rsid w:val="008A3D66"/>
    <w:rsid w:val="008A5294"/>
    <w:rsid w:val="008A6398"/>
    <w:rsid w:val="008A73CB"/>
    <w:rsid w:val="008A79AF"/>
    <w:rsid w:val="008A7FE6"/>
    <w:rsid w:val="008B02D1"/>
    <w:rsid w:val="008B14A2"/>
    <w:rsid w:val="008B1A8D"/>
    <w:rsid w:val="008B1C28"/>
    <w:rsid w:val="008B31F8"/>
    <w:rsid w:val="008B7082"/>
    <w:rsid w:val="008B7A52"/>
    <w:rsid w:val="008B7F12"/>
    <w:rsid w:val="008C00EC"/>
    <w:rsid w:val="008C0773"/>
    <w:rsid w:val="008C0CE5"/>
    <w:rsid w:val="008C1F78"/>
    <w:rsid w:val="008C36FA"/>
    <w:rsid w:val="008C3B6E"/>
    <w:rsid w:val="008C435C"/>
    <w:rsid w:val="008C5ABC"/>
    <w:rsid w:val="008C5C88"/>
    <w:rsid w:val="008D095A"/>
    <w:rsid w:val="008D1FCD"/>
    <w:rsid w:val="008D30D3"/>
    <w:rsid w:val="008D5585"/>
    <w:rsid w:val="008D5CE0"/>
    <w:rsid w:val="008D75EB"/>
    <w:rsid w:val="008E0A3D"/>
    <w:rsid w:val="008E0A75"/>
    <w:rsid w:val="008E0EAF"/>
    <w:rsid w:val="008E1805"/>
    <w:rsid w:val="008E3173"/>
    <w:rsid w:val="008E368F"/>
    <w:rsid w:val="008E6453"/>
    <w:rsid w:val="008F1452"/>
    <w:rsid w:val="008F5BCA"/>
    <w:rsid w:val="008F6A8E"/>
    <w:rsid w:val="008F7942"/>
    <w:rsid w:val="009027ED"/>
    <w:rsid w:val="00903409"/>
    <w:rsid w:val="00903846"/>
    <w:rsid w:val="0090525F"/>
    <w:rsid w:val="00911B9C"/>
    <w:rsid w:val="00915D0C"/>
    <w:rsid w:val="00917927"/>
    <w:rsid w:val="009201BE"/>
    <w:rsid w:val="00920B05"/>
    <w:rsid w:val="00924453"/>
    <w:rsid w:val="009254FA"/>
    <w:rsid w:val="00925BAC"/>
    <w:rsid w:val="00927A4E"/>
    <w:rsid w:val="00930CB6"/>
    <w:rsid w:val="00932EB4"/>
    <w:rsid w:val="009340B2"/>
    <w:rsid w:val="00934C7F"/>
    <w:rsid w:val="0093604E"/>
    <w:rsid w:val="009369AB"/>
    <w:rsid w:val="00936BC3"/>
    <w:rsid w:val="00937175"/>
    <w:rsid w:val="009374CE"/>
    <w:rsid w:val="00940371"/>
    <w:rsid w:val="00940671"/>
    <w:rsid w:val="0094076F"/>
    <w:rsid w:val="00940ECD"/>
    <w:rsid w:val="00941A6A"/>
    <w:rsid w:val="00941C25"/>
    <w:rsid w:val="00942B42"/>
    <w:rsid w:val="0094326B"/>
    <w:rsid w:val="0094365B"/>
    <w:rsid w:val="0094415E"/>
    <w:rsid w:val="0094416B"/>
    <w:rsid w:val="00946625"/>
    <w:rsid w:val="00951733"/>
    <w:rsid w:val="009519FC"/>
    <w:rsid w:val="00952317"/>
    <w:rsid w:val="00953A8D"/>
    <w:rsid w:val="0095692A"/>
    <w:rsid w:val="00957D8E"/>
    <w:rsid w:val="0096040D"/>
    <w:rsid w:val="009606C6"/>
    <w:rsid w:val="00960AA9"/>
    <w:rsid w:val="00960D9D"/>
    <w:rsid w:val="00961811"/>
    <w:rsid w:val="009622C7"/>
    <w:rsid w:val="009663D4"/>
    <w:rsid w:val="00970F6A"/>
    <w:rsid w:val="009712C8"/>
    <w:rsid w:val="0097190C"/>
    <w:rsid w:val="009765DD"/>
    <w:rsid w:val="009775E7"/>
    <w:rsid w:val="0098097B"/>
    <w:rsid w:val="00981906"/>
    <w:rsid w:val="00982E10"/>
    <w:rsid w:val="00985129"/>
    <w:rsid w:val="00985BC6"/>
    <w:rsid w:val="00990CCF"/>
    <w:rsid w:val="00990F55"/>
    <w:rsid w:val="009918D7"/>
    <w:rsid w:val="009919C7"/>
    <w:rsid w:val="009932CC"/>
    <w:rsid w:val="0099432E"/>
    <w:rsid w:val="0099453D"/>
    <w:rsid w:val="009951C5"/>
    <w:rsid w:val="00996D23"/>
    <w:rsid w:val="00997A92"/>
    <w:rsid w:val="009A0A11"/>
    <w:rsid w:val="009A1504"/>
    <w:rsid w:val="009A1864"/>
    <w:rsid w:val="009A1C69"/>
    <w:rsid w:val="009A2418"/>
    <w:rsid w:val="009A28D5"/>
    <w:rsid w:val="009A2913"/>
    <w:rsid w:val="009A3393"/>
    <w:rsid w:val="009A43A3"/>
    <w:rsid w:val="009A5FEB"/>
    <w:rsid w:val="009A7A34"/>
    <w:rsid w:val="009B0288"/>
    <w:rsid w:val="009B077D"/>
    <w:rsid w:val="009B0FA0"/>
    <w:rsid w:val="009B5599"/>
    <w:rsid w:val="009B5BD8"/>
    <w:rsid w:val="009C0FD7"/>
    <w:rsid w:val="009C3C8C"/>
    <w:rsid w:val="009C4B4C"/>
    <w:rsid w:val="009C4C54"/>
    <w:rsid w:val="009C4FD2"/>
    <w:rsid w:val="009C7161"/>
    <w:rsid w:val="009C76C1"/>
    <w:rsid w:val="009D05EC"/>
    <w:rsid w:val="009D11D6"/>
    <w:rsid w:val="009D1EC6"/>
    <w:rsid w:val="009D3AF6"/>
    <w:rsid w:val="009D3F08"/>
    <w:rsid w:val="009D4019"/>
    <w:rsid w:val="009D628C"/>
    <w:rsid w:val="009E11BA"/>
    <w:rsid w:val="009E141B"/>
    <w:rsid w:val="009E2D6C"/>
    <w:rsid w:val="009E660D"/>
    <w:rsid w:val="009E77C4"/>
    <w:rsid w:val="009F50D8"/>
    <w:rsid w:val="009F7E80"/>
    <w:rsid w:val="00A03535"/>
    <w:rsid w:val="00A045A2"/>
    <w:rsid w:val="00A04B6D"/>
    <w:rsid w:val="00A06DD7"/>
    <w:rsid w:val="00A12BCC"/>
    <w:rsid w:val="00A14318"/>
    <w:rsid w:val="00A14F4E"/>
    <w:rsid w:val="00A167FB"/>
    <w:rsid w:val="00A174F5"/>
    <w:rsid w:val="00A20E1D"/>
    <w:rsid w:val="00A2402A"/>
    <w:rsid w:val="00A241E3"/>
    <w:rsid w:val="00A24920"/>
    <w:rsid w:val="00A32095"/>
    <w:rsid w:val="00A32C7A"/>
    <w:rsid w:val="00A32E70"/>
    <w:rsid w:val="00A33E33"/>
    <w:rsid w:val="00A34D08"/>
    <w:rsid w:val="00A43557"/>
    <w:rsid w:val="00A44D85"/>
    <w:rsid w:val="00A45025"/>
    <w:rsid w:val="00A45844"/>
    <w:rsid w:val="00A51077"/>
    <w:rsid w:val="00A51224"/>
    <w:rsid w:val="00A53A6B"/>
    <w:rsid w:val="00A5433B"/>
    <w:rsid w:val="00A54C60"/>
    <w:rsid w:val="00A54E1A"/>
    <w:rsid w:val="00A55441"/>
    <w:rsid w:val="00A55B52"/>
    <w:rsid w:val="00A56A48"/>
    <w:rsid w:val="00A56DEC"/>
    <w:rsid w:val="00A60B48"/>
    <w:rsid w:val="00A60DE4"/>
    <w:rsid w:val="00A612FF"/>
    <w:rsid w:val="00A614D0"/>
    <w:rsid w:val="00A62BFB"/>
    <w:rsid w:val="00A6462A"/>
    <w:rsid w:val="00A65FDE"/>
    <w:rsid w:val="00A6602B"/>
    <w:rsid w:val="00A66E8A"/>
    <w:rsid w:val="00A67A2B"/>
    <w:rsid w:val="00A71943"/>
    <w:rsid w:val="00A730EF"/>
    <w:rsid w:val="00A7361D"/>
    <w:rsid w:val="00A742D8"/>
    <w:rsid w:val="00A7456C"/>
    <w:rsid w:val="00A75588"/>
    <w:rsid w:val="00A772B5"/>
    <w:rsid w:val="00A778FF"/>
    <w:rsid w:val="00A77957"/>
    <w:rsid w:val="00A77D5D"/>
    <w:rsid w:val="00A80635"/>
    <w:rsid w:val="00A82118"/>
    <w:rsid w:val="00A82EA9"/>
    <w:rsid w:val="00A87BD4"/>
    <w:rsid w:val="00A9055E"/>
    <w:rsid w:val="00A91668"/>
    <w:rsid w:val="00A91E7F"/>
    <w:rsid w:val="00A95C14"/>
    <w:rsid w:val="00A95FAA"/>
    <w:rsid w:val="00A9666F"/>
    <w:rsid w:val="00A97280"/>
    <w:rsid w:val="00A97BA6"/>
    <w:rsid w:val="00A97C92"/>
    <w:rsid w:val="00AA0797"/>
    <w:rsid w:val="00AA15D8"/>
    <w:rsid w:val="00AA2F4F"/>
    <w:rsid w:val="00AA4BFF"/>
    <w:rsid w:val="00AB0069"/>
    <w:rsid w:val="00AB18A3"/>
    <w:rsid w:val="00AB24E1"/>
    <w:rsid w:val="00AB2AB3"/>
    <w:rsid w:val="00AB3D71"/>
    <w:rsid w:val="00AB6EAC"/>
    <w:rsid w:val="00AC07A4"/>
    <w:rsid w:val="00AC2510"/>
    <w:rsid w:val="00AC271E"/>
    <w:rsid w:val="00AC67A5"/>
    <w:rsid w:val="00AD0EF9"/>
    <w:rsid w:val="00AD1F3F"/>
    <w:rsid w:val="00AD2944"/>
    <w:rsid w:val="00AD35EF"/>
    <w:rsid w:val="00AD4A4D"/>
    <w:rsid w:val="00AD57B1"/>
    <w:rsid w:val="00AD612A"/>
    <w:rsid w:val="00AD7A2D"/>
    <w:rsid w:val="00AE2F42"/>
    <w:rsid w:val="00AE33A9"/>
    <w:rsid w:val="00AE4335"/>
    <w:rsid w:val="00AE4666"/>
    <w:rsid w:val="00AE5255"/>
    <w:rsid w:val="00AF0C56"/>
    <w:rsid w:val="00AF140A"/>
    <w:rsid w:val="00AF1F7E"/>
    <w:rsid w:val="00AF2CDB"/>
    <w:rsid w:val="00AF4251"/>
    <w:rsid w:val="00AF4AEB"/>
    <w:rsid w:val="00AF539D"/>
    <w:rsid w:val="00AF59B9"/>
    <w:rsid w:val="00AF5A5E"/>
    <w:rsid w:val="00AF7241"/>
    <w:rsid w:val="00AF7901"/>
    <w:rsid w:val="00AF7DA3"/>
    <w:rsid w:val="00B001E4"/>
    <w:rsid w:val="00B0153A"/>
    <w:rsid w:val="00B0169A"/>
    <w:rsid w:val="00B03CE1"/>
    <w:rsid w:val="00B045F0"/>
    <w:rsid w:val="00B04889"/>
    <w:rsid w:val="00B04DC4"/>
    <w:rsid w:val="00B05CA8"/>
    <w:rsid w:val="00B06013"/>
    <w:rsid w:val="00B06CAC"/>
    <w:rsid w:val="00B07049"/>
    <w:rsid w:val="00B1234B"/>
    <w:rsid w:val="00B1380A"/>
    <w:rsid w:val="00B13902"/>
    <w:rsid w:val="00B13FA7"/>
    <w:rsid w:val="00B14244"/>
    <w:rsid w:val="00B14660"/>
    <w:rsid w:val="00B1506B"/>
    <w:rsid w:val="00B238AA"/>
    <w:rsid w:val="00B241DE"/>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37EA2"/>
    <w:rsid w:val="00B40BE8"/>
    <w:rsid w:val="00B41994"/>
    <w:rsid w:val="00B42655"/>
    <w:rsid w:val="00B43CF4"/>
    <w:rsid w:val="00B44BDA"/>
    <w:rsid w:val="00B4503B"/>
    <w:rsid w:val="00B453F2"/>
    <w:rsid w:val="00B462E6"/>
    <w:rsid w:val="00B46EBD"/>
    <w:rsid w:val="00B51489"/>
    <w:rsid w:val="00B5163B"/>
    <w:rsid w:val="00B51651"/>
    <w:rsid w:val="00B518A5"/>
    <w:rsid w:val="00B525EE"/>
    <w:rsid w:val="00B55021"/>
    <w:rsid w:val="00B55A10"/>
    <w:rsid w:val="00B562C4"/>
    <w:rsid w:val="00B563D3"/>
    <w:rsid w:val="00B571D5"/>
    <w:rsid w:val="00B57273"/>
    <w:rsid w:val="00B6012E"/>
    <w:rsid w:val="00B6112C"/>
    <w:rsid w:val="00B61C6C"/>
    <w:rsid w:val="00B621E5"/>
    <w:rsid w:val="00B622E7"/>
    <w:rsid w:val="00B62C96"/>
    <w:rsid w:val="00B6380C"/>
    <w:rsid w:val="00B63F64"/>
    <w:rsid w:val="00B641A3"/>
    <w:rsid w:val="00B6545B"/>
    <w:rsid w:val="00B6556C"/>
    <w:rsid w:val="00B6734D"/>
    <w:rsid w:val="00B67AA9"/>
    <w:rsid w:val="00B72B76"/>
    <w:rsid w:val="00B72F4B"/>
    <w:rsid w:val="00B73DAC"/>
    <w:rsid w:val="00B73F93"/>
    <w:rsid w:val="00B74208"/>
    <w:rsid w:val="00B744B2"/>
    <w:rsid w:val="00B7597A"/>
    <w:rsid w:val="00B75E8C"/>
    <w:rsid w:val="00B7603F"/>
    <w:rsid w:val="00B76E5E"/>
    <w:rsid w:val="00B77EF4"/>
    <w:rsid w:val="00B815E2"/>
    <w:rsid w:val="00B846D4"/>
    <w:rsid w:val="00B84A71"/>
    <w:rsid w:val="00B8544D"/>
    <w:rsid w:val="00B871A9"/>
    <w:rsid w:val="00B878CE"/>
    <w:rsid w:val="00B87AA1"/>
    <w:rsid w:val="00B87B22"/>
    <w:rsid w:val="00B87F9C"/>
    <w:rsid w:val="00B906FF"/>
    <w:rsid w:val="00B9211C"/>
    <w:rsid w:val="00B92EEC"/>
    <w:rsid w:val="00B94462"/>
    <w:rsid w:val="00B950A5"/>
    <w:rsid w:val="00B95C83"/>
    <w:rsid w:val="00B97541"/>
    <w:rsid w:val="00BA128A"/>
    <w:rsid w:val="00BA1CA0"/>
    <w:rsid w:val="00BA455A"/>
    <w:rsid w:val="00BA5528"/>
    <w:rsid w:val="00BA688E"/>
    <w:rsid w:val="00BB0742"/>
    <w:rsid w:val="00BB1B0D"/>
    <w:rsid w:val="00BB6818"/>
    <w:rsid w:val="00BC013C"/>
    <w:rsid w:val="00BC0541"/>
    <w:rsid w:val="00BC0C96"/>
    <w:rsid w:val="00BC328D"/>
    <w:rsid w:val="00BC36DE"/>
    <w:rsid w:val="00BC395B"/>
    <w:rsid w:val="00BC3F67"/>
    <w:rsid w:val="00BC45BA"/>
    <w:rsid w:val="00BC5F4E"/>
    <w:rsid w:val="00BC5FDE"/>
    <w:rsid w:val="00BC7297"/>
    <w:rsid w:val="00BC72EA"/>
    <w:rsid w:val="00BD0240"/>
    <w:rsid w:val="00BD0822"/>
    <w:rsid w:val="00BD1E79"/>
    <w:rsid w:val="00BD2C19"/>
    <w:rsid w:val="00BD5E01"/>
    <w:rsid w:val="00BD799F"/>
    <w:rsid w:val="00BE0125"/>
    <w:rsid w:val="00BE0A98"/>
    <w:rsid w:val="00BE13D4"/>
    <w:rsid w:val="00BE1867"/>
    <w:rsid w:val="00BE23AC"/>
    <w:rsid w:val="00BE5FB6"/>
    <w:rsid w:val="00BE79DB"/>
    <w:rsid w:val="00BF11D7"/>
    <w:rsid w:val="00BF467C"/>
    <w:rsid w:val="00BF5089"/>
    <w:rsid w:val="00BF59B0"/>
    <w:rsid w:val="00BF7D62"/>
    <w:rsid w:val="00C0130E"/>
    <w:rsid w:val="00C0272E"/>
    <w:rsid w:val="00C02B41"/>
    <w:rsid w:val="00C0320F"/>
    <w:rsid w:val="00C04D36"/>
    <w:rsid w:val="00C04DB4"/>
    <w:rsid w:val="00C05EB3"/>
    <w:rsid w:val="00C06FCE"/>
    <w:rsid w:val="00C07C03"/>
    <w:rsid w:val="00C10747"/>
    <w:rsid w:val="00C10EB5"/>
    <w:rsid w:val="00C12025"/>
    <w:rsid w:val="00C133C8"/>
    <w:rsid w:val="00C1447E"/>
    <w:rsid w:val="00C15F7E"/>
    <w:rsid w:val="00C21159"/>
    <w:rsid w:val="00C21650"/>
    <w:rsid w:val="00C265C0"/>
    <w:rsid w:val="00C27482"/>
    <w:rsid w:val="00C27872"/>
    <w:rsid w:val="00C30595"/>
    <w:rsid w:val="00C30AAD"/>
    <w:rsid w:val="00C311B3"/>
    <w:rsid w:val="00C33D9D"/>
    <w:rsid w:val="00C35637"/>
    <w:rsid w:val="00C3576B"/>
    <w:rsid w:val="00C36AC4"/>
    <w:rsid w:val="00C418FA"/>
    <w:rsid w:val="00C42952"/>
    <w:rsid w:val="00C44424"/>
    <w:rsid w:val="00C44FA7"/>
    <w:rsid w:val="00C472A4"/>
    <w:rsid w:val="00C537EB"/>
    <w:rsid w:val="00C61A21"/>
    <w:rsid w:val="00C62EDF"/>
    <w:rsid w:val="00C630B4"/>
    <w:rsid w:val="00C654F4"/>
    <w:rsid w:val="00C66654"/>
    <w:rsid w:val="00C706EC"/>
    <w:rsid w:val="00C7185F"/>
    <w:rsid w:val="00C71F95"/>
    <w:rsid w:val="00C72C64"/>
    <w:rsid w:val="00C73585"/>
    <w:rsid w:val="00C73C0D"/>
    <w:rsid w:val="00C7436B"/>
    <w:rsid w:val="00C7586A"/>
    <w:rsid w:val="00C76480"/>
    <w:rsid w:val="00C77547"/>
    <w:rsid w:val="00C778E6"/>
    <w:rsid w:val="00C81B64"/>
    <w:rsid w:val="00C81E07"/>
    <w:rsid w:val="00C8388D"/>
    <w:rsid w:val="00C839A9"/>
    <w:rsid w:val="00C83FB4"/>
    <w:rsid w:val="00C849C6"/>
    <w:rsid w:val="00C85D6A"/>
    <w:rsid w:val="00C874E9"/>
    <w:rsid w:val="00C9040A"/>
    <w:rsid w:val="00C90AFC"/>
    <w:rsid w:val="00C94693"/>
    <w:rsid w:val="00C94898"/>
    <w:rsid w:val="00CA2D32"/>
    <w:rsid w:val="00CA3514"/>
    <w:rsid w:val="00CA3FE6"/>
    <w:rsid w:val="00CA6414"/>
    <w:rsid w:val="00CA70A4"/>
    <w:rsid w:val="00CA74DC"/>
    <w:rsid w:val="00CB2AB7"/>
    <w:rsid w:val="00CC0083"/>
    <w:rsid w:val="00CC27F3"/>
    <w:rsid w:val="00CC3194"/>
    <w:rsid w:val="00CC3562"/>
    <w:rsid w:val="00CC4D63"/>
    <w:rsid w:val="00CC5E5B"/>
    <w:rsid w:val="00CC61A5"/>
    <w:rsid w:val="00CC772A"/>
    <w:rsid w:val="00CC7E08"/>
    <w:rsid w:val="00CD14DB"/>
    <w:rsid w:val="00CD6D72"/>
    <w:rsid w:val="00CD7B93"/>
    <w:rsid w:val="00CE0348"/>
    <w:rsid w:val="00CE0675"/>
    <w:rsid w:val="00CE207D"/>
    <w:rsid w:val="00CE2E0F"/>
    <w:rsid w:val="00CE42C7"/>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3639"/>
    <w:rsid w:val="00D04D5F"/>
    <w:rsid w:val="00D04DD6"/>
    <w:rsid w:val="00D04DFA"/>
    <w:rsid w:val="00D0597F"/>
    <w:rsid w:val="00D05F35"/>
    <w:rsid w:val="00D06393"/>
    <w:rsid w:val="00D06E5E"/>
    <w:rsid w:val="00D06F79"/>
    <w:rsid w:val="00D10597"/>
    <w:rsid w:val="00D120A3"/>
    <w:rsid w:val="00D13288"/>
    <w:rsid w:val="00D13AF8"/>
    <w:rsid w:val="00D153C7"/>
    <w:rsid w:val="00D1584B"/>
    <w:rsid w:val="00D20601"/>
    <w:rsid w:val="00D219E9"/>
    <w:rsid w:val="00D2205B"/>
    <w:rsid w:val="00D22575"/>
    <w:rsid w:val="00D23418"/>
    <w:rsid w:val="00D23A1A"/>
    <w:rsid w:val="00D24606"/>
    <w:rsid w:val="00D2620A"/>
    <w:rsid w:val="00D27A3F"/>
    <w:rsid w:val="00D3048F"/>
    <w:rsid w:val="00D3056A"/>
    <w:rsid w:val="00D3064D"/>
    <w:rsid w:val="00D30AED"/>
    <w:rsid w:val="00D30F84"/>
    <w:rsid w:val="00D31091"/>
    <w:rsid w:val="00D33CFE"/>
    <w:rsid w:val="00D33DDE"/>
    <w:rsid w:val="00D34DA4"/>
    <w:rsid w:val="00D35C1D"/>
    <w:rsid w:val="00D3610A"/>
    <w:rsid w:val="00D3752F"/>
    <w:rsid w:val="00D40DDE"/>
    <w:rsid w:val="00D42D78"/>
    <w:rsid w:val="00D43970"/>
    <w:rsid w:val="00D43CA5"/>
    <w:rsid w:val="00D44CA5"/>
    <w:rsid w:val="00D46E12"/>
    <w:rsid w:val="00D50734"/>
    <w:rsid w:val="00D507C0"/>
    <w:rsid w:val="00D513CC"/>
    <w:rsid w:val="00D5172A"/>
    <w:rsid w:val="00D56435"/>
    <w:rsid w:val="00D62755"/>
    <w:rsid w:val="00D62AA4"/>
    <w:rsid w:val="00D6318F"/>
    <w:rsid w:val="00D650BB"/>
    <w:rsid w:val="00D6540A"/>
    <w:rsid w:val="00D66FD0"/>
    <w:rsid w:val="00D674AF"/>
    <w:rsid w:val="00D70107"/>
    <w:rsid w:val="00D70438"/>
    <w:rsid w:val="00D7113D"/>
    <w:rsid w:val="00D717AD"/>
    <w:rsid w:val="00D720AD"/>
    <w:rsid w:val="00D72D1D"/>
    <w:rsid w:val="00D72F3E"/>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0B1A"/>
    <w:rsid w:val="00DA0F32"/>
    <w:rsid w:val="00DA1560"/>
    <w:rsid w:val="00DA3176"/>
    <w:rsid w:val="00DA4C44"/>
    <w:rsid w:val="00DA4C48"/>
    <w:rsid w:val="00DA4E21"/>
    <w:rsid w:val="00DA71EF"/>
    <w:rsid w:val="00DA7A18"/>
    <w:rsid w:val="00DB1347"/>
    <w:rsid w:val="00DB28CE"/>
    <w:rsid w:val="00DB29BC"/>
    <w:rsid w:val="00DB2A2A"/>
    <w:rsid w:val="00DB479F"/>
    <w:rsid w:val="00DB55B6"/>
    <w:rsid w:val="00DB5EA7"/>
    <w:rsid w:val="00DB5F21"/>
    <w:rsid w:val="00DB6D7C"/>
    <w:rsid w:val="00DB7183"/>
    <w:rsid w:val="00DC090A"/>
    <w:rsid w:val="00DC0E7E"/>
    <w:rsid w:val="00DC2D72"/>
    <w:rsid w:val="00DC30EA"/>
    <w:rsid w:val="00DC4FE9"/>
    <w:rsid w:val="00DC5918"/>
    <w:rsid w:val="00DC6C8D"/>
    <w:rsid w:val="00DC73A5"/>
    <w:rsid w:val="00DD0236"/>
    <w:rsid w:val="00DD322E"/>
    <w:rsid w:val="00DD4100"/>
    <w:rsid w:val="00DD76A4"/>
    <w:rsid w:val="00DD7C65"/>
    <w:rsid w:val="00DE03E4"/>
    <w:rsid w:val="00DE1134"/>
    <w:rsid w:val="00DE17D2"/>
    <w:rsid w:val="00DE1AEB"/>
    <w:rsid w:val="00DE2247"/>
    <w:rsid w:val="00DE2A34"/>
    <w:rsid w:val="00DE37AE"/>
    <w:rsid w:val="00DE4732"/>
    <w:rsid w:val="00DE6668"/>
    <w:rsid w:val="00DE6987"/>
    <w:rsid w:val="00DE7339"/>
    <w:rsid w:val="00DF1246"/>
    <w:rsid w:val="00DF30C0"/>
    <w:rsid w:val="00E0080A"/>
    <w:rsid w:val="00E00F31"/>
    <w:rsid w:val="00E02242"/>
    <w:rsid w:val="00E026F0"/>
    <w:rsid w:val="00E02AF8"/>
    <w:rsid w:val="00E0300E"/>
    <w:rsid w:val="00E04AE0"/>
    <w:rsid w:val="00E070D0"/>
    <w:rsid w:val="00E11517"/>
    <w:rsid w:val="00E12834"/>
    <w:rsid w:val="00E13727"/>
    <w:rsid w:val="00E14F20"/>
    <w:rsid w:val="00E15630"/>
    <w:rsid w:val="00E17AB3"/>
    <w:rsid w:val="00E20254"/>
    <w:rsid w:val="00E209F0"/>
    <w:rsid w:val="00E219EB"/>
    <w:rsid w:val="00E22C13"/>
    <w:rsid w:val="00E23129"/>
    <w:rsid w:val="00E246E1"/>
    <w:rsid w:val="00E25045"/>
    <w:rsid w:val="00E2677C"/>
    <w:rsid w:val="00E26D83"/>
    <w:rsid w:val="00E271CD"/>
    <w:rsid w:val="00E27A1E"/>
    <w:rsid w:val="00E306E9"/>
    <w:rsid w:val="00E307DC"/>
    <w:rsid w:val="00E30B59"/>
    <w:rsid w:val="00E323CF"/>
    <w:rsid w:val="00E334B9"/>
    <w:rsid w:val="00E33905"/>
    <w:rsid w:val="00E342D1"/>
    <w:rsid w:val="00E34B6E"/>
    <w:rsid w:val="00E34B96"/>
    <w:rsid w:val="00E35F7D"/>
    <w:rsid w:val="00E37502"/>
    <w:rsid w:val="00E375F6"/>
    <w:rsid w:val="00E40127"/>
    <w:rsid w:val="00E43074"/>
    <w:rsid w:val="00E431C8"/>
    <w:rsid w:val="00E44926"/>
    <w:rsid w:val="00E44E09"/>
    <w:rsid w:val="00E45D53"/>
    <w:rsid w:val="00E46DBD"/>
    <w:rsid w:val="00E47A83"/>
    <w:rsid w:val="00E51708"/>
    <w:rsid w:val="00E51729"/>
    <w:rsid w:val="00E51D0A"/>
    <w:rsid w:val="00E521EB"/>
    <w:rsid w:val="00E53139"/>
    <w:rsid w:val="00E53A8F"/>
    <w:rsid w:val="00E5435E"/>
    <w:rsid w:val="00E55A81"/>
    <w:rsid w:val="00E56450"/>
    <w:rsid w:val="00E56DA8"/>
    <w:rsid w:val="00E600BE"/>
    <w:rsid w:val="00E60ACC"/>
    <w:rsid w:val="00E60C4B"/>
    <w:rsid w:val="00E60E21"/>
    <w:rsid w:val="00E647DB"/>
    <w:rsid w:val="00E6570E"/>
    <w:rsid w:val="00E65DD0"/>
    <w:rsid w:val="00E66638"/>
    <w:rsid w:val="00E6706E"/>
    <w:rsid w:val="00E7211D"/>
    <w:rsid w:val="00E72AAC"/>
    <w:rsid w:val="00E754C2"/>
    <w:rsid w:val="00E757CA"/>
    <w:rsid w:val="00E75C5D"/>
    <w:rsid w:val="00E75D48"/>
    <w:rsid w:val="00E76750"/>
    <w:rsid w:val="00E773CD"/>
    <w:rsid w:val="00E774C9"/>
    <w:rsid w:val="00E77D0C"/>
    <w:rsid w:val="00E80964"/>
    <w:rsid w:val="00E83D43"/>
    <w:rsid w:val="00E84159"/>
    <w:rsid w:val="00E841A6"/>
    <w:rsid w:val="00E84BCB"/>
    <w:rsid w:val="00E85905"/>
    <w:rsid w:val="00E85D20"/>
    <w:rsid w:val="00E87C0D"/>
    <w:rsid w:val="00E90DC4"/>
    <w:rsid w:val="00E9163F"/>
    <w:rsid w:val="00E91CB7"/>
    <w:rsid w:val="00E9526E"/>
    <w:rsid w:val="00E955B0"/>
    <w:rsid w:val="00E956E8"/>
    <w:rsid w:val="00EA022D"/>
    <w:rsid w:val="00EA0D10"/>
    <w:rsid w:val="00EA0F2C"/>
    <w:rsid w:val="00EA19CB"/>
    <w:rsid w:val="00EA2C8F"/>
    <w:rsid w:val="00EA5045"/>
    <w:rsid w:val="00EA5D64"/>
    <w:rsid w:val="00EA613A"/>
    <w:rsid w:val="00EA6A8C"/>
    <w:rsid w:val="00EB2AD1"/>
    <w:rsid w:val="00EB2F9F"/>
    <w:rsid w:val="00EB3067"/>
    <w:rsid w:val="00EB353E"/>
    <w:rsid w:val="00EB3AA1"/>
    <w:rsid w:val="00EB56E0"/>
    <w:rsid w:val="00EB5DDF"/>
    <w:rsid w:val="00EB6E66"/>
    <w:rsid w:val="00EC0129"/>
    <w:rsid w:val="00EC3CEC"/>
    <w:rsid w:val="00EC4625"/>
    <w:rsid w:val="00ED139E"/>
    <w:rsid w:val="00ED1759"/>
    <w:rsid w:val="00ED27A5"/>
    <w:rsid w:val="00ED3ECB"/>
    <w:rsid w:val="00ED445D"/>
    <w:rsid w:val="00ED461C"/>
    <w:rsid w:val="00ED5506"/>
    <w:rsid w:val="00ED5E2B"/>
    <w:rsid w:val="00ED74DD"/>
    <w:rsid w:val="00EE01C2"/>
    <w:rsid w:val="00EE2FEA"/>
    <w:rsid w:val="00EE37A2"/>
    <w:rsid w:val="00EE3B12"/>
    <w:rsid w:val="00EE5AF3"/>
    <w:rsid w:val="00EE5E91"/>
    <w:rsid w:val="00EE5F8C"/>
    <w:rsid w:val="00EE73BC"/>
    <w:rsid w:val="00EE7AC8"/>
    <w:rsid w:val="00EF00AA"/>
    <w:rsid w:val="00EF3996"/>
    <w:rsid w:val="00EF4A70"/>
    <w:rsid w:val="00F0026A"/>
    <w:rsid w:val="00F021E7"/>
    <w:rsid w:val="00F026C1"/>
    <w:rsid w:val="00F039D1"/>
    <w:rsid w:val="00F05BEC"/>
    <w:rsid w:val="00F05D0F"/>
    <w:rsid w:val="00F05DB4"/>
    <w:rsid w:val="00F13358"/>
    <w:rsid w:val="00F1456D"/>
    <w:rsid w:val="00F14DA0"/>
    <w:rsid w:val="00F15387"/>
    <w:rsid w:val="00F15D8B"/>
    <w:rsid w:val="00F15F46"/>
    <w:rsid w:val="00F17D58"/>
    <w:rsid w:val="00F228F5"/>
    <w:rsid w:val="00F23FD4"/>
    <w:rsid w:val="00F24143"/>
    <w:rsid w:val="00F241BE"/>
    <w:rsid w:val="00F24962"/>
    <w:rsid w:val="00F25038"/>
    <w:rsid w:val="00F263D9"/>
    <w:rsid w:val="00F2735C"/>
    <w:rsid w:val="00F3124A"/>
    <w:rsid w:val="00F31516"/>
    <w:rsid w:val="00F31D41"/>
    <w:rsid w:val="00F34539"/>
    <w:rsid w:val="00F35005"/>
    <w:rsid w:val="00F351F0"/>
    <w:rsid w:val="00F359FB"/>
    <w:rsid w:val="00F364CB"/>
    <w:rsid w:val="00F36E13"/>
    <w:rsid w:val="00F37601"/>
    <w:rsid w:val="00F40467"/>
    <w:rsid w:val="00F4058E"/>
    <w:rsid w:val="00F4220F"/>
    <w:rsid w:val="00F423B8"/>
    <w:rsid w:val="00F43F58"/>
    <w:rsid w:val="00F45507"/>
    <w:rsid w:val="00F46014"/>
    <w:rsid w:val="00F47670"/>
    <w:rsid w:val="00F51371"/>
    <w:rsid w:val="00F51AF6"/>
    <w:rsid w:val="00F551E9"/>
    <w:rsid w:val="00F55A95"/>
    <w:rsid w:val="00F56113"/>
    <w:rsid w:val="00F5640F"/>
    <w:rsid w:val="00F56735"/>
    <w:rsid w:val="00F56B3A"/>
    <w:rsid w:val="00F60F94"/>
    <w:rsid w:val="00F61408"/>
    <w:rsid w:val="00F615F9"/>
    <w:rsid w:val="00F62055"/>
    <w:rsid w:val="00F620BE"/>
    <w:rsid w:val="00F64DC5"/>
    <w:rsid w:val="00F73938"/>
    <w:rsid w:val="00F73E87"/>
    <w:rsid w:val="00F7420A"/>
    <w:rsid w:val="00F74224"/>
    <w:rsid w:val="00F747A9"/>
    <w:rsid w:val="00F76696"/>
    <w:rsid w:val="00F77295"/>
    <w:rsid w:val="00F77A84"/>
    <w:rsid w:val="00F77B66"/>
    <w:rsid w:val="00F80438"/>
    <w:rsid w:val="00F80EBE"/>
    <w:rsid w:val="00F823C3"/>
    <w:rsid w:val="00F87905"/>
    <w:rsid w:val="00F91A0D"/>
    <w:rsid w:val="00F9229E"/>
    <w:rsid w:val="00F92724"/>
    <w:rsid w:val="00F92A12"/>
    <w:rsid w:val="00F94188"/>
    <w:rsid w:val="00F942E2"/>
    <w:rsid w:val="00F9523B"/>
    <w:rsid w:val="00F9546E"/>
    <w:rsid w:val="00F9560B"/>
    <w:rsid w:val="00F95755"/>
    <w:rsid w:val="00F96E67"/>
    <w:rsid w:val="00F96E92"/>
    <w:rsid w:val="00FA0700"/>
    <w:rsid w:val="00FA13CB"/>
    <w:rsid w:val="00FA2BE9"/>
    <w:rsid w:val="00FA31AE"/>
    <w:rsid w:val="00FA438E"/>
    <w:rsid w:val="00FA4FCD"/>
    <w:rsid w:val="00FB056B"/>
    <w:rsid w:val="00FB1DA4"/>
    <w:rsid w:val="00FB2973"/>
    <w:rsid w:val="00FB42CF"/>
    <w:rsid w:val="00FB511E"/>
    <w:rsid w:val="00FB6A3F"/>
    <w:rsid w:val="00FB7B5E"/>
    <w:rsid w:val="00FC07DD"/>
    <w:rsid w:val="00FC2B86"/>
    <w:rsid w:val="00FC48B5"/>
    <w:rsid w:val="00FC4CA2"/>
    <w:rsid w:val="00FC6FF3"/>
    <w:rsid w:val="00FC7629"/>
    <w:rsid w:val="00FC7B2A"/>
    <w:rsid w:val="00FD03D1"/>
    <w:rsid w:val="00FD3D67"/>
    <w:rsid w:val="00FD4F56"/>
    <w:rsid w:val="00FD536A"/>
    <w:rsid w:val="00FD74FF"/>
    <w:rsid w:val="00FE3CEC"/>
    <w:rsid w:val="00FE4145"/>
    <w:rsid w:val="00FE5F2D"/>
    <w:rsid w:val="00FE607C"/>
    <w:rsid w:val="00FE6A1F"/>
    <w:rsid w:val="00FE743E"/>
    <w:rsid w:val="00FF04FB"/>
    <w:rsid w:val="00FF0810"/>
    <w:rsid w:val="00FF11E6"/>
    <w:rsid w:val="00FF32F3"/>
    <w:rsid w:val="00FF55D8"/>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spacing w:before="300" w:line="260" w:lineRule="atLeast"/>
      <w:outlineLvl w:val="2"/>
    </w:pPr>
    <w:rPr>
      <w:color w:val="54534A"/>
      <w:sz w:val="22"/>
      <w:szCs w:val="22"/>
    </w:rPr>
  </w:style>
  <w:style w:type="paragraph" w:styleId="Heading4">
    <w:name w:val="heading 4"/>
    <w:basedOn w:val="BodyText"/>
    <w:next w:val="BodyText"/>
    <w:qFormat/>
    <w:rsid w:val="00222F3B"/>
    <w:pPr>
      <w:spacing w:before="320" w:after="0"/>
      <w:outlineLvl w:val="3"/>
    </w:pPr>
    <w:rPr>
      <w:b/>
      <w:color w:val="54534A"/>
      <w:sz w:val="22"/>
      <w:szCs w:val="22"/>
    </w:rPr>
  </w:style>
  <w:style w:type="paragraph" w:styleId="Heading5">
    <w:name w:val="heading 5"/>
    <w:basedOn w:val="BodyText"/>
    <w:next w:val="BodyText"/>
    <w:qFormat/>
    <w:rsid w:val="00B525EE"/>
    <w:pPr>
      <w:keepNext/>
      <w:spacing w:before="320" w:after="0"/>
      <w:outlineLvl w:val="4"/>
    </w:pPr>
    <w:rPr>
      <w:b/>
      <w:color w:val="54534A"/>
    </w:rPr>
  </w:style>
  <w:style w:type="paragraph" w:styleId="Heading6">
    <w:name w:val="heading 6"/>
    <w:basedOn w:val="Heading1"/>
    <w:next w:val="BodyText"/>
    <w:qFormat/>
    <w:rsid w:val="00B525EE"/>
    <w:pPr>
      <w:outlineLvl w:val="5"/>
    </w:pPr>
    <w:rPr>
      <w:bCs/>
    </w:rPr>
  </w:style>
  <w:style w:type="paragraph" w:styleId="Heading7">
    <w:name w:val="heading 7"/>
    <w:basedOn w:val="Heading2"/>
    <w:next w:val="BodyText"/>
    <w:qFormat/>
    <w:rsid w:val="00B525EE"/>
    <w:pPr>
      <w:outlineLvl w:val="6"/>
    </w:pPr>
    <w:rPr>
      <w:rFonts w:ascii="Franklin Gothic Demi" w:hAnsi="Franklin Gothic Demi"/>
      <w:sz w:val="28"/>
      <w:szCs w:val="28"/>
    </w:rPr>
  </w:style>
  <w:style w:type="paragraph" w:styleId="Heading8">
    <w:name w:val="heading 8"/>
    <w:basedOn w:val="Heading3"/>
    <w:next w:val="BodyText"/>
    <w:qFormat/>
    <w:rsid w:val="00B525EE"/>
    <w:pPr>
      <w:outlineLvl w:val="7"/>
    </w:pPr>
  </w:style>
  <w:style w:type="paragraph" w:styleId="Heading9">
    <w:name w:val="heading 9"/>
    <w:basedOn w:val="Heading4"/>
    <w:next w:val="BodyText"/>
    <w:qFormat/>
    <w:rsid w:val="00B525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Heading1"/>
    <w:next w:val="Normal2"/>
    <w:link w:val="TitleChar"/>
    <w:qFormat/>
    <w:rsid w:val="001E2DA9"/>
    <w:pPr>
      <w:pageBreakBefore/>
      <w:spacing w:line="540" w:lineRule="atLeast"/>
      <w:ind w:right="-702"/>
    </w:pPr>
    <w:rPr>
      <w:rFonts w:ascii="Franklin Gothic Book" w:hAnsi="Franklin Gothic Book"/>
      <w:noProof/>
      <w:color w:val="C0504D"/>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noProof w:val="0"/>
      <w:color w:val="FFFFFF"/>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DE7339"/>
    <w:pPr>
      <w:spacing w:before="360" w:after="0" w:line="240" w:lineRule="auto"/>
    </w:pPr>
    <w:rPr>
      <w:rFonts w:ascii="Cambria" w:hAnsi="Cambria"/>
      <w:b/>
      <w:bCs/>
      <w:caps/>
      <w:sz w:val="24"/>
      <w:szCs w:val="28"/>
    </w:rPr>
  </w:style>
  <w:style w:type="paragraph" w:styleId="TOC2">
    <w:name w:val="toc 2"/>
    <w:basedOn w:val="TOC1"/>
    <w:next w:val="TOC1"/>
    <w:uiPriority w:val="39"/>
    <w:qFormat/>
    <w:rsid w:val="00DE7339"/>
    <w:pPr>
      <w:spacing w:before="240"/>
    </w:pPr>
    <w:rPr>
      <w:rFonts w:ascii="Calibri" w:hAnsi="Calibri"/>
      <w:caps w:val="0"/>
      <w:sz w:val="20"/>
      <w:szCs w:val="24"/>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DD322E"/>
    <w:pPr>
      <w:keepNext/>
      <w:spacing w:line="28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F9523B"/>
    <w:pPr>
      <w:spacing w:before="0"/>
      <w:ind w:left="200"/>
    </w:pPr>
    <w:rPr>
      <w:b w:val="0"/>
      <w:bCs w:val="0"/>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spacing w:before="0" w:after="0" w:line="240" w:lineRule="auto"/>
      <w:ind w:left="800"/>
    </w:pPr>
    <w:rPr>
      <w:rFonts w:ascii="Calibri" w:hAnsi="Calibri"/>
      <w:sz w:val="20"/>
      <w:szCs w:val="24"/>
    </w:r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spacing w:before="0"/>
      <w:ind w:left="1000"/>
    </w:pPr>
    <w:rPr>
      <w:rFonts w:ascii="Calibri" w:hAnsi="Calibri"/>
      <w:b w:val="0"/>
      <w:bCs w:val="0"/>
      <w:caps w:val="0"/>
      <w:sz w:val="20"/>
      <w:szCs w:val="24"/>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1E2DA9"/>
    <w:rPr>
      <w:rFonts w:ascii="Franklin Gothic Book" w:hAnsi="Franklin Gothic Book" w:cs="Franklin Gothic Book"/>
      <w:noProof/>
      <w:color w:val="C0504D"/>
      <w:spacing w:val="-10"/>
      <w:kern w:val="28"/>
      <w:sz w:val="46"/>
      <w:szCs w:val="46"/>
      <w:lang w:val="en-AU" w:eastAsia="en-AU"/>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a">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customStyle="1" w:styleId="StyleBodyText10pt">
    <w:name w:val="Style Body Text + 10 pt"/>
    <w:basedOn w:val="BodyText"/>
    <w:rsid w:val="00E34B6E"/>
    <w:pPr>
      <w:spacing w:after="200"/>
    </w:pPr>
    <w:rPr>
      <w:sz w:val="20"/>
    </w:rPr>
  </w:style>
  <w:style w:type="character" w:customStyle="1" w:styleId="st1">
    <w:name w:val="st1"/>
    <w:rsid w:val="00584193"/>
  </w:style>
  <w:style w:type="character" w:styleId="Emphasis">
    <w:name w:val="Emphasis"/>
    <w:uiPriority w:val="20"/>
    <w:qFormat/>
    <w:rsid w:val="003F3497"/>
    <w:rPr>
      <w:b/>
      <w:bCs/>
      <w:i w:val="0"/>
      <w:iCs w:val="0"/>
    </w:rPr>
  </w:style>
  <w:style w:type="paragraph" w:styleId="Revision">
    <w:name w:val="Revision"/>
    <w:hidden/>
    <w:uiPriority w:val="99"/>
    <w:semiHidden/>
    <w:rsid w:val="00B43CF4"/>
    <w:rPr>
      <w:szCs w:val="24"/>
      <w:lang w:val="en-AU" w:eastAsia="en-AU"/>
    </w:rPr>
  </w:style>
  <w:style w:type="paragraph" w:styleId="NormalWeb">
    <w:name w:val="Normal (Web)"/>
    <w:basedOn w:val="Normal"/>
    <w:rsid w:val="00387870"/>
    <w:pPr>
      <w:spacing w:before="100" w:after="100" w:line="360" w:lineRule="atLeast"/>
    </w:pPr>
    <w:rPr>
      <w:sz w:val="24"/>
    </w:rPr>
  </w:style>
  <w:style w:type="paragraph" w:customStyle="1" w:styleId="Normal1">
    <w:name w:val="Normal1"/>
    <w:basedOn w:val="Normal"/>
    <w:qFormat/>
    <w:rsid w:val="003F1928"/>
    <w:rPr>
      <w:rFonts w:cs="Franklin Gothic Book"/>
      <w:color w:val="AD495D"/>
    </w:rPr>
  </w:style>
  <w:style w:type="paragraph" w:customStyle="1" w:styleId="Normal2">
    <w:name w:val="Normal2"/>
    <w:basedOn w:val="Normal1"/>
    <w:qFormat/>
    <w:rsid w:val="003F1928"/>
    <w:rPr>
      <w:rFonts w:ascii="Franklin Gothic Book" w:hAnsi="Franklin Gothic Book"/>
      <w:sz w:val="24"/>
    </w:rPr>
  </w:style>
  <w:style w:type="paragraph" w:customStyle="1" w:styleId="Normal22">
    <w:name w:val="Normal22"/>
    <w:basedOn w:val="Normal2"/>
    <w:rsid w:val="001E2DA9"/>
    <w:pPr>
      <w:spacing w:before="240"/>
    </w:pPr>
  </w:style>
  <w:style w:type="paragraph" w:customStyle="1" w:styleId="H1">
    <w:name w:val="H1"/>
    <w:basedOn w:val="Heading2"/>
    <w:qFormat/>
    <w:rsid w:val="001E2DA9"/>
    <w:pPr>
      <w:keepNext/>
      <w:spacing w:after="100" w:line="320" w:lineRule="atLeast"/>
      <w:outlineLvl w:val="0"/>
    </w:pPr>
    <w:rPr>
      <w:rFonts w:ascii="Franklin Gothic Demi" w:hAnsi="Franklin Gothic Demi"/>
      <w:color w:val="AD495D"/>
      <w:kern w:val="28"/>
      <w:sz w:val="28"/>
      <w:szCs w:val="28"/>
    </w:rPr>
  </w:style>
  <w:style w:type="paragraph" w:customStyle="1" w:styleId="H1A">
    <w:name w:val="H1A"/>
    <w:basedOn w:val="BodyText"/>
    <w:rsid w:val="00324AB6"/>
    <w:rPr>
      <w:rFonts w:ascii="Franklin Gothic Demi" w:hAnsi="Franklin Gothic Demi"/>
      <w:color w:val="AD495D"/>
      <w:kern w:val="28"/>
      <w:sz w:val="28"/>
      <w:szCs w:val="28"/>
    </w:rPr>
  </w:style>
  <w:style w:type="paragraph" w:customStyle="1" w:styleId="Normal2A">
    <w:name w:val="Normal2 A"/>
    <w:basedOn w:val="Normal22"/>
    <w:rsid w:val="00A97280"/>
    <w:pPr>
      <w:spacing w:before="120"/>
    </w:pPr>
  </w:style>
  <w:style w:type="paragraph" w:customStyle="1" w:styleId="Title1">
    <w:name w:val="Title1"/>
    <w:basedOn w:val="Title"/>
    <w:rsid w:val="00A97280"/>
    <w:pPr>
      <w:spacing w:before="0" w:after="0"/>
      <w:ind w:right="-703"/>
    </w:pPr>
  </w:style>
  <w:style w:type="paragraph" w:customStyle="1" w:styleId="BodyText1">
    <w:name w:val="Body Text 1"/>
    <w:basedOn w:val="BodyText"/>
    <w:rsid w:val="00A97280"/>
    <w:pPr>
      <w:spacing w:before="240"/>
    </w:pPr>
  </w:style>
  <w:style w:type="paragraph" w:customStyle="1" w:styleId="H2A">
    <w:name w:val="H2A"/>
    <w:basedOn w:val="Heading3"/>
    <w:qFormat/>
    <w:rsid w:val="00A97280"/>
    <w:pPr>
      <w:keepNext/>
      <w:tabs>
        <w:tab w:val="left" w:pos="1920"/>
      </w:tabs>
      <w:spacing w:before="0" w:after="120" w:line="320" w:lineRule="atLeast"/>
    </w:pPr>
    <w:rPr>
      <w:rFonts w:cs="Franklin Gothic Book"/>
      <w:color w:val="4BACC6"/>
      <w:szCs w:val="24"/>
    </w:rPr>
  </w:style>
  <w:style w:type="paragraph" w:customStyle="1" w:styleId="H2A0">
    <w:name w:val="H2 A"/>
    <w:basedOn w:val="Heading2"/>
    <w:rsid w:val="00324AB6"/>
    <w:pPr>
      <w:keepNext/>
      <w:tabs>
        <w:tab w:val="left" w:pos="1920"/>
      </w:tabs>
      <w:spacing w:before="0" w:after="120" w:line="320" w:lineRule="atLeast"/>
    </w:pPr>
  </w:style>
  <w:style w:type="paragraph" w:customStyle="1" w:styleId="BodyText1A">
    <w:name w:val="Body Text 1 A"/>
    <w:basedOn w:val="BodyText"/>
    <w:rsid w:val="00DD322E"/>
    <w:rPr>
      <w:rFonts w:ascii="Arial" w:hAnsi="Arial" w:cs="Arial"/>
      <w:sz w:val="16"/>
      <w:szCs w:val="16"/>
    </w:rPr>
  </w:style>
  <w:style w:type="paragraph" w:customStyle="1" w:styleId="H3A">
    <w:name w:val="H3A"/>
    <w:basedOn w:val="Heading4"/>
    <w:qFormat/>
    <w:rsid w:val="00DD322E"/>
    <w:pPr>
      <w:keepNext/>
    </w:pPr>
    <w:rPr>
      <w:rFonts w:cs="Franklin Gothic Book"/>
    </w:rPr>
  </w:style>
  <w:style w:type="paragraph" w:customStyle="1" w:styleId="H3A0">
    <w:name w:val="H3 A"/>
    <w:basedOn w:val="H3A"/>
    <w:rsid w:val="006617B3"/>
    <w:rPr>
      <w:rFonts w:ascii="Franklin Gothic Medium" w:hAnsi="Franklin Gothic Medium" w:cs="Times New Roman"/>
      <w:b w:val="0"/>
    </w:rPr>
  </w:style>
  <w:style w:type="paragraph" w:customStyle="1" w:styleId="H3">
    <w:name w:val="H3"/>
    <w:basedOn w:val="Heading3"/>
    <w:rsid w:val="00324AB6"/>
    <w:pPr>
      <w:keepNext/>
    </w:pPr>
    <w:rPr>
      <w:kern w:val="28"/>
    </w:rPr>
  </w:style>
  <w:style w:type="paragraph" w:customStyle="1" w:styleId="H2B">
    <w:name w:val="H2 B"/>
    <w:basedOn w:val="H2A0"/>
    <w:rsid w:val="002D2EEF"/>
    <w:rPr>
      <w:b/>
      <w:bCs/>
    </w:rPr>
  </w:style>
  <w:style w:type="paragraph" w:styleId="TOCHeading">
    <w:name w:val="TOC Heading"/>
    <w:basedOn w:val="Heading1"/>
    <w:next w:val="Normal"/>
    <w:uiPriority w:val="39"/>
    <w:semiHidden/>
    <w:unhideWhenUsed/>
    <w:qFormat/>
    <w:rsid w:val="001A384A"/>
    <w:pPr>
      <w:keepNext/>
      <w:keepLines/>
      <w:spacing w:before="480" w:after="0" w:line="276" w:lineRule="auto"/>
      <w:outlineLvl w:val="9"/>
    </w:pPr>
    <w:rPr>
      <w:rFonts w:ascii="Cambria" w:hAnsi="Cambria"/>
      <w:b/>
      <w:bCs/>
      <w:color w:val="365F91"/>
      <w:sz w:val="28"/>
      <w:szCs w:val="28"/>
      <w:lang w:val="en-US" w:eastAsia="en-US"/>
    </w:rPr>
  </w:style>
  <w:style w:type="paragraph" w:styleId="TOC4">
    <w:name w:val="toc 4"/>
    <w:basedOn w:val="Normal"/>
    <w:next w:val="Normal"/>
    <w:autoRedefine/>
    <w:rsid w:val="001A384A"/>
    <w:pPr>
      <w:ind w:left="400"/>
    </w:pPr>
    <w:rPr>
      <w:rFonts w:ascii="Calibri" w:hAnsi="Calibri"/>
    </w:rPr>
  </w:style>
  <w:style w:type="paragraph" w:styleId="TOC5">
    <w:name w:val="toc 5"/>
    <w:basedOn w:val="Normal"/>
    <w:next w:val="Normal"/>
    <w:autoRedefine/>
    <w:rsid w:val="001A384A"/>
    <w:pPr>
      <w:ind w:left="600"/>
    </w:pPr>
    <w:rPr>
      <w:rFonts w:ascii="Calibri" w:hAnsi="Calibri"/>
    </w:rPr>
  </w:style>
  <w:style w:type="paragraph" w:styleId="TOC8">
    <w:name w:val="toc 8"/>
    <w:basedOn w:val="Normal"/>
    <w:next w:val="Normal"/>
    <w:autoRedefine/>
    <w:rsid w:val="001A384A"/>
    <w:pPr>
      <w:ind w:left="1200"/>
    </w:pPr>
    <w:rPr>
      <w:rFonts w:ascii="Calibri" w:hAnsi="Calibri"/>
    </w:rPr>
  </w:style>
  <w:style w:type="paragraph" w:styleId="TOC9">
    <w:name w:val="toc 9"/>
    <w:basedOn w:val="Normal"/>
    <w:next w:val="Normal"/>
    <w:autoRedefine/>
    <w:rsid w:val="001A384A"/>
    <w:pPr>
      <w:ind w:left="1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spacing w:before="300" w:line="260" w:lineRule="atLeast"/>
      <w:outlineLvl w:val="2"/>
    </w:pPr>
    <w:rPr>
      <w:color w:val="54534A"/>
      <w:sz w:val="22"/>
      <w:szCs w:val="22"/>
    </w:rPr>
  </w:style>
  <w:style w:type="paragraph" w:styleId="Heading4">
    <w:name w:val="heading 4"/>
    <w:basedOn w:val="BodyText"/>
    <w:next w:val="BodyText"/>
    <w:qFormat/>
    <w:rsid w:val="00222F3B"/>
    <w:pPr>
      <w:spacing w:before="320" w:after="0"/>
      <w:outlineLvl w:val="3"/>
    </w:pPr>
    <w:rPr>
      <w:b/>
      <w:color w:val="54534A"/>
      <w:sz w:val="22"/>
      <w:szCs w:val="22"/>
    </w:rPr>
  </w:style>
  <w:style w:type="paragraph" w:styleId="Heading5">
    <w:name w:val="heading 5"/>
    <w:basedOn w:val="BodyText"/>
    <w:next w:val="BodyText"/>
    <w:qFormat/>
    <w:rsid w:val="00B525EE"/>
    <w:pPr>
      <w:keepNext/>
      <w:spacing w:before="320" w:after="0"/>
      <w:outlineLvl w:val="4"/>
    </w:pPr>
    <w:rPr>
      <w:b/>
      <w:color w:val="54534A"/>
    </w:rPr>
  </w:style>
  <w:style w:type="paragraph" w:styleId="Heading6">
    <w:name w:val="heading 6"/>
    <w:basedOn w:val="Heading1"/>
    <w:next w:val="BodyText"/>
    <w:qFormat/>
    <w:rsid w:val="00B525EE"/>
    <w:pPr>
      <w:outlineLvl w:val="5"/>
    </w:pPr>
    <w:rPr>
      <w:bCs/>
    </w:rPr>
  </w:style>
  <w:style w:type="paragraph" w:styleId="Heading7">
    <w:name w:val="heading 7"/>
    <w:basedOn w:val="Heading2"/>
    <w:next w:val="BodyText"/>
    <w:qFormat/>
    <w:rsid w:val="00B525EE"/>
    <w:pPr>
      <w:outlineLvl w:val="6"/>
    </w:pPr>
    <w:rPr>
      <w:rFonts w:ascii="Franklin Gothic Demi" w:hAnsi="Franklin Gothic Demi"/>
      <w:sz w:val="28"/>
      <w:szCs w:val="28"/>
    </w:rPr>
  </w:style>
  <w:style w:type="paragraph" w:styleId="Heading8">
    <w:name w:val="heading 8"/>
    <w:basedOn w:val="Heading3"/>
    <w:next w:val="BodyText"/>
    <w:qFormat/>
    <w:rsid w:val="00B525EE"/>
    <w:pPr>
      <w:outlineLvl w:val="7"/>
    </w:pPr>
  </w:style>
  <w:style w:type="paragraph" w:styleId="Heading9">
    <w:name w:val="heading 9"/>
    <w:basedOn w:val="Heading4"/>
    <w:next w:val="BodyText"/>
    <w:qFormat/>
    <w:rsid w:val="00B525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Heading1"/>
    <w:next w:val="Normal2"/>
    <w:link w:val="TitleChar"/>
    <w:qFormat/>
    <w:rsid w:val="001E2DA9"/>
    <w:pPr>
      <w:pageBreakBefore/>
      <w:spacing w:line="540" w:lineRule="atLeast"/>
      <w:ind w:right="-702"/>
    </w:pPr>
    <w:rPr>
      <w:rFonts w:ascii="Franklin Gothic Book" w:hAnsi="Franklin Gothic Book"/>
      <w:noProof/>
      <w:color w:val="C0504D"/>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noProof w:val="0"/>
      <w:color w:val="FFFFFF"/>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DE7339"/>
    <w:pPr>
      <w:spacing w:before="360" w:after="0" w:line="240" w:lineRule="auto"/>
    </w:pPr>
    <w:rPr>
      <w:rFonts w:ascii="Cambria" w:hAnsi="Cambria"/>
      <w:b/>
      <w:bCs/>
      <w:caps/>
      <w:sz w:val="24"/>
      <w:szCs w:val="28"/>
    </w:rPr>
  </w:style>
  <w:style w:type="paragraph" w:styleId="TOC2">
    <w:name w:val="toc 2"/>
    <w:basedOn w:val="TOC1"/>
    <w:next w:val="TOC1"/>
    <w:uiPriority w:val="39"/>
    <w:qFormat/>
    <w:rsid w:val="00DE7339"/>
    <w:pPr>
      <w:spacing w:before="240"/>
    </w:pPr>
    <w:rPr>
      <w:rFonts w:ascii="Calibri" w:hAnsi="Calibri"/>
      <w:caps w:val="0"/>
      <w:sz w:val="20"/>
      <w:szCs w:val="24"/>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DD322E"/>
    <w:pPr>
      <w:keepNext/>
      <w:spacing w:line="28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F9523B"/>
    <w:pPr>
      <w:spacing w:before="0"/>
      <w:ind w:left="200"/>
    </w:pPr>
    <w:rPr>
      <w:b w:val="0"/>
      <w:bCs w:val="0"/>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spacing w:before="0" w:after="0" w:line="240" w:lineRule="auto"/>
      <w:ind w:left="800"/>
    </w:pPr>
    <w:rPr>
      <w:rFonts w:ascii="Calibri" w:hAnsi="Calibri"/>
      <w:sz w:val="20"/>
      <w:szCs w:val="24"/>
    </w:r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spacing w:before="0"/>
      <w:ind w:left="1000"/>
    </w:pPr>
    <w:rPr>
      <w:rFonts w:ascii="Calibri" w:hAnsi="Calibri"/>
      <w:b w:val="0"/>
      <w:bCs w:val="0"/>
      <w:caps w:val="0"/>
      <w:sz w:val="20"/>
      <w:szCs w:val="24"/>
    </w:r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1E2DA9"/>
    <w:rPr>
      <w:rFonts w:ascii="Franklin Gothic Book" w:hAnsi="Franklin Gothic Book" w:cs="Franklin Gothic Book"/>
      <w:noProof/>
      <w:color w:val="C0504D"/>
      <w:spacing w:val="-10"/>
      <w:kern w:val="28"/>
      <w:sz w:val="46"/>
      <w:szCs w:val="46"/>
      <w:lang w:val="en-AU" w:eastAsia="en-AU"/>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a">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customStyle="1" w:styleId="StyleBodyText10pt">
    <w:name w:val="Style Body Text + 10 pt"/>
    <w:basedOn w:val="BodyText"/>
    <w:rsid w:val="00E34B6E"/>
    <w:pPr>
      <w:spacing w:after="200"/>
    </w:pPr>
    <w:rPr>
      <w:sz w:val="20"/>
    </w:rPr>
  </w:style>
  <w:style w:type="character" w:customStyle="1" w:styleId="st1">
    <w:name w:val="st1"/>
    <w:rsid w:val="00584193"/>
  </w:style>
  <w:style w:type="character" w:styleId="Emphasis">
    <w:name w:val="Emphasis"/>
    <w:uiPriority w:val="20"/>
    <w:qFormat/>
    <w:rsid w:val="003F3497"/>
    <w:rPr>
      <w:b/>
      <w:bCs/>
      <w:i w:val="0"/>
      <w:iCs w:val="0"/>
    </w:rPr>
  </w:style>
  <w:style w:type="paragraph" w:styleId="Revision">
    <w:name w:val="Revision"/>
    <w:hidden/>
    <w:uiPriority w:val="99"/>
    <w:semiHidden/>
    <w:rsid w:val="00B43CF4"/>
    <w:rPr>
      <w:szCs w:val="24"/>
      <w:lang w:val="en-AU" w:eastAsia="en-AU"/>
    </w:rPr>
  </w:style>
  <w:style w:type="paragraph" w:styleId="NormalWeb">
    <w:name w:val="Normal (Web)"/>
    <w:basedOn w:val="Normal"/>
    <w:rsid w:val="00387870"/>
    <w:pPr>
      <w:spacing w:before="100" w:after="100" w:line="360" w:lineRule="atLeast"/>
    </w:pPr>
    <w:rPr>
      <w:sz w:val="24"/>
    </w:rPr>
  </w:style>
  <w:style w:type="paragraph" w:customStyle="1" w:styleId="Normal1">
    <w:name w:val="Normal1"/>
    <w:basedOn w:val="Normal"/>
    <w:qFormat/>
    <w:rsid w:val="003F1928"/>
    <w:rPr>
      <w:rFonts w:cs="Franklin Gothic Book"/>
      <w:color w:val="AD495D"/>
    </w:rPr>
  </w:style>
  <w:style w:type="paragraph" w:customStyle="1" w:styleId="Normal2">
    <w:name w:val="Normal2"/>
    <w:basedOn w:val="Normal1"/>
    <w:qFormat/>
    <w:rsid w:val="003F1928"/>
    <w:rPr>
      <w:rFonts w:ascii="Franklin Gothic Book" w:hAnsi="Franklin Gothic Book"/>
      <w:sz w:val="24"/>
    </w:rPr>
  </w:style>
  <w:style w:type="paragraph" w:customStyle="1" w:styleId="Normal22">
    <w:name w:val="Normal22"/>
    <w:basedOn w:val="Normal2"/>
    <w:rsid w:val="001E2DA9"/>
    <w:pPr>
      <w:spacing w:before="240"/>
    </w:pPr>
  </w:style>
  <w:style w:type="paragraph" w:customStyle="1" w:styleId="H1">
    <w:name w:val="H1"/>
    <w:basedOn w:val="Heading2"/>
    <w:qFormat/>
    <w:rsid w:val="001E2DA9"/>
    <w:pPr>
      <w:keepNext/>
      <w:spacing w:after="100" w:line="320" w:lineRule="atLeast"/>
      <w:outlineLvl w:val="0"/>
    </w:pPr>
    <w:rPr>
      <w:rFonts w:ascii="Franklin Gothic Demi" w:hAnsi="Franklin Gothic Demi"/>
      <w:color w:val="AD495D"/>
      <w:kern w:val="28"/>
      <w:sz w:val="28"/>
      <w:szCs w:val="28"/>
    </w:rPr>
  </w:style>
  <w:style w:type="paragraph" w:customStyle="1" w:styleId="H1A">
    <w:name w:val="H1A"/>
    <w:basedOn w:val="BodyText"/>
    <w:rsid w:val="00324AB6"/>
    <w:rPr>
      <w:rFonts w:ascii="Franklin Gothic Demi" w:hAnsi="Franklin Gothic Demi"/>
      <w:color w:val="AD495D"/>
      <w:kern w:val="28"/>
      <w:sz w:val="28"/>
      <w:szCs w:val="28"/>
    </w:rPr>
  </w:style>
  <w:style w:type="paragraph" w:customStyle="1" w:styleId="Normal2A">
    <w:name w:val="Normal2 A"/>
    <w:basedOn w:val="Normal22"/>
    <w:rsid w:val="00A97280"/>
    <w:pPr>
      <w:spacing w:before="120"/>
    </w:pPr>
  </w:style>
  <w:style w:type="paragraph" w:customStyle="1" w:styleId="Title1">
    <w:name w:val="Title1"/>
    <w:basedOn w:val="Title"/>
    <w:rsid w:val="00A97280"/>
    <w:pPr>
      <w:spacing w:before="0" w:after="0"/>
      <w:ind w:right="-703"/>
    </w:pPr>
  </w:style>
  <w:style w:type="paragraph" w:customStyle="1" w:styleId="BodyText1">
    <w:name w:val="Body Text 1"/>
    <w:basedOn w:val="BodyText"/>
    <w:rsid w:val="00A97280"/>
    <w:pPr>
      <w:spacing w:before="240"/>
    </w:pPr>
  </w:style>
  <w:style w:type="paragraph" w:customStyle="1" w:styleId="H2A">
    <w:name w:val="H2A"/>
    <w:basedOn w:val="Heading3"/>
    <w:qFormat/>
    <w:rsid w:val="00A97280"/>
    <w:pPr>
      <w:keepNext/>
      <w:tabs>
        <w:tab w:val="left" w:pos="1920"/>
      </w:tabs>
      <w:spacing w:before="0" w:after="120" w:line="320" w:lineRule="atLeast"/>
    </w:pPr>
    <w:rPr>
      <w:rFonts w:cs="Franklin Gothic Book"/>
      <w:color w:val="4BACC6"/>
      <w:szCs w:val="24"/>
    </w:rPr>
  </w:style>
  <w:style w:type="paragraph" w:customStyle="1" w:styleId="H2A0">
    <w:name w:val="H2 A"/>
    <w:basedOn w:val="Heading2"/>
    <w:rsid w:val="00324AB6"/>
    <w:pPr>
      <w:keepNext/>
      <w:tabs>
        <w:tab w:val="left" w:pos="1920"/>
      </w:tabs>
      <w:spacing w:before="0" w:after="120" w:line="320" w:lineRule="atLeast"/>
    </w:pPr>
  </w:style>
  <w:style w:type="paragraph" w:customStyle="1" w:styleId="BodyText1A">
    <w:name w:val="Body Text 1 A"/>
    <w:basedOn w:val="BodyText"/>
    <w:rsid w:val="00DD322E"/>
    <w:rPr>
      <w:rFonts w:ascii="Arial" w:hAnsi="Arial" w:cs="Arial"/>
      <w:sz w:val="16"/>
      <w:szCs w:val="16"/>
    </w:rPr>
  </w:style>
  <w:style w:type="paragraph" w:customStyle="1" w:styleId="H3A">
    <w:name w:val="H3A"/>
    <w:basedOn w:val="Heading4"/>
    <w:qFormat/>
    <w:rsid w:val="00DD322E"/>
    <w:pPr>
      <w:keepNext/>
    </w:pPr>
    <w:rPr>
      <w:rFonts w:cs="Franklin Gothic Book"/>
    </w:rPr>
  </w:style>
  <w:style w:type="paragraph" w:customStyle="1" w:styleId="H3A0">
    <w:name w:val="H3 A"/>
    <w:basedOn w:val="H3A"/>
    <w:rsid w:val="006617B3"/>
    <w:rPr>
      <w:rFonts w:ascii="Franklin Gothic Medium" w:hAnsi="Franklin Gothic Medium" w:cs="Times New Roman"/>
      <w:b w:val="0"/>
    </w:rPr>
  </w:style>
  <w:style w:type="paragraph" w:customStyle="1" w:styleId="H3">
    <w:name w:val="H3"/>
    <w:basedOn w:val="Heading3"/>
    <w:rsid w:val="00324AB6"/>
    <w:pPr>
      <w:keepNext/>
    </w:pPr>
    <w:rPr>
      <w:kern w:val="28"/>
    </w:rPr>
  </w:style>
  <w:style w:type="paragraph" w:customStyle="1" w:styleId="H2B">
    <w:name w:val="H2 B"/>
    <w:basedOn w:val="H2A0"/>
    <w:rsid w:val="002D2EEF"/>
    <w:rPr>
      <w:b/>
      <w:bCs/>
    </w:rPr>
  </w:style>
  <w:style w:type="paragraph" w:styleId="TOCHeading">
    <w:name w:val="TOC Heading"/>
    <w:basedOn w:val="Heading1"/>
    <w:next w:val="Normal"/>
    <w:uiPriority w:val="39"/>
    <w:semiHidden/>
    <w:unhideWhenUsed/>
    <w:qFormat/>
    <w:rsid w:val="001A384A"/>
    <w:pPr>
      <w:keepNext/>
      <w:keepLines/>
      <w:spacing w:before="480" w:after="0" w:line="276" w:lineRule="auto"/>
      <w:outlineLvl w:val="9"/>
    </w:pPr>
    <w:rPr>
      <w:rFonts w:ascii="Cambria" w:hAnsi="Cambria"/>
      <w:b/>
      <w:bCs/>
      <w:color w:val="365F91"/>
      <w:sz w:val="28"/>
      <w:szCs w:val="28"/>
      <w:lang w:val="en-US" w:eastAsia="en-US"/>
    </w:rPr>
  </w:style>
  <w:style w:type="paragraph" w:styleId="TOC4">
    <w:name w:val="toc 4"/>
    <w:basedOn w:val="Normal"/>
    <w:next w:val="Normal"/>
    <w:autoRedefine/>
    <w:rsid w:val="001A384A"/>
    <w:pPr>
      <w:ind w:left="400"/>
    </w:pPr>
    <w:rPr>
      <w:rFonts w:ascii="Calibri" w:hAnsi="Calibri"/>
    </w:rPr>
  </w:style>
  <w:style w:type="paragraph" w:styleId="TOC5">
    <w:name w:val="toc 5"/>
    <w:basedOn w:val="Normal"/>
    <w:next w:val="Normal"/>
    <w:autoRedefine/>
    <w:rsid w:val="001A384A"/>
    <w:pPr>
      <w:ind w:left="600"/>
    </w:pPr>
    <w:rPr>
      <w:rFonts w:ascii="Calibri" w:hAnsi="Calibri"/>
    </w:rPr>
  </w:style>
  <w:style w:type="paragraph" w:styleId="TOC8">
    <w:name w:val="toc 8"/>
    <w:basedOn w:val="Normal"/>
    <w:next w:val="Normal"/>
    <w:autoRedefine/>
    <w:rsid w:val="001A384A"/>
    <w:pPr>
      <w:ind w:left="1200"/>
    </w:pPr>
    <w:rPr>
      <w:rFonts w:ascii="Calibri" w:hAnsi="Calibri"/>
    </w:rPr>
  </w:style>
  <w:style w:type="paragraph" w:styleId="TOC9">
    <w:name w:val="toc 9"/>
    <w:basedOn w:val="Normal"/>
    <w:next w:val="Normal"/>
    <w:autoRedefine/>
    <w:rsid w:val="001A384A"/>
    <w:pPr>
      <w:ind w:left="1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19523322">
      <w:bodyDiv w:val="1"/>
      <w:marLeft w:val="0"/>
      <w:marRight w:val="0"/>
      <w:marTop w:val="0"/>
      <w:marBottom w:val="0"/>
      <w:divBdr>
        <w:top w:val="none" w:sz="0" w:space="0" w:color="auto"/>
        <w:left w:val="none" w:sz="0" w:space="0" w:color="auto"/>
        <w:bottom w:val="none" w:sz="0" w:space="0" w:color="auto"/>
        <w:right w:val="none" w:sz="0" w:space="0" w:color="auto"/>
      </w:divBdr>
      <w:divsChild>
        <w:div w:id="1274362676">
          <w:marLeft w:val="0"/>
          <w:marRight w:val="0"/>
          <w:marTop w:val="0"/>
          <w:marBottom w:val="0"/>
          <w:divBdr>
            <w:top w:val="none" w:sz="0" w:space="0" w:color="auto"/>
            <w:left w:val="none" w:sz="0" w:space="0" w:color="auto"/>
            <w:bottom w:val="none" w:sz="0" w:space="0" w:color="auto"/>
            <w:right w:val="none" w:sz="0" w:space="0" w:color="auto"/>
          </w:divBdr>
          <w:divsChild>
            <w:div w:id="649554410">
              <w:marLeft w:val="0"/>
              <w:marRight w:val="0"/>
              <w:marTop w:val="0"/>
              <w:marBottom w:val="0"/>
              <w:divBdr>
                <w:top w:val="none" w:sz="0" w:space="0" w:color="auto"/>
                <w:left w:val="none" w:sz="0" w:space="0" w:color="auto"/>
                <w:bottom w:val="none" w:sz="0" w:space="0" w:color="auto"/>
                <w:right w:val="none" w:sz="0" w:space="0" w:color="auto"/>
              </w:divBdr>
              <w:divsChild>
                <w:div w:id="716970500">
                  <w:marLeft w:val="0"/>
                  <w:marRight w:val="0"/>
                  <w:marTop w:val="0"/>
                  <w:marBottom w:val="0"/>
                  <w:divBdr>
                    <w:top w:val="single" w:sz="4" w:space="0" w:color="FFFFFF"/>
                    <w:left w:val="single" w:sz="8" w:space="10" w:color="FFFFFF"/>
                    <w:bottom w:val="none" w:sz="0" w:space="0" w:color="auto"/>
                    <w:right w:val="none" w:sz="0" w:space="0" w:color="auto"/>
                  </w:divBdr>
                </w:div>
              </w:divsChild>
            </w:div>
          </w:divsChild>
        </w:div>
      </w:divsChild>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598B56-3D32-41F9-8EB1-3AE6E6DADE9A}"/>
</file>

<file path=customXml/itemProps2.xml><?xml version="1.0" encoding="utf-8"?>
<ds:datastoreItem xmlns:ds="http://schemas.openxmlformats.org/officeDocument/2006/customXml" ds:itemID="{1788DE2A-4965-4C78-9B9F-D52122355E83}"/>
</file>

<file path=customXml/itemProps3.xml><?xml version="1.0" encoding="utf-8"?>
<ds:datastoreItem xmlns:ds="http://schemas.openxmlformats.org/officeDocument/2006/customXml" ds:itemID="{5A3C50A9-016D-4BE5-9468-141D1A1C751E}"/>
</file>

<file path=customXml/itemProps4.xml><?xml version="1.0" encoding="utf-8"?>
<ds:datastoreItem xmlns:ds="http://schemas.openxmlformats.org/officeDocument/2006/customXml" ds:itemID="{4CEF0DAA-15A4-403C-BA7E-97F0BC3C08FB}"/>
</file>

<file path=customXml/itemProps5.xml><?xml version="1.0" encoding="utf-8"?>
<ds:datastoreItem xmlns:ds="http://schemas.openxmlformats.org/officeDocument/2006/customXml" ds:itemID="{64276BF1-0934-498A-A596-9C2D1795B077}"/>
</file>

<file path=docProps/app.xml><?xml version="1.0" encoding="utf-8"?>
<Properties xmlns="http://schemas.openxmlformats.org/officeDocument/2006/extended-properties" xmlns:vt="http://schemas.openxmlformats.org/officeDocument/2006/docPropsVTypes">
  <Template>APPR Public Report Template-123</Template>
  <TotalTime>2</TotalTime>
  <Pages>9</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26404</CharactersWithSpaces>
  <SharedDoc>false</SharedDoc>
  <HLinks>
    <vt:vector size="120" baseType="variant">
      <vt:variant>
        <vt:i4>1703984</vt:i4>
      </vt:variant>
      <vt:variant>
        <vt:i4>116</vt:i4>
      </vt:variant>
      <vt:variant>
        <vt:i4>0</vt:i4>
      </vt:variant>
      <vt:variant>
        <vt:i4>5</vt:i4>
      </vt:variant>
      <vt:variant>
        <vt:lpwstr/>
      </vt:variant>
      <vt:variant>
        <vt:lpwstr>_Toc360976440</vt:lpwstr>
      </vt:variant>
      <vt:variant>
        <vt:i4>1900592</vt:i4>
      </vt:variant>
      <vt:variant>
        <vt:i4>110</vt:i4>
      </vt:variant>
      <vt:variant>
        <vt:i4>0</vt:i4>
      </vt:variant>
      <vt:variant>
        <vt:i4>5</vt:i4>
      </vt:variant>
      <vt:variant>
        <vt:lpwstr/>
      </vt:variant>
      <vt:variant>
        <vt:lpwstr>_Toc360976439</vt:lpwstr>
      </vt:variant>
      <vt:variant>
        <vt:i4>1900592</vt:i4>
      </vt:variant>
      <vt:variant>
        <vt:i4>104</vt:i4>
      </vt:variant>
      <vt:variant>
        <vt:i4>0</vt:i4>
      </vt:variant>
      <vt:variant>
        <vt:i4>5</vt:i4>
      </vt:variant>
      <vt:variant>
        <vt:lpwstr/>
      </vt:variant>
      <vt:variant>
        <vt:lpwstr>_Toc360976438</vt:lpwstr>
      </vt:variant>
      <vt:variant>
        <vt:i4>1900592</vt:i4>
      </vt:variant>
      <vt:variant>
        <vt:i4>98</vt:i4>
      </vt:variant>
      <vt:variant>
        <vt:i4>0</vt:i4>
      </vt:variant>
      <vt:variant>
        <vt:i4>5</vt:i4>
      </vt:variant>
      <vt:variant>
        <vt:lpwstr/>
      </vt:variant>
      <vt:variant>
        <vt:lpwstr>_Toc360976437</vt:lpwstr>
      </vt:variant>
      <vt:variant>
        <vt:i4>1900592</vt:i4>
      </vt:variant>
      <vt:variant>
        <vt:i4>92</vt:i4>
      </vt:variant>
      <vt:variant>
        <vt:i4>0</vt:i4>
      </vt:variant>
      <vt:variant>
        <vt:i4>5</vt:i4>
      </vt:variant>
      <vt:variant>
        <vt:lpwstr/>
      </vt:variant>
      <vt:variant>
        <vt:lpwstr>_Toc360976436</vt:lpwstr>
      </vt:variant>
      <vt:variant>
        <vt:i4>1900592</vt:i4>
      </vt:variant>
      <vt:variant>
        <vt:i4>86</vt:i4>
      </vt:variant>
      <vt:variant>
        <vt:i4>0</vt:i4>
      </vt:variant>
      <vt:variant>
        <vt:i4>5</vt:i4>
      </vt:variant>
      <vt:variant>
        <vt:lpwstr/>
      </vt:variant>
      <vt:variant>
        <vt:lpwstr>_Toc360976435</vt:lpwstr>
      </vt:variant>
      <vt:variant>
        <vt:i4>1900592</vt:i4>
      </vt:variant>
      <vt:variant>
        <vt:i4>80</vt:i4>
      </vt:variant>
      <vt:variant>
        <vt:i4>0</vt:i4>
      </vt:variant>
      <vt:variant>
        <vt:i4>5</vt:i4>
      </vt:variant>
      <vt:variant>
        <vt:lpwstr/>
      </vt:variant>
      <vt:variant>
        <vt:lpwstr>_Toc360976434</vt:lpwstr>
      </vt:variant>
      <vt:variant>
        <vt:i4>1900592</vt:i4>
      </vt:variant>
      <vt:variant>
        <vt:i4>74</vt:i4>
      </vt:variant>
      <vt:variant>
        <vt:i4>0</vt:i4>
      </vt:variant>
      <vt:variant>
        <vt:i4>5</vt:i4>
      </vt:variant>
      <vt:variant>
        <vt:lpwstr/>
      </vt:variant>
      <vt:variant>
        <vt:lpwstr>_Toc360976433</vt:lpwstr>
      </vt:variant>
      <vt:variant>
        <vt:i4>1900592</vt:i4>
      </vt:variant>
      <vt:variant>
        <vt:i4>68</vt:i4>
      </vt:variant>
      <vt:variant>
        <vt:i4>0</vt:i4>
      </vt:variant>
      <vt:variant>
        <vt:i4>5</vt:i4>
      </vt:variant>
      <vt:variant>
        <vt:lpwstr/>
      </vt:variant>
      <vt:variant>
        <vt:lpwstr>_Toc360976432</vt:lpwstr>
      </vt:variant>
      <vt:variant>
        <vt:i4>1900592</vt:i4>
      </vt:variant>
      <vt:variant>
        <vt:i4>62</vt:i4>
      </vt:variant>
      <vt:variant>
        <vt:i4>0</vt:i4>
      </vt:variant>
      <vt:variant>
        <vt:i4>5</vt:i4>
      </vt:variant>
      <vt:variant>
        <vt:lpwstr/>
      </vt:variant>
      <vt:variant>
        <vt:lpwstr>_Toc360976431</vt:lpwstr>
      </vt:variant>
      <vt:variant>
        <vt:i4>1900592</vt:i4>
      </vt:variant>
      <vt:variant>
        <vt:i4>56</vt:i4>
      </vt:variant>
      <vt:variant>
        <vt:i4>0</vt:i4>
      </vt:variant>
      <vt:variant>
        <vt:i4>5</vt:i4>
      </vt:variant>
      <vt:variant>
        <vt:lpwstr/>
      </vt:variant>
      <vt:variant>
        <vt:lpwstr>_Toc360976430</vt:lpwstr>
      </vt:variant>
      <vt:variant>
        <vt:i4>1835056</vt:i4>
      </vt:variant>
      <vt:variant>
        <vt:i4>50</vt:i4>
      </vt:variant>
      <vt:variant>
        <vt:i4>0</vt:i4>
      </vt:variant>
      <vt:variant>
        <vt:i4>5</vt:i4>
      </vt:variant>
      <vt:variant>
        <vt:lpwstr/>
      </vt:variant>
      <vt:variant>
        <vt:lpwstr>_Toc360976429</vt:lpwstr>
      </vt:variant>
      <vt:variant>
        <vt:i4>1835056</vt:i4>
      </vt:variant>
      <vt:variant>
        <vt:i4>44</vt:i4>
      </vt:variant>
      <vt:variant>
        <vt:i4>0</vt:i4>
      </vt:variant>
      <vt:variant>
        <vt:i4>5</vt:i4>
      </vt:variant>
      <vt:variant>
        <vt:lpwstr/>
      </vt:variant>
      <vt:variant>
        <vt:lpwstr>_Toc360976428</vt:lpwstr>
      </vt:variant>
      <vt:variant>
        <vt:i4>1835056</vt:i4>
      </vt:variant>
      <vt:variant>
        <vt:i4>38</vt:i4>
      </vt:variant>
      <vt:variant>
        <vt:i4>0</vt:i4>
      </vt:variant>
      <vt:variant>
        <vt:i4>5</vt:i4>
      </vt:variant>
      <vt:variant>
        <vt:lpwstr/>
      </vt:variant>
      <vt:variant>
        <vt:lpwstr>_Toc360976427</vt:lpwstr>
      </vt:variant>
      <vt:variant>
        <vt:i4>1835056</vt:i4>
      </vt:variant>
      <vt:variant>
        <vt:i4>32</vt:i4>
      </vt:variant>
      <vt:variant>
        <vt:i4>0</vt:i4>
      </vt:variant>
      <vt:variant>
        <vt:i4>5</vt:i4>
      </vt:variant>
      <vt:variant>
        <vt:lpwstr/>
      </vt:variant>
      <vt:variant>
        <vt:lpwstr>_Toc360976426</vt:lpwstr>
      </vt:variant>
      <vt:variant>
        <vt:i4>1835056</vt:i4>
      </vt:variant>
      <vt:variant>
        <vt:i4>26</vt:i4>
      </vt:variant>
      <vt:variant>
        <vt:i4>0</vt:i4>
      </vt:variant>
      <vt:variant>
        <vt:i4>5</vt:i4>
      </vt:variant>
      <vt:variant>
        <vt:lpwstr/>
      </vt:variant>
      <vt:variant>
        <vt:lpwstr>_Toc360976425</vt:lpwstr>
      </vt:variant>
      <vt:variant>
        <vt:i4>1835056</vt:i4>
      </vt:variant>
      <vt:variant>
        <vt:i4>20</vt:i4>
      </vt:variant>
      <vt:variant>
        <vt:i4>0</vt:i4>
      </vt:variant>
      <vt:variant>
        <vt:i4>5</vt:i4>
      </vt:variant>
      <vt:variant>
        <vt:lpwstr/>
      </vt:variant>
      <vt:variant>
        <vt:lpwstr>_Toc360976424</vt:lpwstr>
      </vt:variant>
      <vt:variant>
        <vt:i4>1835056</vt:i4>
      </vt:variant>
      <vt:variant>
        <vt:i4>14</vt:i4>
      </vt:variant>
      <vt:variant>
        <vt:i4>0</vt:i4>
      </vt:variant>
      <vt:variant>
        <vt:i4>5</vt:i4>
      </vt:variant>
      <vt:variant>
        <vt:lpwstr/>
      </vt:variant>
      <vt:variant>
        <vt:lpwstr>_Toc360976423</vt:lpwstr>
      </vt:variant>
      <vt:variant>
        <vt:i4>1835056</vt:i4>
      </vt:variant>
      <vt:variant>
        <vt:i4>8</vt:i4>
      </vt:variant>
      <vt:variant>
        <vt:i4>0</vt:i4>
      </vt:variant>
      <vt:variant>
        <vt:i4>5</vt:i4>
      </vt:variant>
      <vt:variant>
        <vt:lpwstr/>
      </vt:variant>
      <vt:variant>
        <vt:lpwstr>_Toc360976422</vt:lpwstr>
      </vt:variant>
      <vt:variant>
        <vt:i4>1835056</vt:i4>
      </vt:variant>
      <vt:variant>
        <vt:i4>2</vt:i4>
      </vt:variant>
      <vt:variant>
        <vt:i4>0</vt:i4>
      </vt:variant>
      <vt:variant>
        <vt:i4>5</vt:i4>
      </vt:variant>
      <vt:variant>
        <vt:lpwstr/>
      </vt:variant>
      <vt:variant>
        <vt:lpwstr>_Toc360976421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Catherine Herron</dc:creator>
  <cp:keywords>APPR</cp:keywords>
  <dc:description>Current to August 2011</dc:description>
  <cp:lastModifiedBy>MKhattab</cp:lastModifiedBy>
  <cp:revision>3</cp:revision>
  <cp:lastPrinted>2011-11-29T11:30:00Z</cp:lastPrinted>
  <dcterms:created xsi:type="dcterms:W3CDTF">2013-07-09T12:52:00Z</dcterms:created>
  <dcterms:modified xsi:type="dcterms:W3CDTF">2013-07-09T12:54:00Z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124200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