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98258" w14:textId="300E04C8" w:rsidR="003B4A93" w:rsidRDefault="001B416C">
      <w:pPr>
        <w:pStyle w:val="ListBullet"/>
        <w:tabs>
          <w:tab w:val="clear" w:pos="284"/>
        </w:tabs>
      </w:pPr>
      <w:r>
        <w:rPr>
          <w:noProof/>
          <w:spacing w:val="-20"/>
          <w:sz w:val="60"/>
          <w:szCs w:val="60"/>
          <w:lang w:val="en-AU"/>
        </w:rPr>
        <w:drawing>
          <wp:anchor distT="0" distB="0" distL="0" distR="0" simplePos="0" relativeHeight="251668480" behindDoc="1" locked="0" layoutInCell="1" allowOverlap="1" wp14:anchorId="761F0B58" wp14:editId="32049D62">
            <wp:simplePos x="0" y="0"/>
            <wp:positionH relativeFrom="page">
              <wp:align>right</wp:align>
            </wp:positionH>
            <wp:positionV relativeFrom="page">
              <wp:posOffset>152400</wp:posOffset>
            </wp:positionV>
            <wp:extent cx="7540464" cy="10453370"/>
            <wp:effectExtent l="0" t="0" r="3810" b="5080"/>
            <wp:wrapNone/>
            <wp:docPr id="15" name="officeArt object" descr="Report-Cover-1-Gradient-Mask.png"/>
            <wp:cNvGraphicFramePr/>
            <a:graphic xmlns:a="http://schemas.openxmlformats.org/drawingml/2006/main">
              <a:graphicData uri="http://schemas.openxmlformats.org/drawingml/2006/picture">
                <pic:pic xmlns:pic="http://schemas.openxmlformats.org/drawingml/2006/picture">
                  <pic:nvPicPr>
                    <pic:cNvPr id="1073741828" name="Report-Cover-1-Gradient-Mask.png" descr="Report-Cover-1-Gradient-Mask.png"/>
                    <pic:cNvPicPr>
                      <a:picLocks noChangeAspect="1"/>
                    </pic:cNvPicPr>
                  </pic:nvPicPr>
                  <pic:blipFill>
                    <a:blip r:embed="rId8">
                      <a:extLst/>
                    </a:blip>
                    <a:stretch>
                      <a:fillRect/>
                    </a:stretch>
                  </pic:blipFill>
                  <pic:spPr>
                    <a:xfrm>
                      <a:off x="0" y="0"/>
                      <a:ext cx="7550204" cy="1046687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spacing w:val="-20"/>
          <w:sz w:val="60"/>
          <w:szCs w:val="60"/>
          <w:lang w:val="en-AU"/>
        </w:rPr>
        <w:drawing>
          <wp:anchor distT="0" distB="0" distL="0" distR="0" simplePos="0" relativeHeight="251669504" behindDoc="1" locked="0" layoutInCell="1" allowOverlap="1" wp14:anchorId="358BB8DA" wp14:editId="2A8D030B">
            <wp:simplePos x="0" y="0"/>
            <wp:positionH relativeFrom="page">
              <wp:posOffset>871267</wp:posOffset>
            </wp:positionH>
            <wp:positionV relativeFrom="page">
              <wp:posOffset>1328468</wp:posOffset>
            </wp:positionV>
            <wp:extent cx="3390181" cy="689610"/>
            <wp:effectExtent l="0" t="0" r="1270" b="0"/>
            <wp:wrapNone/>
            <wp:docPr id="16" name="officeArt object" descr="DFAT-corporate-grey.png"/>
            <wp:cNvGraphicFramePr/>
            <a:graphic xmlns:a="http://schemas.openxmlformats.org/drawingml/2006/main">
              <a:graphicData uri="http://schemas.openxmlformats.org/drawingml/2006/picture">
                <pic:pic xmlns:pic="http://schemas.openxmlformats.org/drawingml/2006/picture">
                  <pic:nvPicPr>
                    <pic:cNvPr id="1073741827" name="DFAT-corporate-grey.png" descr="DFAT-corporate-grey.png"/>
                    <pic:cNvPicPr>
                      <a:picLocks noChangeAspect="1"/>
                    </pic:cNvPicPr>
                  </pic:nvPicPr>
                  <pic:blipFill>
                    <a:blip r:embed="rId9">
                      <a:extLst/>
                    </a:blip>
                    <a:stretch>
                      <a:fillRect/>
                    </a:stretch>
                  </pic:blipFill>
                  <pic:spPr>
                    <a:xfrm>
                      <a:off x="0" y="0"/>
                      <a:ext cx="3431114" cy="697936"/>
                    </a:xfrm>
                    <a:prstGeom prst="rect">
                      <a:avLst/>
                    </a:prstGeom>
                  </pic:spPr>
                </pic:pic>
              </a:graphicData>
            </a:graphic>
            <wp14:sizeRelH relativeFrom="margin">
              <wp14:pctWidth>0</wp14:pctWidth>
            </wp14:sizeRelH>
            <wp14:sizeRelV relativeFrom="margin">
              <wp14:pctHeight>0</wp14:pctHeight>
            </wp14:sizeRelV>
          </wp:anchor>
        </w:drawing>
      </w:r>
    </w:p>
    <w:p w14:paraId="64CA2FE0" w14:textId="00D73DD0" w:rsidR="003B4A93" w:rsidRDefault="003B4A93">
      <w:pPr>
        <w:pStyle w:val="ListBullet"/>
        <w:tabs>
          <w:tab w:val="clear" w:pos="284"/>
        </w:tabs>
      </w:pPr>
    </w:p>
    <w:p w14:paraId="3B9B9046" w14:textId="7A2D8E9C" w:rsidR="003B4A93" w:rsidRDefault="00C906BD" w:rsidP="00C906BD">
      <w:pPr>
        <w:pStyle w:val="ListBullet"/>
        <w:tabs>
          <w:tab w:val="clear" w:pos="284"/>
          <w:tab w:val="left" w:pos="1005"/>
          <w:tab w:val="left" w:pos="2535"/>
        </w:tabs>
      </w:pPr>
      <w:r>
        <w:tab/>
      </w:r>
      <w:r>
        <w:tab/>
      </w:r>
    </w:p>
    <w:p w14:paraId="59FA967C" w14:textId="77777777" w:rsidR="003B4A93" w:rsidRDefault="003B4A93">
      <w:pPr>
        <w:pStyle w:val="ListBullet"/>
        <w:tabs>
          <w:tab w:val="clear" w:pos="284"/>
        </w:tabs>
      </w:pPr>
    </w:p>
    <w:p w14:paraId="7D6BF0B4" w14:textId="77777777" w:rsidR="003B4A93" w:rsidRDefault="003B4A93">
      <w:pPr>
        <w:pStyle w:val="BodyA"/>
        <w:spacing w:after="200" w:line="276" w:lineRule="auto"/>
        <w:rPr>
          <w:b/>
          <w:bCs/>
        </w:rPr>
      </w:pPr>
    </w:p>
    <w:p w14:paraId="30FE2B8B" w14:textId="77777777" w:rsidR="003B4A93" w:rsidRDefault="003B4A93">
      <w:pPr>
        <w:pStyle w:val="BodyA"/>
        <w:spacing w:after="200" w:line="276" w:lineRule="auto"/>
        <w:rPr>
          <w:b/>
          <w:bCs/>
        </w:rPr>
      </w:pPr>
    </w:p>
    <w:p w14:paraId="21D93A9B" w14:textId="77777777" w:rsidR="003B4A93" w:rsidRDefault="003B4A93">
      <w:pPr>
        <w:pStyle w:val="BodyA"/>
      </w:pPr>
    </w:p>
    <w:p w14:paraId="25AA0E3F" w14:textId="730FD3ED" w:rsidR="003B4A93" w:rsidRDefault="001B416C" w:rsidP="001B416C">
      <w:pPr>
        <w:pStyle w:val="BodyA"/>
        <w:tabs>
          <w:tab w:val="left" w:pos="5638"/>
        </w:tabs>
      </w:pPr>
      <w:r>
        <w:tab/>
      </w:r>
    </w:p>
    <w:p w14:paraId="07F15ABC" w14:textId="77777777" w:rsidR="003B4A93" w:rsidRDefault="003B4A93">
      <w:pPr>
        <w:pStyle w:val="BodyA"/>
      </w:pPr>
    </w:p>
    <w:p w14:paraId="51329B96" w14:textId="77777777" w:rsidR="003B4A93" w:rsidRDefault="003B4A93">
      <w:pPr>
        <w:pStyle w:val="BodyA"/>
      </w:pPr>
    </w:p>
    <w:p w14:paraId="1D87B9AA" w14:textId="77777777" w:rsidR="003B4A93" w:rsidRDefault="003B4A93">
      <w:pPr>
        <w:pStyle w:val="BodyA"/>
      </w:pPr>
    </w:p>
    <w:p w14:paraId="7AEA5F02" w14:textId="74F642C6" w:rsidR="003B4A93" w:rsidRDefault="001B416C" w:rsidP="001B416C">
      <w:pPr>
        <w:pStyle w:val="BodyA"/>
        <w:tabs>
          <w:tab w:val="left" w:pos="1698"/>
        </w:tabs>
      </w:pPr>
      <w:r>
        <w:tab/>
      </w:r>
    </w:p>
    <w:p w14:paraId="0C4BCF09" w14:textId="77777777" w:rsidR="003B4A93" w:rsidRDefault="003B4A93">
      <w:pPr>
        <w:pStyle w:val="BodyA"/>
      </w:pPr>
    </w:p>
    <w:p w14:paraId="535230C2" w14:textId="77777777" w:rsidR="003B4A93" w:rsidRDefault="003B4A93">
      <w:pPr>
        <w:pStyle w:val="BodyA"/>
      </w:pPr>
    </w:p>
    <w:p w14:paraId="13256DED" w14:textId="77777777" w:rsidR="003B4A93" w:rsidRDefault="003B4A93">
      <w:pPr>
        <w:pStyle w:val="BodyA"/>
      </w:pPr>
    </w:p>
    <w:p w14:paraId="1DF6E2B5" w14:textId="77777777" w:rsidR="003B4A93" w:rsidRDefault="003B4A93">
      <w:pPr>
        <w:pStyle w:val="BodyA"/>
      </w:pPr>
    </w:p>
    <w:p w14:paraId="236409C8" w14:textId="77777777" w:rsidR="003B4A93" w:rsidRDefault="003B4A93">
      <w:pPr>
        <w:pStyle w:val="BodyA"/>
      </w:pPr>
    </w:p>
    <w:p w14:paraId="4FD7F0D5" w14:textId="77777777" w:rsidR="003B4A93" w:rsidRDefault="003B4A93">
      <w:pPr>
        <w:pStyle w:val="BodyA"/>
      </w:pPr>
    </w:p>
    <w:p w14:paraId="2A3EF78B" w14:textId="65BC7C73" w:rsidR="003B4A93" w:rsidRDefault="001B416C" w:rsidP="001B416C">
      <w:pPr>
        <w:pStyle w:val="BodyA"/>
        <w:tabs>
          <w:tab w:val="left" w:pos="1820"/>
        </w:tabs>
      </w:pPr>
      <w:r>
        <w:tab/>
      </w:r>
    </w:p>
    <w:p w14:paraId="4CAB5302" w14:textId="77777777" w:rsidR="003B4A93" w:rsidRDefault="003B4A93">
      <w:pPr>
        <w:pStyle w:val="BodyA"/>
      </w:pPr>
    </w:p>
    <w:p w14:paraId="639C4074" w14:textId="77777777" w:rsidR="003B4A93" w:rsidRDefault="003B4A93">
      <w:pPr>
        <w:pStyle w:val="BodyA"/>
      </w:pPr>
    </w:p>
    <w:p w14:paraId="7C617BFA" w14:textId="77777777" w:rsidR="003B4A93" w:rsidRDefault="003B4A93">
      <w:pPr>
        <w:pStyle w:val="BodyA"/>
      </w:pPr>
    </w:p>
    <w:p w14:paraId="42DE1DDB" w14:textId="77777777" w:rsidR="003B4A93" w:rsidRDefault="003B4A93">
      <w:pPr>
        <w:pStyle w:val="BodyA"/>
      </w:pPr>
    </w:p>
    <w:p w14:paraId="5E2C3419" w14:textId="77777777" w:rsidR="003B4A93" w:rsidRDefault="003B4A93">
      <w:pPr>
        <w:pStyle w:val="BodyA"/>
      </w:pPr>
    </w:p>
    <w:p w14:paraId="60D77F3E" w14:textId="77777777" w:rsidR="003B4A93" w:rsidRDefault="003B4A93">
      <w:pPr>
        <w:pStyle w:val="BodyA"/>
      </w:pPr>
    </w:p>
    <w:p w14:paraId="46395766" w14:textId="77777777" w:rsidR="003B4A93" w:rsidRDefault="003B4A93">
      <w:pPr>
        <w:pStyle w:val="BodyA"/>
      </w:pPr>
    </w:p>
    <w:p w14:paraId="20DAB0C9" w14:textId="77777777" w:rsidR="003B4A93" w:rsidRDefault="003B4A93">
      <w:pPr>
        <w:pStyle w:val="BodyA"/>
      </w:pPr>
    </w:p>
    <w:p w14:paraId="00BCC280" w14:textId="1BCB0D76" w:rsidR="003B4A93" w:rsidRDefault="001E283F">
      <w:pPr>
        <w:pStyle w:val="Title"/>
        <w:spacing w:after="120" w:line="600" w:lineRule="exact"/>
        <w:rPr>
          <w:spacing w:val="-20"/>
          <w:sz w:val="60"/>
          <w:szCs w:val="60"/>
        </w:rPr>
      </w:pPr>
      <w:r>
        <w:rPr>
          <w:spacing w:val="-20"/>
          <w:sz w:val="60"/>
          <w:szCs w:val="60"/>
        </w:rPr>
        <w:t xml:space="preserve">Aid Program Performance </w:t>
      </w:r>
    </w:p>
    <w:p w14:paraId="647E53CF" w14:textId="77777777" w:rsidR="003B4A93" w:rsidRDefault="001E283F">
      <w:pPr>
        <w:pStyle w:val="Title"/>
        <w:spacing w:after="120" w:line="600" w:lineRule="exact"/>
        <w:rPr>
          <w:spacing w:val="-20"/>
          <w:sz w:val="60"/>
          <w:szCs w:val="60"/>
        </w:rPr>
      </w:pPr>
      <w:r>
        <w:rPr>
          <w:spacing w:val="-20"/>
          <w:sz w:val="60"/>
          <w:szCs w:val="60"/>
        </w:rPr>
        <w:t>Report 2017-18</w:t>
      </w:r>
    </w:p>
    <w:p w14:paraId="5D620597" w14:textId="77777777" w:rsidR="003B4A93" w:rsidRDefault="001E283F">
      <w:pPr>
        <w:pStyle w:val="BodyA"/>
        <w:rPr>
          <w:lang w:val="da-DK"/>
        </w:rPr>
      </w:pPr>
      <w:r>
        <w:rPr>
          <w:sz w:val="40"/>
          <w:szCs w:val="40"/>
          <w:lang w:val="da-DK"/>
        </w:rPr>
        <w:t>BANGLADESH</w:t>
      </w:r>
    </w:p>
    <w:p w14:paraId="147D4B8C" w14:textId="77777777" w:rsidR="003B4A93" w:rsidRDefault="001E283F">
      <w:pPr>
        <w:pStyle w:val="BodyA"/>
        <w:rPr>
          <w:sz w:val="24"/>
          <w:szCs w:val="24"/>
        </w:rPr>
      </w:pPr>
      <w:r>
        <w:rPr>
          <w:sz w:val="24"/>
          <w:szCs w:val="24"/>
        </w:rPr>
        <w:t>September 2018</w:t>
      </w:r>
    </w:p>
    <w:p w14:paraId="25C7FD99" w14:textId="77777777" w:rsidR="003B4A93" w:rsidRDefault="003B4A93">
      <w:pPr>
        <w:pStyle w:val="BodyA"/>
        <w:sectPr w:rsidR="003B4A93" w:rsidSect="004B0DE7">
          <w:headerReference w:type="even" r:id="rId10"/>
          <w:headerReference w:type="default" r:id="rId11"/>
          <w:footerReference w:type="even" r:id="rId12"/>
          <w:footerReference w:type="default" r:id="rId13"/>
          <w:headerReference w:type="first" r:id="rId14"/>
          <w:footerReference w:type="first" r:id="rId15"/>
          <w:pgSz w:w="11900" w:h="16840"/>
          <w:pgMar w:top="1843" w:right="1134" w:bottom="851" w:left="1134" w:header="709" w:footer="230" w:gutter="0"/>
          <w:cols w:space="720"/>
        </w:sectPr>
      </w:pPr>
    </w:p>
    <w:p w14:paraId="155997AA" w14:textId="65D86B77" w:rsidR="00A34400" w:rsidRDefault="00A34400" w:rsidP="00A34400">
      <w:pPr>
        <w:pStyle w:val="ListBullet"/>
        <w:tabs>
          <w:tab w:val="clear" w:pos="284"/>
        </w:tabs>
        <w:spacing w:before="360"/>
        <w:rPr>
          <w:kern w:val="28"/>
        </w:rPr>
      </w:pPr>
      <w:r w:rsidRPr="00122ADF">
        <w:rPr>
          <w:rFonts w:ascii="Calibri" w:eastAsia="Calibri" w:hAnsi="Calibri" w:cs="Calibri"/>
          <w:caps/>
          <w:color w:val="495965"/>
          <w:sz w:val="38"/>
          <w:szCs w:val="38"/>
          <w:u w:color="495965"/>
        </w:rPr>
        <w:lastRenderedPageBreak/>
        <w:t>Key Messages</w:t>
      </w:r>
    </w:p>
    <w:p w14:paraId="7D2579FF" w14:textId="0F4B2EF7" w:rsidR="00EE03AF"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DA040C">
        <w:rPr>
          <w:rFonts w:ascii="Calibri Light" w:eastAsia="Calibri Light" w:hAnsi="Calibri Light"/>
          <w:color w:val="495965"/>
          <w:sz w:val="22"/>
          <w:szCs w:val="22"/>
          <w:bdr w:val="none" w:sz="0" w:space="0" w:color="auto"/>
          <w:lang w:val="en-GB"/>
        </w:rPr>
        <w:t xml:space="preserve">This report summarises </w:t>
      </w:r>
      <w:r>
        <w:rPr>
          <w:rFonts w:ascii="Calibri Light" w:eastAsia="Calibri Light" w:hAnsi="Calibri Light"/>
          <w:color w:val="495965"/>
          <w:sz w:val="22"/>
          <w:szCs w:val="22"/>
          <w:bdr w:val="none" w:sz="0" w:space="0" w:color="auto"/>
          <w:lang w:val="en-GB"/>
        </w:rPr>
        <w:t xml:space="preserve">the performance of </w:t>
      </w:r>
      <w:r w:rsidRPr="00DA040C">
        <w:rPr>
          <w:rFonts w:ascii="Calibri Light" w:eastAsia="Calibri Light" w:hAnsi="Calibri Light"/>
          <w:color w:val="495965"/>
          <w:sz w:val="22"/>
          <w:szCs w:val="22"/>
          <w:bdr w:val="none" w:sz="0" w:space="0" w:color="auto"/>
          <w:lang w:val="en-GB"/>
        </w:rPr>
        <w:t xml:space="preserve">Australia’s aid program in Bangladesh from July 2017 to June 2018 against the </w:t>
      </w:r>
      <w:r w:rsidRPr="00DA040C">
        <w:rPr>
          <w:rFonts w:ascii="Calibri Light" w:eastAsia="Calibri Light" w:hAnsi="Calibri Light"/>
          <w:i/>
          <w:color w:val="495965"/>
          <w:sz w:val="22"/>
          <w:szCs w:val="22"/>
          <w:bdr w:val="none" w:sz="0" w:space="0" w:color="auto"/>
          <w:lang w:val="en-GB"/>
        </w:rPr>
        <w:t>Aid Investment Plan, Bangladesh 2015-19 (AIP).</w:t>
      </w:r>
      <w:r w:rsidRPr="00DA040C">
        <w:rPr>
          <w:rFonts w:ascii="Calibri Light" w:eastAsia="Calibri Light" w:hAnsi="Calibri Light"/>
          <w:color w:val="495965"/>
          <w:sz w:val="22"/>
          <w:szCs w:val="22"/>
          <w:bdr w:val="none" w:sz="0" w:space="0" w:color="auto"/>
          <w:lang w:val="en-GB"/>
        </w:rPr>
        <w:t xml:space="preserve"> </w:t>
      </w:r>
    </w:p>
    <w:p w14:paraId="68ED7F5E" w14:textId="5FAC6EBA" w:rsidR="00EE03AF" w:rsidRDefault="00A34400" w:rsidP="009653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DA040C">
        <w:rPr>
          <w:rFonts w:ascii="Calibri Light" w:eastAsia="Calibri Light" w:hAnsi="Calibri Light"/>
          <w:color w:val="495965"/>
          <w:sz w:val="22"/>
          <w:szCs w:val="22"/>
          <w:bdr w:val="none" w:sz="0" w:space="0" w:color="auto"/>
          <w:lang w:val="en-GB"/>
        </w:rPr>
        <w:t xml:space="preserve">Australia’s aid program in Bangladesh reflects the </w:t>
      </w:r>
      <w:r>
        <w:rPr>
          <w:rFonts w:ascii="Calibri Light" w:eastAsia="Calibri Light" w:hAnsi="Calibri Light"/>
          <w:color w:val="495965"/>
          <w:sz w:val="22"/>
          <w:szCs w:val="22"/>
          <w:bdr w:val="none" w:sz="0" w:space="0" w:color="auto"/>
          <w:lang w:val="en-GB"/>
        </w:rPr>
        <w:t xml:space="preserve">development </w:t>
      </w:r>
      <w:r w:rsidRPr="00DA040C">
        <w:rPr>
          <w:rFonts w:ascii="Calibri Light" w:eastAsia="Calibri Light" w:hAnsi="Calibri Light"/>
          <w:color w:val="495965"/>
          <w:sz w:val="22"/>
          <w:szCs w:val="22"/>
          <w:bdr w:val="none" w:sz="0" w:space="0" w:color="auto"/>
          <w:lang w:val="en-GB"/>
        </w:rPr>
        <w:t>priorities of the Governments of Australia and Bangladesh</w:t>
      </w:r>
      <w:r>
        <w:rPr>
          <w:rFonts w:ascii="Calibri Light" w:eastAsia="Calibri Light" w:hAnsi="Calibri Light"/>
          <w:color w:val="495965"/>
          <w:sz w:val="22"/>
          <w:szCs w:val="22"/>
          <w:bdr w:val="none" w:sz="0" w:space="0" w:color="auto"/>
          <w:lang w:val="en-GB"/>
        </w:rPr>
        <w:t xml:space="preserve"> and a shared commitment to inclusive economic growth and poverty reduction.</w:t>
      </w:r>
      <w:r w:rsidR="00EE03AF">
        <w:rPr>
          <w:rFonts w:ascii="Calibri Light" w:eastAsia="Calibri Light" w:hAnsi="Calibri Light"/>
          <w:color w:val="495965"/>
          <w:sz w:val="22"/>
          <w:szCs w:val="22"/>
          <w:bdr w:val="none" w:sz="0" w:space="0" w:color="auto"/>
          <w:lang w:val="en-GB"/>
        </w:rPr>
        <w:t xml:space="preserve"> T</w:t>
      </w:r>
      <w:r w:rsidRPr="001E49FD">
        <w:rPr>
          <w:rFonts w:ascii="Calibri Light" w:eastAsia="Calibri Light" w:hAnsi="Calibri Light"/>
          <w:color w:val="495965"/>
          <w:sz w:val="22"/>
          <w:szCs w:val="22"/>
          <w:bdr w:val="none" w:sz="0" w:space="0" w:color="auto"/>
          <w:lang w:val="en-GB"/>
        </w:rPr>
        <w:t xml:space="preserve">he </w:t>
      </w:r>
      <w:r w:rsidR="00EE03AF">
        <w:rPr>
          <w:rFonts w:ascii="Calibri Light" w:eastAsia="Calibri Light" w:hAnsi="Calibri Light"/>
          <w:color w:val="495965"/>
          <w:sz w:val="22"/>
          <w:szCs w:val="22"/>
          <w:bdr w:val="none" w:sz="0" w:space="0" w:color="auto"/>
          <w:lang w:val="en-GB"/>
        </w:rPr>
        <w:t>key objectives of the AIP are to</w:t>
      </w:r>
      <w:r w:rsidR="00C86DB7">
        <w:rPr>
          <w:rFonts w:ascii="Calibri Light" w:eastAsia="Calibri Light" w:hAnsi="Calibri Light"/>
          <w:color w:val="495965"/>
          <w:sz w:val="22"/>
          <w:szCs w:val="22"/>
          <w:bdr w:val="none" w:sz="0" w:space="0" w:color="auto"/>
          <w:lang w:val="en-GB"/>
        </w:rPr>
        <w:t xml:space="preserve"> </w:t>
      </w:r>
      <w:r w:rsidR="00573540">
        <w:rPr>
          <w:rFonts w:ascii="Calibri Light" w:eastAsia="Calibri Light" w:hAnsi="Calibri Light"/>
          <w:color w:val="495965"/>
          <w:sz w:val="22"/>
          <w:szCs w:val="22"/>
          <w:bdr w:val="none" w:sz="0" w:space="0" w:color="auto"/>
          <w:lang w:val="en-GB"/>
        </w:rPr>
        <w:t xml:space="preserve">improve </w:t>
      </w:r>
      <w:r w:rsidR="00C86DB7">
        <w:rPr>
          <w:rFonts w:ascii="Calibri Light" w:eastAsia="Calibri Light" w:hAnsi="Calibri Light"/>
          <w:color w:val="495965"/>
          <w:sz w:val="22"/>
          <w:szCs w:val="22"/>
          <w:bdr w:val="none" w:sz="0" w:space="0" w:color="auto"/>
          <w:lang w:val="en-GB"/>
        </w:rPr>
        <w:t>access to quality education</w:t>
      </w:r>
      <w:r w:rsidR="00573540">
        <w:rPr>
          <w:rFonts w:ascii="Calibri Light" w:eastAsia="Calibri Light" w:hAnsi="Calibri Light"/>
          <w:color w:val="495965"/>
          <w:sz w:val="22"/>
          <w:szCs w:val="22"/>
          <w:bdr w:val="none" w:sz="0" w:space="0" w:color="auto"/>
          <w:lang w:val="en-GB"/>
        </w:rPr>
        <w:t xml:space="preserve"> and skills</w:t>
      </w:r>
      <w:r w:rsidR="00C86DB7">
        <w:rPr>
          <w:rFonts w:ascii="Calibri Light" w:eastAsia="Calibri Light" w:hAnsi="Calibri Light"/>
          <w:color w:val="495965"/>
          <w:sz w:val="22"/>
          <w:szCs w:val="22"/>
          <w:bdr w:val="none" w:sz="0" w:space="0" w:color="auto"/>
          <w:lang w:val="en-GB"/>
        </w:rPr>
        <w:t xml:space="preserve">; </w:t>
      </w:r>
      <w:r w:rsidR="009B36FE">
        <w:rPr>
          <w:rFonts w:ascii="Calibri Light" w:eastAsia="Calibri Light" w:hAnsi="Calibri Light"/>
          <w:color w:val="495965"/>
          <w:sz w:val="22"/>
          <w:szCs w:val="22"/>
          <w:bdr w:val="none" w:sz="0" w:space="0" w:color="auto"/>
          <w:lang w:val="en-GB"/>
        </w:rPr>
        <w:t xml:space="preserve">and to </w:t>
      </w:r>
      <w:r w:rsidR="00C86DB7">
        <w:rPr>
          <w:rFonts w:ascii="Calibri Light" w:eastAsia="Calibri Light" w:hAnsi="Calibri Light"/>
          <w:color w:val="495965"/>
          <w:sz w:val="22"/>
          <w:szCs w:val="22"/>
          <w:bdr w:val="none" w:sz="0" w:space="0" w:color="auto"/>
          <w:lang w:val="en-GB"/>
        </w:rPr>
        <w:t xml:space="preserve">build economic resilience </w:t>
      </w:r>
      <w:r w:rsidR="00573540">
        <w:rPr>
          <w:rFonts w:ascii="Calibri Light" w:eastAsia="Calibri Light" w:hAnsi="Calibri Light"/>
          <w:color w:val="495965"/>
          <w:sz w:val="22"/>
          <w:szCs w:val="22"/>
          <w:bdr w:val="none" w:sz="0" w:space="0" w:color="auto"/>
          <w:lang w:val="en-GB"/>
        </w:rPr>
        <w:t xml:space="preserve">and inclusion </w:t>
      </w:r>
      <w:r w:rsidR="00C86DB7">
        <w:rPr>
          <w:rFonts w:ascii="Calibri Light" w:eastAsia="Calibri Light" w:hAnsi="Calibri Light"/>
          <w:color w:val="495965"/>
          <w:sz w:val="22"/>
          <w:szCs w:val="22"/>
          <w:bdr w:val="none" w:sz="0" w:space="0" w:color="auto"/>
          <w:lang w:val="en-GB"/>
        </w:rPr>
        <w:t>by strengthen</w:t>
      </w:r>
      <w:r w:rsidR="005B08A4">
        <w:rPr>
          <w:rFonts w:ascii="Calibri Light" w:eastAsia="Calibri Light" w:hAnsi="Calibri Light"/>
          <w:color w:val="495965"/>
          <w:sz w:val="22"/>
          <w:szCs w:val="22"/>
          <w:bdr w:val="none" w:sz="0" w:space="0" w:color="auto"/>
          <w:lang w:val="en-GB"/>
        </w:rPr>
        <w:t>ing</w:t>
      </w:r>
      <w:r w:rsidR="00C86DB7">
        <w:rPr>
          <w:rFonts w:ascii="Calibri Light" w:eastAsia="Calibri Light" w:hAnsi="Calibri Light"/>
          <w:color w:val="495965"/>
          <w:sz w:val="22"/>
          <w:szCs w:val="22"/>
          <w:bdr w:val="none" w:sz="0" w:space="0" w:color="auto"/>
          <w:lang w:val="en-GB"/>
        </w:rPr>
        <w:t xml:space="preserve"> social </w:t>
      </w:r>
      <w:r w:rsidR="00C2682E">
        <w:rPr>
          <w:rFonts w:ascii="Calibri Light" w:eastAsia="Calibri Light" w:hAnsi="Calibri Light"/>
          <w:color w:val="495965"/>
          <w:sz w:val="22"/>
          <w:szCs w:val="22"/>
          <w:bdr w:val="none" w:sz="0" w:space="0" w:color="auto"/>
          <w:lang w:val="en-GB"/>
        </w:rPr>
        <w:t xml:space="preserve">protection </w:t>
      </w:r>
      <w:r w:rsidR="00C86DB7">
        <w:rPr>
          <w:rFonts w:ascii="Calibri Light" w:eastAsia="Calibri Light" w:hAnsi="Calibri Light"/>
          <w:color w:val="495965"/>
          <w:sz w:val="22"/>
          <w:szCs w:val="22"/>
          <w:bdr w:val="none" w:sz="0" w:space="0" w:color="auto"/>
          <w:lang w:val="en-GB"/>
        </w:rPr>
        <w:t>systems</w:t>
      </w:r>
      <w:r w:rsidR="00573540">
        <w:rPr>
          <w:rFonts w:ascii="Calibri Light" w:eastAsia="Calibri Light" w:hAnsi="Calibri Light"/>
          <w:color w:val="495965"/>
          <w:sz w:val="22"/>
          <w:szCs w:val="22"/>
          <w:bdr w:val="none" w:sz="0" w:space="0" w:color="auto"/>
          <w:lang w:val="en-GB"/>
        </w:rPr>
        <w:t xml:space="preserve"> and </w:t>
      </w:r>
      <w:r w:rsidR="00C86DB7">
        <w:rPr>
          <w:rFonts w:ascii="Calibri Light" w:eastAsia="Calibri Light" w:hAnsi="Calibri Light"/>
          <w:color w:val="495965"/>
          <w:sz w:val="22"/>
          <w:szCs w:val="22"/>
          <w:bdr w:val="none" w:sz="0" w:space="0" w:color="auto"/>
          <w:lang w:val="en-GB"/>
        </w:rPr>
        <w:t xml:space="preserve">creating </w:t>
      </w:r>
      <w:r w:rsidR="00F20245">
        <w:rPr>
          <w:rFonts w:ascii="Calibri Light" w:eastAsia="Calibri Light" w:hAnsi="Calibri Light"/>
          <w:color w:val="495965"/>
          <w:sz w:val="22"/>
          <w:szCs w:val="22"/>
          <w:bdr w:val="none" w:sz="0" w:space="0" w:color="auto"/>
          <w:lang w:val="en-GB"/>
        </w:rPr>
        <w:t xml:space="preserve">economic </w:t>
      </w:r>
      <w:r w:rsidR="00C86DB7">
        <w:rPr>
          <w:rFonts w:ascii="Calibri Light" w:eastAsia="Calibri Light" w:hAnsi="Calibri Light"/>
          <w:color w:val="495965"/>
          <w:sz w:val="22"/>
          <w:szCs w:val="22"/>
          <w:bdr w:val="none" w:sz="0" w:space="0" w:color="auto"/>
          <w:lang w:val="en-GB"/>
        </w:rPr>
        <w:t xml:space="preserve">opportunities </w:t>
      </w:r>
      <w:r w:rsidR="005B08A4">
        <w:rPr>
          <w:rFonts w:ascii="Calibri Light" w:eastAsia="Calibri Light" w:hAnsi="Calibri Light"/>
          <w:color w:val="495965"/>
          <w:sz w:val="22"/>
          <w:szCs w:val="22"/>
          <w:bdr w:val="none" w:sz="0" w:space="0" w:color="auto"/>
          <w:lang w:val="en-GB"/>
        </w:rPr>
        <w:t xml:space="preserve">for </w:t>
      </w:r>
      <w:r w:rsidR="009B36FE">
        <w:rPr>
          <w:rFonts w:ascii="Calibri Light" w:eastAsia="Calibri Light" w:hAnsi="Calibri Light"/>
          <w:color w:val="495965"/>
          <w:sz w:val="22"/>
          <w:szCs w:val="22"/>
          <w:bdr w:val="none" w:sz="0" w:space="0" w:color="auto"/>
          <w:lang w:val="en-GB"/>
        </w:rPr>
        <w:t xml:space="preserve">the </w:t>
      </w:r>
      <w:r w:rsidR="00C86DB7">
        <w:rPr>
          <w:rFonts w:ascii="Calibri Light" w:eastAsia="Calibri Light" w:hAnsi="Calibri Light"/>
          <w:color w:val="495965"/>
          <w:sz w:val="22"/>
          <w:szCs w:val="22"/>
          <w:bdr w:val="none" w:sz="0" w:space="0" w:color="auto"/>
          <w:lang w:val="en-GB"/>
        </w:rPr>
        <w:t xml:space="preserve">poor. </w:t>
      </w:r>
      <w:r w:rsidR="005B08A4">
        <w:rPr>
          <w:rFonts w:ascii="Calibri Light" w:eastAsia="Calibri Light" w:hAnsi="Calibri Light"/>
          <w:color w:val="495965"/>
          <w:sz w:val="22"/>
          <w:szCs w:val="22"/>
          <w:bdr w:val="none" w:sz="0" w:space="0" w:color="auto"/>
          <w:lang w:val="en-GB"/>
        </w:rPr>
        <w:t xml:space="preserve">Australia </w:t>
      </w:r>
      <w:r w:rsidR="00573540">
        <w:rPr>
          <w:rFonts w:ascii="Calibri Light" w:eastAsia="Calibri Light" w:hAnsi="Calibri Light"/>
          <w:color w:val="495965"/>
          <w:sz w:val="22"/>
          <w:szCs w:val="22"/>
          <w:bdr w:val="none" w:sz="0" w:space="0" w:color="auto"/>
          <w:lang w:val="en-GB"/>
        </w:rPr>
        <w:t xml:space="preserve">is also </w:t>
      </w:r>
      <w:r w:rsidR="005B08A4">
        <w:rPr>
          <w:rFonts w:ascii="Calibri Light" w:eastAsia="Calibri Light" w:hAnsi="Calibri Light"/>
          <w:color w:val="495965"/>
          <w:sz w:val="22"/>
          <w:szCs w:val="22"/>
          <w:bdr w:val="none" w:sz="0" w:space="0" w:color="auto"/>
          <w:lang w:val="en-GB"/>
        </w:rPr>
        <w:t>support</w:t>
      </w:r>
      <w:r w:rsidR="00573540">
        <w:rPr>
          <w:rFonts w:ascii="Calibri Light" w:eastAsia="Calibri Light" w:hAnsi="Calibri Light"/>
          <w:color w:val="495965"/>
          <w:sz w:val="22"/>
          <w:szCs w:val="22"/>
          <w:bdr w:val="none" w:sz="0" w:space="0" w:color="auto"/>
          <w:lang w:val="en-GB"/>
        </w:rPr>
        <w:t>ing</w:t>
      </w:r>
      <w:r w:rsidR="005B08A4">
        <w:rPr>
          <w:rFonts w:ascii="Calibri Light" w:eastAsia="Calibri Light" w:hAnsi="Calibri Light"/>
          <w:color w:val="495965"/>
          <w:sz w:val="22"/>
          <w:szCs w:val="22"/>
          <w:bdr w:val="none" w:sz="0" w:space="0" w:color="auto"/>
          <w:lang w:val="en-GB"/>
        </w:rPr>
        <w:t xml:space="preserve"> Bangladesh </w:t>
      </w:r>
      <w:r w:rsidR="004B4EB5">
        <w:rPr>
          <w:rFonts w:ascii="Calibri Light" w:eastAsia="Calibri Light" w:hAnsi="Calibri Light"/>
          <w:color w:val="495965"/>
          <w:sz w:val="22"/>
          <w:szCs w:val="22"/>
          <w:bdr w:val="none" w:sz="0" w:space="0" w:color="auto"/>
          <w:lang w:val="en-GB"/>
        </w:rPr>
        <w:t xml:space="preserve">to </w:t>
      </w:r>
      <w:r w:rsidR="005B08A4">
        <w:rPr>
          <w:rFonts w:ascii="Calibri Light" w:eastAsia="Calibri Light" w:hAnsi="Calibri Light"/>
          <w:color w:val="495965"/>
          <w:sz w:val="22"/>
          <w:szCs w:val="22"/>
          <w:bdr w:val="none" w:sz="0" w:space="0" w:color="auto"/>
          <w:lang w:val="en-GB"/>
        </w:rPr>
        <w:t xml:space="preserve">respond to </w:t>
      </w:r>
      <w:r w:rsidR="00267142">
        <w:rPr>
          <w:rFonts w:ascii="Calibri Light" w:eastAsia="Calibri Light" w:hAnsi="Calibri Light"/>
          <w:color w:val="495965"/>
          <w:sz w:val="22"/>
          <w:szCs w:val="22"/>
          <w:bdr w:val="none" w:sz="0" w:space="0" w:color="auto"/>
          <w:lang w:val="en-GB"/>
        </w:rPr>
        <w:t>a</w:t>
      </w:r>
      <w:r w:rsidR="005B08A4">
        <w:rPr>
          <w:rFonts w:ascii="Calibri Light" w:eastAsia="Calibri Light" w:hAnsi="Calibri Light"/>
          <w:color w:val="495965"/>
          <w:sz w:val="22"/>
          <w:szCs w:val="22"/>
          <w:bdr w:val="none" w:sz="0" w:space="0" w:color="auto"/>
          <w:lang w:val="en-GB"/>
        </w:rPr>
        <w:t xml:space="preserve"> </w:t>
      </w:r>
      <w:r w:rsidR="004B4EB5">
        <w:rPr>
          <w:rFonts w:ascii="Calibri Light" w:eastAsia="Calibri Light" w:hAnsi="Calibri Light"/>
          <w:color w:val="495965"/>
          <w:sz w:val="22"/>
          <w:szCs w:val="22"/>
          <w:bdr w:val="none" w:sz="0" w:space="0" w:color="auto"/>
          <w:lang w:val="en-GB"/>
        </w:rPr>
        <w:t xml:space="preserve">major </w:t>
      </w:r>
      <w:r w:rsidR="005B08A4">
        <w:rPr>
          <w:rFonts w:ascii="Calibri Light" w:eastAsia="Calibri Light" w:hAnsi="Calibri Light"/>
          <w:color w:val="495965"/>
          <w:sz w:val="22"/>
          <w:szCs w:val="22"/>
          <w:bdr w:val="none" w:sz="0" w:space="0" w:color="auto"/>
          <w:lang w:val="en-GB"/>
        </w:rPr>
        <w:t xml:space="preserve">influx of displaced Rohingya </w:t>
      </w:r>
      <w:r w:rsidR="004B4EB5">
        <w:rPr>
          <w:rFonts w:ascii="Calibri Light" w:eastAsia="Calibri Light" w:hAnsi="Calibri Light"/>
          <w:color w:val="495965"/>
          <w:sz w:val="22"/>
          <w:szCs w:val="22"/>
          <w:bdr w:val="none" w:sz="0" w:space="0" w:color="auto"/>
          <w:lang w:val="en-GB"/>
        </w:rPr>
        <w:t xml:space="preserve">people </w:t>
      </w:r>
      <w:r w:rsidR="005B08A4">
        <w:rPr>
          <w:rFonts w:ascii="Calibri Light" w:eastAsia="Calibri Light" w:hAnsi="Calibri Light"/>
          <w:color w:val="495965"/>
          <w:sz w:val="22"/>
          <w:szCs w:val="22"/>
          <w:bdr w:val="none" w:sz="0" w:space="0" w:color="auto"/>
          <w:lang w:val="en-GB"/>
        </w:rPr>
        <w:t xml:space="preserve">from Myanmar. </w:t>
      </w:r>
      <w:r w:rsidR="00F20245">
        <w:rPr>
          <w:rFonts w:ascii="Calibri Light" w:eastAsia="Calibri Light" w:hAnsi="Calibri Light"/>
          <w:color w:val="495965"/>
          <w:sz w:val="22"/>
          <w:szCs w:val="22"/>
          <w:bdr w:val="none" w:sz="0" w:space="0" w:color="auto"/>
          <w:lang w:val="en-GB"/>
        </w:rPr>
        <w:t xml:space="preserve">The AIP reflects a central tenet of Australia’s 2017 Foreign Policy White paper – Australia’s future prosperity relies on a stable and prosperous Indo-Pacific. </w:t>
      </w:r>
    </w:p>
    <w:p w14:paraId="33860DB2" w14:textId="3032B75B" w:rsidR="00A34400" w:rsidRPr="001E49FD" w:rsidRDefault="005B08A4"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Pr>
          <w:rFonts w:ascii="Calibri Light" w:eastAsia="Calibri Light" w:hAnsi="Calibri Light"/>
          <w:color w:val="495965"/>
          <w:sz w:val="22"/>
          <w:szCs w:val="22"/>
          <w:bdr w:val="none" w:sz="0" w:space="0" w:color="auto"/>
          <w:lang w:val="en-GB"/>
        </w:rPr>
        <w:t xml:space="preserve">With sustained economic growth and relative political stability the </w:t>
      </w:r>
      <w:r w:rsidR="00A34400" w:rsidRPr="001E49FD">
        <w:rPr>
          <w:rFonts w:ascii="Calibri Light" w:eastAsia="Calibri Light" w:hAnsi="Calibri Light"/>
          <w:color w:val="495965"/>
          <w:sz w:val="22"/>
          <w:szCs w:val="22"/>
          <w:bdr w:val="none" w:sz="0" w:space="0" w:color="auto"/>
          <w:lang w:val="en-GB"/>
        </w:rPr>
        <w:t>assumptions underpinning the AIP remain valid</w:t>
      </w:r>
      <w:r>
        <w:rPr>
          <w:rFonts w:ascii="Calibri Light" w:eastAsia="Calibri Light" w:hAnsi="Calibri Light"/>
          <w:color w:val="495965"/>
          <w:sz w:val="22"/>
          <w:szCs w:val="22"/>
          <w:bdr w:val="none" w:sz="0" w:space="0" w:color="auto"/>
          <w:lang w:val="en-GB"/>
        </w:rPr>
        <w:t xml:space="preserve">. </w:t>
      </w:r>
      <w:r w:rsidR="00A34400" w:rsidRPr="001E49FD">
        <w:rPr>
          <w:rFonts w:ascii="Calibri Light" w:eastAsia="Calibri Light" w:hAnsi="Calibri Light"/>
          <w:color w:val="495965"/>
          <w:sz w:val="22"/>
          <w:szCs w:val="22"/>
          <w:bdr w:val="none" w:sz="0" w:space="0" w:color="auto"/>
          <w:lang w:val="en-GB"/>
        </w:rPr>
        <w:t xml:space="preserve">This </w:t>
      </w:r>
      <w:r w:rsidR="00267142">
        <w:rPr>
          <w:rFonts w:ascii="Calibri Light" w:eastAsia="Calibri Light" w:hAnsi="Calibri Light"/>
          <w:color w:val="495965"/>
          <w:sz w:val="22"/>
          <w:szCs w:val="22"/>
          <w:bdr w:val="none" w:sz="0" w:space="0" w:color="auto"/>
          <w:lang w:val="en-GB"/>
        </w:rPr>
        <w:t xml:space="preserve">positive </w:t>
      </w:r>
      <w:r w:rsidR="00A34400" w:rsidRPr="001E49FD">
        <w:rPr>
          <w:rFonts w:ascii="Calibri Light" w:eastAsia="Calibri Light" w:hAnsi="Calibri Light"/>
          <w:color w:val="495965"/>
          <w:sz w:val="22"/>
          <w:szCs w:val="22"/>
          <w:bdr w:val="none" w:sz="0" w:space="0" w:color="auto"/>
          <w:lang w:val="en-GB"/>
        </w:rPr>
        <w:t>trajectory</w:t>
      </w:r>
      <w:r w:rsidR="00F20245">
        <w:rPr>
          <w:rFonts w:ascii="Calibri Light" w:eastAsia="Calibri Light" w:hAnsi="Calibri Light"/>
          <w:color w:val="495965"/>
          <w:sz w:val="22"/>
          <w:szCs w:val="22"/>
          <w:bdr w:val="none" w:sz="0" w:space="0" w:color="auto"/>
          <w:lang w:val="en-GB"/>
        </w:rPr>
        <w:t xml:space="preserve"> </w:t>
      </w:r>
      <w:r w:rsidR="00A34400" w:rsidRPr="001E49FD">
        <w:rPr>
          <w:rFonts w:ascii="Calibri Light" w:eastAsia="Calibri Light" w:hAnsi="Calibri Light"/>
          <w:color w:val="495965"/>
          <w:sz w:val="22"/>
          <w:szCs w:val="22"/>
          <w:bdr w:val="none" w:sz="0" w:space="0" w:color="auto"/>
          <w:lang w:val="en-GB"/>
        </w:rPr>
        <w:t xml:space="preserve">is subject to pressure from security and governance challenges, the impacts of climate change, the Rohingya humanitarian crisis, and developments in the lead up to parliamentary elections. </w:t>
      </w:r>
      <w:r>
        <w:rPr>
          <w:rFonts w:ascii="Calibri Light" w:eastAsia="Calibri Light" w:hAnsi="Calibri Light"/>
          <w:color w:val="495965"/>
          <w:sz w:val="22"/>
          <w:szCs w:val="22"/>
          <w:bdr w:val="none" w:sz="0" w:space="0" w:color="auto"/>
          <w:lang w:val="en-GB"/>
        </w:rPr>
        <w:t xml:space="preserve">Slowing </w:t>
      </w:r>
      <w:r w:rsidR="00A34400" w:rsidRPr="001E49FD">
        <w:rPr>
          <w:rFonts w:ascii="Calibri Light" w:eastAsia="Calibri Light" w:hAnsi="Calibri Light"/>
          <w:color w:val="495965"/>
          <w:sz w:val="22"/>
          <w:szCs w:val="22"/>
          <w:bdr w:val="none" w:sz="0" w:space="0" w:color="auto"/>
          <w:lang w:val="en-GB"/>
        </w:rPr>
        <w:t xml:space="preserve">poverty reduction </w:t>
      </w:r>
      <w:r w:rsidR="00267142">
        <w:rPr>
          <w:rFonts w:ascii="Calibri Light" w:eastAsia="Calibri Light" w:hAnsi="Calibri Light"/>
          <w:color w:val="495965"/>
          <w:sz w:val="22"/>
          <w:szCs w:val="22"/>
          <w:bdr w:val="none" w:sz="0" w:space="0" w:color="auto"/>
          <w:lang w:val="en-GB"/>
        </w:rPr>
        <w:t xml:space="preserve">rates </w:t>
      </w:r>
      <w:r w:rsidR="00A34400" w:rsidRPr="001E49FD">
        <w:rPr>
          <w:rFonts w:ascii="Calibri Light" w:eastAsia="Calibri Light" w:hAnsi="Calibri Light"/>
          <w:color w:val="495965"/>
          <w:sz w:val="22"/>
          <w:szCs w:val="22"/>
          <w:bdr w:val="none" w:sz="0" w:space="0" w:color="auto"/>
          <w:lang w:val="en-GB"/>
        </w:rPr>
        <w:t>and widening income inequality</w:t>
      </w:r>
      <w:r>
        <w:rPr>
          <w:rFonts w:ascii="Calibri Light" w:eastAsia="Calibri Light" w:hAnsi="Calibri Light"/>
          <w:color w:val="495965"/>
          <w:sz w:val="22"/>
          <w:szCs w:val="22"/>
          <w:bdr w:val="none" w:sz="0" w:space="0" w:color="auto"/>
          <w:lang w:val="en-GB"/>
        </w:rPr>
        <w:t xml:space="preserve"> re</w:t>
      </w:r>
      <w:r w:rsidR="00A34400">
        <w:rPr>
          <w:rFonts w:ascii="Calibri Light" w:eastAsia="Calibri Light" w:hAnsi="Calibri Light"/>
          <w:color w:val="495965"/>
          <w:sz w:val="22"/>
          <w:szCs w:val="22"/>
          <w:bdr w:val="none" w:sz="0" w:space="0" w:color="auto"/>
          <w:lang w:val="en-GB"/>
        </w:rPr>
        <w:t xml:space="preserve">affirms </w:t>
      </w:r>
      <w:r>
        <w:rPr>
          <w:rFonts w:ascii="Calibri Light" w:eastAsia="Calibri Light" w:hAnsi="Calibri Light"/>
          <w:color w:val="495965"/>
          <w:sz w:val="22"/>
          <w:szCs w:val="22"/>
          <w:bdr w:val="none" w:sz="0" w:space="0" w:color="auto"/>
          <w:lang w:val="en-GB"/>
        </w:rPr>
        <w:t xml:space="preserve">the importance of our focus </w:t>
      </w:r>
      <w:r w:rsidR="00A34400" w:rsidRPr="001E49FD">
        <w:rPr>
          <w:rFonts w:ascii="Calibri Light" w:eastAsia="Calibri Light" w:hAnsi="Calibri Light"/>
          <w:color w:val="495965"/>
          <w:sz w:val="22"/>
          <w:szCs w:val="22"/>
          <w:bdr w:val="none" w:sz="0" w:space="0" w:color="auto"/>
          <w:lang w:val="en-GB"/>
        </w:rPr>
        <w:t>on creating opportunities for the poor</w:t>
      </w:r>
      <w:r w:rsidR="00954685">
        <w:rPr>
          <w:rFonts w:ascii="Calibri Light" w:eastAsia="Calibri Light" w:hAnsi="Calibri Light"/>
          <w:color w:val="495965"/>
          <w:sz w:val="22"/>
          <w:szCs w:val="22"/>
          <w:bdr w:val="none" w:sz="0" w:space="0" w:color="auto"/>
          <w:lang w:val="en-GB"/>
        </w:rPr>
        <w:t xml:space="preserve"> and most disadvantaged. </w:t>
      </w:r>
    </w:p>
    <w:p w14:paraId="5BA91665" w14:textId="629E3F59" w:rsidR="004B4EB5" w:rsidRPr="00DA040C" w:rsidRDefault="00C2682E" w:rsidP="004B4E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Pr>
          <w:rFonts w:ascii="Calibri Light" w:eastAsia="Calibri Light" w:hAnsi="Calibri Light"/>
          <w:color w:val="495965"/>
          <w:sz w:val="22"/>
          <w:szCs w:val="22"/>
          <w:bdr w:val="none" w:sz="0" w:space="0" w:color="auto"/>
          <w:lang w:val="en-GB"/>
        </w:rPr>
        <w:t xml:space="preserve">Australia’s </w:t>
      </w:r>
      <w:r w:rsidR="00F20245">
        <w:rPr>
          <w:rFonts w:ascii="Calibri Light" w:eastAsia="Calibri Light" w:hAnsi="Calibri Light"/>
          <w:color w:val="495965"/>
          <w:sz w:val="22"/>
          <w:szCs w:val="22"/>
          <w:bdr w:val="none" w:sz="0" w:space="0" w:color="auto"/>
          <w:lang w:val="en-GB"/>
        </w:rPr>
        <w:t xml:space="preserve">aid program in Bangladesh </w:t>
      </w:r>
      <w:r w:rsidR="004B4EB5" w:rsidRPr="00DA040C">
        <w:rPr>
          <w:rFonts w:ascii="Calibri Light" w:eastAsia="Calibri Light" w:hAnsi="Calibri Light"/>
          <w:color w:val="495965"/>
          <w:sz w:val="22"/>
          <w:szCs w:val="22"/>
          <w:bdr w:val="none" w:sz="0" w:space="0" w:color="auto"/>
          <w:lang w:val="en-GB"/>
        </w:rPr>
        <w:t xml:space="preserve">made good progress </w:t>
      </w:r>
      <w:r w:rsidR="004B4EB5">
        <w:rPr>
          <w:rFonts w:ascii="Calibri Light" w:eastAsia="Calibri Light" w:hAnsi="Calibri Light"/>
          <w:color w:val="495965"/>
          <w:sz w:val="22"/>
          <w:szCs w:val="22"/>
          <w:bdr w:val="none" w:sz="0" w:space="0" w:color="auto"/>
          <w:lang w:val="en-GB"/>
        </w:rPr>
        <w:t>in 2017-</w:t>
      </w:r>
      <w:r w:rsidR="004B4EB5" w:rsidRPr="00DA040C">
        <w:rPr>
          <w:rFonts w:ascii="Calibri Light" w:eastAsia="Calibri Light" w:hAnsi="Calibri Light"/>
          <w:color w:val="495965"/>
          <w:sz w:val="22"/>
          <w:szCs w:val="22"/>
          <w:bdr w:val="none" w:sz="0" w:space="0" w:color="auto"/>
          <w:lang w:val="en-GB"/>
        </w:rPr>
        <w:t xml:space="preserve">18, </w:t>
      </w:r>
      <w:r w:rsidR="004B4EB5" w:rsidRPr="00857B2A">
        <w:rPr>
          <w:rFonts w:ascii="Calibri Light" w:eastAsia="Calibri Light" w:hAnsi="Calibri Light"/>
          <w:color w:val="495965"/>
          <w:sz w:val="22"/>
          <w:szCs w:val="22"/>
          <w:bdr w:val="none" w:sz="0" w:space="0" w:color="auto"/>
          <w:lang w:val="en-GB"/>
        </w:rPr>
        <w:t xml:space="preserve">with </w:t>
      </w:r>
      <w:r w:rsidR="004B4EB5">
        <w:rPr>
          <w:rFonts w:ascii="Calibri Light" w:eastAsia="Calibri Light" w:hAnsi="Calibri Light"/>
          <w:color w:val="495965"/>
          <w:sz w:val="22"/>
          <w:szCs w:val="22"/>
          <w:bdr w:val="none" w:sz="0" w:space="0" w:color="auto"/>
          <w:lang w:val="en-GB"/>
        </w:rPr>
        <w:t>14 of the 19</w:t>
      </w:r>
      <w:r w:rsidR="004B4EB5" w:rsidRPr="00857B2A">
        <w:rPr>
          <w:rFonts w:ascii="Calibri Light" w:eastAsia="Calibri Light" w:hAnsi="Calibri Light"/>
          <w:color w:val="495965"/>
          <w:sz w:val="22"/>
          <w:szCs w:val="22"/>
          <w:bdr w:val="none" w:sz="0" w:space="0" w:color="auto"/>
          <w:lang w:val="en-GB"/>
        </w:rPr>
        <w:t xml:space="preserve"> annual AIP </w:t>
      </w:r>
      <w:r w:rsidR="004B4EB5">
        <w:rPr>
          <w:rFonts w:ascii="Calibri Light" w:eastAsia="Calibri Light" w:hAnsi="Calibri Light"/>
          <w:color w:val="495965"/>
          <w:sz w:val="22"/>
          <w:szCs w:val="22"/>
          <w:bdr w:val="none" w:sz="0" w:space="0" w:color="auto"/>
          <w:lang w:val="en-GB"/>
        </w:rPr>
        <w:t xml:space="preserve">Performance Assessment Framework (PAF) </w:t>
      </w:r>
      <w:r w:rsidR="004B4EB5" w:rsidRPr="00DA040C">
        <w:rPr>
          <w:rFonts w:ascii="Calibri Light" w:eastAsia="Calibri Light" w:hAnsi="Calibri Light"/>
          <w:color w:val="495965"/>
          <w:sz w:val="22"/>
          <w:szCs w:val="22"/>
          <w:bdr w:val="none" w:sz="0" w:space="0" w:color="auto"/>
          <w:lang w:val="en-GB"/>
        </w:rPr>
        <w:t>targets</w:t>
      </w:r>
      <w:r w:rsidR="004B4EB5">
        <w:rPr>
          <w:rStyle w:val="FootnoteReference"/>
          <w:rFonts w:ascii="Calibri Light" w:eastAsia="Calibri Light" w:hAnsi="Calibri Light"/>
          <w:color w:val="495965"/>
          <w:sz w:val="22"/>
          <w:szCs w:val="22"/>
          <w:bdr w:val="none" w:sz="0" w:space="0" w:color="auto"/>
          <w:lang w:val="en-GB"/>
        </w:rPr>
        <w:footnoteReference w:id="2"/>
      </w:r>
      <w:r w:rsidR="004B4EB5" w:rsidRPr="00DA040C">
        <w:rPr>
          <w:rFonts w:ascii="Calibri Light" w:eastAsia="Calibri Light" w:hAnsi="Calibri Light"/>
          <w:color w:val="495965"/>
          <w:sz w:val="22"/>
          <w:szCs w:val="22"/>
          <w:bdr w:val="none" w:sz="0" w:space="0" w:color="auto"/>
          <w:lang w:val="en-GB"/>
        </w:rPr>
        <w:t xml:space="preserve"> and </w:t>
      </w:r>
      <w:r w:rsidR="004B4EB5">
        <w:rPr>
          <w:rFonts w:ascii="Calibri Light" w:eastAsia="Calibri Light" w:hAnsi="Calibri Light"/>
          <w:color w:val="495965"/>
          <w:sz w:val="22"/>
          <w:szCs w:val="22"/>
          <w:bdr w:val="none" w:sz="0" w:space="0" w:color="auto"/>
          <w:lang w:val="en-GB"/>
        </w:rPr>
        <w:t>6 of</w:t>
      </w:r>
      <w:r w:rsidR="004B4EB5" w:rsidRPr="00591676">
        <w:rPr>
          <w:rFonts w:ascii="Calibri Light" w:eastAsia="Calibri Light" w:hAnsi="Calibri Light"/>
          <w:color w:val="495965"/>
          <w:sz w:val="22"/>
          <w:szCs w:val="22"/>
          <w:bdr w:val="none" w:sz="0" w:space="0" w:color="auto"/>
          <w:lang w:val="en-GB"/>
        </w:rPr>
        <w:t xml:space="preserve"> 7 Performance Benchmarks being met</w:t>
      </w:r>
      <w:r w:rsidR="004B4EB5" w:rsidRPr="00DA040C">
        <w:rPr>
          <w:rFonts w:ascii="Calibri Light" w:eastAsia="Calibri Light" w:hAnsi="Calibri Light"/>
          <w:color w:val="495965"/>
          <w:sz w:val="22"/>
          <w:szCs w:val="22"/>
          <w:bdr w:val="none" w:sz="0" w:space="0" w:color="auto"/>
          <w:lang w:val="en-GB"/>
        </w:rPr>
        <w:t xml:space="preserve">. There </w:t>
      </w:r>
      <w:r w:rsidR="004B4EB5">
        <w:rPr>
          <w:rFonts w:ascii="Calibri Light" w:eastAsia="Calibri Light" w:hAnsi="Calibri Light"/>
          <w:color w:val="495965"/>
          <w:sz w:val="22"/>
          <w:szCs w:val="22"/>
          <w:bdr w:val="none" w:sz="0" w:space="0" w:color="auto"/>
          <w:lang w:val="en-GB"/>
        </w:rPr>
        <w:t xml:space="preserve">has </w:t>
      </w:r>
      <w:r w:rsidR="004B4EB5" w:rsidRPr="00DA040C">
        <w:rPr>
          <w:rFonts w:ascii="Calibri Light" w:eastAsia="Calibri Light" w:hAnsi="Calibri Light"/>
          <w:color w:val="495965"/>
          <w:sz w:val="22"/>
          <w:szCs w:val="22"/>
          <w:bdr w:val="none" w:sz="0" w:space="0" w:color="auto"/>
          <w:lang w:val="en-GB"/>
        </w:rPr>
        <w:t xml:space="preserve">been </w:t>
      </w:r>
      <w:r w:rsidR="004B4EB5">
        <w:rPr>
          <w:rFonts w:ascii="Calibri Light" w:eastAsia="Calibri Light" w:hAnsi="Calibri Light"/>
          <w:color w:val="495965"/>
          <w:sz w:val="22"/>
          <w:szCs w:val="22"/>
          <w:bdr w:val="none" w:sz="0" w:space="0" w:color="auto"/>
          <w:lang w:val="en-GB"/>
        </w:rPr>
        <w:t>strong performance in responding to gender inequality</w:t>
      </w:r>
      <w:r w:rsidR="004B4EB5" w:rsidRPr="00DA040C">
        <w:rPr>
          <w:rStyle w:val="FootnoteReference"/>
          <w:rFonts w:ascii="Calibri Light" w:eastAsia="Calibri Light" w:hAnsi="Calibri Light"/>
          <w:color w:val="495965"/>
          <w:sz w:val="22"/>
          <w:szCs w:val="22"/>
          <w:bdr w:val="none" w:sz="0" w:space="0" w:color="auto"/>
          <w:lang w:val="en-GB"/>
        </w:rPr>
        <w:footnoteReference w:id="3"/>
      </w:r>
      <w:r w:rsidR="004B4EB5" w:rsidRPr="00DA040C">
        <w:rPr>
          <w:rFonts w:ascii="Calibri Light" w:eastAsia="Calibri Light" w:hAnsi="Calibri Light"/>
          <w:color w:val="495965"/>
          <w:sz w:val="22"/>
          <w:szCs w:val="22"/>
          <w:bdr w:val="none" w:sz="0" w:space="0" w:color="auto"/>
          <w:lang w:val="en-GB"/>
        </w:rPr>
        <w:t xml:space="preserve"> across both objectives. </w:t>
      </w:r>
      <w:r w:rsidR="004B4EB5">
        <w:rPr>
          <w:rFonts w:ascii="Calibri Light" w:eastAsia="Calibri Light" w:hAnsi="Calibri Light"/>
          <w:color w:val="495965"/>
          <w:sz w:val="22"/>
          <w:szCs w:val="22"/>
          <w:bdr w:val="none" w:sz="0" w:space="0" w:color="auto"/>
          <w:lang w:val="en-GB"/>
        </w:rPr>
        <w:t>In 2017-18 our aid investments in Bangladesh:</w:t>
      </w:r>
    </w:p>
    <w:p w14:paraId="00CCFD75" w14:textId="0838232C" w:rsidR="004B4EB5" w:rsidRPr="00594B10" w:rsidRDefault="004B4EB5" w:rsidP="004B4EB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Pr>
          <w:rFonts w:ascii="Calibri Light" w:eastAsia="Calibri Light" w:hAnsi="Calibri Light"/>
          <w:color w:val="495965"/>
          <w:sz w:val="22"/>
          <w:szCs w:val="22"/>
          <w:bdr w:val="none" w:sz="0" w:space="0" w:color="auto"/>
          <w:lang w:val="en-GB"/>
        </w:rPr>
        <w:t xml:space="preserve">contributed to over </w:t>
      </w:r>
      <w:r>
        <w:rPr>
          <w:rFonts w:ascii="Calibri Light" w:eastAsia="Calibri Light" w:hAnsi="Calibri Light"/>
          <w:color w:val="495965"/>
          <w:sz w:val="22"/>
          <w:szCs w:val="22"/>
          <w:bdr w:val="none" w:sz="0" w:space="0" w:color="auto"/>
        </w:rPr>
        <w:t>900</w:t>
      </w:r>
      <w:r w:rsidRPr="00DA040C">
        <w:rPr>
          <w:rFonts w:ascii="Calibri Light" w:eastAsia="Calibri Light" w:hAnsi="Calibri Light"/>
          <w:color w:val="495965"/>
          <w:sz w:val="22"/>
          <w:szCs w:val="22"/>
          <w:bdr w:val="none" w:sz="0" w:space="0" w:color="auto"/>
        </w:rPr>
        <w:t xml:space="preserve">,000 displaced Rohingya and </w:t>
      </w:r>
      <w:r>
        <w:rPr>
          <w:rFonts w:ascii="Calibri Light" w:eastAsia="Calibri Light" w:hAnsi="Calibri Light"/>
          <w:color w:val="495965"/>
          <w:sz w:val="22"/>
          <w:szCs w:val="22"/>
          <w:bdr w:val="none" w:sz="0" w:space="0" w:color="auto"/>
        </w:rPr>
        <w:t xml:space="preserve">members of the </w:t>
      </w:r>
      <w:r w:rsidRPr="00DA040C">
        <w:rPr>
          <w:rFonts w:ascii="Calibri Light" w:eastAsia="Calibri Light" w:hAnsi="Calibri Light"/>
          <w:color w:val="495965"/>
          <w:sz w:val="22"/>
          <w:szCs w:val="22"/>
          <w:bdr w:val="none" w:sz="0" w:space="0" w:color="auto"/>
        </w:rPr>
        <w:t>host communit</w:t>
      </w:r>
      <w:r>
        <w:rPr>
          <w:rFonts w:ascii="Calibri Light" w:eastAsia="Calibri Light" w:hAnsi="Calibri Light"/>
          <w:color w:val="495965"/>
          <w:sz w:val="22"/>
          <w:szCs w:val="22"/>
          <w:bdr w:val="none" w:sz="0" w:space="0" w:color="auto"/>
        </w:rPr>
        <w:t xml:space="preserve">y in Cox’s </w:t>
      </w:r>
      <w:r w:rsidR="00C2682E">
        <w:rPr>
          <w:rFonts w:ascii="Calibri Light" w:eastAsia="Calibri Light" w:hAnsi="Calibri Light"/>
          <w:color w:val="495965"/>
          <w:sz w:val="22"/>
          <w:szCs w:val="22"/>
          <w:bdr w:val="none" w:sz="0" w:space="0" w:color="auto"/>
        </w:rPr>
        <w:t xml:space="preserve">Bazar </w:t>
      </w:r>
      <w:r>
        <w:rPr>
          <w:rFonts w:ascii="Calibri Light" w:eastAsia="Calibri Light" w:hAnsi="Calibri Light"/>
          <w:color w:val="495965"/>
          <w:sz w:val="22"/>
          <w:szCs w:val="22"/>
          <w:bdr w:val="none" w:sz="0" w:space="0" w:color="auto"/>
        </w:rPr>
        <w:t xml:space="preserve">gaining access to </w:t>
      </w:r>
      <w:r w:rsidRPr="00DA040C">
        <w:rPr>
          <w:rFonts w:ascii="Calibri Light" w:eastAsia="Calibri Light" w:hAnsi="Calibri Light"/>
          <w:color w:val="495965"/>
          <w:sz w:val="22"/>
          <w:szCs w:val="22"/>
          <w:bdr w:val="none" w:sz="0" w:space="0" w:color="auto"/>
        </w:rPr>
        <w:t>food,</w:t>
      </w:r>
      <w:r>
        <w:rPr>
          <w:rFonts w:ascii="Calibri Light" w:eastAsia="Calibri Light" w:hAnsi="Calibri Light"/>
          <w:color w:val="495965"/>
          <w:sz w:val="22"/>
          <w:szCs w:val="22"/>
          <w:bdr w:val="none" w:sz="0" w:space="0" w:color="auto"/>
        </w:rPr>
        <w:t xml:space="preserve"> shelter, clean drinking water, and safe spaces for women and children;</w:t>
      </w:r>
    </w:p>
    <w:p w14:paraId="53242009" w14:textId="77777777" w:rsidR="004B4EB5" w:rsidRPr="00DA040C" w:rsidRDefault="004B4EB5" w:rsidP="004B4EB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Pr>
          <w:rFonts w:ascii="Calibri Light" w:eastAsia="Calibri Light" w:hAnsi="Calibri Light"/>
          <w:color w:val="495965"/>
          <w:sz w:val="22"/>
          <w:szCs w:val="22"/>
          <w:bdr w:val="none" w:sz="0" w:space="0" w:color="auto"/>
          <w:lang w:val="en-GB"/>
        </w:rPr>
        <w:t xml:space="preserve">supported </w:t>
      </w:r>
      <w:r w:rsidRPr="00DA040C">
        <w:rPr>
          <w:rFonts w:ascii="Calibri Light" w:eastAsia="Calibri Light" w:hAnsi="Calibri Light"/>
          <w:color w:val="495965"/>
          <w:sz w:val="22"/>
          <w:szCs w:val="22"/>
          <w:bdr w:val="none" w:sz="0" w:space="0" w:color="auto"/>
          <w:lang w:val="en-GB"/>
        </w:rPr>
        <w:t>the Bangladesh Government’s primary e</w:t>
      </w:r>
      <w:r>
        <w:rPr>
          <w:rFonts w:ascii="Calibri Light" w:eastAsia="Calibri Light" w:hAnsi="Calibri Light"/>
          <w:color w:val="495965"/>
          <w:sz w:val="22"/>
          <w:szCs w:val="22"/>
          <w:bdr w:val="none" w:sz="0" w:space="0" w:color="auto"/>
          <w:lang w:val="en-GB"/>
        </w:rPr>
        <w:t xml:space="preserve">ducation program to implement </w:t>
      </w:r>
      <w:r w:rsidRPr="00DA040C">
        <w:rPr>
          <w:rFonts w:ascii="Calibri Light" w:eastAsia="Calibri Light" w:hAnsi="Calibri Light"/>
          <w:color w:val="495965"/>
          <w:sz w:val="22"/>
          <w:szCs w:val="22"/>
          <w:bdr w:val="none" w:sz="0" w:space="0" w:color="auto"/>
          <w:lang w:val="en-GB"/>
        </w:rPr>
        <w:t xml:space="preserve">key reforms, including </w:t>
      </w:r>
      <w:r>
        <w:rPr>
          <w:rFonts w:ascii="Calibri Light" w:eastAsia="Calibri Light" w:hAnsi="Calibri Light"/>
          <w:color w:val="495965"/>
          <w:sz w:val="22"/>
          <w:szCs w:val="22"/>
          <w:bdr w:val="none" w:sz="0" w:space="0" w:color="auto"/>
          <w:lang w:val="en-GB"/>
        </w:rPr>
        <w:t xml:space="preserve">the roll-out of a new </w:t>
      </w:r>
      <w:r w:rsidRPr="00DA040C">
        <w:rPr>
          <w:rFonts w:ascii="Calibri Light" w:eastAsia="Calibri Light" w:hAnsi="Calibri Light"/>
          <w:color w:val="495965"/>
          <w:sz w:val="22"/>
          <w:szCs w:val="22"/>
          <w:bdr w:val="none" w:sz="0" w:space="0" w:color="auto"/>
          <w:lang w:val="en-GB"/>
        </w:rPr>
        <w:t xml:space="preserve">Diploma in Primary Education </w:t>
      </w:r>
      <w:r>
        <w:rPr>
          <w:rFonts w:ascii="Calibri Light" w:eastAsia="Calibri Light" w:hAnsi="Calibri Light"/>
          <w:color w:val="495965"/>
          <w:sz w:val="22"/>
          <w:szCs w:val="22"/>
          <w:bdr w:val="none" w:sz="0" w:space="0" w:color="auto"/>
          <w:lang w:val="en-GB"/>
        </w:rPr>
        <w:t xml:space="preserve">across all </w:t>
      </w:r>
      <w:r w:rsidRPr="00DA040C">
        <w:rPr>
          <w:rFonts w:ascii="Calibri Light" w:eastAsia="Calibri Light" w:hAnsi="Calibri Light"/>
          <w:color w:val="495965"/>
          <w:sz w:val="22"/>
          <w:szCs w:val="22"/>
          <w:bdr w:val="none" w:sz="0" w:space="0" w:color="auto"/>
          <w:lang w:val="en-GB"/>
        </w:rPr>
        <w:t>training institutions</w:t>
      </w:r>
      <w:r>
        <w:rPr>
          <w:rFonts w:ascii="Calibri Light" w:eastAsia="Calibri Light" w:hAnsi="Calibri Light"/>
          <w:color w:val="495965"/>
          <w:sz w:val="22"/>
          <w:szCs w:val="22"/>
          <w:bdr w:val="none" w:sz="0" w:space="0" w:color="auto"/>
        </w:rPr>
        <w:t>;</w:t>
      </w:r>
      <w:r w:rsidRPr="00DA040C">
        <w:rPr>
          <w:rFonts w:ascii="Calibri Light" w:eastAsia="Calibri Light" w:hAnsi="Calibri Light"/>
          <w:color w:val="495965"/>
          <w:sz w:val="22"/>
          <w:szCs w:val="22"/>
          <w:bdr w:val="none" w:sz="0" w:space="0" w:color="auto"/>
        </w:rPr>
        <w:t xml:space="preserve"> </w:t>
      </w:r>
    </w:p>
    <w:p w14:paraId="2BEDCB65" w14:textId="77777777" w:rsidR="004B4EB5" w:rsidRPr="00DA040C" w:rsidRDefault="004B4EB5" w:rsidP="004B4EB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591676">
        <w:rPr>
          <w:rFonts w:ascii="Calibri Light" w:eastAsia="Calibri Light" w:hAnsi="Calibri Light"/>
          <w:color w:val="495965"/>
          <w:sz w:val="22"/>
          <w:szCs w:val="22"/>
          <w:bdr w:val="none" w:sz="0" w:space="0" w:color="auto"/>
          <w:lang w:val="en-GB"/>
        </w:rPr>
        <w:t>helped</w:t>
      </w:r>
      <w:r>
        <w:rPr>
          <w:rFonts w:ascii="Calibri Light" w:eastAsia="Calibri Light" w:hAnsi="Calibri Light"/>
          <w:color w:val="495965"/>
          <w:sz w:val="22"/>
          <w:szCs w:val="22"/>
          <w:bdr w:val="none" w:sz="0" w:space="0" w:color="auto"/>
          <w:lang w:val="en-GB"/>
        </w:rPr>
        <w:t xml:space="preserve"> 72,804</w:t>
      </w:r>
      <w:r w:rsidRPr="00DA040C">
        <w:rPr>
          <w:rFonts w:ascii="Calibri Light" w:eastAsia="Calibri Light" w:hAnsi="Calibri Light"/>
          <w:color w:val="495965"/>
          <w:sz w:val="22"/>
          <w:szCs w:val="22"/>
          <w:bdr w:val="none" w:sz="0" w:space="0" w:color="auto"/>
          <w:lang w:val="en-GB"/>
        </w:rPr>
        <w:t xml:space="preserve"> women and their households</w:t>
      </w:r>
      <w:r>
        <w:rPr>
          <w:rFonts w:ascii="Calibri Light" w:eastAsia="Calibri Light" w:hAnsi="Calibri Light"/>
          <w:color w:val="495965"/>
          <w:sz w:val="22"/>
          <w:szCs w:val="22"/>
          <w:bdr w:val="none" w:sz="0" w:space="0" w:color="auto"/>
          <w:lang w:val="en-GB"/>
        </w:rPr>
        <w:t xml:space="preserve"> graduate from ultra-poverty</w:t>
      </w:r>
      <w:r w:rsidRPr="00DA040C">
        <w:rPr>
          <w:rFonts w:ascii="Calibri Light" w:eastAsia="Calibri Light" w:hAnsi="Calibri Light"/>
          <w:color w:val="495965"/>
          <w:sz w:val="22"/>
          <w:szCs w:val="22"/>
          <w:bdr w:val="none" w:sz="0" w:space="0" w:color="auto"/>
          <w:lang w:val="en-GB"/>
        </w:rPr>
        <w:t>, making a direct and significant difference to the lives of poor people;</w:t>
      </w:r>
      <w:r>
        <w:rPr>
          <w:rFonts w:ascii="Calibri Light" w:eastAsia="Calibri Light" w:hAnsi="Calibri Light"/>
          <w:color w:val="495965"/>
          <w:sz w:val="22"/>
          <w:szCs w:val="22"/>
          <w:bdr w:val="none" w:sz="0" w:space="0" w:color="auto"/>
          <w:lang w:val="en-GB"/>
        </w:rPr>
        <w:t xml:space="preserve"> and</w:t>
      </w:r>
    </w:p>
    <w:p w14:paraId="5CA0A3A0" w14:textId="77777777" w:rsidR="004B4EB5" w:rsidRPr="00E31FA1" w:rsidRDefault="004B4EB5" w:rsidP="004B4EB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roofErr w:type="gramStart"/>
      <w:r>
        <w:rPr>
          <w:rFonts w:ascii="Calibri Light" w:eastAsia="Calibri Light" w:hAnsi="Calibri Light"/>
          <w:color w:val="495965"/>
          <w:sz w:val="22"/>
          <w:szCs w:val="22"/>
          <w:bdr w:val="none" w:sz="0" w:space="0" w:color="auto"/>
        </w:rPr>
        <w:t>supported</w:t>
      </w:r>
      <w:proofErr w:type="gramEnd"/>
      <w:r>
        <w:rPr>
          <w:rFonts w:ascii="Calibri Light" w:eastAsia="Calibri Light" w:hAnsi="Calibri Light"/>
          <w:color w:val="495965"/>
          <w:sz w:val="22"/>
          <w:szCs w:val="22"/>
          <w:bdr w:val="none" w:sz="0" w:space="0" w:color="auto"/>
        </w:rPr>
        <w:t xml:space="preserve"> the Government of Bangladesh to strengthen implementation  of the National Social Security Strategy in 23 line agencies through the development of Ministry action plans.</w:t>
      </w:r>
      <w:r w:rsidRPr="00DA040C">
        <w:rPr>
          <w:rFonts w:ascii="Calibri Light" w:eastAsia="Calibri Light" w:hAnsi="Calibri Light"/>
          <w:color w:val="495965"/>
          <w:sz w:val="22"/>
          <w:szCs w:val="22"/>
          <w:bdr w:val="none" w:sz="0" w:space="0" w:color="auto"/>
        </w:rPr>
        <w:t xml:space="preserve"> </w:t>
      </w:r>
    </w:p>
    <w:p w14:paraId="1BBA2BAA" w14:textId="593EBCFC" w:rsidR="004B4EB5" w:rsidRDefault="004B4EB5"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Pr>
          <w:rFonts w:ascii="Calibri Light" w:eastAsia="Calibri Light" w:hAnsi="Calibri Light"/>
          <w:color w:val="495965"/>
          <w:sz w:val="22"/>
          <w:szCs w:val="22"/>
          <w:bdr w:val="none" w:sz="0" w:space="0" w:color="auto"/>
          <w:lang w:val="en-GB"/>
        </w:rPr>
        <w:t xml:space="preserve">In 2017-18, Australia’s </w:t>
      </w:r>
      <w:r w:rsidRPr="00DA040C">
        <w:rPr>
          <w:rFonts w:ascii="Calibri Light" w:eastAsia="Calibri Light" w:hAnsi="Calibri Light"/>
          <w:color w:val="495965"/>
          <w:sz w:val="22"/>
          <w:szCs w:val="22"/>
          <w:bdr w:val="none" w:sz="0" w:space="0" w:color="auto"/>
          <w:lang w:val="en-GB"/>
        </w:rPr>
        <w:t>bilateral O</w:t>
      </w:r>
      <w:r>
        <w:rPr>
          <w:rFonts w:ascii="Calibri Light" w:eastAsia="Calibri Light" w:hAnsi="Calibri Light"/>
          <w:color w:val="495965"/>
          <w:sz w:val="22"/>
          <w:szCs w:val="22"/>
          <w:bdr w:val="none" w:sz="0" w:space="0" w:color="auto"/>
          <w:lang w:val="en-GB"/>
        </w:rPr>
        <w:t xml:space="preserve">fficial </w:t>
      </w:r>
      <w:r w:rsidRPr="00DA040C">
        <w:rPr>
          <w:rFonts w:ascii="Calibri Light" w:eastAsia="Calibri Light" w:hAnsi="Calibri Light"/>
          <w:color w:val="495965"/>
          <w:sz w:val="22"/>
          <w:szCs w:val="22"/>
          <w:bdr w:val="none" w:sz="0" w:space="0" w:color="auto"/>
          <w:lang w:val="en-GB"/>
        </w:rPr>
        <w:t>D</w:t>
      </w:r>
      <w:r>
        <w:rPr>
          <w:rFonts w:ascii="Calibri Light" w:eastAsia="Calibri Light" w:hAnsi="Calibri Light"/>
          <w:color w:val="495965"/>
          <w:sz w:val="22"/>
          <w:szCs w:val="22"/>
          <w:bdr w:val="none" w:sz="0" w:space="0" w:color="auto"/>
          <w:lang w:val="en-GB"/>
        </w:rPr>
        <w:t xml:space="preserve">evelopment </w:t>
      </w:r>
      <w:r w:rsidRPr="00DA040C">
        <w:rPr>
          <w:rFonts w:ascii="Calibri Light" w:eastAsia="Calibri Light" w:hAnsi="Calibri Light"/>
          <w:color w:val="495965"/>
          <w:sz w:val="22"/>
          <w:szCs w:val="22"/>
          <w:bdr w:val="none" w:sz="0" w:space="0" w:color="auto"/>
          <w:lang w:val="en-GB"/>
        </w:rPr>
        <w:t>A</w:t>
      </w:r>
      <w:r>
        <w:rPr>
          <w:rFonts w:ascii="Calibri Light" w:eastAsia="Calibri Light" w:hAnsi="Calibri Light"/>
          <w:color w:val="495965"/>
          <w:sz w:val="22"/>
          <w:szCs w:val="22"/>
          <w:bdr w:val="none" w:sz="0" w:space="0" w:color="auto"/>
          <w:lang w:val="en-GB"/>
        </w:rPr>
        <w:t>ssistance</w:t>
      </w:r>
      <w:r w:rsidRPr="00DA040C">
        <w:rPr>
          <w:rFonts w:ascii="Calibri Light" w:eastAsia="Calibri Light" w:hAnsi="Calibri Light"/>
          <w:color w:val="495965"/>
          <w:sz w:val="22"/>
          <w:szCs w:val="22"/>
          <w:bdr w:val="none" w:sz="0" w:space="0" w:color="auto"/>
          <w:lang w:val="en-GB"/>
        </w:rPr>
        <w:t xml:space="preserve"> to Bangladesh </w:t>
      </w:r>
      <w:r>
        <w:rPr>
          <w:rFonts w:ascii="Calibri Light" w:eastAsia="Calibri Light" w:hAnsi="Calibri Light"/>
          <w:color w:val="495965"/>
          <w:sz w:val="22"/>
          <w:szCs w:val="22"/>
          <w:bdr w:val="none" w:sz="0" w:space="0" w:color="auto"/>
          <w:lang w:val="en-GB"/>
        </w:rPr>
        <w:t xml:space="preserve">increased </w:t>
      </w:r>
      <w:r w:rsidRPr="00DA040C">
        <w:rPr>
          <w:rFonts w:ascii="Calibri Light" w:eastAsia="Calibri Light" w:hAnsi="Calibri Light"/>
          <w:color w:val="495965"/>
          <w:sz w:val="22"/>
          <w:szCs w:val="22"/>
          <w:bdr w:val="none" w:sz="0" w:space="0" w:color="auto"/>
          <w:lang w:val="en-GB"/>
        </w:rPr>
        <w:t xml:space="preserve">by over 70 per cent </w:t>
      </w:r>
      <w:r>
        <w:rPr>
          <w:rFonts w:ascii="Calibri Light" w:eastAsia="Calibri Light" w:hAnsi="Calibri Light"/>
          <w:color w:val="495965"/>
          <w:sz w:val="22"/>
          <w:szCs w:val="22"/>
          <w:bdr w:val="none" w:sz="0" w:space="0" w:color="auto"/>
          <w:lang w:val="en-GB"/>
        </w:rPr>
        <w:t xml:space="preserve">in response to the Rohingya humanitarian crisis. </w:t>
      </w:r>
      <w:r w:rsidR="002A2BAE" w:rsidRPr="00DA040C">
        <w:rPr>
          <w:rFonts w:ascii="Calibri Light" w:eastAsia="Calibri Light" w:hAnsi="Calibri Light"/>
          <w:color w:val="495965"/>
          <w:sz w:val="22"/>
          <w:szCs w:val="22"/>
          <w:bdr w:val="none" w:sz="0" w:space="0" w:color="auto"/>
          <w:lang w:val="en-GB"/>
        </w:rPr>
        <w:t xml:space="preserve">Our longstanding partnerships with </w:t>
      </w:r>
      <w:r w:rsidR="00C2682E">
        <w:rPr>
          <w:rFonts w:ascii="Calibri Light" w:eastAsia="Calibri Light" w:hAnsi="Calibri Light"/>
          <w:color w:val="495965"/>
          <w:sz w:val="22"/>
          <w:szCs w:val="22"/>
          <w:bdr w:val="none" w:sz="0" w:space="0" w:color="auto"/>
          <w:lang w:val="en-GB"/>
        </w:rPr>
        <w:t xml:space="preserve">organisations like </w:t>
      </w:r>
      <w:r w:rsidR="00267142">
        <w:rPr>
          <w:rFonts w:ascii="Calibri Light" w:eastAsia="Calibri Light" w:hAnsi="Calibri Light"/>
          <w:color w:val="495965"/>
          <w:sz w:val="22"/>
          <w:szCs w:val="22"/>
          <w:bdr w:val="none" w:sz="0" w:space="0" w:color="auto"/>
          <w:lang w:val="en-GB"/>
        </w:rPr>
        <w:t xml:space="preserve">the </w:t>
      </w:r>
      <w:r w:rsidR="00267142" w:rsidRPr="00DA040C">
        <w:rPr>
          <w:rFonts w:ascii="Calibri Light" w:eastAsia="Calibri Light" w:hAnsi="Calibri Light"/>
          <w:color w:val="495965"/>
          <w:sz w:val="22"/>
          <w:szCs w:val="22"/>
          <w:bdr w:val="none" w:sz="0" w:space="0" w:color="auto"/>
          <w:lang w:val="en-GB"/>
        </w:rPr>
        <w:t>World Food Programme</w:t>
      </w:r>
      <w:r w:rsidR="00267142">
        <w:rPr>
          <w:rFonts w:ascii="Calibri Light" w:eastAsia="Calibri Light" w:hAnsi="Calibri Light"/>
          <w:color w:val="495965"/>
          <w:sz w:val="22"/>
          <w:szCs w:val="22"/>
          <w:bdr w:val="none" w:sz="0" w:space="0" w:color="auto"/>
          <w:lang w:val="en-GB"/>
        </w:rPr>
        <w:t xml:space="preserve"> (</w:t>
      </w:r>
      <w:r w:rsidR="002A2BAE" w:rsidRPr="00DA040C">
        <w:rPr>
          <w:rFonts w:ascii="Calibri Light" w:eastAsia="Calibri Light" w:hAnsi="Calibri Light"/>
          <w:color w:val="495965"/>
          <w:sz w:val="22"/>
          <w:szCs w:val="22"/>
          <w:bdr w:val="none" w:sz="0" w:space="0" w:color="auto"/>
          <w:lang w:val="en-GB"/>
        </w:rPr>
        <w:t>WFP</w:t>
      </w:r>
      <w:r w:rsidR="00267142">
        <w:rPr>
          <w:rFonts w:ascii="Calibri Light" w:eastAsia="Calibri Light" w:hAnsi="Calibri Light"/>
          <w:color w:val="495965"/>
          <w:sz w:val="22"/>
          <w:szCs w:val="22"/>
          <w:bdr w:val="none" w:sz="0" w:space="0" w:color="auto"/>
          <w:lang w:val="en-GB"/>
        </w:rPr>
        <w:t>)</w:t>
      </w:r>
      <w:r w:rsidR="002A2BAE" w:rsidRPr="00DA040C">
        <w:rPr>
          <w:rFonts w:ascii="Calibri Light" w:eastAsia="Calibri Light" w:hAnsi="Calibri Light"/>
          <w:color w:val="495965"/>
          <w:sz w:val="22"/>
          <w:szCs w:val="22"/>
          <w:bdr w:val="none" w:sz="0" w:space="0" w:color="auto"/>
          <w:lang w:val="en-GB"/>
        </w:rPr>
        <w:t xml:space="preserve"> and </w:t>
      </w:r>
      <w:r w:rsidR="00267142">
        <w:rPr>
          <w:rFonts w:ascii="Calibri Light" w:eastAsia="Calibri Light" w:hAnsi="Calibri Light"/>
          <w:color w:val="495965"/>
          <w:sz w:val="22"/>
          <w:szCs w:val="22"/>
          <w:bdr w:val="none" w:sz="0" w:space="0" w:color="auto"/>
          <w:lang w:val="en-GB"/>
        </w:rPr>
        <w:t xml:space="preserve">Bangladesh’s </w:t>
      </w:r>
      <w:r w:rsidR="002A2BAE" w:rsidRPr="00DA040C">
        <w:rPr>
          <w:rFonts w:ascii="Calibri Light" w:eastAsia="Calibri Light" w:hAnsi="Calibri Light"/>
          <w:color w:val="495965"/>
          <w:sz w:val="22"/>
          <w:szCs w:val="22"/>
          <w:bdr w:val="none" w:sz="0" w:space="0" w:color="auto"/>
          <w:lang w:val="en-GB"/>
        </w:rPr>
        <w:t xml:space="preserve">BRAC enabled </w:t>
      </w:r>
      <w:r w:rsidR="00C2682E">
        <w:rPr>
          <w:rFonts w:ascii="Calibri Light" w:eastAsia="Calibri Light" w:hAnsi="Calibri Light"/>
          <w:color w:val="495965"/>
          <w:sz w:val="22"/>
          <w:szCs w:val="22"/>
          <w:bdr w:val="none" w:sz="0" w:space="0" w:color="auto"/>
          <w:lang w:val="en-GB"/>
        </w:rPr>
        <w:t xml:space="preserve">us </w:t>
      </w:r>
      <w:r w:rsidR="002A2BAE" w:rsidRPr="00DA040C">
        <w:rPr>
          <w:rFonts w:ascii="Calibri Light" w:eastAsia="Calibri Light" w:hAnsi="Calibri Light"/>
          <w:color w:val="495965"/>
          <w:sz w:val="22"/>
          <w:szCs w:val="22"/>
          <w:bdr w:val="none" w:sz="0" w:space="0" w:color="auto"/>
          <w:lang w:val="en-GB"/>
        </w:rPr>
        <w:t xml:space="preserve">to respond quickly and effectively to the </w:t>
      </w:r>
      <w:r w:rsidR="002A2BAE">
        <w:rPr>
          <w:rFonts w:ascii="Calibri Light" w:eastAsia="Calibri Light" w:hAnsi="Calibri Light"/>
          <w:color w:val="495965"/>
          <w:sz w:val="22"/>
          <w:szCs w:val="22"/>
          <w:bdr w:val="none" w:sz="0" w:space="0" w:color="auto"/>
          <w:lang w:val="en-GB"/>
        </w:rPr>
        <w:t>crisis</w:t>
      </w:r>
      <w:r w:rsidR="00267142">
        <w:rPr>
          <w:rFonts w:ascii="Calibri Light" w:eastAsia="Calibri Light" w:hAnsi="Calibri Light"/>
          <w:color w:val="495965"/>
          <w:sz w:val="22"/>
          <w:szCs w:val="22"/>
          <w:bdr w:val="none" w:sz="0" w:space="0" w:color="auto"/>
          <w:lang w:val="en-GB"/>
        </w:rPr>
        <w:t xml:space="preserve">. </w:t>
      </w:r>
      <w:r w:rsidRPr="00976F5A">
        <w:rPr>
          <w:rFonts w:ascii="Calibri Light" w:eastAsia="Calibri Light" w:hAnsi="Calibri Light"/>
          <w:color w:val="495965"/>
          <w:sz w:val="22"/>
          <w:szCs w:val="22"/>
          <w:bdr w:val="none" w:sz="0" w:space="0" w:color="auto"/>
          <w:lang w:val="en-GB"/>
        </w:rPr>
        <w:t xml:space="preserve">Through our response Australia is implementing </w:t>
      </w:r>
      <w:r>
        <w:rPr>
          <w:rFonts w:ascii="Calibri Light" w:eastAsia="Calibri Light" w:hAnsi="Calibri Light"/>
          <w:color w:val="495965"/>
          <w:sz w:val="22"/>
          <w:szCs w:val="22"/>
          <w:bdr w:val="none" w:sz="0" w:space="0" w:color="auto"/>
          <w:lang w:val="en-GB"/>
        </w:rPr>
        <w:t xml:space="preserve">commitments made </w:t>
      </w:r>
      <w:r w:rsidRPr="00976F5A">
        <w:rPr>
          <w:rFonts w:ascii="Calibri Light" w:eastAsia="Calibri Light" w:hAnsi="Calibri Light"/>
          <w:color w:val="495965"/>
          <w:sz w:val="22"/>
          <w:szCs w:val="22"/>
          <w:bdr w:val="none" w:sz="0" w:space="0" w:color="auto"/>
          <w:lang w:val="en-GB"/>
        </w:rPr>
        <w:t xml:space="preserve">at the </w:t>
      </w:r>
      <w:r>
        <w:rPr>
          <w:rFonts w:ascii="Calibri Light" w:eastAsia="Calibri Light" w:hAnsi="Calibri Light"/>
          <w:color w:val="495965"/>
          <w:sz w:val="22"/>
          <w:szCs w:val="22"/>
          <w:bdr w:val="none" w:sz="0" w:space="0" w:color="auto"/>
          <w:lang w:val="en-GB"/>
        </w:rPr>
        <w:t xml:space="preserve">2016 </w:t>
      </w:r>
      <w:r w:rsidRPr="00976F5A">
        <w:rPr>
          <w:rFonts w:ascii="Calibri Light" w:eastAsia="Calibri Light" w:hAnsi="Calibri Light"/>
          <w:color w:val="495965"/>
          <w:sz w:val="22"/>
          <w:szCs w:val="22"/>
          <w:bdr w:val="none" w:sz="0" w:space="0" w:color="auto"/>
          <w:lang w:val="en-GB"/>
        </w:rPr>
        <w:t xml:space="preserve">World Humanitarian Summit and </w:t>
      </w:r>
      <w:r>
        <w:rPr>
          <w:rFonts w:ascii="Calibri Light" w:eastAsia="Calibri Light" w:hAnsi="Calibri Light"/>
          <w:color w:val="495965"/>
          <w:sz w:val="22"/>
          <w:szCs w:val="22"/>
          <w:bdr w:val="none" w:sz="0" w:space="0" w:color="auto"/>
          <w:lang w:val="en-GB"/>
        </w:rPr>
        <w:t>in the associated</w:t>
      </w:r>
      <w:r w:rsidRPr="00976F5A">
        <w:rPr>
          <w:rFonts w:ascii="Calibri Light" w:eastAsia="Calibri Light" w:hAnsi="Calibri Light"/>
          <w:color w:val="495965"/>
          <w:sz w:val="22"/>
          <w:szCs w:val="22"/>
          <w:bdr w:val="none" w:sz="0" w:space="0" w:color="auto"/>
          <w:lang w:val="en-GB"/>
        </w:rPr>
        <w:t xml:space="preserve"> Grand Bargain</w:t>
      </w:r>
      <w:r>
        <w:rPr>
          <w:rFonts w:ascii="Calibri Light" w:eastAsia="Calibri Light" w:hAnsi="Calibri Light"/>
          <w:color w:val="495965"/>
          <w:sz w:val="22"/>
          <w:szCs w:val="22"/>
          <w:bdr w:val="none" w:sz="0" w:space="0" w:color="auto"/>
          <w:lang w:val="en-GB"/>
        </w:rPr>
        <w:t xml:space="preserve">, including for flexible funding and to localise humanitarian action. </w:t>
      </w:r>
    </w:p>
    <w:p w14:paraId="0654DA99" w14:textId="35DAE1DF" w:rsidR="00506C93" w:rsidRDefault="00A34400" w:rsidP="00C268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DA040C">
        <w:rPr>
          <w:rFonts w:ascii="Calibri Light" w:eastAsia="Calibri Light" w:hAnsi="Calibri Light"/>
          <w:color w:val="495965"/>
          <w:sz w:val="22"/>
          <w:szCs w:val="22"/>
          <w:bdr w:val="none" w:sz="0" w:space="0" w:color="auto"/>
          <w:lang w:val="en-GB"/>
        </w:rPr>
        <w:t xml:space="preserve">Australia’s aid program in Bangladesh is delivered through partners with a reputation for strong performance, quality development </w:t>
      </w:r>
      <w:r>
        <w:rPr>
          <w:rFonts w:ascii="Calibri Light" w:eastAsia="Calibri Light" w:hAnsi="Calibri Light"/>
          <w:color w:val="495965"/>
          <w:sz w:val="22"/>
          <w:szCs w:val="22"/>
          <w:bdr w:val="none" w:sz="0" w:space="0" w:color="auto"/>
          <w:lang w:val="en-GB"/>
        </w:rPr>
        <w:t>outcomes</w:t>
      </w:r>
      <w:r w:rsidRPr="00DA040C">
        <w:rPr>
          <w:rFonts w:ascii="Calibri Light" w:eastAsia="Calibri Light" w:hAnsi="Calibri Light"/>
          <w:color w:val="495965"/>
          <w:sz w:val="22"/>
          <w:szCs w:val="22"/>
          <w:bdr w:val="none" w:sz="0" w:space="0" w:color="auto"/>
          <w:lang w:val="en-GB"/>
        </w:rPr>
        <w:t xml:space="preserve"> and policy influence. Our partnerships with the Bangladesh Government, </w:t>
      </w:r>
      <w:r>
        <w:rPr>
          <w:rFonts w:ascii="Calibri Light" w:eastAsia="Calibri Light" w:hAnsi="Calibri Light"/>
          <w:color w:val="495965"/>
          <w:sz w:val="22"/>
          <w:szCs w:val="22"/>
          <w:bdr w:val="none" w:sz="0" w:space="0" w:color="auto"/>
          <w:lang w:val="en-GB"/>
        </w:rPr>
        <w:t>BRAC, WFP</w:t>
      </w:r>
      <w:r w:rsidRPr="00DA040C">
        <w:rPr>
          <w:rFonts w:ascii="Calibri Light" w:eastAsia="Calibri Light" w:hAnsi="Calibri Light"/>
          <w:color w:val="495965"/>
          <w:sz w:val="22"/>
          <w:szCs w:val="22"/>
          <w:bdr w:val="none" w:sz="0" w:space="0" w:color="auto"/>
          <w:lang w:val="en-GB"/>
        </w:rPr>
        <w:t xml:space="preserve"> and the UK Department for International Development (DFID) provided opportunities for policy dialogue in the education</w:t>
      </w:r>
      <w:r>
        <w:rPr>
          <w:rFonts w:ascii="Calibri Light" w:eastAsia="Calibri Light" w:hAnsi="Calibri Light"/>
          <w:color w:val="495965"/>
          <w:sz w:val="22"/>
          <w:szCs w:val="22"/>
          <w:bdr w:val="none" w:sz="0" w:space="0" w:color="auto"/>
          <w:lang w:val="en-GB"/>
        </w:rPr>
        <w:t xml:space="preserve">, </w:t>
      </w:r>
      <w:r w:rsidRPr="00DA040C">
        <w:rPr>
          <w:rFonts w:ascii="Calibri Light" w:eastAsia="Calibri Light" w:hAnsi="Calibri Light"/>
          <w:color w:val="495965"/>
          <w:sz w:val="22"/>
          <w:szCs w:val="22"/>
          <w:bdr w:val="none" w:sz="0" w:space="0" w:color="auto"/>
          <w:lang w:val="en-GB"/>
        </w:rPr>
        <w:t>social protection</w:t>
      </w:r>
      <w:r>
        <w:rPr>
          <w:rFonts w:ascii="Calibri Light" w:eastAsia="Calibri Light" w:hAnsi="Calibri Light"/>
          <w:color w:val="495965"/>
          <w:sz w:val="22"/>
          <w:szCs w:val="22"/>
          <w:bdr w:val="none" w:sz="0" w:space="0" w:color="auto"/>
          <w:lang w:val="en-GB"/>
        </w:rPr>
        <w:t xml:space="preserve"> and humanitarian</w:t>
      </w:r>
      <w:r w:rsidRPr="00DA040C">
        <w:rPr>
          <w:rFonts w:ascii="Calibri Light" w:eastAsia="Calibri Light" w:hAnsi="Calibri Light"/>
          <w:color w:val="495965"/>
          <w:sz w:val="22"/>
          <w:szCs w:val="22"/>
          <w:bdr w:val="none" w:sz="0" w:space="0" w:color="auto"/>
          <w:lang w:val="en-GB"/>
        </w:rPr>
        <w:t xml:space="preserve"> sectors.</w:t>
      </w:r>
      <w:r w:rsidRPr="00DA040C" w:rsidDel="00CA656F">
        <w:rPr>
          <w:rFonts w:ascii="Calibri Light" w:eastAsia="Calibri Light" w:hAnsi="Calibri Light"/>
          <w:color w:val="495965"/>
          <w:sz w:val="22"/>
          <w:szCs w:val="22"/>
          <w:bdr w:val="none" w:sz="0" w:space="0" w:color="auto"/>
          <w:lang w:val="en-GB"/>
        </w:rPr>
        <w:t xml:space="preserve"> </w:t>
      </w:r>
      <w:r w:rsidR="00C2682E">
        <w:rPr>
          <w:rFonts w:ascii="Calibri Light" w:eastAsia="Calibri Light" w:hAnsi="Calibri Light"/>
          <w:color w:val="495965"/>
          <w:sz w:val="22"/>
          <w:szCs w:val="22"/>
          <w:bdr w:val="none" w:sz="0" w:space="0" w:color="auto"/>
          <w:lang w:val="en-GB"/>
        </w:rPr>
        <w:t xml:space="preserve">We also commenced new </w:t>
      </w:r>
      <w:r w:rsidR="004A772F">
        <w:rPr>
          <w:rFonts w:ascii="Calibri Light" w:eastAsia="Calibri Light" w:hAnsi="Calibri Light"/>
          <w:color w:val="495965"/>
          <w:sz w:val="22"/>
          <w:szCs w:val="22"/>
          <w:bdr w:val="none" w:sz="0" w:space="0" w:color="auto"/>
          <w:lang w:val="en-GB"/>
        </w:rPr>
        <w:t>partnerships with the United Nations Development Programme (UNDP)</w:t>
      </w:r>
      <w:r w:rsidR="004A772F" w:rsidRPr="00DA040C">
        <w:rPr>
          <w:rFonts w:ascii="Calibri Light" w:eastAsia="Calibri Light" w:hAnsi="Calibri Light"/>
          <w:color w:val="495965"/>
          <w:sz w:val="22"/>
          <w:szCs w:val="22"/>
          <w:bdr w:val="none" w:sz="0" w:space="0" w:color="auto"/>
          <w:lang w:val="en-GB"/>
        </w:rPr>
        <w:t xml:space="preserve"> </w:t>
      </w:r>
      <w:r w:rsidR="00C2682E">
        <w:rPr>
          <w:rFonts w:ascii="Calibri Light" w:eastAsia="Calibri Light" w:hAnsi="Calibri Light"/>
          <w:color w:val="495965"/>
          <w:sz w:val="22"/>
          <w:szCs w:val="22"/>
          <w:bdr w:val="none" w:sz="0" w:space="0" w:color="auto"/>
          <w:lang w:val="en-GB"/>
        </w:rPr>
        <w:t xml:space="preserve">to continue our support for government </w:t>
      </w:r>
      <w:r w:rsidR="00C2682E" w:rsidRPr="004339B7">
        <w:rPr>
          <w:rFonts w:ascii="Calibri Light" w:eastAsia="Calibri Light" w:hAnsi="Calibri Light"/>
          <w:color w:val="495965"/>
          <w:sz w:val="22"/>
          <w:szCs w:val="22"/>
          <w:bdr w:val="none" w:sz="0" w:space="0" w:color="auto"/>
          <w:lang w:val="en-GB"/>
        </w:rPr>
        <w:t>reform in social protection</w:t>
      </w:r>
      <w:r w:rsidR="004A772F">
        <w:rPr>
          <w:rFonts w:ascii="Calibri Light" w:eastAsia="Calibri Light" w:hAnsi="Calibri Light"/>
          <w:color w:val="495965"/>
          <w:sz w:val="22"/>
          <w:szCs w:val="22"/>
          <w:bdr w:val="none" w:sz="0" w:space="0" w:color="auto"/>
          <w:lang w:val="en-GB"/>
        </w:rPr>
        <w:t xml:space="preserve"> and with a range of humanitarian agencies in response to the Rohingya crisis. </w:t>
      </w:r>
    </w:p>
    <w:p w14:paraId="75D7226B" w14:textId="40BCB4EA" w:rsidR="00A34400"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DA040C">
        <w:rPr>
          <w:rFonts w:ascii="Calibri Light" w:eastAsia="Calibri Light" w:hAnsi="Calibri Light"/>
          <w:color w:val="495965"/>
          <w:sz w:val="22"/>
          <w:szCs w:val="22"/>
          <w:bdr w:val="none" w:sz="0" w:space="0" w:color="auto"/>
          <w:lang w:val="en-GB"/>
        </w:rPr>
        <w:lastRenderedPageBreak/>
        <w:t xml:space="preserve">Australia </w:t>
      </w:r>
      <w:r w:rsidR="00C2682E">
        <w:rPr>
          <w:rFonts w:ascii="Calibri Light" w:eastAsia="Calibri Light" w:hAnsi="Calibri Light"/>
          <w:color w:val="495965"/>
          <w:sz w:val="22"/>
          <w:szCs w:val="22"/>
          <w:bdr w:val="none" w:sz="0" w:space="0" w:color="auto"/>
          <w:lang w:val="en-GB"/>
        </w:rPr>
        <w:t xml:space="preserve">will </w:t>
      </w:r>
      <w:r w:rsidRPr="00DA040C">
        <w:rPr>
          <w:rFonts w:ascii="Calibri Light" w:eastAsia="Calibri Light" w:hAnsi="Calibri Light"/>
          <w:color w:val="495965"/>
          <w:sz w:val="22"/>
          <w:szCs w:val="22"/>
          <w:bdr w:val="none" w:sz="0" w:space="0" w:color="auto"/>
          <w:lang w:val="en-GB"/>
        </w:rPr>
        <w:t xml:space="preserve">not </w:t>
      </w:r>
      <w:r w:rsidR="004B4EB5">
        <w:rPr>
          <w:rFonts w:ascii="Calibri Light" w:eastAsia="Calibri Light" w:hAnsi="Calibri Light"/>
          <w:color w:val="495965"/>
          <w:sz w:val="22"/>
          <w:szCs w:val="22"/>
          <w:bdr w:val="none" w:sz="0" w:space="0" w:color="auto"/>
          <w:lang w:val="en-GB"/>
        </w:rPr>
        <w:t xml:space="preserve">participate in </w:t>
      </w:r>
      <w:r w:rsidRPr="00DA040C">
        <w:rPr>
          <w:rFonts w:ascii="Calibri Light" w:eastAsia="Calibri Light" w:hAnsi="Calibri Light"/>
          <w:color w:val="495965"/>
          <w:sz w:val="22"/>
          <w:szCs w:val="22"/>
          <w:bdr w:val="none" w:sz="0" w:space="0" w:color="auto"/>
          <w:lang w:val="en-GB"/>
        </w:rPr>
        <w:t xml:space="preserve">the next phase of the </w:t>
      </w:r>
      <w:r w:rsidR="004B4EB5">
        <w:rPr>
          <w:rFonts w:ascii="Calibri Light" w:eastAsia="Calibri Light" w:hAnsi="Calibri Light"/>
          <w:color w:val="495965"/>
          <w:sz w:val="22"/>
          <w:szCs w:val="22"/>
          <w:bdr w:val="none" w:sz="0" w:space="0" w:color="auto"/>
          <w:lang w:val="en-GB"/>
        </w:rPr>
        <w:t xml:space="preserve">Bangladesh </w:t>
      </w:r>
      <w:r w:rsidRPr="00DA040C">
        <w:rPr>
          <w:rFonts w:ascii="Calibri Light" w:eastAsia="Calibri Light" w:hAnsi="Calibri Light"/>
          <w:color w:val="495965"/>
          <w:sz w:val="22"/>
          <w:szCs w:val="22"/>
          <w:bdr w:val="none" w:sz="0" w:space="0" w:color="auto"/>
          <w:lang w:val="en-GB"/>
        </w:rPr>
        <w:t>Government</w:t>
      </w:r>
      <w:r w:rsidR="004B4EB5">
        <w:rPr>
          <w:rFonts w:ascii="Calibri Light" w:eastAsia="Calibri Light" w:hAnsi="Calibri Light"/>
          <w:color w:val="495965"/>
          <w:sz w:val="22"/>
          <w:szCs w:val="22"/>
          <w:bdr w:val="none" w:sz="0" w:space="0" w:color="auto"/>
          <w:lang w:val="en-GB"/>
        </w:rPr>
        <w:t xml:space="preserve">’s </w:t>
      </w:r>
      <w:r w:rsidRPr="00DA040C">
        <w:rPr>
          <w:rFonts w:ascii="Calibri Light" w:eastAsia="Calibri Light" w:hAnsi="Calibri Light"/>
          <w:color w:val="495965"/>
          <w:sz w:val="22"/>
          <w:szCs w:val="22"/>
          <w:bdr w:val="none" w:sz="0" w:space="0" w:color="auto"/>
          <w:lang w:val="en-GB"/>
        </w:rPr>
        <w:t>Primary Education Development Program (PEDP4)</w:t>
      </w:r>
      <w:r w:rsidR="004B4EB5">
        <w:rPr>
          <w:rFonts w:ascii="Calibri Light" w:eastAsia="Calibri Light" w:hAnsi="Calibri Light"/>
          <w:color w:val="495965"/>
          <w:sz w:val="22"/>
          <w:szCs w:val="22"/>
          <w:bdr w:val="none" w:sz="0" w:space="0" w:color="auto"/>
          <w:lang w:val="en-GB"/>
        </w:rPr>
        <w:t>. We</w:t>
      </w:r>
      <w:r w:rsidRPr="00D22944">
        <w:rPr>
          <w:rFonts w:ascii="Calibri Light" w:eastAsia="Calibri Light" w:hAnsi="Calibri Light"/>
          <w:color w:val="495965"/>
          <w:sz w:val="22"/>
          <w:szCs w:val="22"/>
          <w:bdr w:val="none" w:sz="0" w:space="0" w:color="auto"/>
          <w:lang w:val="en-GB"/>
        </w:rPr>
        <w:t xml:space="preserve"> </w:t>
      </w:r>
      <w:r w:rsidRPr="007D2538">
        <w:rPr>
          <w:rFonts w:ascii="Calibri Light" w:eastAsia="Calibri Light" w:hAnsi="Calibri Light"/>
          <w:color w:val="495965"/>
          <w:sz w:val="22"/>
          <w:szCs w:val="22"/>
          <w:bdr w:val="none" w:sz="0" w:space="0" w:color="auto"/>
          <w:lang w:val="en-GB"/>
        </w:rPr>
        <w:t>will explore opportunities to engage in education and skills development in a more targeted way, focusing on gaps where we can make a difference</w:t>
      </w:r>
      <w:r>
        <w:rPr>
          <w:rFonts w:ascii="Calibri Light" w:eastAsia="Calibri Light" w:hAnsi="Calibri Light"/>
          <w:color w:val="495965"/>
          <w:sz w:val="22"/>
          <w:szCs w:val="22"/>
          <w:bdr w:val="none" w:sz="0" w:space="0" w:color="auto"/>
          <w:lang w:val="en-GB"/>
        </w:rPr>
        <w:t xml:space="preserve">. </w:t>
      </w:r>
    </w:p>
    <w:p w14:paraId="402360A3" w14:textId="77777777" w:rsidR="004B0DE7" w:rsidRDefault="004B0DE7" w:rsidP="00A34400">
      <w:pPr>
        <w:pStyle w:val="ListBullet"/>
        <w:tabs>
          <w:tab w:val="clear" w:pos="284"/>
        </w:tabs>
        <w:spacing w:before="360"/>
        <w:rPr>
          <w:rFonts w:ascii="Calibri Light" w:eastAsia="Calibri Light" w:hAnsi="Calibri Light"/>
          <w:color w:val="495965"/>
          <w:sz w:val="22"/>
          <w:szCs w:val="22"/>
          <w:bdr w:val="none" w:sz="0" w:space="0" w:color="auto"/>
          <w:lang w:val="en-GB"/>
        </w:rPr>
      </w:pPr>
    </w:p>
    <w:p w14:paraId="0EFC4B95" w14:textId="4EDAEF83" w:rsidR="00A34400" w:rsidRPr="00DA040C" w:rsidRDefault="00A34400" w:rsidP="00A34400">
      <w:pPr>
        <w:pStyle w:val="ListBullet"/>
        <w:tabs>
          <w:tab w:val="clear" w:pos="284"/>
        </w:tabs>
        <w:spacing w:before="360"/>
        <w:rPr>
          <w:kern w:val="28"/>
        </w:rPr>
      </w:pPr>
      <w:r w:rsidRPr="00DA040C">
        <w:rPr>
          <w:rFonts w:ascii="Calibri" w:eastAsia="Calibri" w:hAnsi="Calibri" w:cs="Calibri"/>
          <w:caps/>
          <w:color w:val="495965"/>
          <w:sz w:val="38"/>
          <w:szCs w:val="38"/>
          <w:u w:color="495965"/>
        </w:rPr>
        <w:t xml:space="preserve">Context </w:t>
      </w:r>
    </w:p>
    <w:p w14:paraId="7FEC5F54" w14:textId="7B558D76" w:rsidR="00A34400" w:rsidRDefault="00A34400" w:rsidP="00A34400">
      <w:pPr>
        <w:pStyle w:val="BodyA"/>
      </w:pPr>
      <w:r>
        <w:t>The assumptions underpinning the Aid Investment Plan remained valid in 2017-18 with economic growth and relative political stability supporting progress towards poverty reduction and improvements in development indicators. However challenges to growth, a slowing poverty reduction rate</w:t>
      </w:r>
      <w:r w:rsidR="00954685">
        <w:t>,</w:t>
      </w:r>
      <w:r>
        <w:t xml:space="preserve"> widening income inequality,</w:t>
      </w:r>
      <w:r w:rsidR="007D7252">
        <w:t xml:space="preserve"> </w:t>
      </w:r>
      <w:r>
        <w:t xml:space="preserve">the impacts of climate change and the humanitarian crisis in southern Bangladesh are placing pressure on development gains. </w:t>
      </w:r>
    </w:p>
    <w:p w14:paraId="2A120F4E" w14:textId="1E0F1F80" w:rsidR="00A34400" w:rsidRPr="00DA040C" w:rsidRDefault="00A34400" w:rsidP="00A34400">
      <w:pPr>
        <w:pStyle w:val="BodyA"/>
      </w:pPr>
      <w:r w:rsidRPr="00152700">
        <w:rPr>
          <w:b/>
        </w:rPr>
        <w:t xml:space="preserve">Bangladesh’s </w:t>
      </w:r>
      <w:r w:rsidRPr="00152700">
        <w:rPr>
          <w:b/>
          <w:bCs/>
        </w:rPr>
        <w:t>economic trajectory continues to be strong</w:t>
      </w:r>
      <w:r w:rsidRPr="009B3568">
        <w:rPr>
          <w:bCs/>
        </w:rPr>
        <w:t xml:space="preserve"> with</w:t>
      </w:r>
      <w:r>
        <w:rPr>
          <w:b/>
          <w:bCs/>
        </w:rPr>
        <w:t xml:space="preserve"> </w:t>
      </w:r>
      <w:r w:rsidRPr="00DA040C">
        <w:t xml:space="preserve">a </w:t>
      </w:r>
      <w:r>
        <w:t>resilient GDP growth rate of 7.3</w:t>
      </w:r>
      <w:r w:rsidRPr="00DA040C">
        <w:t xml:space="preserve"> per cent</w:t>
      </w:r>
      <w:r w:rsidRPr="00DA040C">
        <w:rPr>
          <w:rStyle w:val="FootnoteReference"/>
        </w:rPr>
        <w:footnoteReference w:id="4"/>
      </w:r>
      <w:r w:rsidRPr="00DA040C">
        <w:t xml:space="preserve"> in 2017. </w:t>
      </w:r>
      <w:r>
        <w:t>E</w:t>
      </w:r>
      <w:r w:rsidRPr="00DA040C">
        <w:t>xports rebounded in 2018</w:t>
      </w:r>
      <w:r>
        <w:t xml:space="preserve"> (6 per cent growth),</w:t>
      </w:r>
      <w:r w:rsidRPr="00DA040C">
        <w:t xml:space="preserve"> primarily led by the Ready-Made Garments (RMG) sector</w:t>
      </w:r>
      <w:r w:rsidR="00506C93">
        <w:t xml:space="preserve"> and</w:t>
      </w:r>
      <w:r>
        <w:t xml:space="preserve"> remittances grew (by 17 per cent)</w:t>
      </w:r>
      <w:r w:rsidR="00506C93">
        <w:t>. T</w:t>
      </w:r>
      <w:r>
        <w:t>he i</w:t>
      </w:r>
      <w:r w:rsidRPr="00DA040C">
        <w:t>ndustrial production and services sector</w:t>
      </w:r>
      <w:r w:rsidR="00506C93">
        <w:t>s</w:t>
      </w:r>
      <w:r w:rsidRPr="00DA040C">
        <w:t xml:space="preserve"> </w:t>
      </w:r>
      <w:r>
        <w:t xml:space="preserve">displayed </w:t>
      </w:r>
      <w:r w:rsidRPr="00DA040C">
        <w:t>strong growth</w:t>
      </w:r>
      <w:r>
        <w:t xml:space="preserve"> (10 per cent)</w:t>
      </w:r>
      <w:r w:rsidRPr="00DA040C">
        <w:t xml:space="preserve"> helped by growing confidence on infrastructure development prospects, strong domestic demand and stronger global markets</w:t>
      </w:r>
      <w:r w:rsidRPr="00DA040C">
        <w:rPr>
          <w:rStyle w:val="FootnoteReference"/>
        </w:rPr>
        <w:footnoteReference w:id="5"/>
      </w:r>
      <w:r w:rsidRPr="00DA040C">
        <w:t xml:space="preserve">. </w:t>
      </w:r>
    </w:p>
    <w:p w14:paraId="11E1EB7F" w14:textId="4371AF8D" w:rsidR="00A34400" w:rsidRPr="00B33CAB" w:rsidRDefault="00A34400" w:rsidP="00A34400">
      <w:pPr>
        <w:pStyle w:val="BodyA"/>
        <w:rPr>
          <w:bCs/>
          <w:lang w:val="en-AU"/>
        </w:rPr>
      </w:pPr>
      <w:r w:rsidRPr="00DA040C">
        <w:t xml:space="preserve">In March 2018 </w:t>
      </w:r>
      <w:r w:rsidRPr="00DA040C">
        <w:rPr>
          <w:b/>
          <w:bCs/>
        </w:rPr>
        <w:t>the UN Committee for Development Policy announce</w:t>
      </w:r>
      <w:r>
        <w:rPr>
          <w:b/>
          <w:bCs/>
        </w:rPr>
        <w:t xml:space="preserve">d </w:t>
      </w:r>
      <w:r w:rsidR="00954685">
        <w:rPr>
          <w:b/>
          <w:bCs/>
        </w:rPr>
        <w:t xml:space="preserve">that </w:t>
      </w:r>
      <w:r>
        <w:rPr>
          <w:b/>
          <w:bCs/>
        </w:rPr>
        <w:t xml:space="preserve">Bangladesh met all three criteria for eligibility to begin </w:t>
      </w:r>
      <w:r w:rsidR="004E389D" w:rsidRPr="00DA040C">
        <w:rPr>
          <w:b/>
          <w:bCs/>
        </w:rPr>
        <w:t>graduat</w:t>
      </w:r>
      <w:r w:rsidR="004E389D">
        <w:rPr>
          <w:b/>
          <w:bCs/>
        </w:rPr>
        <w:t>ion</w:t>
      </w:r>
      <w:r w:rsidRPr="00DA040C">
        <w:rPr>
          <w:b/>
          <w:bCs/>
        </w:rPr>
        <w:t xml:space="preserve"> from Least Developed Country (LDC) status</w:t>
      </w:r>
      <w:r w:rsidRPr="00DA040C">
        <w:t>, and may graduat</w:t>
      </w:r>
      <w:r>
        <w:t>e in 2024. The decision was</w:t>
      </w:r>
      <w:r w:rsidRPr="00DA040C">
        <w:t xml:space="preserve"> </w:t>
      </w:r>
      <w:r>
        <w:t xml:space="preserve">welcomed by the Government, but </w:t>
      </w:r>
      <w:r w:rsidRPr="00DA040C">
        <w:t xml:space="preserve">Bangladesh </w:t>
      </w:r>
      <w:r>
        <w:t xml:space="preserve">will need to manage the challenges associated with </w:t>
      </w:r>
      <w:r w:rsidRPr="00DA040C">
        <w:t xml:space="preserve">the loss of trade concessions and </w:t>
      </w:r>
      <w:r>
        <w:t>development financing</w:t>
      </w:r>
      <w:r w:rsidRPr="00DA040C">
        <w:t xml:space="preserve"> </w:t>
      </w:r>
      <w:r>
        <w:rPr>
          <w:lang w:val="en-AU"/>
        </w:rPr>
        <w:t>that the transition will bring</w:t>
      </w:r>
      <w:r w:rsidRPr="00632449">
        <w:rPr>
          <w:lang w:val="en-AU"/>
        </w:rPr>
        <w:t xml:space="preserve">. The </w:t>
      </w:r>
      <w:r>
        <w:rPr>
          <w:lang w:val="en-AU"/>
        </w:rPr>
        <w:t xml:space="preserve">country’s low skill base, </w:t>
      </w:r>
      <w:r w:rsidRPr="00B33CAB">
        <w:rPr>
          <w:lang w:val="en-AU"/>
        </w:rPr>
        <w:t>challenging</w:t>
      </w:r>
      <w:r>
        <w:rPr>
          <w:lang w:val="en-AU"/>
        </w:rPr>
        <w:t xml:space="preserve"> business environment </w:t>
      </w:r>
      <w:r w:rsidR="00506C93">
        <w:rPr>
          <w:lang w:val="en-AU"/>
        </w:rPr>
        <w:t>and need for institutional reforms</w:t>
      </w:r>
      <w:r w:rsidRPr="00B33CAB">
        <w:rPr>
          <w:bCs/>
          <w:lang w:val="en-AU"/>
        </w:rPr>
        <w:t xml:space="preserve"> </w:t>
      </w:r>
      <w:r w:rsidR="00954685">
        <w:rPr>
          <w:bCs/>
          <w:lang w:val="en-AU"/>
        </w:rPr>
        <w:t xml:space="preserve">all </w:t>
      </w:r>
      <w:r>
        <w:rPr>
          <w:bCs/>
          <w:lang w:val="en-AU"/>
        </w:rPr>
        <w:t xml:space="preserve">point to the </w:t>
      </w:r>
      <w:r w:rsidRPr="00B33CAB">
        <w:rPr>
          <w:bCs/>
          <w:lang w:val="en-AU"/>
        </w:rPr>
        <w:t xml:space="preserve">significant action </w:t>
      </w:r>
      <w:r w:rsidR="00D31C83">
        <w:rPr>
          <w:bCs/>
          <w:lang w:val="en-AU"/>
        </w:rPr>
        <w:t xml:space="preserve">required </w:t>
      </w:r>
      <w:r w:rsidRPr="00B33CAB">
        <w:rPr>
          <w:bCs/>
          <w:lang w:val="en-AU"/>
        </w:rPr>
        <w:t xml:space="preserve">if </w:t>
      </w:r>
      <w:r>
        <w:rPr>
          <w:bCs/>
          <w:lang w:val="en-AU"/>
        </w:rPr>
        <w:t>Bangladesh</w:t>
      </w:r>
      <w:r w:rsidRPr="00B33CAB">
        <w:rPr>
          <w:bCs/>
          <w:lang w:val="en-AU"/>
        </w:rPr>
        <w:t xml:space="preserve"> is to make the best use of new opportunities. </w:t>
      </w:r>
    </w:p>
    <w:p w14:paraId="2314178B" w14:textId="619E3370" w:rsidR="00A34400" w:rsidRPr="009B3568" w:rsidRDefault="00A34400" w:rsidP="00A34400">
      <w:pPr>
        <w:pStyle w:val="BodyA"/>
        <w:rPr>
          <w:bCs/>
          <w:lang w:val="en-AU"/>
        </w:rPr>
      </w:pPr>
      <w:r>
        <w:rPr>
          <w:b/>
          <w:bCs/>
          <w:lang w:val="en-AU"/>
        </w:rPr>
        <w:t xml:space="preserve">Skill shortages are emerging as a key constraint to economic growth. </w:t>
      </w:r>
      <w:r w:rsidRPr="00152700">
        <w:rPr>
          <w:bCs/>
          <w:lang w:val="en-AU"/>
        </w:rPr>
        <w:t xml:space="preserve">Bangladesh’s labour force </w:t>
      </w:r>
      <w:r>
        <w:rPr>
          <w:rFonts w:cs="Arial"/>
        </w:rPr>
        <w:t>is under-skilled: 41 per cent have no education</w:t>
      </w:r>
      <w:r w:rsidR="00CA6531">
        <w:rPr>
          <w:rFonts w:cs="Arial"/>
        </w:rPr>
        <w:t xml:space="preserve"> and </w:t>
      </w:r>
      <w:r>
        <w:rPr>
          <w:rFonts w:cs="Arial"/>
        </w:rPr>
        <w:t>23 per cent have not completed primary education</w:t>
      </w:r>
      <w:r w:rsidR="00CA6531">
        <w:rPr>
          <w:rFonts w:cs="Arial"/>
        </w:rPr>
        <w:t>. T</w:t>
      </w:r>
      <w:r>
        <w:rPr>
          <w:rFonts w:cs="Arial"/>
        </w:rPr>
        <w:t>hree-quarters of newly recruited workers in industry are unskilled</w:t>
      </w:r>
      <w:r w:rsidRPr="009B3568">
        <w:rPr>
          <w:rStyle w:val="FootnoteReference"/>
          <w:bCs/>
          <w:lang w:val="en-AU"/>
        </w:rPr>
        <w:footnoteReference w:id="6"/>
      </w:r>
      <w:r w:rsidRPr="009B3568">
        <w:rPr>
          <w:bCs/>
          <w:lang w:val="en-AU"/>
        </w:rPr>
        <w:t>. Only 0.2 per cent of the workforce have received any vocational education</w:t>
      </w:r>
      <w:r>
        <w:rPr>
          <w:rStyle w:val="FootnoteReference"/>
          <w:bCs/>
          <w:lang w:val="en-AU"/>
        </w:rPr>
        <w:footnoteReference w:id="7"/>
      </w:r>
      <w:r w:rsidR="00954685">
        <w:rPr>
          <w:bCs/>
          <w:lang w:val="en-AU"/>
        </w:rPr>
        <w:t xml:space="preserve">. Of those accessing training, just </w:t>
      </w:r>
      <w:r w:rsidR="00D31C83">
        <w:rPr>
          <w:bCs/>
          <w:lang w:val="en-AU"/>
        </w:rPr>
        <w:t xml:space="preserve">24 percent </w:t>
      </w:r>
      <w:r w:rsidR="00954685">
        <w:rPr>
          <w:bCs/>
          <w:lang w:val="en-AU"/>
        </w:rPr>
        <w:t xml:space="preserve">are </w:t>
      </w:r>
      <w:r w:rsidRPr="00A30FB8">
        <w:rPr>
          <w:bCs/>
          <w:lang w:val="en-AU"/>
        </w:rPr>
        <w:t>women and girls</w:t>
      </w:r>
      <w:r w:rsidRPr="00A30FB8">
        <w:rPr>
          <w:rStyle w:val="FootnoteReference"/>
          <w:bCs/>
        </w:rPr>
        <w:footnoteReference w:id="8"/>
      </w:r>
      <w:r w:rsidRPr="00A30FB8">
        <w:rPr>
          <w:bCs/>
        </w:rPr>
        <w:t xml:space="preserve">. </w:t>
      </w:r>
      <w:r w:rsidRPr="00933831">
        <w:rPr>
          <w:lang w:val="en-AU"/>
        </w:rPr>
        <w:t xml:space="preserve">To fulfil its </w:t>
      </w:r>
      <w:r>
        <w:rPr>
          <w:lang w:val="en-AU"/>
        </w:rPr>
        <w:t xml:space="preserve">economic ambitions, </w:t>
      </w:r>
      <w:r w:rsidRPr="00933831">
        <w:rPr>
          <w:lang w:val="en-AU"/>
        </w:rPr>
        <w:t>Bangladesh</w:t>
      </w:r>
      <w:r w:rsidRPr="009B3568">
        <w:rPr>
          <w:bCs/>
          <w:lang w:val="en-AU"/>
        </w:rPr>
        <w:t xml:space="preserve"> needs to create more and higher productivity jobs and improve education and skills development</w:t>
      </w:r>
      <w:r>
        <w:rPr>
          <w:bCs/>
          <w:lang w:val="en-AU"/>
        </w:rPr>
        <w:t xml:space="preserve">. </w:t>
      </w:r>
    </w:p>
    <w:p w14:paraId="54D7F002" w14:textId="4083E58E" w:rsidR="00A34400" w:rsidRDefault="00A34400" w:rsidP="00A34400">
      <w:pPr>
        <w:pStyle w:val="BodyA"/>
        <w:rPr>
          <w:bdr w:val="none" w:sz="0" w:space="0" w:color="auto"/>
          <w:lang w:val="en-AU"/>
        </w:rPr>
      </w:pPr>
      <w:r w:rsidRPr="00152700">
        <w:rPr>
          <w:b/>
          <w:bdr w:val="none" w:sz="0" w:space="0" w:color="auto"/>
          <w:lang w:val="en-AU"/>
        </w:rPr>
        <w:t>Economic growth is becoming less inclusive</w:t>
      </w:r>
      <w:r>
        <w:rPr>
          <w:bdr w:val="none" w:sz="0" w:space="0" w:color="auto"/>
          <w:lang w:val="en-AU"/>
        </w:rPr>
        <w:t xml:space="preserve"> and income inequality is widening</w:t>
      </w:r>
      <w:r>
        <w:rPr>
          <w:rStyle w:val="FootnoteReference"/>
          <w:bdr w:val="none" w:sz="0" w:space="0" w:color="auto"/>
          <w:lang w:val="en-AU"/>
        </w:rPr>
        <w:footnoteReference w:id="9"/>
      </w:r>
      <w:r>
        <w:rPr>
          <w:bdr w:val="none" w:sz="0" w:space="0" w:color="auto"/>
          <w:lang w:val="en-AU"/>
        </w:rPr>
        <w:t xml:space="preserve">. Twenty four per cent of </w:t>
      </w:r>
      <w:r w:rsidR="00A56814">
        <w:rPr>
          <w:bdr w:val="none" w:sz="0" w:space="0" w:color="auto"/>
          <w:lang w:val="en-AU"/>
        </w:rPr>
        <w:t xml:space="preserve">the </w:t>
      </w:r>
      <w:r>
        <w:rPr>
          <w:bdr w:val="none" w:sz="0" w:space="0" w:color="auto"/>
          <w:lang w:val="en-AU"/>
        </w:rPr>
        <w:t>population</w:t>
      </w:r>
      <w:r w:rsidR="00A56814">
        <w:rPr>
          <w:bdr w:val="none" w:sz="0" w:space="0" w:color="auto"/>
          <w:lang w:val="en-AU"/>
        </w:rPr>
        <w:t xml:space="preserve"> </w:t>
      </w:r>
      <w:r w:rsidRPr="00523DB9">
        <w:rPr>
          <w:bdr w:val="none" w:sz="0" w:space="0" w:color="auto"/>
          <w:lang w:val="en-AU"/>
        </w:rPr>
        <w:t>still live below the poverty line</w:t>
      </w:r>
      <w:r>
        <w:rPr>
          <w:rStyle w:val="FootnoteReference"/>
          <w:bdr w:val="none" w:sz="0" w:space="0" w:color="auto"/>
          <w:lang w:val="en-AU"/>
        </w:rPr>
        <w:footnoteReference w:id="10"/>
      </w:r>
      <w:r>
        <w:rPr>
          <w:bdr w:val="none" w:sz="0" w:space="0" w:color="auto"/>
          <w:lang w:val="en-AU"/>
        </w:rPr>
        <w:t>. While GDP growth rates have averaged 6.8 per cent over five years, the pace of poverty reduction has dropped over this time, and the impact on the poor has been compounded by a decreasing rate of job growth</w:t>
      </w:r>
      <w:r>
        <w:rPr>
          <w:rStyle w:val="FootnoteReference"/>
          <w:bdr w:val="none" w:sz="0" w:space="0" w:color="auto"/>
          <w:lang w:val="en-AU"/>
        </w:rPr>
        <w:footnoteReference w:id="11"/>
      </w:r>
      <w:r>
        <w:rPr>
          <w:bdr w:val="none" w:sz="0" w:space="0" w:color="auto"/>
          <w:lang w:val="en-AU"/>
        </w:rPr>
        <w:t xml:space="preserve">. </w:t>
      </w:r>
      <w:r w:rsidRPr="008A1E25">
        <w:rPr>
          <w:bdr w:val="none" w:sz="0" w:space="0" w:color="auto"/>
          <w:lang w:val="en-AU"/>
        </w:rPr>
        <w:t>This under</w:t>
      </w:r>
      <w:r>
        <w:rPr>
          <w:bdr w:val="none" w:sz="0" w:space="0" w:color="auto"/>
          <w:lang w:val="en-AU"/>
        </w:rPr>
        <w:t xml:space="preserve">lines the case for an Australian aid </w:t>
      </w:r>
      <w:r w:rsidRPr="008A1E25">
        <w:rPr>
          <w:bdr w:val="none" w:sz="0" w:space="0" w:color="auto"/>
          <w:lang w:val="en-AU"/>
        </w:rPr>
        <w:t xml:space="preserve">strategy that </w:t>
      </w:r>
      <w:r w:rsidR="00954685">
        <w:rPr>
          <w:bdr w:val="none" w:sz="0" w:space="0" w:color="auto"/>
          <w:lang w:val="en-AU"/>
        </w:rPr>
        <w:t xml:space="preserve">focuses </w:t>
      </w:r>
      <w:r w:rsidRPr="008A1E25">
        <w:rPr>
          <w:bdr w:val="none" w:sz="0" w:space="0" w:color="auto"/>
          <w:lang w:val="en-AU"/>
        </w:rPr>
        <w:t xml:space="preserve">on </w:t>
      </w:r>
      <w:r>
        <w:rPr>
          <w:bdr w:val="none" w:sz="0" w:space="0" w:color="auto"/>
          <w:lang w:val="en-AU"/>
        </w:rPr>
        <w:t xml:space="preserve">creating economic opportunities for the poor to increase their productive capacity, </w:t>
      </w:r>
      <w:r w:rsidRPr="008A1E25">
        <w:rPr>
          <w:bdr w:val="none" w:sz="0" w:space="0" w:color="auto"/>
          <w:lang w:val="en-AU"/>
        </w:rPr>
        <w:t xml:space="preserve">and </w:t>
      </w:r>
      <w:r>
        <w:rPr>
          <w:bdr w:val="none" w:sz="0" w:space="0" w:color="auto"/>
          <w:lang w:val="en-AU"/>
        </w:rPr>
        <w:t xml:space="preserve">on strengthening </w:t>
      </w:r>
      <w:r w:rsidRPr="008A1E25">
        <w:rPr>
          <w:bdr w:val="none" w:sz="0" w:space="0" w:color="auto"/>
          <w:lang w:val="en-AU"/>
        </w:rPr>
        <w:t xml:space="preserve">safety nets for the most vulnerable. </w:t>
      </w:r>
    </w:p>
    <w:p w14:paraId="7B1F659F" w14:textId="20529EAE" w:rsidR="00A34400" w:rsidRDefault="00A56814" w:rsidP="00A34400">
      <w:pPr>
        <w:pStyle w:val="BodyA"/>
        <w:rPr>
          <w:lang w:val="en-AU"/>
        </w:rPr>
      </w:pPr>
      <w:r>
        <w:rPr>
          <w:bdr w:val="none" w:sz="0" w:space="0" w:color="auto"/>
          <w:lang w:val="en-AU"/>
        </w:rPr>
        <w:lastRenderedPageBreak/>
        <w:t>While t</w:t>
      </w:r>
      <w:r w:rsidR="00A34400">
        <w:rPr>
          <w:bdr w:val="none" w:sz="0" w:space="0" w:color="auto"/>
          <w:lang w:val="en-AU"/>
        </w:rPr>
        <w:t xml:space="preserve">he Government of Bangladesh is </w:t>
      </w:r>
      <w:r w:rsidR="00A34400">
        <w:rPr>
          <w:lang w:val="en-AU"/>
        </w:rPr>
        <w:t xml:space="preserve">committed </w:t>
      </w:r>
      <w:r w:rsidR="00A34400" w:rsidRPr="000912EF">
        <w:rPr>
          <w:lang w:val="en-AU"/>
        </w:rPr>
        <w:t>to poverty reduct</w:t>
      </w:r>
      <w:r w:rsidR="00A34400">
        <w:rPr>
          <w:lang w:val="en-AU"/>
        </w:rPr>
        <w:t xml:space="preserve">ion, including through a reformed social security system, </w:t>
      </w:r>
      <w:proofErr w:type="gramStart"/>
      <w:r>
        <w:rPr>
          <w:lang w:val="en-AU"/>
        </w:rPr>
        <w:t>its</w:t>
      </w:r>
      <w:proofErr w:type="gramEnd"/>
      <w:r>
        <w:rPr>
          <w:lang w:val="en-AU"/>
        </w:rPr>
        <w:t xml:space="preserve"> </w:t>
      </w:r>
      <w:r w:rsidR="00A34400">
        <w:rPr>
          <w:lang w:val="en-AU"/>
        </w:rPr>
        <w:t xml:space="preserve">spending on health and education continues to be low in </w:t>
      </w:r>
      <w:r w:rsidR="00A34400" w:rsidRPr="009C22BC">
        <w:rPr>
          <w:rFonts w:cs="Times New Roman"/>
          <w:bdr w:val="none" w:sz="0" w:space="0" w:color="auto"/>
          <w:lang w:val="en-AU" w:eastAsia="en-US"/>
        </w:rPr>
        <w:t>comparison to international benchmarks</w:t>
      </w:r>
      <w:r w:rsidR="00A34400">
        <w:rPr>
          <w:rStyle w:val="FootnoteReference"/>
          <w:rFonts w:cs="Times New Roman"/>
          <w:bdr w:val="none" w:sz="0" w:space="0" w:color="auto"/>
          <w:lang w:val="en-AU" w:eastAsia="en-US"/>
        </w:rPr>
        <w:footnoteReference w:id="12"/>
      </w:r>
      <w:r w:rsidR="00A34400" w:rsidRPr="009C22BC">
        <w:rPr>
          <w:rFonts w:cs="Times New Roman"/>
          <w:bdr w:val="none" w:sz="0" w:space="0" w:color="auto"/>
          <w:lang w:val="en-AU" w:eastAsia="en-US"/>
        </w:rPr>
        <w:t>.</w:t>
      </w:r>
      <w:r w:rsidR="00A34400">
        <w:rPr>
          <w:rFonts w:cs="Times New Roman"/>
          <w:bdr w:val="none" w:sz="0" w:space="0" w:color="auto"/>
          <w:lang w:val="en-AU" w:eastAsia="en-US"/>
        </w:rPr>
        <w:t xml:space="preserve"> </w:t>
      </w:r>
    </w:p>
    <w:p w14:paraId="7E8A905A" w14:textId="4DCC8E3E" w:rsidR="00A34400" w:rsidRDefault="00A34400" w:rsidP="00A34400">
      <w:pPr>
        <w:pStyle w:val="BodyA"/>
        <w:rPr>
          <w:bCs/>
          <w:lang w:val="en-AU"/>
        </w:rPr>
      </w:pPr>
      <w:r w:rsidRPr="008A1E25">
        <w:rPr>
          <w:b/>
          <w:bCs/>
          <w:lang w:val="en-AU"/>
        </w:rPr>
        <w:t>Bangladesh remains a challenging environment for gender equality</w:t>
      </w:r>
      <w:r w:rsidRPr="008A1E25">
        <w:rPr>
          <w:bCs/>
          <w:lang w:val="en-AU"/>
        </w:rPr>
        <w:t>, despite outperforming many of its South Asia neighbours on indicators such as achieving gender parity in primary and seco</w:t>
      </w:r>
      <w:r>
        <w:rPr>
          <w:bCs/>
          <w:lang w:val="en-AU"/>
        </w:rPr>
        <w:t>ndary school enrolments. The readymade garment</w:t>
      </w:r>
      <w:r w:rsidRPr="008A1E25">
        <w:rPr>
          <w:bCs/>
          <w:lang w:val="en-AU"/>
        </w:rPr>
        <w:t xml:space="preserve"> industry</w:t>
      </w:r>
      <w:r>
        <w:rPr>
          <w:bCs/>
          <w:lang w:val="en-AU"/>
        </w:rPr>
        <w:t xml:space="preserve">, </w:t>
      </w:r>
      <w:r w:rsidRPr="00A30FB8">
        <w:rPr>
          <w:bCs/>
          <w:lang w:val="en-AU"/>
        </w:rPr>
        <w:t>where approximately 80 per cent of workers are women</w:t>
      </w:r>
      <w:r>
        <w:rPr>
          <w:bCs/>
          <w:lang w:val="en-AU"/>
        </w:rPr>
        <w:t>, ha</w:t>
      </w:r>
      <w:r w:rsidR="00E860DB">
        <w:rPr>
          <w:bCs/>
          <w:lang w:val="en-AU"/>
        </w:rPr>
        <w:t>s</w:t>
      </w:r>
      <w:r w:rsidRPr="008A1E25">
        <w:rPr>
          <w:bCs/>
          <w:lang w:val="en-AU"/>
        </w:rPr>
        <w:t xml:space="preserve"> driven economic participation in the formal workforce for a large number of Bangladesh’s poorest women. Overall however, women’s workforce participation remains low (34.7 per cent in 2017 compared to 81.9 per cent for men)</w:t>
      </w:r>
      <w:r w:rsidRPr="008A1E25">
        <w:rPr>
          <w:rStyle w:val="FootnoteReference"/>
          <w:bCs/>
          <w:lang w:val="en-AU"/>
        </w:rPr>
        <w:footnoteReference w:id="13"/>
      </w:r>
      <w:r>
        <w:rPr>
          <w:bCs/>
          <w:lang w:val="en-AU"/>
        </w:rPr>
        <w:t xml:space="preserve"> and has not increased appreciably in the last decade</w:t>
      </w:r>
      <w:r>
        <w:rPr>
          <w:rStyle w:val="FootnoteReference"/>
          <w:bCs/>
          <w:lang w:val="en-AU"/>
        </w:rPr>
        <w:footnoteReference w:id="14"/>
      </w:r>
      <w:r w:rsidRPr="008A1E25">
        <w:rPr>
          <w:bCs/>
          <w:lang w:val="en-AU"/>
        </w:rPr>
        <w:t>. Moreover, these employment opportunities leave women vulnerable to exploitation through low wages and unsafe working conditions. Bangladesh also continues to have one of the highest child m</w:t>
      </w:r>
      <w:r>
        <w:rPr>
          <w:bCs/>
          <w:lang w:val="en-AU"/>
        </w:rPr>
        <w:t>arriage rates in the world: fifty</w:t>
      </w:r>
      <w:r w:rsidR="004E389D">
        <w:rPr>
          <w:bCs/>
          <w:lang w:val="en-AU"/>
        </w:rPr>
        <w:t> </w:t>
      </w:r>
      <w:r>
        <w:rPr>
          <w:bCs/>
          <w:lang w:val="en-AU"/>
        </w:rPr>
        <w:t>two</w:t>
      </w:r>
      <w:r w:rsidRPr="008A1E25">
        <w:rPr>
          <w:bCs/>
          <w:lang w:val="en-AU"/>
        </w:rPr>
        <w:t xml:space="preserve"> per cent of girls are married before the age of 18</w:t>
      </w:r>
      <w:r>
        <w:rPr>
          <w:bCs/>
          <w:lang w:val="en-AU"/>
        </w:rPr>
        <w:t xml:space="preserve">, of which </w:t>
      </w:r>
      <w:r w:rsidRPr="008A1E25">
        <w:rPr>
          <w:bCs/>
          <w:lang w:val="en-AU"/>
        </w:rPr>
        <w:t>18 per cent</w:t>
      </w:r>
      <w:r>
        <w:rPr>
          <w:bCs/>
          <w:lang w:val="en-AU"/>
        </w:rPr>
        <w:t xml:space="preserve"> (one in five) are married under </w:t>
      </w:r>
      <w:r w:rsidRPr="008A1E25">
        <w:rPr>
          <w:bCs/>
          <w:lang w:val="en-AU"/>
        </w:rPr>
        <w:t>the age of 15</w:t>
      </w:r>
      <w:r w:rsidRPr="008A1E25">
        <w:rPr>
          <w:rStyle w:val="FootnoteReference"/>
          <w:bCs/>
          <w:lang w:val="en-AU"/>
        </w:rPr>
        <w:footnoteReference w:id="15"/>
      </w:r>
      <w:r w:rsidRPr="008A1E25">
        <w:rPr>
          <w:bCs/>
          <w:lang w:val="en-AU"/>
        </w:rPr>
        <w:t xml:space="preserve">. While women’s participation in Bangladeshi society is relatively high on some indicators, long-standing societal, cultural and religious norms will continue to limit the </w:t>
      </w:r>
      <w:r>
        <w:rPr>
          <w:bCs/>
          <w:lang w:val="en-AU"/>
        </w:rPr>
        <w:t>potential</w:t>
      </w:r>
      <w:r w:rsidRPr="008A1E25">
        <w:rPr>
          <w:bCs/>
          <w:lang w:val="en-AU"/>
        </w:rPr>
        <w:t xml:space="preserve"> </w:t>
      </w:r>
      <w:r>
        <w:rPr>
          <w:bCs/>
          <w:lang w:val="en-AU"/>
        </w:rPr>
        <w:t xml:space="preserve">of women, and especially poor women, </w:t>
      </w:r>
      <w:r w:rsidRPr="008A1E25">
        <w:rPr>
          <w:bCs/>
          <w:lang w:val="en-AU"/>
        </w:rPr>
        <w:t>in the medium term.</w:t>
      </w:r>
    </w:p>
    <w:p w14:paraId="24D0B5D2" w14:textId="4693B680" w:rsidR="00A34400" w:rsidRPr="00E04616" w:rsidRDefault="00A34400" w:rsidP="00A34400">
      <w:pPr>
        <w:pStyle w:val="BodyA"/>
        <w:rPr>
          <w:bCs/>
          <w:lang w:val="en-AU"/>
        </w:rPr>
      </w:pPr>
      <w:r w:rsidRPr="00C85224">
        <w:rPr>
          <w:b/>
          <w:bCs/>
          <w:lang w:val="en-AU"/>
        </w:rPr>
        <w:t xml:space="preserve">In 2017-18, the operating context was transformed by the influx of over 700,000 Rohingya fleeing </w:t>
      </w:r>
      <w:r w:rsidR="00E860DB">
        <w:rPr>
          <w:b/>
          <w:bCs/>
          <w:lang w:val="en-AU"/>
        </w:rPr>
        <w:t>Myanmar</w:t>
      </w:r>
      <w:r w:rsidRPr="00E04616">
        <w:rPr>
          <w:bCs/>
          <w:lang w:val="en-AU"/>
        </w:rPr>
        <w:t>. Th</w:t>
      </w:r>
      <w:r w:rsidR="00954685">
        <w:rPr>
          <w:bCs/>
          <w:lang w:val="en-AU"/>
        </w:rPr>
        <w:t xml:space="preserve">is </w:t>
      </w:r>
      <w:r w:rsidRPr="00E04616">
        <w:rPr>
          <w:bCs/>
          <w:lang w:val="en-AU"/>
        </w:rPr>
        <w:t xml:space="preserve">has changed the economic and development landscape in southern Bangladesh through its impact on the </w:t>
      </w:r>
      <w:r>
        <w:rPr>
          <w:bCs/>
          <w:lang w:val="en-AU"/>
        </w:rPr>
        <w:t>physical environment,</w:t>
      </w:r>
      <w:r w:rsidRPr="00E04616">
        <w:rPr>
          <w:bCs/>
          <w:lang w:val="en-AU"/>
        </w:rPr>
        <w:t xml:space="preserve"> </w:t>
      </w:r>
      <w:r>
        <w:rPr>
          <w:bCs/>
          <w:lang w:val="en-AU"/>
        </w:rPr>
        <w:t xml:space="preserve">service provision, stability of the host communities </w:t>
      </w:r>
      <w:r w:rsidRPr="00E04616">
        <w:rPr>
          <w:bCs/>
          <w:lang w:val="en-AU"/>
        </w:rPr>
        <w:t xml:space="preserve">and resources required to host the </w:t>
      </w:r>
      <w:r w:rsidR="00954685">
        <w:rPr>
          <w:bCs/>
          <w:lang w:val="en-AU"/>
        </w:rPr>
        <w:t>new arrivals</w:t>
      </w:r>
      <w:r w:rsidRPr="00E04616">
        <w:rPr>
          <w:bCs/>
          <w:lang w:val="en-AU"/>
        </w:rPr>
        <w:t xml:space="preserve">. The crisis has also placed Bangladesh on the world stage with </w:t>
      </w:r>
      <w:proofErr w:type="spellStart"/>
      <w:r w:rsidRPr="00E04616">
        <w:rPr>
          <w:bCs/>
          <w:lang w:val="en-AU"/>
        </w:rPr>
        <w:t>Kutupalong</w:t>
      </w:r>
      <w:proofErr w:type="spellEnd"/>
      <w:r w:rsidRPr="00E04616">
        <w:rPr>
          <w:bCs/>
          <w:lang w:val="en-AU"/>
        </w:rPr>
        <w:t xml:space="preserve"> camp</w:t>
      </w:r>
      <w:r>
        <w:rPr>
          <w:bCs/>
          <w:lang w:val="en-AU"/>
        </w:rPr>
        <w:t xml:space="preserve"> in </w:t>
      </w:r>
      <w:r w:rsidRPr="00E04616">
        <w:rPr>
          <w:bCs/>
          <w:lang w:val="en-AU"/>
        </w:rPr>
        <w:t xml:space="preserve">Cox’s Bazar </w:t>
      </w:r>
      <w:r>
        <w:rPr>
          <w:bCs/>
          <w:lang w:val="en-AU"/>
        </w:rPr>
        <w:t xml:space="preserve">District </w:t>
      </w:r>
      <w:r w:rsidRPr="00E04616">
        <w:rPr>
          <w:bCs/>
          <w:lang w:val="en-AU"/>
        </w:rPr>
        <w:t>now the world’s largest refugee camp settlement.</w:t>
      </w:r>
    </w:p>
    <w:p w14:paraId="75DC0D22" w14:textId="25E61A91" w:rsidR="00A34400" w:rsidRPr="00E04616" w:rsidRDefault="00A34400" w:rsidP="00A34400">
      <w:pPr>
        <w:pStyle w:val="BodyA"/>
        <w:rPr>
          <w:b/>
          <w:lang w:val="en-AU"/>
        </w:rPr>
      </w:pPr>
      <w:r w:rsidRPr="00E04616">
        <w:rPr>
          <w:bCs/>
          <w:lang w:val="en-AU"/>
        </w:rPr>
        <w:t>The Government of Bangladesh’s role in responding to th</w:t>
      </w:r>
      <w:r w:rsidR="00954685">
        <w:rPr>
          <w:bCs/>
          <w:lang w:val="en-AU"/>
        </w:rPr>
        <w:t>e</w:t>
      </w:r>
      <w:r w:rsidRPr="00E04616">
        <w:rPr>
          <w:bCs/>
          <w:lang w:val="en-AU"/>
        </w:rPr>
        <w:t xml:space="preserve"> </w:t>
      </w:r>
      <w:r w:rsidR="00A56814">
        <w:rPr>
          <w:bCs/>
          <w:lang w:val="en-AU"/>
        </w:rPr>
        <w:t xml:space="preserve">Rohingya </w:t>
      </w:r>
      <w:r w:rsidRPr="00E04616">
        <w:rPr>
          <w:bCs/>
          <w:lang w:val="en-AU"/>
        </w:rPr>
        <w:t>crisis has been commendable. The scale of the influx nonetheless continues to be a challenge, with significant ongoing humanitarian support required. In</w:t>
      </w:r>
      <w:r>
        <w:rPr>
          <w:bCs/>
          <w:lang w:val="en-AU"/>
        </w:rPr>
        <w:t xml:space="preserve"> 2017-18, </w:t>
      </w:r>
      <w:r w:rsidRPr="00E04616">
        <w:rPr>
          <w:bCs/>
          <w:lang w:val="en-AU"/>
        </w:rPr>
        <w:t>Australia</w:t>
      </w:r>
      <w:r>
        <w:rPr>
          <w:bCs/>
          <w:lang w:val="en-AU"/>
        </w:rPr>
        <w:t xml:space="preserve"> contributed approximately $62.5 million in humanitarian funding for life-saving assistance in </w:t>
      </w:r>
      <w:r w:rsidR="00E860DB">
        <w:rPr>
          <w:bCs/>
          <w:lang w:val="en-AU"/>
        </w:rPr>
        <w:t xml:space="preserve">the </w:t>
      </w:r>
      <w:r>
        <w:rPr>
          <w:bCs/>
          <w:lang w:val="en-AU"/>
        </w:rPr>
        <w:t>Cox’s Bazar</w:t>
      </w:r>
      <w:r w:rsidR="00E860DB">
        <w:rPr>
          <w:bCs/>
          <w:lang w:val="en-AU"/>
        </w:rPr>
        <w:t xml:space="preserve"> district</w:t>
      </w:r>
      <w:r>
        <w:rPr>
          <w:bCs/>
          <w:lang w:val="en-AU"/>
        </w:rPr>
        <w:t>.</w:t>
      </w:r>
      <w:r w:rsidRPr="00D63DDD">
        <w:rPr>
          <w:bCs/>
          <w:lang w:val="en-AU"/>
        </w:rPr>
        <w:t xml:space="preserve"> DFAT staff resources were supplemented to manage Australia’s response, while established strategic partnership arrangements with BRAC and WFP provided a flexible and effective mechanism to assist in addressing the impact of the crisis, including on host communities. </w:t>
      </w:r>
    </w:p>
    <w:p w14:paraId="15F0B502" w14:textId="3A98C30E" w:rsidR="00A34400" w:rsidRPr="00732C85" w:rsidRDefault="00A34400" w:rsidP="00A34400">
      <w:pPr>
        <w:pStyle w:val="BodyA"/>
        <w:rPr>
          <w:bCs/>
          <w:lang w:val="en-AU"/>
        </w:rPr>
      </w:pPr>
      <w:r w:rsidRPr="00B46E42">
        <w:rPr>
          <w:bCs/>
          <w:lang w:val="en-AU"/>
        </w:rPr>
        <w:t xml:space="preserve">During the reporting period the </w:t>
      </w:r>
      <w:r w:rsidRPr="00E860DB">
        <w:rPr>
          <w:b/>
          <w:bCs/>
          <w:lang w:val="en-AU"/>
        </w:rPr>
        <w:t xml:space="preserve">security </w:t>
      </w:r>
      <w:r w:rsidR="00E860DB" w:rsidRPr="00E860DB">
        <w:rPr>
          <w:b/>
          <w:bCs/>
          <w:lang w:val="en-AU"/>
        </w:rPr>
        <w:t xml:space="preserve">threat from extremist groups </w:t>
      </w:r>
      <w:r w:rsidRPr="00E860DB">
        <w:rPr>
          <w:b/>
          <w:bCs/>
          <w:lang w:val="en-AU"/>
        </w:rPr>
        <w:t>has remained unchanged</w:t>
      </w:r>
      <w:r w:rsidRPr="00B46E42">
        <w:rPr>
          <w:bCs/>
          <w:lang w:val="en-AU"/>
        </w:rPr>
        <w:t xml:space="preserve">, but has had less impact on </w:t>
      </w:r>
      <w:r>
        <w:rPr>
          <w:bCs/>
          <w:lang w:val="en-AU"/>
        </w:rPr>
        <w:t xml:space="preserve">aid program </w:t>
      </w:r>
      <w:r w:rsidRPr="00B46E42">
        <w:rPr>
          <w:bCs/>
          <w:lang w:val="en-AU"/>
        </w:rPr>
        <w:t>delivery as Australian</w:t>
      </w:r>
      <w:r w:rsidRPr="00732C85">
        <w:rPr>
          <w:bCs/>
          <w:lang w:val="en-AU"/>
        </w:rPr>
        <w:t xml:space="preserve"> partners have adapted their practices.</w:t>
      </w:r>
      <w:r w:rsidR="00E860DB">
        <w:rPr>
          <w:bCs/>
          <w:lang w:val="en-AU"/>
        </w:rPr>
        <w:t xml:space="preserve"> The political environment has also become more contested in the lead up to national elections expected at the end of 2018.</w:t>
      </w:r>
      <w:r>
        <w:rPr>
          <w:bCs/>
          <w:lang w:val="en-AU"/>
        </w:rPr>
        <w:t xml:space="preserve"> </w:t>
      </w:r>
    </w:p>
    <w:p w14:paraId="4E5CD7AE" w14:textId="77777777" w:rsidR="00A34400" w:rsidRPr="00E04616" w:rsidRDefault="00A34400" w:rsidP="00A34400">
      <w:pPr>
        <w:pStyle w:val="BodyA"/>
        <w:rPr>
          <w:b/>
          <w:lang w:val="en-AU"/>
        </w:rPr>
      </w:pPr>
      <w:r w:rsidRPr="00E04616">
        <w:rPr>
          <w:b/>
          <w:lang w:val="en-AU"/>
        </w:rPr>
        <w:t xml:space="preserve">Australian Aid Program </w:t>
      </w:r>
    </w:p>
    <w:p w14:paraId="5ACB12C3" w14:textId="26ECD893" w:rsidR="00A34400" w:rsidRPr="00157EC8" w:rsidRDefault="00A34400" w:rsidP="00A34400">
      <w:pPr>
        <w:pStyle w:val="BodyA"/>
        <w:rPr>
          <w:bCs/>
          <w:lang w:val="en-AU"/>
        </w:rPr>
      </w:pPr>
      <w:r w:rsidRPr="00157EC8">
        <w:rPr>
          <w:bCs/>
          <w:lang w:val="en-AU"/>
        </w:rPr>
        <w:t>Australia</w:t>
      </w:r>
      <w:r>
        <w:rPr>
          <w:bCs/>
          <w:lang w:val="en-AU"/>
        </w:rPr>
        <w:t xml:space="preserve">’s aid program in Bangladesh focuses on inclusive economic growth and poverty reduction, aligning with the Bangladesh Government’s </w:t>
      </w:r>
      <w:r w:rsidRPr="005E5CE0">
        <w:rPr>
          <w:bCs/>
          <w:i/>
          <w:lang w:val="en-AU"/>
        </w:rPr>
        <w:t>Seventh Five Year Plan 2016-2020</w:t>
      </w:r>
      <w:r>
        <w:rPr>
          <w:bCs/>
          <w:lang w:val="en-AU"/>
        </w:rPr>
        <w:t xml:space="preserve"> and the Australian Government’s </w:t>
      </w:r>
      <w:r w:rsidRPr="008C48AF">
        <w:rPr>
          <w:bCs/>
          <w:i/>
          <w:lang w:val="en-AU"/>
        </w:rPr>
        <w:t>2017 Foreign Policy White Pape</w:t>
      </w:r>
      <w:r>
        <w:rPr>
          <w:bCs/>
          <w:i/>
          <w:lang w:val="en-AU"/>
        </w:rPr>
        <w:t>r</w:t>
      </w:r>
      <w:r w:rsidRPr="00157EC8">
        <w:rPr>
          <w:bCs/>
          <w:lang w:val="en-AU"/>
        </w:rPr>
        <w:t>. Our aid investments support Bangladesh</w:t>
      </w:r>
      <w:r>
        <w:rPr>
          <w:bCs/>
          <w:lang w:val="en-AU"/>
        </w:rPr>
        <w:t>’s</w:t>
      </w:r>
      <w:r w:rsidRPr="00157EC8">
        <w:rPr>
          <w:bCs/>
          <w:lang w:val="en-AU"/>
        </w:rPr>
        <w:t xml:space="preserve"> ambitions for economic transition</w:t>
      </w:r>
      <w:r>
        <w:rPr>
          <w:bCs/>
          <w:lang w:val="en-AU"/>
        </w:rPr>
        <w:t xml:space="preserve"> and its inclusive growth agenda by </w:t>
      </w:r>
      <w:r w:rsidR="00890248">
        <w:rPr>
          <w:bCs/>
          <w:lang w:val="en-AU"/>
        </w:rPr>
        <w:t>helping to address s</w:t>
      </w:r>
      <w:r>
        <w:rPr>
          <w:bCs/>
          <w:lang w:val="en-AU"/>
        </w:rPr>
        <w:t>kill</w:t>
      </w:r>
      <w:r w:rsidR="00890248">
        <w:rPr>
          <w:bCs/>
          <w:lang w:val="en-AU"/>
        </w:rPr>
        <w:t>s</w:t>
      </w:r>
      <w:r>
        <w:rPr>
          <w:bCs/>
          <w:lang w:val="en-AU"/>
        </w:rPr>
        <w:t xml:space="preserve"> gaps</w:t>
      </w:r>
      <w:r w:rsidR="00890248">
        <w:rPr>
          <w:bCs/>
          <w:lang w:val="en-AU"/>
        </w:rPr>
        <w:t xml:space="preserve"> and </w:t>
      </w:r>
      <w:r>
        <w:rPr>
          <w:bCs/>
          <w:lang w:val="en-AU"/>
        </w:rPr>
        <w:t xml:space="preserve">creating economic opportunities for the poor, particularly women and girls. Australia </w:t>
      </w:r>
      <w:r w:rsidR="00954685">
        <w:rPr>
          <w:bCs/>
          <w:lang w:val="en-AU"/>
        </w:rPr>
        <w:t xml:space="preserve">is </w:t>
      </w:r>
      <w:r>
        <w:rPr>
          <w:bCs/>
          <w:lang w:val="en-AU"/>
        </w:rPr>
        <w:t xml:space="preserve">also </w:t>
      </w:r>
      <w:r w:rsidR="00890248">
        <w:rPr>
          <w:bCs/>
          <w:lang w:val="en-AU"/>
        </w:rPr>
        <w:t>provid</w:t>
      </w:r>
      <w:r w:rsidR="00954685">
        <w:rPr>
          <w:bCs/>
          <w:lang w:val="en-AU"/>
        </w:rPr>
        <w:t>ing</w:t>
      </w:r>
      <w:r w:rsidR="00890248">
        <w:rPr>
          <w:bCs/>
          <w:lang w:val="en-AU"/>
        </w:rPr>
        <w:t xml:space="preserve"> humanitarian assistance in response </w:t>
      </w:r>
      <w:r>
        <w:rPr>
          <w:bCs/>
          <w:lang w:val="en-AU"/>
        </w:rPr>
        <w:t>to the influx of displaced Rohingya in southern Bangladesh.</w:t>
      </w:r>
    </w:p>
    <w:p w14:paraId="3B9BB9E7" w14:textId="349B86EE" w:rsidR="00A34400" w:rsidRDefault="00A34400" w:rsidP="00A34400">
      <w:pPr>
        <w:pStyle w:val="BodyA"/>
        <w:rPr>
          <w:bCs/>
          <w:lang w:val="en-AU"/>
        </w:rPr>
      </w:pPr>
      <w:r>
        <w:rPr>
          <w:bCs/>
          <w:lang w:val="en-AU"/>
        </w:rPr>
        <w:t xml:space="preserve">Our </w:t>
      </w:r>
      <w:r w:rsidRPr="00157EC8">
        <w:rPr>
          <w:bCs/>
          <w:lang w:val="en-AU"/>
        </w:rPr>
        <w:t xml:space="preserve">aid program </w:t>
      </w:r>
      <w:r>
        <w:rPr>
          <w:bCs/>
          <w:lang w:val="en-AU"/>
        </w:rPr>
        <w:t xml:space="preserve">is delivered through </w:t>
      </w:r>
      <w:r w:rsidRPr="00157EC8">
        <w:rPr>
          <w:bCs/>
          <w:lang w:val="en-AU"/>
        </w:rPr>
        <w:t>strategic partnership</w:t>
      </w:r>
      <w:r w:rsidR="00F95227">
        <w:rPr>
          <w:bCs/>
          <w:lang w:val="en-AU"/>
        </w:rPr>
        <w:t>s</w:t>
      </w:r>
      <w:r w:rsidRPr="00157EC8">
        <w:rPr>
          <w:bCs/>
          <w:lang w:val="en-AU"/>
        </w:rPr>
        <w:t xml:space="preserve"> with the Government of Bangladesh, </w:t>
      </w:r>
      <w:r>
        <w:rPr>
          <w:bCs/>
          <w:lang w:val="en-AU"/>
        </w:rPr>
        <w:t xml:space="preserve">WFP, </w:t>
      </w:r>
      <w:r w:rsidRPr="00157EC8">
        <w:rPr>
          <w:bCs/>
          <w:lang w:val="en-AU"/>
        </w:rPr>
        <w:t>BRAC</w:t>
      </w:r>
      <w:r>
        <w:rPr>
          <w:bCs/>
          <w:lang w:val="en-AU"/>
        </w:rPr>
        <w:t xml:space="preserve">, UNDP and DFID. We supported partners to promote economic growth and address inequality with a focus on key sectors - primary education, skills development, social protection and women’s empowerment. </w:t>
      </w:r>
      <w:r w:rsidRPr="00157EC8">
        <w:rPr>
          <w:bCs/>
          <w:lang w:val="en-AU"/>
        </w:rPr>
        <w:t xml:space="preserve">These flexible </w:t>
      </w:r>
      <w:r w:rsidRPr="00E04616">
        <w:rPr>
          <w:bCs/>
          <w:lang w:val="en-AU"/>
        </w:rPr>
        <w:t>partnership arrangements enabled Australia to be responsive to emerging priorities, including the humanitarian</w:t>
      </w:r>
      <w:r>
        <w:rPr>
          <w:bCs/>
          <w:lang w:val="en-AU"/>
        </w:rPr>
        <w:t xml:space="preserve"> crisis in the Cox’s Bazar district.</w:t>
      </w:r>
      <w:r w:rsidRPr="00E04616">
        <w:rPr>
          <w:bCs/>
          <w:lang w:val="en-AU"/>
        </w:rPr>
        <w:t xml:space="preserve"> </w:t>
      </w:r>
    </w:p>
    <w:p w14:paraId="60379E72" w14:textId="52E67023" w:rsidR="00A34400" w:rsidRPr="00ED0B0A" w:rsidRDefault="00A34400" w:rsidP="00A34400">
      <w:pPr>
        <w:pStyle w:val="BodyA"/>
        <w:rPr>
          <w:bCs/>
          <w:lang w:val="en-AU"/>
        </w:rPr>
      </w:pPr>
      <w:r w:rsidRPr="00B45B15">
        <w:rPr>
          <w:bCs/>
          <w:lang w:val="en-AU"/>
        </w:rPr>
        <w:lastRenderedPageBreak/>
        <w:t>The two objectives of t</w:t>
      </w:r>
      <w:r>
        <w:rPr>
          <w:bCs/>
          <w:lang w:val="en-AU"/>
        </w:rPr>
        <w:t>he Australian aid program are:</w:t>
      </w:r>
      <w:r w:rsidRPr="00AD1F4B">
        <w:rPr>
          <w:bCs/>
          <w:lang w:val="en-AU"/>
        </w:rPr>
        <w:t xml:space="preserve"> (</w:t>
      </w:r>
      <w:proofErr w:type="spellStart"/>
      <w:r w:rsidRPr="00AD1F4B">
        <w:rPr>
          <w:bCs/>
          <w:lang w:val="en-AU"/>
        </w:rPr>
        <w:t>i</w:t>
      </w:r>
      <w:proofErr w:type="spellEnd"/>
      <w:r w:rsidRPr="00AD1F4B">
        <w:rPr>
          <w:bCs/>
          <w:lang w:val="en-AU"/>
        </w:rPr>
        <w:t xml:space="preserve">) </w:t>
      </w:r>
      <w:r w:rsidRPr="00126BDA">
        <w:rPr>
          <w:bCs/>
          <w:i/>
          <w:lang w:val="en-AU"/>
        </w:rPr>
        <w:t>improving education access, equity, efficiency</w:t>
      </w:r>
      <w:r w:rsidRPr="00E04616">
        <w:rPr>
          <w:bCs/>
          <w:lang w:val="en-AU"/>
        </w:rPr>
        <w:t xml:space="preserve"> </w:t>
      </w:r>
      <w:r w:rsidRPr="00126BDA">
        <w:rPr>
          <w:bCs/>
          <w:i/>
          <w:lang w:val="en-AU"/>
        </w:rPr>
        <w:t>and learning outcomes</w:t>
      </w:r>
      <w:r w:rsidRPr="00E04616">
        <w:rPr>
          <w:bCs/>
          <w:lang w:val="en-AU"/>
        </w:rPr>
        <w:t xml:space="preserve">; and </w:t>
      </w:r>
      <w:r>
        <w:rPr>
          <w:bCs/>
          <w:lang w:val="en-AU"/>
        </w:rPr>
        <w:t xml:space="preserve">(ii) </w:t>
      </w:r>
      <w:r w:rsidRPr="00126BDA">
        <w:rPr>
          <w:bCs/>
          <w:i/>
          <w:lang w:val="en-AU"/>
        </w:rPr>
        <w:t>building resilience by reducing vulnerability and improving in</w:t>
      </w:r>
      <w:r>
        <w:rPr>
          <w:bCs/>
          <w:i/>
          <w:lang w:val="en-AU"/>
        </w:rPr>
        <w:t xml:space="preserve">clusion in the growing economy. </w:t>
      </w:r>
      <w:r w:rsidRPr="00E04616">
        <w:rPr>
          <w:bCs/>
          <w:lang w:val="en-AU"/>
        </w:rPr>
        <w:t xml:space="preserve">In 2017-18, total </w:t>
      </w:r>
      <w:r w:rsidR="00E860DB">
        <w:rPr>
          <w:bCs/>
          <w:lang w:val="en-AU"/>
        </w:rPr>
        <w:t xml:space="preserve">foreign </w:t>
      </w:r>
      <w:r w:rsidRPr="00E04616">
        <w:rPr>
          <w:bCs/>
          <w:lang w:val="en-AU"/>
        </w:rPr>
        <w:t>aid to Bangladesh constituted approximately 1.3 per cent of GDP, of which Australia’s contribution of $89.9 million represented approximately 0.025 per cent</w:t>
      </w:r>
      <w:r w:rsidRPr="00E04616">
        <w:rPr>
          <w:rStyle w:val="FootnoteReference"/>
          <w:bCs/>
          <w:lang w:val="en-AU"/>
        </w:rPr>
        <w:footnoteReference w:id="16"/>
      </w:r>
      <w:r>
        <w:rPr>
          <w:bCs/>
          <w:lang w:val="en-AU"/>
        </w:rPr>
        <w:t>.</w:t>
      </w:r>
    </w:p>
    <w:p w14:paraId="428ABCC4" w14:textId="77777777" w:rsidR="004B0DE7" w:rsidRDefault="004B0DE7" w:rsidP="00A34400">
      <w:pPr>
        <w:pStyle w:val="ListBullet"/>
        <w:tabs>
          <w:tab w:val="clear" w:pos="284"/>
        </w:tabs>
        <w:spacing w:before="360"/>
        <w:rPr>
          <w:rFonts w:ascii="Calibri" w:eastAsia="Calibri" w:hAnsi="Calibri" w:cs="Calibri"/>
          <w:caps/>
          <w:color w:val="495965"/>
          <w:sz w:val="38"/>
          <w:szCs w:val="38"/>
          <w:u w:color="495965"/>
        </w:rPr>
      </w:pPr>
    </w:p>
    <w:p w14:paraId="35FB2C10" w14:textId="77777777" w:rsidR="004B0DE7" w:rsidRPr="004B0DE7" w:rsidRDefault="004B0DE7" w:rsidP="00A34400">
      <w:pPr>
        <w:pStyle w:val="ListBullet"/>
        <w:tabs>
          <w:tab w:val="clear" w:pos="284"/>
        </w:tabs>
        <w:spacing w:before="360"/>
        <w:rPr>
          <w:rFonts w:ascii="Calibri" w:eastAsia="Calibri" w:hAnsi="Calibri" w:cs="Calibri"/>
          <w:caps/>
          <w:color w:val="495965"/>
          <w:sz w:val="18"/>
          <w:szCs w:val="38"/>
          <w:u w:color="495965"/>
        </w:rPr>
      </w:pPr>
    </w:p>
    <w:p w14:paraId="50C658D9" w14:textId="043D127E" w:rsidR="00A34400" w:rsidRDefault="00A34400" w:rsidP="00A34400">
      <w:pPr>
        <w:pStyle w:val="ListBullet"/>
        <w:tabs>
          <w:tab w:val="clear" w:pos="284"/>
        </w:tabs>
        <w:spacing w:before="360"/>
        <w:rPr>
          <w:rFonts w:ascii="Calibri" w:eastAsia="Calibri" w:hAnsi="Calibri" w:cs="Calibri"/>
          <w:caps/>
          <w:color w:val="495965"/>
          <w:sz w:val="38"/>
          <w:szCs w:val="38"/>
          <w:u w:color="495965"/>
        </w:rPr>
      </w:pPr>
      <w:r>
        <w:rPr>
          <w:rFonts w:ascii="Calibri" w:eastAsia="Calibri" w:hAnsi="Calibri" w:cs="Calibri"/>
          <w:caps/>
          <w:color w:val="495965"/>
          <w:sz w:val="38"/>
          <w:szCs w:val="38"/>
          <w:u w:color="495965"/>
        </w:rPr>
        <w:t>Expenditure</w:t>
      </w:r>
    </w:p>
    <w:p w14:paraId="644B6A13" w14:textId="28C4BFA3" w:rsidR="00A34400" w:rsidRDefault="00A34400" w:rsidP="00A34400">
      <w:pPr>
        <w:pStyle w:val="BodyA"/>
      </w:pPr>
      <w:r>
        <w:t>Table 1 lists the Bangladesh 2017-18 Financial Year bilateral expenditure for aid objective</w:t>
      </w:r>
      <w:r w:rsidR="00E860DB">
        <w:t>s</w:t>
      </w:r>
      <w:r>
        <w:t xml:space="preserve">, for regional and global programs, and Other Government Departments. Australia’s ODA to Bangladesh in 2017-18 was $89.9 million, with </w:t>
      </w:r>
      <w:r w:rsidR="0070115F">
        <w:t xml:space="preserve">the </w:t>
      </w:r>
      <w:r>
        <w:t>bilateral program account</w:t>
      </w:r>
      <w:r w:rsidR="0070115F">
        <w:t>ing</w:t>
      </w:r>
      <w:r>
        <w:t xml:space="preserve"> for $72.8 million (81 per cent) of total ODA. </w:t>
      </w:r>
    </w:p>
    <w:p w14:paraId="1DFC8629" w14:textId="77777777" w:rsidR="00A34400" w:rsidRDefault="00A34400" w:rsidP="00A34400">
      <w:pPr>
        <w:pStyle w:val="BodyA"/>
      </w:pPr>
      <w:bookmarkStart w:id="0" w:name="_GoBack"/>
      <w:bookmarkEnd w:id="0"/>
    </w:p>
    <w:p w14:paraId="4B89B79A" w14:textId="2D40C3F7" w:rsidR="00A34400" w:rsidRDefault="00A34400" w:rsidP="00A34400">
      <w:pPr>
        <w:pStyle w:val="BodyA"/>
        <w:rPr>
          <w:rStyle w:val="None"/>
          <w:b/>
          <w:bCs/>
          <w:sz w:val="24"/>
          <w:szCs w:val="24"/>
        </w:rPr>
      </w:pPr>
      <w:r>
        <w:rPr>
          <w:rStyle w:val="None"/>
          <w:b/>
          <w:bCs/>
          <w:sz w:val="24"/>
          <w:szCs w:val="24"/>
        </w:rPr>
        <w:t xml:space="preserve">Table 1 </w:t>
      </w:r>
      <w:r w:rsidR="00E04F2A">
        <w:rPr>
          <w:rStyle w:val="None"/>
          <w:b/>
          <w:bCs/>
          <w:sz w:val="24"/>
          <w:szCs w:val="24"/>
        </w:rPr>
        <w:t>Total ODA Expenditure in FY 2017-18</w:t>
      </w:r>
    </w:p>
    <w:tbl>
      <w:tblPr>
        <w:tblW w:w="95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6475"/>
        <w:gridCol w:w="1445"/>
        <w:gridCol w:w="1584"/>
      </w:tblGrid>
      <w:tr w:rsidR="00A34400" w14:paraId="4AFA66CA" w14:textId="77777777" w:rsidTr="00E860DB">
        <w:trPr>
          <w:trHeight w:val="295"/>
        </w:trPr>
        <w:tc>
          <w:tcPr>
            <w:tcW w:w="6475" w:type="dxa"/>
            <w:tcBorders>
              <w:top w:val="single" w:sz="12" w:space="0" w:color="000000"/>
              <w:left w:val="nil"/>
              <w:bottom w:val="nil"/>
              <w:right w:val="nil"/>
            </w:tcBorders>
            <w:shd w:val="clear" w:color="auto" w:fill="auto"/>
            <w:tcMar>
              <w:top w:w="80" w:type="dxa"/>
              <w:left w:w="80" w:type="dxa"/>
              <w:bottom w:w="80" w:type="dxa"/>
              <w:right w:w="80" w:type="dxa"/>
            </w:tcMar>
          </w:tcPr>
          <w:p w14:paraId="7D557179" w14:textId="77777777" w:rsidR="00A34400" w:rsidRDefault="00A34400" w:rsidP="003C61D9">
            <w:pPr>
              <w:pStyle w:val="BodyA"/>
            </w:pPr>
            <w:r>
              <w:rPr>
                <w:rStyle w:val="None"/>
                <w:sz w:val="20"/>
                <w:szCs w:val="20"/>
              </w:rPr>
              <w:t>Objective</w:t>
            </w:r>
          </w:p>
        </w:tc>
        <w:tc>
          <w:tcPr>
            <w:tcW w:w="1445" w:type="dxa"/>
            <w:tcBorders>
              <w:top w:val="single" w:sz="12" w:space="0" w:color="000000"/>
              <w:left w:val="nil"/>
              <w:bottom w:val="nil"/>
              <w:right w:val="nil"/>
            </w:tcBorders>
            <w:shd w:val="clear" w:color="auto" w:fill="auto"/>
            <w:tcMar>
              <w:top w:w="80" w:type="dxa"/>
              <w:left w:w="80" w:type="dxa"/>
              <w:bottom w:w="80" w:type="dxa"/>
              <w:right w:w="80" w:type="dxa"/>
            </w:tcMar>
          </w:tcPr>
          <w:p w14:paraId="51EF29B0" w14:textId="77777777" w:rsidR="00A34400" w:rsidRDefault="00A34400" w:rsidP="003C61D9">
            <w:pPr>
              <w:pStyle w:val="BodyA"/>
              <w:jc w:val="center"/>
            </w:pPr>
            <w:r>
              <w:rPr>
                <w:rStyle w:val="None"/>
                <w:sz w:val="20"/>
                <w:szCs w:val="20"/>
              </w:rPr>
              <w:t>A$ million</w:t>
            </w:r>
          </w:p>
        </w:tc>
        <w:tc>
          <w:tcPr>
            <w:tcW w:w="1584" w:type="dxa"/>
            <w:tcBorders>
              <w:top w:val="single" w:sz="12" w:space="0" w:color="000000"/>
              <w:left w:val="nil"/>
              <w:bottom w:val="nil"/>
              <w:right w:val="nil"/>
            </w:tcBorders>
            <w:shd w:val="clear" w:color="auto" w:fill="auto"/>
            <w:tcMar>
              <w:top w:w="80" w:type="dxa"/>
              <w:left w:w="80" w:type="dxa"/>
              <w:bottom w:w="80" w:type="dxa"/>
              <w:right w:w="80" w:type="dxa"/>
            </w:tcMar>
          </w:tcPr>
          <w:p w14:paraId="5F1F3328" w14:textId="77777777" w:rsidR="00A34400" w:rsidRDefault="00A34400" w:rsidP="003C61D9">
            <w:pPr>
              <w:pStyle w:val="BodyA"/>
              <w:jc w:val="center"/>
            </w:pPr>
            <w:r>
              <w:rPr>
                <w:rStyle w:val="None"/>
                <w:sz w:val="20"/>
                <w:szCs w:val="20"/>
              </w:rPr>
              <w:t>% of total ODA</w:t>
            </w:r>
          </w:p>
        </w:tc>
      </w:tr>
      <w:tr w:rsidR="00A34400" w14:paraId="26AEC4CB" w14:textId="77777777" w:rsidTr="00E860DB">
        <w:trPr>
          <w:trHeight w:val="310"/>
        </w:trPr>
        <w:tc>
          <w:tcPr>
            <w:tcW w:w="6475" w:type="dxa"/>
            <w:tcBorders>
              <w:top w:val="nil"/>
              <w:left w:val="nil"/>
              <w:bottom w:val="nil"/>
              <w:right w:val="nil"/>
            </w:tcBorders>
            <w:shd w:val="clear" w:color="auto" w:fill="auto"/>
            <w:tcMar>
              <w:top w:w="80" w:type="dxa"/>
              <w:left w:w="80" w:type="dxa"/>
              <w:bottom w:w="80" w:type="dxa"/>
              <w:right w:w="80" w:type="dxa"/>
            </w:tcMar>
          </w:tcPr>
          <w:p w14:paraId="03462462" w14:textId="46FFE646" w:rsidR="00A34400" w:rsidRDefault="00A34400" w:rsidP="003C61D9">
            <w:pPr>
              <w:pStyle w:val="BodyA"/>
            </w:pPr>
            <w:r>
              <w:rPr>
                <w:b/>
                <w:bCs/>
                <w:sz w:val="20"/>
                <w:szCs w:val="20"/>
              </w:rPr>
              <w:t xml:space="preserve">Bilateral </w:t>
            </w:r>
            <w:r w:rsidR="00E860DB" w:rsidRPr="00E860DB">
              <w:rPr>
                <w:b/>
                <w:bCs/>
                <w:sz w:val="20"/>
                <w:szCs w:val="20"/>
                <w:vertAlign w:val="superscript"/>
              </w:rPr>
              <w:t>1</w:t>
            </w:r>
          </w:p>
        </w:tc>
        <w:tc>
          <w:tcPr>
            <w:tcW w:w="1445" w:type="dxa"/>
            <w:tcBorders>
              <w:top w:val="nil"/>
              <w:left w:val="nil"/>
              <w:bottom w:val="nil"/>
              <w:right w:val="nil"/>
            </w:tcBorders>
            <w:shd w:val="clear" w:color="auto" w:fill="auto"/>
            <w:tcMar>
              <w:top w:w="80" w:type="dxa"/>
              <w:left w:w="80" w:type="dxa"/>
              <w:bottom w:w="80" w:type="dxa"/>
              <w:right w:w="80" w:type="dxa"/>
            </w:tcMar>
          </w:tcPr>
          <w:p w14:paraId="34EE84A4" w14:textId="77777777" w:rsidR="00A34400" w:rsidRDefault="00A34400" w:rsidP="003C61D9"/>
        </w:tc>
        <w:tc>
          <w:tcPr>
            <w:tcW w:w="1584" w:type="dxa"/>
            <w:tcBorders>
              <w:top w:val="nil"/>
              <w:left w:val="nil"/>
              <w:bottom w:val="nil"/>
              <w:right w:val="nil"/>
            </w:tcBorders>
            <w:shd w:val="clear" w:color="auto" w:fill="auto"/>
            <w:tcMar>
              <w:top w:w="80" w:type="dxa"/>
              <w:left w:w="80" w:type="dxa"/>
              <w:bottom w:w="80" w:type="dxa"/>
              <w:right w:w="80" w:type="dxa"/>
            </w:tcMar>
          </w:tcPr>
          <w:p w14:paraId="3D635488" w14:textId="77777777" w:rsidR="00A34400" w:rsidRDefault="00A34400" w:rsidP="003C61D9"/>
        </w:tc>
      </w:tr>
      <w:tr w:rsidR="00A34400" w14:paraId="5DCF0B70" w14:textId="77777777" w:rsidTr="00E860DB">
        <w:trPr>
          <w:trHeight w:val="500"/>
        </w:trPr>
        <w:tc>
          <w:tcPr>
            <w:tcW w:w="6475" w:type="dxa"/>
            <w:tcBorders>
              <w:top w:val="nil"/>
              <w:left w:val="nil"/>
              <w:bottom w:val="nil"/>
              <w:right w:val="nil"/>
            </w:tcBorders>
            <w:shd w:val="clear" w:color="auto" w:fill="auto"/>
            <w:tcMar>
              <w:top w:w="80" w:type="dxa"/>
              <w:left w:w="80" w:type="dxa"/>
              <w:bottom w:w="80" w:type="dxa"/>
              <w:right w:w="80" w:type="dxa"/>
            </w:tcMar>
          </w:tcPr>
          <w:p w14:paraId="19C05BFE" w14:textId="77777777" w:rsidR="00A34400" w:rsidRDefault="00A34400" w:rsidP="003C61D9">
            <w:pPr>
              <w:pStyle w:val="BodyA"/>
            </w:pPr>
            <w:r>
              <w:rPr>
                <w:rStyle w:val="None"/>
                <w:sz w:val="20"/>
                <w:szCs w:val="20"/>
              </w:rPr>
              <w:t>Objective 1: Improving education access, equity, efficiency  and learning outcomes</w:t>
            </w:r>
          </w:p>
        </w:tc>
        <w:tc>
          <w:tcPr>
            <w:tcW w:w="1445" w:type="dxa"/>
            <w:tcBorders>
              <w:top w:val="nil"/>
              <w:left w:val="nil"/>
              <w:bottom w:val="nil"/>
              <w:right w:val="nil"/>
            </w:tcBorders>
            <w:shd w:val="clear" w:color="auto" w:fill="auto"/>
            <w:tcMar>
              <w:top w:w="80" w:type="dxa"/>
              <w:left w:w="80" w:type="dxa"/>
              <w:bottom w:w="80" w:type="dxa"/>
              <w:right w:w="80" w:type="dxa"/>
            </w:tcMar>
          </w:tcPr>
          <w:p w14:paraId="0395D440" w14:textId="77777777" w:rsidR="00A34400" w:rsidRPr="00AA44E7" w:rsidRDefault="00A34400" w:rsidP="003C61D9">
            <w:pPr>
              <w:pStyle w:val="BodyA"/>
              <w:jc w:val="center"/>
              <w:rPr>
                <w:rStyle w:val="None"/>
                <w:sz w:val="20"/>
                <w:szCs w:val="20"/>
              </w:rPr>
            </w:pPr>
            <w:r>
              <w:rPr>
                <w:rStyle w:val="None"/>
                <w:sz w:val="20"/>
                <w:szCs w:val="20"/>
              </w:rPr>
              <w:t>12.4</w:t>
            </w:r>
          </w:p>
        </w:tc>
        <w:tc>
          <w:tcPr>
            <w:tcW w:w="1584" w:type="dxa"/>
            <w:tcBorders>
              <w:top w:val="nil"/>
              <w:left w:val="nil"/>
              <w:bottom w:val="nil"/>
              <w:right w:val="nil"/>
            </w:tcBorders>
            <w:shd w:val="clear" w:color="auto" w:fill="auto"/>
            <w:tcMar>
              <w:top w:w="80" w:type="dxa"/>
              <w:left w:w="80" w:type="dxa"/>
              <w:bottom w:w="80" w:type="dxa"/>
              <w:right w:w="80" w:type="dxa"/>
            </w:tcMar>
          </w:tcPr>
          <w:p w14:paraId="25FC5ED6" w14:textId="77777777" w:rsidR="00A34400" w:rsidRPr="00AA44E7" w:rsidRDefault="00A34400" w:rsidP="003C61D9">
            <w:pPr>
              <w:pStyle w:val="BodyA"/>
              <w:jc w:val="center"/>
              <w:rPr>
                <w:rStyle w:val="None"/>
                <w:sz w:val="20"/>
                <w:szCs w:val="20"/>
              </w:rPr>
            </w:pPr>
            <w:r>
              <w:rPr>
                <w:rStyle w:val="None"/>
                <w:sz w:val="20"/>
                <w:szCs w:val="20"/>
              </w:rPr>
              <w:t>13.8</w:t>
            </w:r>
          </w:p>
        </w:tc>
      </w:tr>
      <w:tr w:rsidR="00A34400" w14:paraId="5C127FF4" w14:textId="77777777" w:rsidTr="00E860DB">
        <w:trPr>
          <w:trHeight w:val="540"/>
        </w:trPr>
        <w:tc>
          <w:tcPr>
            <w:tcW w:w="6475" w:type="dxa"/>
            <w:tcBorders>
              <w:top w:val="nil"/>
              <w:left w:val="nil"/>
              <w:bottom w:val="nil"/>
              <w:right w:val="nil"/>
            </w:tcBorders>
            <w:shd w:val="clear" w:color="auto" w:fill="auto"/>
            <w:tcMar>
              <w:top w:w="80" w:type="dxa"/>
              <w:left w:w="80" w:type="dxa"/>
              <w:bottom w:w="80" w:type="dxa"/>
              <w:right w:w="80" w:type="dxa"/>
            </w:tcMar>
          </w:tcPr>
          <w:p w14:paraId="6AF69D67" w14:textId="77777777" w:rsidR="00A34400" w:rsidRDefault="00A34400" w:rsidP="003C61D9">
            <w:pPr>
              <w:suppressAutoHyphens/>
              <w:spacing w:before="120" w:after="60" w:line="230" w:lineRule="atLeast"/>
            </w:pPr>
            <w:r>
              <w:rPr>
                <w:rFonts w:ascii="Calibri Light" w:eastAsia="Calibri Light" w:hAnsi="Calibri Light" w:cs="Calibri Light"/>
                <w:color w:val="495965"/>
                <w:sz w:val="22"/>
                <w:szCs w:val="22"/>
                <w:u w:color="495965"/>
              </w:rPr>
              <w:t>Objective 2: Building resilience by reducing vulnerability and improving inclusion in the growing economy</w:t>
            </w:r>
          </w:p>
        </w:tc>
        <w:tc>
          <w:tcPr>
            <w:tcW w:w="1445" w:type="dxa"/>
            <w:tcBorders>
              <w:top w:val="nil"/>
              <w:left w:val="nil"/>
              <w:bottom w:val="nil"/>
              <w:right w:val="nil"/>
            </w:tcBorders>
            <w:shd w:val="clear" w:color="auto" w:fill="auto"/>
            <w:tcMar>
              <w:top w:w="80" w:type="dxa"/>
              <w:left w:w="80" w:type="dxa"/>
              <w:bottom w:w="80" w:type="dxa"/>
              <w:right w:w="80" w:type="dxa"/>
            </w:tcMar>
          </w:tcPr>
          <w:p w14:paraId="120170D5" w14:textId="77777777" w:rsidR="00A34400" w:rsidRPr="00AA44E7" w:rsidRDefault="00A34400" w:rsidP="003C61D9">
            <w:pPr>
              <w:pStyle w:val="BodyA"/>
              <w:jc w:val="center"/>
              <w:rPr>
                <w:rStyle w:val="None"/>
                <w:sz w:val="20"/>
                <w:szCs w:val="20"/>
              </w:rPr>
            </w:pPr>
            <w:r>
              <w:rPr>
                <w:rStyle w:val="None"/>
                <w:sz w:val="20"/>
                <w:szCs w:val="20"/>
              </w:rPr>
              <w:t>49.4</w:t>
            </w:r>
          </w:p>
        </w:tc>
        <w:tc>
          <w:tcPr>
            <w:tcW w:w="1584" w:type="dxa"/>
            <w:tcBorders>
              <w:top w:val="nil"/>
              <w:left w:val="nil"/>
              <w:bottom w:val="nil"/>
              <w:right w:val="nil"/>
            </w:tcBorders>
            <w:shd w:val="clear" w:color="auto" w:fill="auto"/>
            <w:tcMar>
              <w:top w:w="80" w:type="dxa"/>
              <w:left w:w="80" w:type="dxa"/>
              <w:bottom w:w="80" w:type="dxa"/>
              <w:right w:w="80" w:type="dxa"/>
            </w:tcMar>
          </w:tcPr>
          <w:p w14:paraId="5C524AF5" w14:textId="77777777" w:rsidR="00A34400" w:rsidRPr="00AA44E7" w:rsidRDefault="00A34400" w:rsidP="003C61D9">
            <w:pPr>
              <w:pStyle w:val="BodyA"/>
              <w:jc w:val="center"/>
              <w:rPr>
                <w:rStyle w:val="None"/>
                <w:sz w:val="20"/>
                <w:szCs w:val="20"/>
              </w:rPr>
            </w:pPr>
            <w:r>
              <w:rPr>
                <w:rStyle w:val="None"/>
                <w:sz w:val="20"/>
                <w:szCs w:val="20"/>
              </w:rPr>
              <w:t>54.9</w:t>
            </w:r>
          </w:p>
        </w:tc>
      </w:tr>
      <w:tr w:rsidR="00A34400" w14:paraId="468C329E" w14:textId="77777777" w:rsidTr="00E860DB">
        <w:trPr>
          <w:trHeight w:val="500"/>
        </w:trPr>
        <w:tc>
          <w:tcPr>
            <w:tcW w:w="6475" w:type="dxa"/>
            <w:tcBorders>
              <w:top w:val="nil"/>
              <w:left w:val="nil"/>
              <w:bottom w:val="nil"/>
              <w:right w:val="nil"/>
            </w:tcBorders>
            <w:shd w:val="clear" w:color="auto" w:fill="auto"/>
            <w:tcMar>
              <w:top w:w="80" w:type="dxa"/>
              <w:left w:w="80" w:type="dxa"/>
              <w:bottom w:w="80" w:type="dxa"/>
              <w:right w:w="80" w:type="dxa"/>
            </w:tcMar>
          </w:tcPr>
          <w:p w14:paraId="4CC3A382" w14:textId="77777777" w:rsidR="00A34400" w:rsidRDefault="00A34400" w:rsidP="003C61D9">
            <w:pPr>
              <w:pStyle w:val="BodyA"/>
            </w:pPr>
            <w:r>
              <w:rPr>
                <w:rStyle w:val="None"/>
                <w:sz w:val="20"/>
                <w:szCs w:val="20"/>
              </w:rPr>
              <w:t xml:space="preserve">Other: Australia Awards, Gender Equality Fund, The Asia Foundation, and Post Management </w:t>
            </w:r>
          </w:p>
        </w:tc>
        <w:tc>
          <w:tcPr>
            <w:tcW w:w="1445" w:type="dxa"/>
            <w:tcBorders>
              <w:top w:val="nil"/>
              <w:left w:val="nil"/>
              <w:bottom w:val="nil"/>
              <w:right w:val="nil"/>
            </w:tcBorders>
            <w:shd w:val="clear" w:color="auto" w:fill="auto"/>
            <w:tcMar>
              <w:top w:w="80" w:type="dxa"/>
              <w:left w:w="80" w:type="dxa"/>
              <w:bottom w:w="80" w:type="dxa"/>
              <w:right w:w="80" w:type="dxa"/>
            </w:tcMar>
          </w:tcPr>
          <w:p w14:paraId="08649356" w14:textId="77777777" w:rsidR="00A34400" w:rsidRPr="00AA44E7" w:rsidRDefault="00A34400" w:rsidP="003C61D9">
            <w:pPr>
              <w:pStyle w:val="BodyA"/>
              <w:jc w:val="center"/>
              <w:rPr>
                <w:rStyle w:val="None"/>
                <w:sz w:val="20"/>
                <w:szCs w:val="20"/>
              </w:rPr>
            </w:pPr>
            <w:r>
              <w:rPr>
                <w:rStyle w:val="None"/>
                <w:sz w:val="20"/>
                <w:szCs w:val="20"/>
              </w:rPr>
              <w:t>11.0</w:t>
            </w:r>
          </w:p>
        </w:tc>
        <w:tc>
          <w:tcPr>
            <w:tcW w:w="1584" w:type="dxa"/>
            <w:tcBorders>
              <w:top w:val="nil"/>
              <w:left w:val="nil"/>
              <w:bottom w:val="nil"/>
              <w:right w:val="nil"/>
            </w:tcBorders>
            <w:shd w:val="clear" w:color="auto" w:fill="auto"/>
            <w:tcMar>
              <w:top w:w="80" w:type="dxa"/>
              <w:left w:w="80" w:type="dxa"/>
              <w:bottom w:w="80" w:type="dxa"/>
              <w:right w:w="80" w:type="dxa"/>
            </w:tcMar>
          </w:tcPr>
          <w:p w14:paraId="15750D4E" w14:textId="77777777" w:rsidR="00A34400" w:rsidRPr="00AA44E7" w:rsidRDefault="00A34400" w:rsidP="003C61D9">
            <w:pPr>
              <w:pStyle w:val="BodyA"/>
              <w:jc w:val="center"/>
              <w:rPr>
                <w:rStyle w:val="None"/>
                <w:sz w:val="20"/>
                <w:szCs w:val="20"/>
              </w:rPr>
            </w:pPr>
            <w:r>
              <w:rPr>
                <w:rStyle w:val="None"/>
                <w:sz w:val="20"/>
                <w:szCs w:val="20"/>
              </w:rPr>
              <w:t>12.3</w:t>
            </w:r>
          </w:p>
        </w:tc>
      </w:tr>
      <w:tr w:rsidR="00A34400" w14:paraId="232454E4" w14:textId="77777777" w:rsidTr="00E860DB">
        <w:trPr>
          <w:trHeight w:val="310"/>
        </w:trPr>
        <w:tc>
          <w:tcPr>
            <w:tcW w:w="6475" w:type="dxa"/>
            <w:tcBorders>
              <w:top w:val="nil"/>
              <w:left w:val="nil"/>
              <w:bottom w:val="nil"/>
              <w:right w:val="nil"/>
            </w:tcBorders>
            <w:shd w:val="clear" w:color="auto" w:fill="auto"/>
            <w:tcMar>
              <w:top w:w="80" w:type="dxa"/>
              <w:left w:w="80" w:type="dxa"/>
              <w:bottom w:w="80" w:type="dxa"/>
              <w:right w:w="80" w:type="dxa"/>
            </w:tcMar>
          </w:tcPr>
          <w:p w14:paraId="0B7EA39B" w14:textId="77777777" w:rsidR="00A34400" w:rsidRPr="00946729" w:rsidRDefault="00A34400" w:rsidP="003C61D9">
            <w:pPr>
              <w:pStyle w:val="BodyA"/>
              <w:rPr>
                <w:b/>
              </w:rPr>
            </w:pPr>
            <w:r w:rsidRPr="00946729">
              <w:rPr>
                <w:rStyle w:val="None"/>
                <w:b/>
                <w:bCs/>
                <w:sz w:val="20"/>
                <w:szCs w:val="20"/>
              </w:rPr>
              <w:t>Sub-Total Bilateral</w:t>
            </w:r>
          </w:p>
        </w:tc>
        <w:tc>
          <w:tcPr>
            <w:tcW w:w="1445" w:type="dxa"/>
            <w:tcBorders>
              <w:top w:val="nil"/>
              <w:left w:val="nil"/>
              <w:bottom w:val="nil"/>
              <w:right w:val="nil"/>
            </w:tcBorders>
            <w:shd w:val="clear" w:color="auto" w:fill="auto"/>
            <w:tcMar>
              <w:top w:w="80" w:type="dxa"/>
              <w:left w:w="80" w:type="dxa"/>
              <w:bottom w:w="80" w:type="dxa"/>
              <w:right w:w="80" w:type="dxa"/>
            </w:tcMar>
          </w:tcPr>
          <w:p w14:paraId="14571A5F" w14:textId="77777777" w:rsidR="00A34400" w:rsidRPr="00946729" w:rsidRDefault="00A34400" w:rsidP="003C61D9">
            <w:pPr>
              <w:pStyle w:val="BodyA"/>
              <w:jc w:val="center"/>
              <w:rPr>
                <w:rStyle w:val="None"/>
                <w:b/>
                <w:sz w:val="20"/>
                <w:szCs w:val="20"/>
              </w:rPr>
            </w:pPr>
            <w:r w:rsidRPr="00946729">
              <w:rPr>
                <w:rStyle w:val="None"/>
                <w:b/>
                <w:sz w:val="20"/>
                <w:szCs w:val="20"/>
              </w:rPr>
              <w:t>72.8</w:t>
            </w:r>
          </w:p>
        </w:tc>
        <w:tc>
          <w:tcPr>
            <w:tcW w:w="1584" w:type="dxa"/>
            <w:tcBorders>
              <w:top w:val="nil"/>
              <w:left w:val="nil"/>
              <w:bottom w:val="nil"/>
              <w:right w:val="nil"/>
            </w:tcBorders>
            <w:shd w:val="clear" w:color="auto" w:fill="auto"/>
            <w:tcMar>
              <w:top w:w="80" w:type="dxa"/>
              <w:left w:w="80" w:type="dxa"/>
              <w:bottom w:w="80" w:type="dxa"/>
              <w:right w:w="80" w:type="dxa"/>
            </w:tcMar>
          </w:tcPr>
          <w:p w14:paraId="6C9B76AA" w14:textId="77777777" w:rsidR="00A34400" w:rsidRPr="00946729" w:rsidRDefault="00A34400" w:rsidP="003C61D9">
            <w:pPr>
              <w:pStyle w:val="BodyA"/>
              <w:jc w:val="center"/>
              <w:rPr>
                <w:rStyle w:val="None"/>
                <w:b/>
                <w:sz w:val="20"/>
                <w:szCs w:val="20"/>
              </w:rPr>
            </w:pPr>
            <w:r>
              <w:rPr>
                <w:rStyle w:val="None"/>
                <w:b/>
                <w:sz w:val="20"/>
                <w:szCs w:val="20"/>
              </w:rPr>
              <w:t>81.0</w:t>
            </w:r>
          </w:p>
        </w:tc>
      </w:tr>
      <w:tr w:rsidR="00A34400" w14:paraId="70FA3ACF" w14:textId="77777777" w:rsidTr="00E860DB">
        <w:trPr>
          <w:trHeight w:val="310"/>
        </w:trPr>
        <w:tc>
          <w:tcPr>
            <w:tcW w:w="6475" w:type="dxa"/>
            <w:tcBorders>
              <w:top w:val="nil"/>
              <w:left w:val="nil"/>
              <w:bottom w:val="nil"/>
              <w:right w:val="nil"/>
            </w:tcBorders>
            <w:shd w:val="clear" w:color="auto" w:fill="auto"/>
            <w:tcMar>
              <w:top w:w="80" w:type="dxa"/>
              <w:left w:w="80" w:type="dxa"/>
              <w:bottom w:w="80" w:type="dxa"/>
              <w:right w:w="80" w:type="dxa"/>
            </w:tcMar>
          </w:tcPr>
          <w:p w14:paraId="43D96F7E" w14:textId="77777777" w:rsidR="00A34400" w:rsidRDefault="00A34400" w:rsidP="003C61D9">
            <w:pPr>
              <w:pStyle w:val="BodyA"/>
            </w:pPr>
            <w:r>
              <w:rPr>
                <w:rStyle w:val="None"/>
                <w:b/>
                <w:bCs/>
                <w:sz w:val="20"/>
                <w:szCs w:val="20"/>
              </w:rPr>
              <w:t>Regional and Global</w:t>
            </w:r>
          </w:p>
        </w:tc>
        <w:tc>
          <w:tcPr>
            <w:tcW w:w="1445" w:type="dxa"/>
            <w:tcBorders>
              <w:top w:val="nil"/>
              <w:left w:val="nil"/>
              <w:bottom w:val="nil"/>
              <w:right w:val="nil"/>
            </w:tcBorders>
            <w:shd w:val="clear" w:color="auto" w:fill="auto"/>
            <w:tcMar>
              <w:top w:w="80" w:type="dxa"/>
              <w:left w:w="80" w:type="dxa"/>
              <w:bottom w:w="80" w:type="dxa"/>
              <w:right w:w="80" w:type="dxa"/>
            </w:tcMar>
          </w:tcPr>
          <w:p w14:paraId="07970540" w14:textId="77777777" w:rsidR="00A34400" w:rsidRPr="00AA44E7" w:rsidRDefault="00A34400" w:rsidP="003C61D9">
            <w:pPr>
              <w:pStyle w:val="BodyA"/>
              <w:jc w:val="center"/>
              <w:rPr>
                <w:rStyle w:val="None"/>
                <w:sz w:val="20"/>
                <w:szCs w:val="20"/>
              </w:rPr>
            </w:pPr>
            <w:r>
              <w:rPr>
                <w:rStyle w:val="None"/>
                <w:sz w:val="20"/>
                <w:szCs w:val="20"/>
              </w:rPr>
              <w:t>14.7</w:t>
            </w:r>
          </w:p>
        </w:tc>
        <w:tc>
          <w:tcPr>
            <w:tcW w:w="1584" w:type="dxa"/>
            <w:tcBorders>
              <w:top w:val="nil"/>
              <w:left w:val="nil"/>
              <w:bottom w:val="nil"/>
              <w:right w:val="nil"/>
            </w:tcBorders>
            <w:shd w:val="clear" w:color="auto" w:fill="auto"/>
            <w:tcMar>
              <w:top w:w="80" w:type="dxa"/>
              <w:left w:w="80" w:type="dxa"/>
              <w:bottom w:w="80" w:type="dxa"/>
              <w:right w:w="80" w:type="dxa"/>
            </w:tcMar>
          </w:tcPr>
          <w:p w14:paraId="47B11EDF" w14:textId="77777777" w:rsidR="00A34400" w:rsidRPr="00AA44E7" w:rsidRDefault="00A34400" w:rsidP="003C61D9">
            <w:pPr>
              <w:pStyle w:val="BodyA"/>
              <w:jc w:val="center"/>
              <w:rPr>
                <w:rStyle w:val="None"/>
                <w:sz w:val="20"/>
                <w:szCs w:val="20"/>
              </w:rPr>
            </w:pPr>
            <w:r>
              <w:rPr>
                <w:rStyle w:val="None"/>
                <w:sz w:val="20"/>
                <w:szCs w:val="20"/>
              </w:rPr>
              <w:t>16.3</w:t>
            </w:r>
          </w:p>
        </w:tc>
      </w:tr>
      <w:tr w:rsidR="00A34400" w14:paraId="2E289C2A" w14:textId="77777777" w:rsidTr="00E860DB">
        <w:trPr>
          <w:trHeight w:val="310"/>
        </w:trPr>
        <w:tc>
          <w:tcPr>
            <w:tcW w:w="6475" w:type="dxa"/>
            <w:tcBorders>
              <w:top w:val="nil"/>
              <w:left w:val="nil"/>
              <w:bottom w:val="nil"/>
              <w:right w:val="nil"/>
            </w:tcBorders>
            <w:shd w:val="clear" w:color="auto" w:fill="auto"/>
            <w:tcMar>
              <w:top w:w="80" w:type="dxa"/>
              <w:left w:w="80" w:type="dxa"/>
              <w:bottom w:w="80" w:type="dxa"/>
              <w:right w:w="80" w:type="dxa"/>
            </w:tcMar>
          </w:tcPr>
          <w:p w14:paraId="4AAF0352" w14:textId="77777777" w:rsidR="00A34400" w:rsidRDefault="00A34400" w:rsidP="003C61D9">
            <w:pPr>
              <w:pStyle w:val="BodyA"/>
            </w:pPr>
            <w:r>
              <w:rPr>
                <w:rStyle w:val="None"/>
                <w:b/>
                <w:bCs/>
                <w:sz w:val="20"/>
                <w:szCs w:val="20"/>
              </w:rPr>
              <w:t>Other Government Departments</w:t>
            </w:r>
          </w:p>
        </w:tc>
        <w:tc>
          <w:tcPr>
            <w:tcW w:w="1445" w:type="dxa"/>
            <w:tcBorders>
              <w:top w:val="nil"/>
              <w:left w:val="nil"/>
              <w:bottom w:val="nil"/>
              <w:right w:val="nil"/>
            </w:tcBorders>
            <w:shd w:val="clear" w:color="auto" w:fill="auto"/>
            <w:tcMar>
              <w:top w:w="80" w:type="dxa"/>
              <w:left w:w="80" w:type="dxa"/>
              <w:bottom w:w="80" w:type="dxa"/>
              <w:right w:w="80" w:type="dxa"/>
            </w:tcMar>
          </w:tcPr>
          <w:p w14:paraId="371F3ED3" w14:textId="77777777" w:rsidR="00A34400" w:rsidRPr="00AA44E7" w:rsidRDefault="00A34400" w:rsidP="003C61D9">
            <w:pPr>
              <w:pStyle w:val="BodyA"/>
              <w:jc w:val="center"/>
              <w:rPr>
                <w:rStyle w:val="None"/>
                <w:sz w:val="20"/>
                <w:szCs w:val="20"/>
              </w:rPr>
            </w:pPr>
            <w:r>
              <w:rPr>
                <w:rStyle w:val="None"/>
                <w:sz w:val="20"/>
                <w:szCs w:val="20"/>
              </w:rPr>
              <w:t>2.4</w:t>
            </w:r>
          </w:p>
        </w:tc>
        <w:tc>
          <w:tcPr>
            <w:tcW w:w="1584" w:type="dxa"/>
            <w:tcBorders>
              <w:top w:val="nil"/>
              <w:left w:val="nil"/>
              <w:bottom w:val="nil"/>
              <w:right w:val="nil"/>
            </w:tcBorders>
            <w:shd w:val="clear" w:color="auto" w:fill="auto"/>
            <w:tcMar>
              <w:top w:w="80" w:type="dxa"/>
              <w:left w:w="80" w:type="dxa"/>
              <w:bottom w:w="80" w:type="dxa"/>
              <w:right w:w="80" w:type="dxa"/>
            </w:tcMar>
          </w:tcPr>
          <w:p w14:paraId="44B9FCEB" w14:textId="77777777" w:rsidR="00A34400" w:rsidRPr="00AA44E7" w:rsidRDefault="00A34400" w:rsidP="003C61D9">
            <w:pPr>
              <w:pStyle w:val="BodyA"/>
              <w:jc w:val="center"/>
              <w:rPr>
                <w:rStyle w:val="None"/>
                <w:sz w:val="20"/>
                <w:szCs w:val="20"/>
              </w:rPr>
            </w:pPr>
            <w:r>
              <w:rPr>
                <w:rStyle w:val="None"/>
                <w:sz w:val="20"/>
                <w:szCs w:val="20"/>
              </w:rPr>
              <w:t>2.7</w:t>
            </w:r>
          </w:p>
        </w:tc>
      </w:tr>
      <w:tr w:rsidR="00A34400" w14:paraId="1BB19A9F" w14:textId="77777777" w:rsidTr="00E860DB">
        <w:trPr>
          <w:trHeight w:val="315"/>
        </w:trPr>
        <w:tc>
          <w:tcPr>
            <w:tcW w:w="6475" w:type="dxa"/>
            <w:tcBorders>
              <w:top w:val="nil"/>
              <w:left w:val="nil"/>
              <w:bottom w:val="single" w:sz="12" w:space="0" w:color="000000"/>
              <w:right w:val="nil"/>
            </w:tcBorders>
            <w:shd w:val="clear" w:color="auto" w:fill="auto"/>
            <w:tcMar>
              <w:top w:w="80" w:type="dxa"/>
              <w:left w:w="80" w:type="dxa"/>
              <w:bottom w:w="80" w:type="dxa"/>
              <w:right w:w="80" w:type="dxa"/>
            </w:tcMar>
          </w:tcPr>
          <w:p w14:paraId="66FBB419" w14:textId="77777777" w:rsidR="00A34400" w:rsidRDefault="00A34400" w:rsidP="003C61D9">
            <w:pPr>
              <w:pStyle w:val="BodyA"/>
            </w:pPr>
            <w:r>
              <w:rPr>
                <w:rStyle w:val="None"/>
                <w:b/>
                <w:bCs/>
                <w:sz w:val="20"/>
                <w:szCs w:val="20"/>
              </w:rPr>
              <w:t>Total ODA Expenditure</w:t>
            </w:r>
          </w:p>
        </w:tc>
        <w:tc>
          <w:tcPr>
            <w:tcW w:w="1445" w:type="dxa"/>
            <w:tcBorders>
              <w:top w:val="nil"/>
              <w:left w:val="nil"/>
              <w:bottom w:val="single" w:sz="12" w:space="0" w:color="000000"/>
              <w:right w:val="nil"/>
            </w:tcBorders>
            <w:shd w:val="clear" w:color="auto" w:fill="auto"/>
            <w:tcMar>
              <w:top w:w="80" w:type="dxa"/>
              <w:left w:w="80" w:type="dxa"/>
              <w:bottom w:w="80" w:type="dxa"/>
              <w:right w:w="80" w:type="dxa"/>
            </w:tcMar>
          </w:tcPr>
          <w:p w14:paraId="61390FCD" w14:textId="77777777" w:rsidR="00A34400" w:rsidRPr="00946729" w:rsidRDefault="00A34400" w:rsidP="003C61D9">
            <w:pPr>
              <w:pStyle w:val="BodyA"/>
              <w:jc w:val="center"/>
              <w:rPr>
                <w:rStyle w:val="None"/>
                <w:b/>
                <w:sz w:val="20"/>
                <w:szCs w:val="20"/>
              </w:rPr>
            </w:pPr>
            <w:r w:rsidRPr="00946729">
              <w:rPr>
                <w:rStyle w:val="None"/>
                <w:b/>
                <w:sz w:val="20"/>
                <w:szCs w:val="20"/>
              </w:rPr>
              <w:t>89.9</w:t>
            </w:r>
          </w:p>
        </w:tc>
        <w:tc>
          <w:tcPr>
            <w:tcW w:w="1584" w:type="dxa"/>
            <w:tcBorders>
              <w:top w:val="nil"/>
              <w:left w:val="nil"/>
              <w:bottom w:val="single" w:sz="12" w:space="0" w:color="000000"/>
              <w:right w:val="nil"/>
            </w:tcBorders>
            <w:shd w:val="clear" w:color="auto" w:fill="auto"/>
            <w:tcMar>
              <w:top w:w="80" w:type="dxa"/>
              <w:left w:w="80" w:type="dxa"/>
              <w:bottom w:w="80" w:type="dxa"/>
              <w:right w:w="80" w:type="dxa"/>
            </w:tcMar>
          </w:tcPr>
          <w:p w14:paraId="65201AD0" w14:textId="77777777" w:rsidR="00A34400" w:rsidRPr="00946729" w:rsidRDefault="00A34400" w:rsidP="003C61D9">
            <w:pPr>
              <w:pStyle w:val="BodyA"/>
              <w:jc w:val="center"/>
              <w:rPr>
                <w:rStyle w:val="None"/>
                <w:b/>
                <w:sz w:val="20"/>
                <w:szCs w:val="20"/>
              </w:rPr>
            </w:pPr>
            <w:r w:rsidRPr="00946729">
              <w:rPr>
                <w:rStyle w:val="None"/>
                <w:b/>
                <w:sz w:val="20"/>
                <w:szCs w:val="20"/>
              </w:rPr>
              <w:t>100</w:t>
            </w:r>
          </w:p>
        </w:tc>
      </w:tr>
    </w:tbl>
    <w:p w14:paraId="4398CDC4" w14:textId="77777777" w:rsidR="00E860DB" w:rsidRDefault="00E860DB" w:rsidP="00E860DB">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olor w:val="495965"/>
          <w:sz w:val="22"/>
          <w:szCs w:val="22"/>
          <w:lang w:eastAsia="en-AU"/>
        </w:rPr>
      </w:pPr>
    </w:p>
    <w:p w14:paraId="4570EB12" w14:textId="25D59435" w:rsidR="00E860DB" w:rsidRDefault="00E860DB" w:rsidP="00E860DB">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olor w:val="495965"/>
          <w:sz w:val="22"/>
          <w:szCs w:val="22"/>
          <w:lang w:eastAsia="en-AU"/>
        </w:rPr>
      </w:pPr>
      <w:r>
        <w:rPr>
          <w:rFonts w:ascii="Calibri Light" w:hAnsi="Calibri Light"/>
          <w:color w:val="495965"/>
          <w:sz w:val="22"/>
          <w:szCs w:val="22"/>
          <w:lang w:eastAsia="en-AU"/>
        </w:rPr>
        <w:t xml:space="preserve">Bilateral expenditure in 2017-18 included an additional estimated </w:t>
      </w:r>
      <w:r w:rsidRPr="004E389D">
        <w:rPr>
          <w:rFonts w:ascii="Calibri Light" w:hAnsi="Calibri Light"/>
          <w:color w:val="495965"/>
          <w:sz w:val="22"/>
          <w:szCs w:val="22"/>
          <w:lang w:eastAsia="en-AU"/>
        </w:rPr>
        <w:t xml:space="preserve">$30.7 </w:t>
      </w:r>
      <w:r>
        <w:rPr>
          <w:rFonts w:ascii="Calibri Light" w:hAnsi="Calibri Light"/>
          <w:color w:val="495965"/>
          <w:sz w:val="22"/>
          <w:szCs w:val="22"/>
          <w:lang w:eastAsia="en-AU"/>
        </w:rPr>
        <w:t xml:space="preserve">million allocated to the Bangladesh bilateral program to support Australia’s response to the Rohingya humanitarian crisis, included in Objective 1 and 2 expenditure figures.  An estimated $62.4 million was allocated to the Rohingya crisis response in Bangladesh as part of Australia’s overall $70 million commitment to support the </w:t>
      </w:r>
      <w:r>
        <w:rPr>
          <w:rFonts w:ascii="Calibri Light" w:hAnsi="Calibri Light"/>
          <w:sz w:val="22"/>
          <w:szCs w:val="22"/>
          <w:lang w:eastAsia="en-AU"/>
        </w:rPr>
        <w:t>crisis.</w:t>
      </w:r>
    </w:p>
    <w:p w14:paraId="07857F4F" w14:textId="7E6280FF" w:rsidR="00A34400" w:rsidRPr="005D4884" w:rsidRDefault="004B0DE7" w:rsidP="00A34400">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80" w:lineRule="exact"/>
        <w:rPr>
          <w:rFonts w:ascii="Calibri" w:eastAsia="Times New Roman" w:hAnsi="Calibri"/>
          <w:caps/>
          <w:color w:val="495965"/>
          <w:sz w:val="38"/>
          <w:szCs w:val="26"/>
          <w:bdr w:val="none" w:sz="0" w:space="0" w:color="auto"/>
          <w:lang w:val="en-GB"/>
        </w:rPr>
      </w:pPr>
      <w:r>
        <w:rPr>
          <w:rFonts w:ascii="Calibri" w:eastAsia="Times New Roman" w:hAnsi="Calibri"/>
          <w:caps/>
          <w:color w:val="495965"/>
          <w:sz w:val="38"/>
          <w:szCs w:val="26"/>
          <w:bdr w:val="none" w:sz="0" w:space="0" w:color="auto"/>
          <w:lang w:val="en-GB"/>
        </w:rPr>
        <w:t>Progress towards AIP Objectives</w:t>
      </w:r>
    </w:p>
    <w:p w14:paraId="2771C05C" w14:textId="77777777" w:rsidR="00A34400"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b/>
          <w:color w:val="495965"/>
          <w:szCs w:val="22"/>
          <w:bdr w:val="none" w:sz="0" w:space="0" w:color="auto"/>
          <w:lang w:val="en-GB"/>
        </w:rPr>
      </w:pPr>
    </w:p>
    <w:p w14:paraId="51ED47E9" w14:textId="254779FB" w:rsidR="00A34400" w:rsidRPr="005D4884"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b/>
          <w:color w:val="495965"/>
          <w:szCs w:val="22"/>
          <w:bdr w:val="none" w:sz="0" w:space="0" w:color="auto"/>
          <w:lang w:val="en-GB"/>
        </w:rPr>
      </w:pPr>
      <w:r w:rsidRPr="005D4884">
        <w:rPr>
          <w:rFonts w:ascii="Calibri Light" w:eastAsia="Calibri Light" w:hAnsi="Calibri Light"/>
          <w:b/>
          <w:color w:val="495965"/>
          <w:szCs w:val="22"/>
          <w:bdr w:val="none" w:sz="0" w:space="0" w:color="auto"/>
          <w:lang w:val="en-GB"/>
        </w:rPr>
        <w:t xml:space="preserve">Table </w:t>
      </w:r>
      <w:r w:rsidRPr="005D4884">
        <w:rPr>
          <w:rFonts w:ascii="Calibri Light" w:eastAsia="Calibri Light" w:hAnsi="Calibri Light"/>
          <w:b/>
          <w:color w:val="495965"/>
          <w:szCs w:val="22"/>
          <w:bdr w:val="none" w:sz="0" w:space="0" w:color="auto"/>
          <w:lang w:val="en-GB"/>
        </w:rPr>
        <w:fldChar w:fldCharType="begin"/>
      </w:r>
      <w:r w:rsidRPr="005D4884">
        <w:rPr>
          <w:rFonts w:ascii="Calibri Light" w:eastAsia="Calibri Light" w:hAnsi="Calibri Light"/>
          <w:b/>
          <w:color w:val="495965"/>
          <w:szCs w:val="22"/>
          <w:bdr w:val="none" w:sz="0" w:space="0" w:color="auto"/>
          <w:lang w:val="en-GB"/>
        </w:rPr>
        <w:instrText xml:space="preserve"> SEQ Table \* ARABIC </w:instrText>
      </w:r>
      <w:r w:rsidRPr="005D4884">
        <w:rPr>
          <w:rFonts w:ascii="Calibri Light" w:eastAsia="Calibri Light" w:hAnsi="Calibri Light"/>
          <w:b/>
          <w:color w:val="495965"/>
          <w:szCs w:val="22"/>
          <w:bdr w:val="none" w:sz="0" w:space="0" w:color="auto"/>
          <w:lang w:val="en-GB"/>
        </w:rPr>
        <w:fldChar w:fldCharType="separate"/>
      </w:r>
      <w:r w:rsidR="00F95227">
        <w:rPr>
          <w:rFonts w:ascii="Calibri Light" w:eastAsia="Calibri Light" w:hAnsi="Calibri Light"/>
          <w:b/>
          <w:noProof/>
          <w:color w:val="495965"/>
          <w:szCs w:val="22"/>
          <w:bdr w:val="none" w:sz="0" w:space="0" w:color="auto"/>
          <w:lang w:val="en-GB"/>
        </w:rPr>
        <w:t>1</w:t>
      </w:r>
      <w:r w:rsidRPr="005D4884">
        <w:rPr>
          <w:rFonts w:ascii="Calibri Light" w:eastAsia="Calibri Light" w:hAnsi="Calibri Light"/>
          <w:b/>
          <w:noProof/>
          <w:color w:val="495965"/>
          <w:szCs w:val="22"/>
          <w:bdr w:val="none" w:sz="0" w:space="0" w:color="auto"/>
          <w:lang w:val="en-GB"/>
        </w:rPr>
        <w:fldChar w:fldCharType="end"/>
      </w:r>
      <w:r w:rsidRPr="005D4884">
        <w:rPr>
          <w:rFonts w:ascii="Calibri Light" w:eastAsia="Calibri Light" w:hAnsi="Calibri Light"/>
          <w:b/>
          <w:color w:val="495965"/>
          <w:szCs w:val="22"/>
          <w:bdr w:val="none" w:sz="0" w:space="0" w:color="auto"/>
          <w:lang w:val="en-GB"/>
        </w:rPr>
        <w:t xml:space="preserve"> Rating of the Program's Progress towards Australia’s Aid Objectives</w:t>
      </w:r>
    </w:p>
    <w:tbl>
      <w:tblPr>
        <w:tblStyle w:val="APPR"/>
        <w:tblW w:w="4854" w:type="pct"/>
        <w:tblLook w:val="0000" w:firstRow="0" w:lastRow="0" w:firstColumn="0" w:lastColumn="0" w:noHBand="0" w:noVBand="0"/>
      </w:tblPr>
      <w:tblGrid>
        <w:gridCol w:w="7358"/>
        <w:gridCol w:w="1438"/>
        <w:gridCol w:w="1388"/>
      </w:tblGrid>
      <w:tr w:rsidR="00A34400" w:rsidRPr="005D4884" w14:paraId="649F3BB6" w14:textId="77777777" w:rsidTr="003C61D9">
        <w:trPr>
          <w:cnfStyle w:val="000000010000" w:firstRow="0" w:lastRow="0" w:firstColumn="0" w:lastColumn="0" w:oddVBand="0" w:evenVBand="0" w:oddHBand="0" w:evenHBand="1" w:firstRowFirstColumn="0" w:firstRowLastColumn="0" w:lastRowFirstColumn="0" w:lastRowLastColumn="0"/>
          <w:trHeight w:val="651"/>
        </w:trPr>
        <w:tc>
          <w:tcPr>
            <w:tcW w:w="6711" w:type="dxa"/>
          </w:tcPr>
          <w:p w14:paraId="16ECA238" w14:textId="77777777" w:rsidR="00A34400" w:rsidRPr="005D4884" w:rsidRDefault="00A34400" w:rsidP="003C61D9">
            <w:pPr>
              <w:suppressAutoHyphens/>
              <w:spacing w:before="120" w:after="60" w:line="230" w:lineRule="atLeast"/>
              <w:ind w:left="284"/>
              <w:rPr>
                <w:color w:val="495965"/>
                <w:sz w:val="18"/>
                <w:szCs w:val="22"/>
                <w:lang w:val="en-GB"/>
              </w:rPr>
            </w:pPr>
            <w:r w:rsidRPr="005D4884">
              <w:rPr>
                <w:noProof/>
                <w:color w:val="495965"/>
                <w:sz w:val="18"/>
                <w:szCs w:val="22"/>
                <w:lang w:val="en-AU" w:eastAsia="en-AU"/>
              </w:rPr>
              <w:lastRenderedPageBreak/>
              <w:drawing>
                <wp:anchor distT="0" distB="0" distL="114300" distR="114300" simplePos="0" relativeHeight="251671552" behindDoc="0" locked="0" layoutInCell="1" allowOverlap="1" wp14:anchorId="630B51EF" wp14:editId="4453296C">
                  <wp:simplePos x="0" y="0"/>
                  <wp:positionH relativeFrom="column">
                    <wp:posOffset>0</wp:posOffset>
                  </wp:positionH>
                  <wp:positionV relativeFrom="paragraph">
                    <wp:posOffset>0</wp:posOffset>
                  </wp:positionV>
                  <wp:extent cx="1857375" cy="228600"/>
                  <wp:effectExtent l="0" t="0" r="9525" b="0"/>
                  <wp:wrapNone/>
                  <wp:docPr id="17" name="Picture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884">
              <w:rPr>
                <w:color w:val="495965"/>
                <w:sz w:val="18"/>
                <w:szCs w:val="22"/>
                <w:lang w:val="en-GB"/>
              </w:rPr>
              <w:t>Objective</w:t>
            </w:r>
          </w:p>
        </w:tc>
        <w:tc>
          <w:tcPr>
            <w:tcW w:w="1293" w:type="dxa"/>
          </w:tcPr>
          <w:p w14:paraId="0F17F964" w14:textId="77777777" w:rsidR="00A34400" w:rsidRPr="005D4884" w:rsidRDefault="00A34400" w:rsidP="003C61D9">
            <w:pPr>
              <w:suppressAutoHyphens/>
              <w:spacing w:before="120" w:after="60" w:line="230" w:lineRule="atLeast"/>
              <w:ind w:left="284"/>
              <w:rPr>
                <w:color w:val="495965"/>
                <w:sz w:val="18"/>
                <w:szCs w:val="22"/>
                <w:lang w:val="en-GB"/>
              </w:rPr>
            </w:pPr>
            <w:r w:rsidRPr="005D4884">
              <w:rPr>
                <w:color w:val="495965"/>
                <w:sz w:val="18"/>
                <w:szCs w:val="22"/>
                <w:lang w:val="en-GB"/>
              </w:rPr>
              <w:t>Previous Rating</w:t>
            </w:r>
          </w:p>
        </w:tc>
        <w:tc>
          <w:tcPr>
            <w:tcW w:w="1235" w:type="dxa"/>
          </w:tcPr>
          <w:p w14:paraId="25C729E7" w14:textId="77777777" w:rsidR="00A34400" w:rsidRPr="005D4884" w:rsidRDefault="00A34400" w:rsidP="003C61D9">
            <w:pPr>
              <w:suppressAutoHyphens/>
              <w:spacing w:before="120" w:after="60" w:line="230" w:lineRule="atLeast"/>
              <w:ind w:left="284"/>
              <w:rPr>
                <w:color w:val="495965"/>
                <w:sz w:val="18"/>
                <w:szCs w:val="22"/>
                <w:lang w:val="en-GB"/>
              </w:rPr>
            </w:pPr>
            <w:r w:rsidRPr="005D4884">
              <w:rPr>
                <w:color w:val="495965"/>
                <w:sz w:val="18"/>
                <w:szCs w:val="22"/>
                <w:lang w:val="en-GB"/>
              </w:rPr>
              <w:t>Current Rating</w:t>
            </w:r>
          </w:p>
        </w:tc>
      </w:tr>
      <w:tr w:rsidR="00A34400" w:rsidRPr="005D4884" w14:paraId="22B60ADE" w14:textId="77777777" w:rsidTr="003C61D9">
        <w:trPr>
          <w:cnfStyle w:val="000000010000" w:firstRow="0" w:lastRow="0" w:firstColumn="0" w:lastColumn="0" w:oddVBand="0" w:evenVBand="0" w:oddHBand="0" w:evenHBand="1" w:firstRowFirstColumn="0" w:firstRowLastColumn="0" w:lastRowFirstColumn="0" w:lastRowLastColumn="0"/>
        </w:trPr>
        <w:tc>
          <w:tcPr>
            <w:tcW w:w="6711" w:type="dxa"/>
          </w:tcPr>
          <w:p w14:paraId="4BC2A92E" w14:textId="77777777" w:rsidR="00A34400" w:rsidRPr="005D4884" w:rsidRDefault="00A34400" w:rsidP="003C61D9">
            <w:pPr>
              <w:suppressAutoHyphens/>
              <w:spacing w:before="120" w:after="60" w:line="230" w:lineRule="atLeast"/>
              <w:ind w:left="284"/>
              <w:rPr>
                <w:color w:val="495965"/>
                <w:sz w:val="16"/>
                <w:szCs w:val="22"/>
                <w:lang w:val="en-GB"/>
              </w:rPr>
            </w:pPr>
            <w:r w:rsidRPr="005D4884">
              <w:rPr>
                <w:color w:val="495965"/>
                <w:sz w:val="16"/>
                <w:szCs w:val="22"/>
                <w:lang w:val="en-GB"/>
              </w:rPr>
              <w:t>Objective 1</w:t>
            </w:r>
            <w:r>
              <w:rPr>
                <w:color w:val="495965"/>
                <w:sz w:val="16"/>
                <w:szCs w:val="22"/>
                <w:lang w:val="en-GB"/>
              </w:rPr>
              <w:t>: Improving education access, equity, efficiency and learning outcomes</w:t>
            </w:r>
          </w:p>
        </w:tc>
        <w:tc>
          <w:tcPr>
            <w:tcW w:w="1293" w:type="dxa"/>
            <w:shd w:val="clear" w:color="auto" w:fill="92D050"/>
            <w:noWrap/>
          </w:tcPr>
          <w:p w14:paraId="05E1316A" w14:textId="77777777" w:rsidR="00A34400" w:rsidRPr="005D4884" w:rsidRDefault="00A34400" w:rsidP="003C61D9">
            <w:pPr>
              <w:suppressAutoHyphens/>
              <w:spacing w:before="120" w:after="60" w:line="230" w:lineRule="atLeast"/>
              <w:ind w:left="284"/>
              <w:rPr>
                <w:color w:val="FFFFFF"/>
                <w:sz w:val="16"/>
                <w:szCs w:val="22"/>
                <w:lang w:val="en-GB"/>
              </w:rPr>
            </w:pPr>
            <w:r w:rsidRPr="005D4884">
              <w:rPr>
                <w:color w:val="FFFFFF"/>
                <w:sz w:val="16"/>
                <w:szCs w:val="22"/>
                <w:lang w:val="en-GB"/>
              </w:rPr>
              <w:t>Green</w:t>
            </w:r>
          </w:p>
        </w:tc>
        <w:tc>
          <w:tcPr>
            <w:tcW w:w="1235" w:type="dxa"/>
            <w:shd w:val="clear" w:color="auto" w:fill="92D050"/>
            <w:noWrap/>
          </w:tcPr>
          <w:p w14:paraId="2B3171F9" w14:textId="77777777" w:rsidR="00A34400" w:rsidRDefault="00A34400" w:rsidP="003C61D9">
            <w:pPr>
              <w:suppressAutoHyphens/>
              <w:spacing w:before="120" w:after="60" w:line="230" w:lineRule="atLeast"/>
              <w:ind w:left="284"/>
              <w:rPr>
                <w:color w:val="FFFFFF"/>
                <w:sz w:val="16"/>
                <w:szCs w:val="22"/>
                <w:lang w:val="en-GB"/>
              </w:rPr>
            </w:pPr>
            <w:r w:rsidRPr="00AA44E7">
              <w:rPr>
                <w:color w:val="FFFFFF"/>
                <w:sz w:val="16"/>
                <w:szCs w:val="22"/>
                <w:lang w:val="en-GB"/>
              </w:rPr>
              <w:t xml:space="preserve">Green </w:t>
            </w:r>
          </w:p>
          <w:p w14:paraId="22EE155B" w14:textId="77777777" w:rsidR="00A34400" w:rsidRPr="005D4884" w:rsidRDefault="00A34400" w:rsidP="003C61D9">
            <w:pPr>
              <w:suppressAutoHyphens/>
              <w:spacing w:before="120" w:after="60" w:line="230" w:lineRule="atLeast"/>
              <w:ind w:left="284"/>
              <w:rPr>
                <w:color w:val="FFFFFF"/>
                <w:sz w:val="16"/>
                <w:szCs w:val="22"/>
                <w:lang w:val="en-GB"/>
              </w:rPr>
            </w:pPr>
          </w:p>
        </w:tc>
      </w:tr>
      <w:tr w:rsidR="00A34400" w:rsidRPr="005D4884" w14:paraId="693491E5" w14:textId="77777777" w:rsidTr="003C61D9">
        <w:trPr>
          <w:cnfStyle w:val="000000010000" w:firstRow="0" w:lastRow="0" w:firstColumn="0" w:lastColumn="0" w:oddVBand="0" w:evenVBand="0" w:oddHBand="0" w:evenHBand="1" w:firstRowFirstColumn="0" w:firstRowLastColumn="0" w:lastRowFirstColumn="0" w:lastRowLastColumn="0"/>
        </w:trPr>
        <w:tc>
          <w:tcPr>
            <w:tcW w:w="6711" w:type="dxa"/>
          </w:tcPr>
          <w:p w14:paraId="3CCBB313" w14:textId="77777777" w:rsidR="00A34400" w:rsidRPr="005D4884" w:rsidRDefault="00A34400" w:rsidP="003C61D9">
            <w:pPr>
              <w:suppressAutoHyphens/>
              <w:spacing w:before="120" w:after="60" w:line="230" w:lineRule="atLeast"/>
              <w:ind w:left="284"/>
              <w:rPr>
                <w:color w:val="495965"/>
                <w:sz w:val="16"/>
                <w:szCs w:val="22"/>
                <w:lang w:val="en-GB"/>
              </w:rPr>
            </w:pPr>
            <w:r w:rsidRPr="005D4884">
              <w:rPr>
                <w:color w:val="495965"/>
                <w:sz w:val="16"/>
                <w:szCs w:val="22"/>
                <w:lang w:val="en-GB"/>
              </w:rPr>
              <w:t>Objective 2</w:t>
            </w:r>
            <w:r>
              <w:rPr>
                <w:color w:val="495965"/>
                <w:sz w:val="16"/>
                <w:szCs w:val="22"/>
                <w:lang w:val="en-GB"/>
              </w:rPr>
              <w:t>: Building resilience by reducing vulnerability and improving inclusion in the growing economy</w:t>
            </w:r>
          </w:p>
        </w:tc>
        <w:tc>
          <w:tcPr>
            <w:tcW w:w="1293" w:type="dxa"/>
            <w:shd w:val="clear" w:color="auto" w:fill="92D050"/>
            <w:noWrap/>
          </w:tcPr>
          <w:p w14:paraId="6DA1C43B" w14:textId="77777777" w:rsidR="00A34400" w:rsidRPr="005D4884" w:rsidRDefault="00A34400" w:rsidP="003C61D9">
            <w:pPr>
              <w:suppressAutoHyphens/>
              <w:spacing w:before="120" w:after="60" w:line="230" w:lineRule="atLeast"/>
              <w:ind w:left="284"/>
              <w:rPr>
                <w:color w:val="FFFFFF"/>
                <w:sz w:val="16"/>
                <w:szCs w:val="22"/>
                <w:lang w:val="en-GB"/>
              </w:rPr>
            </w:pPr>
            <w:r>
              <w:rPr>
                <w:color w:val="FFFFFF"/>
                <w:sz w:val="16"/>
                <w:szCs w:val="22"/>
                <w:lang w:val="en-GB"/>
              </w:rPr>
              <w:t>Green</w:t>
            </w:r>
          </w:p>
        </w:tc>
        <w:tc>
          <w:tcPr>
            <w:tcW w:w="1235" w:type="dxa"/>
            <w:shd w:val="clear" w:color="auto" w:fill="92D050"/>
            <w:noWrap/>
          </w:tcPr>
          <w:p w14:paraId="71F1ED96" w14:textId="77777777" w:rsidR="00A34400" w:rsidRPr="005D4884" w:rsidRDefault="00A34400" w:rsidP="003C61D9">
            <w:pPr>
              <w:suppressAutoHyphens/>
              <w:spacing w:before="120" w:after="60" w:line="230" w:lineRule="atLeast"/>
              <w:ind w:left="284"/>
              <w:rPr>
                <w:color w:val="FFFFFF"/>
                <w:sz w:val="16"/>
                <w:szCs w:val="22"/>
                <w:lang w:val="en-GB"/>
              </w:rPr>
            </w:pPr>
            <w:r w:rsidRPr="005D4884">
              <w:rPr>
                <w:color w:val="FFFFFF"/>
                <w:sz w:val="16"/>
                <w:szCs w:val="22"/>
                <w:lang w:val="en-GB"/>
              </w:rPr>
              <w:t>Green</w:t>
            </w:r>
          </w:p>
        </w:tc>
      </w:tr>
    </w:tbl>
    <w:p w14:paraId="20CDE884" w14:textId="77777777" w:rsidR="00A34400" w:rsidRPr="005D4884"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84"/>
        <w:rPr>
          <w:rFonts w:ascii="Calibri Light" w:eastAsia="Calibri Light" w:hAnsi="Calibri Light"/>
          <w:color w:val="495965"/>
          <w:sz w:val="16"/>
          <w:szCs w:val="22"/>
          <w:bdr w:val="none" w:sz="0" w:space="0" w:color="auto"/>
          <w:lang w:val="en-GB"/>
        </w:rPr>
      </w:pPr>
      <w:r w:rsidRPr="005D4884">
        <w:rPr>
          <w:rFonts w:ascii="Calibri Light" w:eastAsia="Calibri Light" w:hAnsi="Calibri Light"/>
          <w:color w:val="72AF2F"/>
          <w:sz w:val="16"/>
          <w:szCs w:val="22"/>
          <w:bdr w:val="none" w:sz="0" w:space="0" w:color="auto"/>
          <w:lang w:val="en-GB"/>
        </w:rPr>
        <w:sym w:font="Webdings" w:char="F067"/>
      </w:r>
      <w:r w:rsidRPr="005D4884">
        <w:rPr>
          <w:rFonts w:ascii="Calibri Light" w:eastAsia="Calibri Light" w:hAnsi="Calibri Light"/>
          <w:color w:val="495965"/>
          <w:sz w:val="16"/>
          <w:szCs w:val="22"/>
          <w:bdr w:val="none" w:sz="0" w:space="0" w:color="auto"/>
          <w:lang w:val="en-GB"/>
        </w:rPr>
        <w:t> </w:t>
      </w:r>
      <w:r w:rsidRPr="005D4884">
        <w:rPr>
          <w:rFonts w:ascii="Calibri Light" w:eastAsia="Calibri Light" w:hAnsi="Calibri Light"/>
          <w:color w:val="495965"/>
          <w:sz w:val="16"/>
          <w:szCs w:val="22"/>
          <w:bdr w:val="none" w:sz="0" w:space="0" w:color="auto"/>
          <w:lang w:val="en-GB"/>
        </w:rPr>
        <w:t xml:space="preserve"> </w:t>
      </w:r>
      <w:r w:rsidRPr="005D4884">
        <w:rPr>
          <w:rFonts w:ascii="Calibri Light" w:eastAsia="Calibri Light" w:hAnsi="Calibri Light"/>
          <w:b/>
          <w:color w:val="495965"/>
          <w:sz w:val="16"/>
          <w:szCs w:val="22"/>
          <w:bdr w:val="none" w:sz="0" w:space="0" w:color="auto"/>
          <w:lang w:val="en-GB"/>
        </w:rPr>
        <w:t>Green</w:t>
      </w:r>
      <w:r w:rsidRPr="005D4884">
        <w:rPr>
          <w:rFonts w:ascii="Calibri Light" w:eastAsia="Calibri Light" w:hAnsi="Calibri Light"/>
          <w:color w:val="495965"/>
          <w:sz w:val="16"/>
          <w:szCs w:val="22"/>
          <w:bdr w:val="none" w:sz="0" w:space="0" w:color="auto"/>
          <w:lang w:val="en-GB"/>
        </w:rPr>
        <w:t>. Progress is as expected at this stage of implementation and it is likely that the objective will be achieved. Standard program management practices are sufficient.</w:t>
      </w:r>
    </w:p>
    <w:p w14:paraId="165DE021" w14:textId="77777777" w:rsidR="00A34400" w:rsidRPr="005D4884"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84"/>
        <w:rPr>
          <w:rFonts w:ascii="Calibri Light" w:eastAsia="Calibri Light" w:hAnsi="Calibri Light"/>
          <w:color w:val="495965"/>
          <w:sz w:val="16"/>
          <w:szCs w:val="22"/>
          <w:bdr w:val="none" w:sz="0" w:space="0" w:color="auto"/>
          <w:lang w:val="en-GB"/>
        </w:rPr>
      </w:pPr>
      <w:r w:rsidRPr="005D4884">
        <w:rPr>
          <w:rFonts w:ascii="Calibri Light" w:eastAsia="Calibri Light" w:hAnsi="Calibri Light"/>
          <w:color w:val="E36C0A"/>
          <w:sz w:val="16"/>
          <w:szCs w:val="22"/>
          <w:bdr w:val="none" w:sz="0" w:space="0" w:color="auto"/>
          <w:lang w:val="en-GB"/>
        </w:rPr>
        <w:sym w:font="Webdings" w:char="F067"/>
      </w:r>
      <w:r w:rsidRPr="005D4884">
        <w:rPr>
          <w:rFonts w:ascii="Calibri Light" w:eastAsia="Calibri Light" w:hAnsi="Calibri Light"/>
          <w:color w:val="495965"/>
          <w:sz w:val="16"/>
          <w:szCs w:val="22"/>
          <w:bdr w:val="none" w:sz="0" w:space="0" w:color="auto"/>
          <w:lang w:val="en-GB"/>
        </w:rPr>
        <w:t> </w:t>
      </w:r>
      <w:r w:rsidRPr="005D4884">
        <w:rPr>
          <w:rFonts w:ascii="Calibri Light" w:eastAsia="Calibri Light" w:hAnsi="Calibri Light"/>
          <w:color w:val="495965"/>
          <w:sz w:val="16"/>
          <w:szCs w:val="22"/>
          <w:bdr w:val="none" w:sz="0" w:space="0" w:color="auto"/>
          <w:lang w:val="en-GB"/>
        </w:rPr>
        <w:t xml:space="preserve"> </w:t>
      </w:r>
      <w:r w:rsidRPr="005D4884">
        <w:rPr>
          <w:rFonts w:ascii="Calibri Light" w:eastAsia="Calibri Light" w:hAnsi="Calibri Light"/>
          <w:b/>
          <w:color w:val="495965"/>
          <w:sz w:val="16"/>
          <w:szCs w:val="22"/>
          <w:bdr w:val="none" w:sz="0" w:space="0" w:color="auto"/>
          <w:lang w:val="en-GB"/>
        </w:rPr>
        <w:t>Amber</w:t>
      </w:r>
      <w:r w:rsidRPr="005D4884">
        <w:rPr>
          <w:rFonts w:ascii="Calibri Light" w:eastAsia="Calibri Light" w:hAnsi="Calibri Light"/>
          <w:color w:val="495965"/>
          <w:sz w:val="16"/>
          <w:szCs w:val="22"/>
          <w:bdr w:val="none" w:sz="0" w:space="0" w:color="auto"/>
          <w:lang w:val="en-GB"/>
        </w:rPr>
        <w:t>. Progress is somewhat less than expected at this stage of implementation and restorative action will be necessary if the objective is to be achieved. Close performance monitoring is recommended.</w:t>
      </w:r>
    </w:p>
    <w:p w14:paraId="2A6C131A" w14:textId="77777777" w:rsidR="00A34400" w:rsidRPr="00B335D8"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84"/>
        <w:rPr>
          <w:rFonts w:ascii="Calibri Light" w:eastAsia="Calibri Light" w:hAnsi="Calibri Light"/>
          <w:color w:val="495965"/>
          <w:sz w:val="16"/>
          <w:szCs w:val="22"/>
          <w:bdr w:val="none" w:sz="0" w:space="0" w:color="auto"/>
          <w:lang w:val="en-GB"/>
        </w:rPr>
      </w:pPr>
      <w:r w:rsidRPr="005D4884">
        <w:rPr>
          <w:rFonts w:ascii="Calibri Light" w:eastAsia="Calibri Light" w:hAnsi="Calibri Light"/>
          <w:color w:val="FF0000"/>
          <w:sz w:val="16"/>
          <w:szCs w:val="22"/>
          <w:bdr w:val="none" w:sz="0" w:space="0" w:color="auto"/>
          <w:lang w:val="en-GB"/>
        </w:rPr>
        <w:sym w:font="Webdings" w:char="F067"/>
      </w:r>
      <w:r w:rsidRPr="005D4884">
        <w:rPr>
          <w:rFonts w:ascii="Calibri Light" w:eastAsia="Calibri Light" w:hAnsi="Calibri Light"/>
          <w:color w:val="495965"/>
          <w:sz w:val="16"/>
          <w:szCs w:val="22"/>
          <w:bdr w:val="none" w:sz="0" w:space="0" w:color="auto"/>
          <w:lang w:val="en-GB"/>
        </w:rPr>
        <w:t> </w:t>
      </w:r>
      <w:r w:rsidRPr="005D4884">
        <w:rPr>
          <w:rFonts w:ascii="Calibri Light" w:eastAsia="Calibri Light" w:hAnsi="Calibri Light"/>
          <w:color w:val="495965"/>
          <w:sz w:val="16"/>
          <w:szCs w:val="22"/>
          <w:bdr w:val="none" w:sz="0" w:space="0" w:color="auto"/>
          <w:lang w:val="en-GB"/>
        </w:rPr>
        <w:t xml:space="preserve"> </w:t>
      </w:r>
      <w:r w:rsidRPr="005D4884">
        <w:rPr>
          <w:rFonts w:ascii="Calibri Light" w:eastAsia="Calibri Light" w:hAnsi="Calibri Light"/>
          <w:b/>
          <w:color w:val="495965"/>
          <w:sz w:val="16"/>
          <w:szCs w:val="22"/>
          <w:bdr w:val="none" w:sz="0" w:space="0" w:color="auto"/>
          <w:lang w:val="en-GB"/>
        </w:rPr>
        <w:t>Red.</w:t>
      </w:r>
      <w:r w:rsidRPr="005D4884">
        <w:rPr>
          <w:rFonts w:ascii="Calibri Light" w:eastAsia="Calibri Light" w:hAnsi="Calibri Light"/>
          <w:color w:val="495965"/>
          <w:sz w:val="16"/>
          <w:szCs w:val="22"/>
          <w:bdr w:val="none" w:sz="0" w:space="0" w:color="auto"/>
          <w:lang w:val="en-GB"/>
        </w:rPr>
        <w:t xml:space="preserve"> Progress is significantly less than expected at this stage of implementation and the objective is not likely to be met given available resources and priorities. Recasting the objective may be required.</w:t>
      </w:r>
    </w:p>
    <w:p w14:paraId="0F25A05E" w14:textId="3D916B48" w:rsidR="00A34400" w:rsidRPr="005D4884"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pacing w:before="480" w:after="120" w:line="300" w:lineRule="exact"/>
        <w:rPr>
          <w:rStyle w:val="None"/>
          <w:rFonts w:ascii="Calibri" w:eastAsia="Times New Roman" w:hAnsi="Calibri"/>
          <w:caps/>
          <w:color w:val="495965"/>
          <w:sz w:val="38"/>
          <w:szCs w:val="26"/>
          <w:bdr w:val="none" w:sz="0" w:space="0" w:color="auto"/>
          <w:lang w:val="en-GB"/>
        </w:rPr>
      </w:pPr>
      <w:r>
        <w:rPr>
          <w:rFonts w:ascii="Calibri" w:eastAsia="Times New Roman" w:hAnsi="Calibri"/>
          <w:caps/>
          <w:color w:val="495965"/>
          <w:sz w:val="38"/>
          <w:szCs w:val="26"/>
          <w:bdr w:val="none" w:sz="0" w:space="0" w:color="auto"/>
          <w:lang w:val="en-GB"/>
        </w:rPr>
        <w:t>Objective 1: iMPROVING EDUCATION ACCESS, EQUITY, EFFICIENCY AND LEARNING OUTCOMES</w:t>
      </w:r>
    </w:p>
    <w:p w14:paraId="3185FA69" w14:textId="77777777" w:rsidR="00A34400" w:rsidRDefault="00A34400" w:rsidP="00A34400">
      <w:pPr>
        <w:pStyle w:val="BodyA"/>
        <w:spacing w:before="240" w:line="240" w:lineRule="auto"/>
        <w:rPr>
          <w:rStyle w:val="None"/>
          <w:b/>
          <w:bCs/>
        </w:rPr>
      </w:pPr>
      <w:r w:rsidRPr="00F827DD">
        <w:rPr>
          <w:rFonts w:ascii="Calibri" w:eastAsia="Times New Roman" w:hAnsi="Calibri" w:cs="Times New Roman"/>
          <w:caps/>
          <w:noProof/>
          <w:sz w:val="38"/>
          <w:szCs w:val="26"/>
          <w:bdr w:val="none" w:sz="0" w:space="0" w:color="auto"/>
          <w:lang w:val="en-AU"/>
        </w:rPr>
        <w:drawing>
          <wp:inline distT="0" distB="0" distL="0" distR="0" wp14:anchorId="4568E7C8" wp14:editId="6490AB70">
            <wp:extent cx="1134745" cy="7239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77994" cy="751490"/>
                    </a:xfrm>
                    <a:prstGeom prst="rect">
                      <a:avLst/>
                    </a:prstGeom>
                  </pic:spPr>
                </pic:pic>
              </a:graphicData>
            </a:graphic>
          </wp:inline>
        </w:drawing>
      </w:r>
      <w:r>
        <w:rPr>
          <w:rStyle w:val="None"/>
          <w:rFonts w:ascii="Times New Roman" w:eastAsia="Times New Roman" w:hAnsi="Times New Roman" w:cs="Times New Roman"/>
          <w:noProof/>
          <w:color w:val="000000"/>
          <w:sz w:val="24"/>
          <w:szCs w:val="24"/>
          <w:u w:color="000000"/>
          <w:lang w:val="en-AU"/>
        </w:rPr>
        <w:drawing>
          <wp:inline distT="0" distB="0" distL="0" distR="0" wp14:anchorId="1D0DC1FB" wp14:editId="33D768F1">
            <wp:extent cx="685800" cy="725805"/>
            <wp:effectExtent l="0" t="0" r="0" b="0"/>
            <wp:docPr id="20" name="officeArt object" descr="SDG 4.png"/>
            <wp:cNvGraphicFramePr/>
            <a:graphic xmlns:a="http://schemas.openxmlformats.org/drawingml/2006/main">
              <a:graphicData uri="http://schemas.openxmlformats.org/drawingml/2006/picture">
                <pic:pic xmlns:pic="http://schemas.openxmlformats.org/drawingml/2006/picture">
                  <pic:nvPicPr>
                    <pic:cNvPr id="1073741844" name="SDG 4.png" descr="SDG 4.png"/>
                    <pic:cNvPicPr>
                      <a:picLocks noChangeAspect="1"/>
                    </pic:cNvPicPr>
                  </pic:nvPicPr>
                  <pic:blipFill>
                    <a:blip r:embed="rId18">
                      <a:extLst/>
                    </a:blip>
                    <a:stretch>
                      <a:fillRect/>
                    </a:stretch>
                  </pic:blipFill>
                  <pic:spPr>
                    <a:xfrm>
                      <a:off x="0" y="0"/>
                      <a:ext cx="686358" cy="726396"/>
                    </a:xfrm>
                    <a:prstGeom prst="rect">
                      <a:avLst/>
                    </a:prstGeom>
                    <a:ln w="12700" cap="flat">
                      <a:noFill/>
                      <a:miter lim="400000"/>
                    </a:ln>
                    <a:effectLst/>
                  </pic:spPr>
                </pic:pic>
              </a:graphicData>
            </a:graphic>
          </wp:inline>
        </w:drawing>
      </w:r>
      <w:r>
        <w:rPr>
          <w:rStyle w:val="None"/>
          <w:b/>
          <w:bCs/>
        </w:rPr>
        <w:t xml:space="preserve"> </w:t>
      </w:r>
      <w:r>
        <w:rPr>
          <w:rStyle w:val="None"/>
          <w:rFonts w:ascii="Times New Roman" w:eastAsia="Times New Roman" w:hAnsi="Times New Roman" w:cs="Times New Roman"/>
          <w:noProof/>
          <w:color w:val="000000"/>
          <w:sz w:val="24"/>
          <w:szCs w:val="24"/>
          <w:u w:color="000000"/>
          <w:lang w:val="en-AU"/>
        </w:rPr>
        <w:drawing>
          <wp:inline distT="0" distB="0" distL="0" distR="0" wp14:anchorId="69E1A636" wp14:editId="10B25C75">
            <wp:extent cx="714375" cy="725805"/>
            <wp:effectExtent l="0" t="0" r="9525" b="0"/>
            <wp:docPr id="21" name="officeArt object" descr="SDG 5.jpg"/>
            <wp:cNvGraphicFramePr/>
            <a:graphic xmlns:a="http://schemas.openxmlformats.org/drawingml/2006/main">
              <a:graphicData uri="http://schemas.openxmlformats.org/drawingml/2006/picture">
                <pic:pic xmlns:pic="http://schemas.openxmlformats.org/drawingml/2006/picture">
                  <pic:nvPicPr>
                    <pic:cNvPr id="1073741846" name="SDG 5.jpg" descr="SDG 5.jpg"/>
                    <pic:cNvPicPr>
                      <a:picLocks noChangeAspect="1"/>
                    </pic:cNvPicPr>
                  </pic:nvPicPr>
                  <pic:blipFill>
                    <a:blip r:embed="rId19">
                      <a:extLst/>
                    </a:blip>
                    <a:stretch>
                      <a:fillRect/>
                    </a:stretch>
                  </pic:blipFill>
                  <pic:spPr>
                    <a:xfrm>
                      <a:off x="0" y="0"/>
                      <a:ext cx="714958" cy="726397"/>
                    </a:xfrm>
                    <a:prstGeom prst="rect">
                      <a:avLst/>
                    </a:prstGeom>
                    <a:ln w="12700" cap="flat">
                      <a:noFill/>
                      <a:miter lim="400000"/>
                    </a:ln>
                    <a:effectLst/>
                  </pic:spPr>
                </pic:pic>
              </a:graphicData>
            </a:graphic>
          </wp:inline>
        </w:drawing>
      </w:r>
      <w:r>
        <w:rPr>
          <w:rStyle w:val="None"/>
          <w:b/>
          <w:bCs/>
          <w:noProof/>
          <w:lang w:val="en-AU"/>
        </w:rPr>
        <w:drawing>
          <wp:inline distT="0" distB="0" distL="0" distR="0" wp14:anchorId="2591AB21" wp14:editId="605ED46C">
            <wp:extent cx="685800" cy="723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pic:spPr>
                </pic:pic>
              </a:graphicData>
            </a:graphic>
          </wp:inline>
        </w:drawing>
      </w:r>
    </w:p>
    <w:p w14:paraId="7BE453D3" w14:textId="79B11FDF" w:rsidR="00A34400" w:rsidRDefault="00A34400" w:rsidP="00A34400">
      <w:pPr>
        <w:pStyle w:val="BodyA"/>
        <w:spacing w:line="240" w:lineRule="auto"/>
        <w:rPr>
          <w:rStyle w:val="Hyperlink0"/>
          <w:b/>
        </w:rPr>
      </w:pPr>
      <w:r w:rsidRPr="00270CDF">
        <w:rPr>
          <w:rStyle w:val="None"/>
          <w:bCs/>
        </w:rPr>
        <w:t>The objective was rated green</w:t>
      </w:r>
      <w:r>
        <w:rPr>
          <w:rStyle w:val="Hyperlink0"/>
        </w:rPr>
        <w:t xml:space="preserve"> because of good progress against the Performance Assessment Framework (PAF) for Australia’s Aid Investment Plan 2015-19. </w:t>
      </w:r>
      <w:r>
        <w:rPr>
          <w:rStyle w:val="Hyperlink0"/>
          <w:b/>
        </w:rPr>
        <w:t>Five</w:t>
      </w:r>
      <w:r w:rsidRPr="00270CDF">
        <w:rPr>
          <w:rStyle w:val="Hyperlink0"/>
          <w:b/>
        </w:rPr>
        <w:t xml:space="preserve"> out of </w:t>
      </w:r>
      <w:r w:rsidR="003F60E8">
        <w:rPr>
          <w:rStyle w:val="Hyperlink0"/>
          <w:b/>
        </w:rPr>
        <w:t>s</w:t>
      </w:r>
      <w:r>
        <w:rPr>
          <w:rStyle w:val="Hyperlink0"/>
          <w:b/>
        </w:rPr>
        <w:t>even</w:t>
      </w:r>
      <w:r w:rsidRPr="00270CDF">
        <w:rPr>
          <w:rStyle w:val="Hyperlink0"/>
          <w:b/>
        </w:rPr>
        <w:t xml:space="preserve"> PAF targets were met</w:t>
      </w:r>
      <w:r>
        <w:rPr>
          <w:rStyle w:val="Hyperlink0"/>
        </w:rPr>
        <w:t xml:space="preserve">. Two PAF targets were partially achieved. </w:t>
      </w:r>
      <w:r w:rsidRPr="00766E37">
        <w:rPr>
          <w:rStyle w:val="Hyperlink0"/>
          <w:b/>
        </w:rPr>
        <w:t>All four Performance Benchmarks (PB) were met</w:t>
      </w:r>
      <w:r w:rsidRPr="00030FA3">
        <w:rPr>
          <w:rStyle w:val="Hyperlink0"/>
        </w:rPr>
        <w:t xml:space="preserve"> (see Annex B).</w:t>
      </w:r>
    </w:p>
    <w:p w14:paraId="0170C303" w14:textId="77777777" w:rsidR="00A34400" w:rsidRDefault="00A34400" w:rsidP="00A34400">
      <w:pPr>
        <w:pStyle w:val="BodyA"/>
        <w:spacing w:line="240" w:lineRule="auto"/>
      </w:pPr>
      <w:r>
        <w:t xml:space="preserve">Australia’s strategy under this objective is to support wide ranging reforms to the national primary education system through the </w:t>
      </w:r>
      <w:r w:rsidRPr="00261D5E">
        <w:rPr>
          <w:rStyle w:val="None"/>
          <w:bCs/>
        </w:rPr>
        <w:t>Government of Bangladesh</w:t>
      </w:r>
      <w:r>
        <w:rPr>
          <w:rStyle w:val="None"/>
          <w:bCs/>
        </w:rPr>
        <w:t>-</w:t>
      </w:r>
      <w:r w:rsidRPr="00261D5E">
        <w:rPr>
          <w:rStyle w:val="None"/>
          <w:bCs/>
        </w:rPr>
        <w:t xml:space="preserve">led </w:t>
      </w:r>
      <w:r w:rsidRPr="001555F1">
        <w:rPr>
          <w:rStyle w:val="None"/>
          <w:bCs/>
          <w:i/>
        </w:rPr>
        <w:t>Third Primary Education Development Program (PEDP3)</w:t>
      </w:r>
      <w:r w:rsidRPr="001555F1">
        <w:rPr>
          <w:rStyle w:val="None"/>
          <w:bCs/>
        </w:rPr>
        <w:t>,</w:t>
      </w:r>
      <w:r w:rsidRPr="001555F1">
        <w:t xml:space="preserve"> and to complement this with support to </w:t>
      </w:r>
      <w:r w:rsidRPr="001555F1">
        <w:rPr>
          <w:rStyle w:val="None"/>
          <w:bCs/>
        </w:rPr>
        <w:t xml:space="preserve">BRAC </w:t>
      </w:r>
      <w:r w:rsidRPr="001555F1">
        <w:t>to pr</w:t>
      </w:r>
      <w:r w:rsidRPr="00261D5E">
        <w:t xml:space="preserve">ovide </w:t>
      </w:r>
      <w:r>
        <w:t xml:space="preserve">quality </w:t>
      </w:r>
      <w:r w:rsidRPr="00261D5E">
        <w:t xml:space="preserve">education </w:t>
      </w:r>
      <w:r>
        <w:t xml:space="preserve">programs </w:t>
      </w:r>
      <w:r w:rsidRPr="00261D5E">
        <w:t xml:space="preserve">for </w:t>
      </w:r>
      <w:r>
        <w:t xml:space="preserve">the poor and </w:t>
      </w:r>
      <w:proofErr w:type="spellStart"/>
      <w:r>
        <w:t>marginalised</w:t>
      </w:r>
      <w:proofErr w:type="spellEnd"/>
      <w:r>
        <w:t xml:space="preserve">, particularly girls, who are unable to access government schools. In 2017-18, </w:t>
      </w:r>
      <w:r>
        <w:rPr>
          <w:rStyle w:val="None"/>
          <w:bCs/>
        </w:rPr>
        <w:t xml:space="preserve">approximately </w:t>
      </w:r>
      <w:r w:rsidRPr="00C348EB">
        <w:rPr>
          <w:rStyle w:val="None"/>
          <w:bCs/>
        </w:rPr>
        <w:t>13.8 per cent</w:t>
      </w:r>
      <w:r w:rsidRPr="00261D5E">
        <w:rPr>
          <w:rStyle w:val="None"/>
          <w:bCs/>
        </w:rPr>
        <w:t xml:space="preserve"> of Bangladesh program fund</w:t>
      </w:r>
      <w:r>
        <w:rPr>
          <w:rStyle w:val="None"/>
          <w:bCs/>
        </w:rPr>
        <w:t xml:space="preserve">ing ($12.41 million) </w:t>
      </w:r>
      <w:r w:rsidRPr="00261D5E">
        <w:rPr>
          <w:rStyle w:val="None"/>
          <w:bCs/>
        </w:rPr>
        <w:t>was invested in our two education investments</w:t>
      </w:r>
      <w:r w:rsidRPr="00261D5E">
        <w:t>.</w:t>
      </w:r>
      <w:r>
        <w:t xml:space="preserve"> </w:t>
      </w:r>
    </w:p>
    <w:p w14:paraId="5DF5F938" w14:textId="77777777" w:rsidR="00A34400" w:rsidRPr="00270CDF" w:rsidRDefault="00A34400" w:rsidP="00A34400">
      <w:pPr>
        <w:suppressAutoHyphens/>
        <w:spacing w:before="120" w:after="60"/>
        <w:rPr>
          <w:rFonts w:ascii="Calibri Light" w:eastAsia="Calibri Light" w:hAnsi="Calibri Light" w:cs="Calibri Light"/>
          <w:color w:val="495965"/>
          <w:sz w:val="22"/>
          <w:szCs w:val="22"/>
          <w:u w:color="495965"/>
          <w:lang w:eastAsia="en-AU"/>
        </w:rPr>
      </w:pPr>
      <w:r w:rsidRPr="00270CDF">
        <w:rPr>
          <w:rFonts w:ascii="Calibri Light" w:eastAsia="Calibri Light" w:hAnsi="Calibri Light" w:cs="Calibri Light"/>
          <w:color w:val="495965"/>
          <w:sz w:val="22"/>
          <w:szCs w:val="22"/>
          <w:u w:color="495965"/>
          <w:lang w:eastAsia="en-AU"/>
        </w:rPr>
        <w:t>Since 2011, Australia has invested i</w:t>
      </w:r>
      <w:r w:rsidRPr="008A2ACD">
        <w:rPr>
          <w:rFonts w:ascii="Calibri Light" w:eastAsia="Calibri Light" w:hAnsi="Calibri Light" w:cs="Calibri Light"/>
          <w:color w:val="495965"/>
          <w:sz w:val="22"/>
          <w:szCs w:val="22"/>
          <w:u w:color="495965"/>
          <w:lang w:eastAsia="en-AU"/>
        </w:rPr>
        <w:t xml:space="preserve">n </w:t>
      </w:r>
      <w:r w:rsidRPr="008A2ACD">
        <w:rPr>
          <w:rFonts w:ascii="Calibri Light" w:eastAsia="Calibri Light" w:hAnsi="Calibri Light" w:cs="Calibri Light"/>
          <w:bCs/>
          <w:color w:val="495965"/>
          <w:sz w:val="22"/>
          <w:szCs w:val="22"/>
          <w:u w:color="495965"/>
          <w:lang w:eastAsia="en-AU"/>
        </w:rPr>
        <w:t>PEDP3</w:t>
      </w:r>
      <w:r w:rsidRPr="00270CDF">
        <w:rPr>
          <w:rFonts w:ascii="Calibri Light" w:eastAsia="Calibri Light" w:hAnsi="Calibri Light" w:cs="Calibri Light"/>
          <w:color w:val="495965"/>
          <w:sz w:val="22"/>
          <w:szCs w:val="22"/>
          <w:u w:color="495965"/>
          <w:lang w:eastAsia="en-AU"/>
        </w:rPr>
        <w:t xml:space="preserve">, a $10 billion dollar </w:t>
      </w:r>
      <w:r>
        <w:rPr>
          <w:rFonts w:ascii="Calibri Light" w:eastAsia="Calibri Light" w:hAnsi="Calibri Light" w:cs="Calibri Light"/>
          <w:color w:val="495965"/>
          <w:sz w:val="22"/>
          <w:szCs w:val="22"/>
          <w:u w:color="495965"/>
          <w:lang w:eastAsia="en-AU"/>
        </w:rPr>
        <w:t xml:space="preserve">Government-led </w:t>
      </w:r>
      <w:r w:rsidRPr="00270CDF">
        <w:rPr>
          <w:rFonts w:ascii="Calibri Light" w:eastAsia="Calibri Light" w:hAnsi="Calibri Light" w:cs="Calibri Light"/>
          <w:color w:val="495965"/>
          <w:sz w:val="22"/>
          <w:szCs w:val="22"/>
          <w:u w:color="495965"/>
          <w:lang w:eastAsia="en-AU"/>
        </w:rPr>
        <w:t xml:space="preserve">sector wide initiative in pre-primary and primary education reform </w:t>
      </w:r>
      <w:r>
        <w:rPr>
          <w:rFonts w:ascii="Calibri Light" w:eastAsia="Calibri Light" w:hAnsi="Calibri Light" w:cs="Calibri Light"/>
          <w:color w:val="495965"/>
          <w:sz w:val="22"/>
          <w:szCs w:val="22"/>
          <w:u w:color="495965"/>
          <w:lang w:eastAsia="en-AU"/>
        </w:rPr>
        <w:t xml:space="preserve">for </w:t>
      </w:r>
      <w:r w:rsidRPr="00270CDF">
        <w:rPr>
          <w:rFonts w:ascii="Calibri Light" w:eastAsia="Calibri Light" w:hAnsi="Calibri Light" w:cs="Calibri Light"/>
          <w:color w:val="495965"/>
          <w:sz w:val="22"/>
          <w:szCs w:val="22"/>
          <w:u w:color="495965"/>
          <w:lang w:eastAsia="en-AU"/>
        </w:rPr>
        <w:t xml:space="preserve">20 million children through 122,716 primary schools. Australia is one of nine donors and in 2017-18 contributed $4.03 million to PEDP3, complemented </w:t>
      </w:r>
      <w:r>
        <w:rPr>
          <w:rFonts w:ascii="Calibri Light" w:eastAsia="Calibri Light" w:hAnsi="Calibri Light" w:cs="Calibri Light"/>
          <w:color w:val="495965"/>
          <w:sz w:val="22"/>
          <w:szCs w:val="22"/>
          <w:u w:color="495965"/>
          <w:lang w:eastAsia="en-AU"/>
        </w:rPr>
        <w:t xml:space="preserve">by </w:t>
      </w:r>
      <w:r w:rsidRPr="00270CDF">
        <w:rPr>
          <w:rFonts w:ascii="Calibri Light" w:eastAsia="Calibri Light" w:hAnsi="Calibri Light" w:cs="Calibri Light"/>
          <w:color w:val="495965"/>
          <w:sz w:val="22"/>
          <w:szCs w:val="22"/>
          <w:u w:color="495965"/>
          <w:lang w:eastAsia="en-AU"/>
        </w:rPr>
        <w:t xml:space="preserve">funding </w:t>
      </w:r>
      <w:r>
        <w:rPr>
          <w:rFonts w:ascii="Calibri Light" w:eastAsia="Calibri Light" w:hAnsi="Calibri Light" w:cs="Calibri Light"/>
          <w:color w:val="495965"/>
          <w:sz w:val="22"/>
          <w:szCs w:val="22"/>
          <w:u w:color="495965"/>
          <w:lang w:eastAsia="en-AU"/>
        </w:rPr>
        <w:t xml:space="preserve">for </w:t>
      </w:r>
      <w:r w:rsidRPr="00270CDF">
        <w:rPr>
          <w:rFonts w:ascii="Calibri Light" w:eastAsia="Calibri Light" w:hAnsi="Calibri Light" w:cs="Calibri Light"/>
          <w:color w:val="495965"/>
          <w:sz w:val="22"/>
          <w:szCs w:val="22"/>
          <w:u w:color="495965"/>
          <w:lang w:eastAsia="en-AU"/>
        </w:rPr>
        <w:t xml:space="preserve">technical assistance through UNICEF and the World Bank. Pooling funding through a sector wide approach has enabled Australia to achieve sustainable results at scale. </w:t>
      </w:r>
      <w:r>
        <w:rPr>
          <w:rFonts w:ascii="Calibri Light" w:eastAsia="Calibri Light" w:hAnsi="Calibri Light" w:cs="Calibri Light"/>
          <w:color w:val="495965"/>
          <w:sz w:val="22"/>
          <w:szCs w:val="22"/>
          <w:u w:color="495965"/>
          <w:lang w:eastAsia="en-AU"/>
        </w:rPr>
        <w:t xml:space="preserve">Central to the </w:t>
      </w:r>
      <w:r w:rsidRPr="00270CDF">
        <w:rPr>
          <w:rFonts w:ascii="Calibri Light" w:eastAsia="Calibri Light" w:hAnsi="Calibri Light" w:cs="Calibri Light"/>
          <w:color w:val="495965"/>
          <w:sz w:val="22"/>
          <w:szCs w:val="22"/>
          <w:u w:color="495965"/>
          <w:lang w:eastAsia="en-AU"/>
        </w:rPr>
        <w:t xml:space="preserve">modality </w:t>
      </w:r>
      <w:r>
        <w:rPr>
          <w:rFonts w:ascii="Calibri Light" w:eastAsia="Calibri Light" w:hAnsi="Calibri Light" w:cs="Calibri Light"/>
          <w:color w:val="495965"/>
          <w:sz w:val="22"/>
          <w:szCs w:val="22"/>
          <w:u w:color="495965"/>
          <w:lang w:eastAsia="en-AU"/>
        </w:rPr>
        <w:t xml:space="preserve">was </w:t>
      </w:r>
      <w:r w:rsidRPr="00270CDF">
        <w:rPr>
          <w:rFonts w:ascii="Calibri Light" w:eastAsia="Calibri Light" w:hAnsi="Calibri Light" w:cs="Calibri Light"/>
          <w:color w:val="495965"/>
          <w:sz w:val="22"/>
          <w:szCs w:val="22"/>
          <w:u w:color="495965"/>
          <w:lang w:eastAsia="en-AU"/>
        </w:rPr>
        <w:t xml:space="preserve">policy dialogue to influence government </w:t>
      </w:r>
      <w:r>
        <w:rPr>
          <w:rFonts w:ascii="Calibri Light" w:eastAsia="Calibri Light" w:hAnsi="Calibri Light" w:cs="Calibri Light"/>
          <w:color w:val="495965"/>
          <w:sz w:val="22"/>
          <w:szCs w:val="22"/>
          <w:u w:color="495965"/>
          <w:lang w:eastAsia="en-AU"/>
        </w:rPr>
        <w:t xml:space="preserve">reform </w:t>
      </w:r>
      <w:r w:rsidRPr="00270CDF">
        <w:rPr>
          <w:rFonts w:ascii="Calibri Light" w:eastAsia="Calibri Light" w:hAnsi="Calibri Light" w:cs="Calibri Light"/>
          <w:color w:val="495965"/>
          <w:sz w:val="22"/>
          <w:szCs w:val="22"/>
          <w:u w:color="495965"/>
          <w:lang w:eastAsia="en-AU"/>
        </w:rPr>
        <w:t xml:space="preserve">decisions. Our engagement through PEDP3 </w:t>
      </w:r>
      <w:r>
        <w:rPr>
          <w:rFonts w:ascii="Calibri Light" w:eastAsia="Calibri Light" w:hAnsi="Calibri Light" w:cs="Calibri Light"/>
          <w:color w:val="495965"/>
          <w:sz w:val="22"/>
          <w:szCs w:val="22"/>
          <w:u w:color="495965"/>
          <w:lang w:eastAsia="en-AU"/>
        </w:rPr>
        <w:t>wa</w:t>
      </w:r>
      <w:r w:rsidRPr="00270CDF">
        <w:rPr>
          <w:rFonts w:ascii="Calibri Light" w:eastAsia="Calibri Light" w:hAnsi="Calibri Light" w:cs="Calibri Light"/>
          <w:color w:val="495965"/>
          <w:sz w:val="22"/>
          <w:szCs w:val="22"/>
          <w:u w:color="495965"/>
          <w:lang w:eastAsia="en-AU"/>
        </w:rPr>
        <w:t xml:space="preserve">s focused on improving education quality; inclusiveness; </w:t>
      </w:r>
      <w:r>
        <w:rPr>
          <w:rFonts w:ascii="Calibri Light" w:eastAsia="Calibri Light" w:hAnsi="Calibri Light" w:cs="Calibri Light"/>
          <w:color w:val="495965"/>
          <w:sz w:val="22"/>
          <w:szCs w:val="22"/>
          <w:u w:color="495965"/>
          <w:lang w:eastAsia="en-AU"/>
        </w:rPr>
        <w:t xml:space="preserve">and </w:t>
      </w:r>
      <w:r w:rsidRPr="00270CDF">
        <w:rPr>
          <w:rFonts w:ascii="Calibri Light" w:eastAsia="Calibri Light" w:hAnsi="Calibri Light" w:cs="Calibri Light"/>
          <w:color w:val="495965"/>
          <w:sz w:val="22"/>
          <w:szCs w:val="22"/>
          <w:u w:color="495965"/>
          <w:lang w:eastAsia="en-AU"/>
        </w:rPr>
        <w:t xml:space="preserve">financial management and accountability. </w:t>
      </w:r>
    </w:p>
    <w:p w14:paraId="4066BCDA" w14:textId="77777777" w:rsidR="00A34400" w:rsidRDefault="00A34400" w:rsidP="00A34400">
      <w:pPr>
        <w:suppressAutoHyphens/>
        <w:spacing w:before="120" w:after="60"/>
        <w:rPr>
          <w:rFonts w:ascii="Calibri Light" w:eastAsia="Calibri Light" w:hAnsi="Calibri Light" w:cs="Calibri Light"/>
          <w:color w:val="495965"/>
          <w:sz w:val="22"/>
          <w:szCs w:val="22"/>
          <w:u w:color="495965"/>
          <w:lang w:eastAsia="en-AU"/>
        </w:rPr>
      </w:pPr>
      <w:r w:rsidRPr="008A2ACD">
        <w:rPr>
          <w:rFonts w:ascii="Calibri Light" w:eastAsia="Calibri Light" w:hAnsi="Calibri Light" w:cs="Calibri Light"/>
          <w:color w:val="495965"/>
          <w:sz w:val="22"/>
          <w:szCs w:val="22"/>
          <w:u w:color="495965"/>
          <w:lang w:eastAsia="en-AU"/>
        </w:rPr>
        <w:t>With PEDP3 concluding in June 2018, Australia’s investment in the reporting period wa</w:t>
      </w:r>
      <w:r>
        <w:rPr>
          <w:rFonts w:ascii="Calibri Light" w:eastAsia="Calibri Light" w:hAnsi="Calibri Light" w:cs="Calibri Light"/>
          <w:color w:val="495965"/>
          <w:sz w:val="22"/>
          <w:szCs w:val="22"/>
          <w:u w:color="495965"/>
          <w:lang w:eastAsia="en-AU"/>
        </w:rPr>
        <w:t>s focused on engaging with the G</w:t>
      </w:r>
      <w:r w:rsidRPr="008A2ACD">
        <w:rPr>
          <w:rFonts w:ascii="Calibri Light" w:eastAsia="Calibri Light" w:hAnsi="Calibri Light" w:cs="Calibri Light"/>
          <w:color w:val="495965"/>
          <w:sz w:val="22"/>
          <w:szCs w:val="22"/>
          <w:u w:color="495965"/>
          <w:lang w:eastAsia="en-AU"/>
        </w:rPr>
        <w:t>overnment</w:t>
      </w:r>
      <w:r>
        <w:rPr>
          <w:rFonts w:ascii="Calibri Light" w:eastAsia="Calibri Light" w:hAnsi="Calibri Light" w:cs="Calibri Light"/>
          <w:color w:val="495965"/>
          <w:sz w:val="22"/>
          <w:szCs w:val="22"/>
          <w:u w:color="495965"/>
          <w:lang w:eastAsia="en-AU"/>
        </w:rPr>
        <w:t xml:space="preserve"> of Bangladesh</w:t>
      </w:r>
      <w:r w:rsidRPr="008A2ACD">
        <w:rPr>
          <w:rFonts w:ascii="Calibri Light" w:eastAsia="Calibri Light" w:hAnsi="Calibri Light" w:cs="Calibri Light"/>
          <w:color w:val="495965"/>
          <w:sz w:val="22"/>
          <w:szCs w:val="22"/>
          <w:u w:color="495965"/>
          <w:lang w:eastAsia="en-AU"/>
        </w:rPr>
        <w:t xml:space="preserve"> to prepare the next phase of the sector program (PEDP4) through policy dialogue and technical assistance – four of the six PAF targets </w:t>
      </w:r>
      <w:r>
        <w:rPr>
          <w:rFonts w:ascii="Calibri Light" w:eastAsia="Calibri Light" w:hAnsi="Calibri Light" w:cs="Calibri Light"/>
          <w:color w:val="495965"/>
          <w:sz w:val="22"/>
          <w:szCs w:val="22"/>
          <w:u w:color="495965"/>
          <w:lang w:eastAsia="en-AU"/>
        </w:rPr>
        <w:t xml:space="preserve">related to this investment in 2017-18 </w:t>
      </w:r>
      <w:r w:rsidRPr="008A2ACD">
        <w:rPr>
          <w:rFonts w:ascii="Calibri Light" w:eastAsia="Calibri Light" w:hAnsi="Calibri Light" w:cs="Calibri Light"/>
          <w:color w:val="495965"/>
          <w:sz w:val="22"/>
          <w:szCs w:val="22"/>
          <w:u w:color="495965"/>
          <w:lang w:eastAsia="en-AU"/>
        </w:rPr>
        <w:t>are for the delivery of inputs to the formulation of PEDP4. Australia supported the Government-led design process by funding the Government’s design</w:t>
      </w:r>
      <w:r>
        <w:rPr>
          <w:rFonts w:ascii="Calibri Light" w:eastAsia="Calibri Light" w:hAnsi="Calibri Light" w:cs="Calibri Light"/>
          <w:color w:val="495965"/>
          <w:sz w:val="22"/>
          <w:szCs w:val="22"/>
          <w:u w:color="495965"/>
          <w:lang w:eastAsia="en-AU"/>
        </w:rPr>
        <w:t xml:space="preserve"> team and engaging in policy dialogue over the two years of the design phase. </w:t>
      </w:r>
    </w:p>
    <w:p w14:paraId="4067BE87" w14:textId="7DD86F27" w:rsidR="00A34400" w:rsidRPr="006A40BA" w:rsidRDefault="00A34400" w:rsidP="00A34400">
      <w:pPr>
        <w:pStyle w:val="BodyA"/>
        <w:spacing w:line="240" w:lineRule="auto"/>
        <w:rPr>
          <w:b/>
          <w:bCs/>
        </w:rPr>
      </w:pPr>
      <w:r>
        <w:t xml:space="preserve">While Australia was effective in influencing the Government’s reform agenda in PEDP3, including in setting the agenda and supporting its implementation, our policy dialogue in the design process for PEDP4 was less effective in securing government agreement to build on these reforms in Australia’s priority areas. A key challenge was achieving a </w:t>
      </w:r>
      <w:proofErr w:type="spellStart"/>
      <w:r>
        <w:t>harmonised</w:t>
      </w:r>
      <w:proofErr w:type="spellEnd"/>
      <w:r>
        <w:t xml:space="preserve"> position on reform priorities among development partners, particularly </w:t>
      </w:r>
      <w:r w:rsidR="00430C1E">
        <w:t xml:space="preserve">in relation to </w:t>
      </w:r>
      <w:r>
        <w:t xml:space="preserve">improving education quality.  </w:t>
      </w:r>
    </w:p>
    <w:p w14:paraId="670517E2" w14:textId="434F2B01" w:rsidR="00A34400" w:rsidRDefault="00430C1E" w:rsidP="00EF08D8">
      <w:pPr>
        <w:pStyle w:val="BodyA"/>
        <w:spacing w:line="240" w:lineRule="auto"/>
      </w:pPr>
      <w:r>
        <w:t xml:space="preserve">As a result, </w:t>
      </w:r>
      <w:r w:rsidR="00A34400">
        <w:t xml:space="preserve">Australia has decided </w:t>
      </w:r>
      <w:r>
        <w:t>not to</w:t>
      </w:r>
      <w:r w:rsidR="00A34400">
        <w:t xml:space="preserve"> invest</w:t>
      </w:r>
      <w:r>
        <w:t xml:space="preserve"> directly</w:t>
      </w:r>
      <w:r w:rsidR="00A34400">
        <w:t xml:space="preserve"> in PEDP4</w:t>
      </w:r>
      <w:r>
        <w:t xml:space="preserve"> </w:t>
      </w:r>
      <w:r w:rsidR="00EF08D8">
        <w:t>but</w:t>
      </w:r>
      <w:r w:rsidR="00A34400">
        <w:t xml:space="preserve"> remains committed to supporting the Government’s </w:t>
      </w:r>
      <w:proofErr w:type="spellStart"/>
      <w:r w:rsidR="00A34400">
        <w:t>prioritisation</w:t>
      </w:r>
      <w:proofErr w:type="spellEnd"/>
      <w:r w:rsidR="00A34400">
        <w:t xml:space="preserve"> in national development plans</w:t>
      </w:r>
      <w:r w:rsidR="00EF08D8">
        <w:t>.</w:t>
      </w:r>
      <w:r w:rsidR="00A34400">
        <w:t xml:space="preserve"> </w:t>
      </w:r>
      <w:r w:rsidRPr="001343DB">
        <w:t xml:space="preserve">PEDP4 will continue in its original form, noting </w:t>
      </w:r>
      <w:r w:rsidRPr="001343DB">
        <w:lastRenderedPageBreak/>
        <w:t>multilateral donors and the Government have met the required funding needs</w:t>
      </w:r>
      <w:r w:rsidRPr="00430C1E">
        <w:t>.</w:t>
      </w:r>
      <w:r>
        <w:t xml:space="preserve"> </w:t>
      </w:r>
      <w:r w:rsidR="00A34400">
        <w:t xml:space="preserve"> Australia will explore</w:t>
      </w:r>
      <w:r>
        <w:t xml:space="preserve"> new</w:t>
      </w:r>
      <w:r w:rsidR="00A34400">
        <w:t xml:space="preserve"> opportunities to engage in education and skills development in a more targeted way, focusing on gaps where we can influence and make a difference (identified as </w:t>
      </w:r>
      <w:r w:rsidR="00A34400" w:rsidRPr="007D2538">
        <w:rPr>
          <w:b/>
        </w:rPr>
        <w:t>a Management Action</w:t>
      </w:r>
      <w:r w:rsidR="00A34400">
        <w:rPr>
          <w:b/>
        </w:rPr>
        <w:t xml:space="preserve"> for 2018-19</w:t>
      </w:r>
      <w:r w:rsidR="00A34400">
        <w:t xml:space="preserve">, refer to </w:t>
      </w:r>
      <w:proofErr w:type="spellStart"/>
      <w:r w:rsidR="00A34400">
        <w:t>Pg</w:t>
      </w:r>
      <w:proofErr w:type="spellEnd"/>
      <w:r w:rsidR="00A34400">
        <w:t xml:space="preserve"> 20). We will continue to complement the Government’s education initiatives through our support to the non-formal primary education sector through BRAC</w:t>
      </w:r>
      <w:r w:rsidR="00EF08D8">
        <w:t xml:space="preserve"> to support</w:t>
      </w:r>
      <w:r w:rsidR="00A34400">
        <w:t xml:space="preserve"> children who face challenges accessing government schools. </w:t>
      </w:r>
      <w:r w:rsidR="00EF08D8">
        <w:t>We will also remain engaged with Government through local donor- government education consultative mechanisms.</w:t>
      </w:r>
    </w:p>
    <w:p w14:paraId="497226F2" w14:textId="77777777" w:rsidR="00A34400" w:rsidRDefault="00A34400" w:rsidP="00A34400">
      <w:pPr>
        <w:pStyle w:val="BodyA"/>
        <w:spacing w:before="240" w:line="240" w:lineRule="auto"/>
        <w:rPr>
          <w:b/>
          <w:bCs/>
        </w:rPr>
      </w:pPr>
      <w:r w:rsidRPr="006A40BA">
        <w:rPr>
          <w:b/>
          <w:bCs/>
        </w:rPr>
        <w:t>Outcome 1: More girls and boys attain improved literary, numeracy and the core competencies identified at each level of primary education.</w:t>
      </w:r>
    </w:p>
    <w:p w14:paraId="3B4CF6B1" w14:textId="0A8BC817" w:rsidR="00A34400" w:rsidRPr="006A40BA" w:rsidRDefault="00A34400" w:rsidP="00A34400">
      <w:pPr>
        <w:pStyle w:val="BodyA"/>
        <w:spacing w:before="240" w:line="240" w:lineRule="auto"/>
        <w:rPr>
          <w:b/>
          <w:bCs/>
        </w:rPr>
      </w:pPr>
      <w:r w:rsidRPr="00270CDF">
        <w:t xml:space="preserve">Australia’s contribution </w:t>
      </w:r>
      <w:r>
        <w:t xml:space="preserve">to PEDP3 in this outcome area was </w:t>
      </w:r>
      <w:r w:rsidRPr="00270CDF">
        <w:t xml:space="preserve">targeted </w:t>
      </w:r>
      <w:r>
        <w:t>at</w:t>
      </w:r>
      <w:r w:rsidRPr="00270CDF">
        <w:t xml:space="preserve"> improving education quality</w:t>
      </w:r>
      <w:r>
        <w:t xml:space="preserve"> and learning outcomes</w:t>
      </w:r>
      <w:r w:rsidRPr="00270CDF">
        <w:t xml:space="preserve"> through </w:t>
      </w:r>
      <w:r>
        <w:t xml:space="preserve">teaching materials and </w:t>
      </w:r>
      <w:r w:rsidR="0070115F">
        <w:t xml:space="preserve">through </w:t>
      </w:r>
      <w:r w:rsidRPr="00270CDF">
        <w:t>teach</w:t>
      </w:r>
      <w:r>
        <w:t>ing and assessment methodologies</w:t>
      </w:r>
      <w:r w:rsidRPr="00270CDF">
        <w:t>. In 2017-18,</w:t>
      </w:r>
      <w:r w:rsidRPr="00270CDF">
        <w:rPr>
          <w:b/>
          <w:bCs/>
        </w:rPr>
        <w:t xml:space="preserve"> </w:t>
      </w:r>
      <w:r w:rsidRPr="00270CDF">
        <w:t xml:space="preserve">the key focus of our support was to work with the Government of Bangladesh and other donors to </w:t>
      </w:r>
      <w:proofErr w:type="spellStart"/>
      <w:r w:rsidRPr="00270CDF">
        <w:t>finalise</w:t>
      </w:r>
      <w:proofErr w:type="spellEnd"/>
      <w:r w:rsidRPr="00270CDF">
        <w:t xml:space="preserve"> the evidence and analysis to inform the next phase of the Government’s primary education sec</w:t>
      </w:r>
      <w:r>
        <w:t>tor wide program (PEDP4) commencing</w:t>
      </w:r>
      <w:r w:rsidRPr="00270CDF">
        <w:t xml:space="preserve"> on 1 July 2018. </w:t>
      </w:r>
      <w:r>
        <w:t xml:space="preserve"> While we were successful in generating an evidence base from PEDP3, we were not able to secure the improvements we anticipated in </w:t>
      </w:r>
      <w:r w:rsidR="00EF08D8">
        <w:t xml:space="preserve">the </w:t>
      </w:r>
      <w:r>
        <w:t xml:space="preserve">PEDP4 </w:t>
      </w:r>
      <w:r w:rsidR="00EF08D8">
        <w:t xml:space="preserve">design </w:t>
      </w:r>
      <w:r>
        <w:t xml:space="preserve">in all areas.  </w:t>
      </w:r>
    </w:p>
    <w:p w14:paraId="12A0C9E8" w14:textId="77777777" w:rsidR="00A34400" w:rsidRDefault="00A34400" w:rsidP="00A34400">
      <w:pPr>
        <w:suppressAutoHyphens/>
        <w:spacing w:before="240" w:after="60"/>
        <w:rPr>
          <w:rFonts w:asciiTheme="minorHAnsi" w:eastAsia="Calibri Light" w:hAnsiTheme="minorHAnsi" w:cs="Calibri Light"/>
          <w:color w:val="495965"/>
          <w:sz w:val="22"/>
          <w:szCs w:val="22"/>
          <w:u w:color="000000"/>
          <w:lang w:eastAsia="en-AU"/>
        </w:rPr>
      </w:pPr>
      <w:r w:rsidRPr="003C006E">
        <w:rPr>
          <w:rFonts w:ascii="Calibri Light" w:eastAsia="Calibri Light" w:hAnsi="Calibri Light" w:cs="Calibri Light"/>
          <w:b/>
          <w:color w:val="495965"/>
          <w:sz w:val="22"/>
          <w:szCs w:val="22"/>
          <w:u w:color="495965"/>
          <w:lang w:eastAsia="en-AU"/>
        </w:rPr>
        <w:t>O</w:t>
      </w:r>
      <w:r w:rsidRPr="003C006E">
        <w:rPr>
          <w:rFonts w:ascii="Calibri Light" w:eastAsia="Calibri Light" w:hAnsi="Calibri Light" w:cs="Calibri Light"/>
          <w:b/>
          <w:color w:val="495965"/>
          <w:sz w:val="22"/>
          <w:szCs w:val="22"/>
          <w:u w:color="000000"/>
          <w:lang w:eastAsia="en-AU"/>
        </w:rPr>
        <w:t xml:space="preserve">f </w:t>
      </w:r>
      <w:r w:rsidRPr="003C006E">
        <w:rPr>
          <w:rFonts w:asciiTheme="minorHAnsi" w:eastAsia="Calibri Light" w:hAnsiTheme="minorHAnsi" w:cs="Calibri Light"/>
          <w:b/>
          <w:color w:val="495965"/>
          <w:sz w:val="22"/>
          <w:szCs w:val="22"/>
          <w:u w:color="000000"/>
          <w:lang w:eastAsia="en-AU"/>
        </w:rPr>
        <w:t>the related three PAF targets for 2017/18, two were met and one partially met</w:t>
      </w:r>
      <w:r>
        <w:rPr>
          <w:rFonts w:asciiTheme="minorHAnsi" w:eastAsia="Calibri Light" w:hAnsiTheme="minorHAnsi" w:cs="Calibri Light"/>
          <w:color w:val="495965"/>
          <w:sz w:val="22"/>
          <w:szCs w:val="22"/>
          <w:u w:color="000000"/>
          <w:lang w:eastAsia="en-AU"/>
        </w:rPr>
        <w:t>:</w:t>
      </w:r>
    </w:p>
    <w:p w14:paraId="3D6E8872" w14:textId="73F08C90" w:rsidR="00A34400" w:rsidRDefault="00A34400" w:rsidP="00A34400">
      <w:pPr>
        <w:pStyle w:val="ListParagraph"/>
        <w:numPr>
          <w:ilvl w:val="0"/>
          <w:numId w:val="28"/>
        </w:numPr>
        <w:spacing w:before="120" w:after="60"/>
        <w:rPr>
          <w:rFonts w:ascii="Calibri Light" w:eastAsia="Calibri Light" w:hAnsi="Calibri Light" w:cs="Calibri Light"/>
          <w:color w:val="495965"/>
          <w:sz w:val="22"/>
          <w:szCs w:val="22"/>
          <w:u w:color="495965"/>
          <w:lang w:eastAsia="en-AU"/>
        </w:rPr>
      </w:pPr>
      <w:r w:rsidRPr="00766E37">
        <w:rPr>
          <w:rFonts w:asciiTheme="minorHAnsi" w:eastAsia="Calibri Light" w:hAnsiTheme="minorHAnsi" w:cs="Calibri Light"/>
          <w:color w:val="495965"/>
          <w:sz w:val="22"/>
          <w:szCs w:val="22"/>
          <w:u w:color="495965"/>
          <w:lang w:eastAsia="en-AU"/>
        </w:rPr>
        <w:t xml:space="preserve">The planned review of the </w:t>
      </w:r>
      <w:r w:rsidRPr="00766E37">
        <w:rPr>
          <w:rFonts w:asciiTheme="minorHAnsi" w:eastAsia="Calibri Light" w:hAnsiTheme="minorHAnsi"/>
          <w:color w:val="495965"/>
          <w:sz w:val="22"/>
          <w:szCs w:val="22"/>
          <w:u w:color="495965"/>
          <w:lang w:eastAsia="en-AU"/>
        </w:rPr>
        <w:t xml:space="preserve">curriculum and learning materials was </w:t>
      </w:r>
      <w:r>
        <w:rPr>
          <w:rFonts w:asciiTheme="minorHAnsi" w:eastAsia="Calibri Light" w:hAnsiTheme="minorHAnsi"/>
          <w:color w:val="495965"/>
          <w:sz w:val="22"/>
          <w:szCs w:val="22"/>
          <w:u w:color="495965"/>
          <w:lang w:eastAsia="en-AU"/>
        </w:rPr>
        <w:t>undertaken</w:t>
      </w:r>
      <w:r w:rsidRPr="00766E37">
        <w:rPr>
          <w:rFonts w:asciiTheme="minorHAnsi" w:eastAsia="Calibri Light" w:hAnsiTheme="minorHAnsi"/>
          <w:color w:val="495965"/>
          <w:sz w:val="22"/>
          <w:szCs w:val="22"/>
          <w:u w:color="495965"/>
          <w:lang w:eastAsia="en-AU"/>
        </w:rPr>
        <w:t xml:space="preserve"> in </w:t>
      </w:r>
      <w:r w:rsidRPr="00766E37">
        <w:rPr>
          <w:rFonts w:asciiTheme="minorHAnsi" w:eastAsia="Calibri Light" w:hAnsiTheme="minorHAnsi"/>
          <w:b/>
          <w:color w:val="495965"/>
          <w:sz w:val="22"/>
          <w:szCs w:val="22"/>
          <w:u w:color="495965"/>
          <w:lang w:eastAsia="en-AU"/>
        </w:rPr>
        <w:t>line with the PAF target</w:t>
      </w:r>
      <w:r>
        <w:rPr>
          <w:rFonts w:asciiTheme="minorHAnsi" w:eastAsia="Calibri Light" w:hAnsiTheme="minorHAnsi"/>
          <w:color w:val="495965"/>
          <w:sz w:val="22"/>
          <w:szCs w:val="22"/>
          <w:u w:color="495965"/>
          <w:lang w:eastAsia="en-AU"/>
        </w:rPr>
        <w:t>, and resulted in the Government</w:t>
      </w:r>
      <w:r w:rsidRPr="00330739">
        <w:rPr>
          <w:rFonts w:asciiTheme="minorHAnsi" w:eastAsia="Calibri Light" w:hAnsiTheme="minorHAnsi"/>
          <w:color w:val="495965"/>
          <w:sz w:val="22"/>
          <w:szCs w:val="22"/>
          <w:u w:color="495965"/>
          <w:lang w:eastAsia="en-AU"/>
        </w:rPr>
        <w:t>’s commitment to strengthen learning materials in PEDP4</w:t>
      </w:r>
      <w:r w:rsidRPr="00766E37">
        <w:rPr>
          <w:rFonts w:asciiTheme="minorHAnsi" w:eastAsia="Calibri Light" w:hAnsiTheme="minorHAnsi"/>
          <w:color w:val="495965"/>
          <w:sz w:val="22"/>
          <w:szCs w:val="22"/>
          <w:u w:color="495965"/>
          <w:lang w:eastAsia="en-AU"/>
        </w:rPr>
        <w:t xml:space="preserve">. </w:t>
      </w:r>
      <w:r w:rsidRPr="00766E37">
        <w:rPr>
          <w:rFonts w:ascii="Calibri Light" w:eastAsia="Calibri Light" w:hAnsi="Calibri Light" w:cs="Calibri Light"/>
          <w:color w:val="495965"/>
          <w:sz w:val="22"/>
          <w:szCs w:val="22"/>
          <w:u w:color="495965"/>
          <w:lang w:eastAsia="en-AU"/>
        </w:rPr>
        <w:t xml:space="preserve">This will build on the </w:t>
      </w:r>
      <w:r w:rsidRPr="00C348EB">
        <w:rPr>
          <w:rFonts w:ascii="Calibri Light" w:eastAsia="Calibri Light" w:hAnsi="Calibri Light" w:cs="Calibri Light"/>
          <w:color w:val="495965"/>
          <w:sz w:val="22"/>
          <w:szCs w:val="22"/>
          <w:u w:color="495965"/>
          <w:lang w:eastAsia="en-AU"/>
        </w:rPr>
        <w:t xml:space="preserve">curriculum revision and textbook development </w:t>
      </w:r>
      <w:r w:rsidRPr="00766E37">
        <w:rPr>
          <w:rFonts w:ascii="Calibri Light" w:eastAsia="Calibri Light" w:hAnsi="Calibri Light" w:cs="Calibri Light"/>
          <w:color w:val="495965"/>
          <w:sz w:val="22"/>
          <w:szCs w:val="22"/>
          <w:u w:color="495965"/>
          <w:lang w:eastAsia="en-AU"/>
        </w:rPr>
        <w:t xml:space="preserve">for all five grades, and improvements in textbook distribution (99 per cent of schools received free books </w:t>
      </w:r>
      <w:r>
        <w:rPr>
          <w:rFonts w:ascii="Calibri Light" w:eastAsia="Calibri Light" w:hAnsi="Calibri Light" w:cs="Calibri Light"/>
          <w:color w:val="495965"/>
          <w:sz w:val="22"/>
          <w:szCs w:val="22"/>
          <w:u w:color="495965"/>
          <w:lang w:eastAsia="en-AU"/>
        </w:rPr>
        <w:t xml:space="preserve">within a month of school opening </w:t>
      </w:r>
      <w:r w:rsidRPr="00766E37">
        <w:rPr>
          <w:rFonts w:ascii="Calibri Light" w:eastAsia="Calibri Light" w:hAnsi="Calibri Light" w:cs="Calibri Light"/>
          <w:color w:val="495965"/>
          <w:sz w:val="22"/>
          <w:szCs w:val="22"/>
          <w:u w:color="495965"/>
          <w:lang w:eastAsia="en-AU"/>
        </w:rPr>
        <w:t>in</w:t>
      </w:r>
      <w:r>
        <w:rPr>
          <w:rFonts w:ascii="Calibri Light" w:eastAsia="Calibri Light" w:hAnsi="Calibri Light" w:cs="Calibri Light"/>
          <w:color w:val="495965"/>
          <w:sz w:val="22"/>
          <w:szCs w:val="22"/>
          <w:u w:color="495965"/>
          <w:lang w:eastAsia="en-AU"/>
        </w:rPr>
        <w:t xml:space="preserve"> 2017</w:t>
      </w:r>
      <w:r w:rsidRPr="00766E37">
        <w:rPr>
          <w:rFonts w:ascii="Calibri Light" w:eastAsia="Calibri Light" w:hAnsi="Calibri Light" w:cs="Calibri Light"/>
          <w:color w:val="495965"/>
          <w:sz w:val="22"/>
          <w:szCs w:val="22"/>
          <w:u w:color="495965"/>
          <w:lang w:eastAsia="en-AU"/>
        </w:rPr>
        <w:t xml:space="preserve"> </w:t>
      </w:r>
      <w:r w:rsidR="00EF08D8">
        <w:rPr>
          <w:rFonts w:ascii="Calibri Light" w:eastAsia="Calibri Light" w:hAnsi="Calibri Light" w:cs="Calibri Light"/>
          <w:color w:val="495965"/>
          <w:sz w:val="22"/>
          <w:szCs w:val="22"/>
          <w:u w:color="495965"/>
          <w:lang w:eastAsia="en-AU"/>
        </w:rPr>
        <w:t>c</w:t>
      </w:r>
      <w:r w:rsidRPr="00005312">
        <w:rPr>
          <w:rFonts w:ascii="Calibri Light" w:eastAsia="Calibri Light" w:hAnsi="Calibri Light" w:cs="Calibri Light"/>
          <w:color w:val="495965"/>
          <w:sz w:val="22"/>
          <w:szCs w:val="22"/>
          <w:u w:color="495965"/>
          <w:lang w:eastAsia="en-AU"/>
        </w:rPr>
        <w:t>ompared</w:t>
      </w:r>
      <w:r>
        <w:rPr>
          <w:rFonts w:ascii="Calibri Light" w:eastAsia="Calibri Light" w:hAnsi="Calibri Light" w:cs="Calibri Light"/>
          <w:color w:val="495965"/>
          <w:sz w:val="22"/>
          <w:szCs w:val="22"/>
          <w:u w:color="495965"/>
          <w:lang w:eastAsia="en-AU"/>
        </w:rPr>
        <w:t xml:space="preserve"> to a third in 2010) achieved in PEDP3</w:t>
      </w:r>
      <w:r w:rsidR="00EF08D8">
        <w:rPr>
          <w:rStyle w:val="FootnoteReference"/>
          <w:rFonts w:ascii="Calibri Light" w:eastAsia="Calibri Light" w:hAnsi="Calibri Light" w:cs="Calibri Light"/>
          <w:color w:val="495965"/>
          <w:sz w:val="22"/>
          <w:szCs w:val="22"/>
          <w:u w:color="495965"/>
          <w:lang w:eastAsia="en-AU"/>
        </w:rPr>
        <w:footnoteReference w:id="17"/>
      </w:r>
      <w:r w:rsidRPr="00766E37">
        <w:rPr>
          <w:rFonts w:ascii="Calibri Light" w:eastAsia="Calibri Light" w:hAnsi="Calibri Light" w:cs="Calibri Light"/>
          <w:color w:val="495965"/>
          <w:sz w:val="22"/>
          <w:szCs w:val="22"/>
          <w:u w:color="495965"/>
          <w:lang w:eastAsia="en-AU"/>
        </w:rPr>
        <w:t xml:space="preserve">. </w:t>
      </w:r>
    </w:p>
    <w:p w14:paraId="54755BF9" w14:textId="77777777" w:rsidR="00A34400" w:rsidRPr="00766E37" w:rsidRDefault="00A34400" w:rsidP="00A34400">
      <w:pPr>
        <w:pStyle w:val="ListParagraph"/>
        <w:spacing w:before="120" w:after="60"/>
        <w:ind w:left="360"/>
        <w:rPr>
          <w:rFonts w:ascii="Calibri Light" w:eastAsia="Calibri Light" w:hAnsi="Calibri Light" w:cs="Calibri Light"/>
          <w:color w:val="495965"/>
          <w:sz w:val="22"/>
          <w:szCs w:val="22"/>
          <w:u w:color="495965"/>
          <w:lang w:eastAsia="en-AU"/>
        </w:rPr>
      </w:pPr>
    </w:p>
    <w:p w14:paraId="35564223" w14:textId="70553981" w:rsidR="00A34400" w:rsidRPr="0059124D" w:rsidRDefault="00A34400" w:rsidP="00A34400">
      <w:pPr>
        <w:pStyle w:val="ListParagraph"/>
        <w:numPr>
          <w:ilvl w:val="0"/>
          <w:numId w:val="27"/>
        </w:numPr>
        <w:suppressAutoHyphens/>
        <w:spacing w:before="60" w:after="60"/>
        <w:rPr>
          <w:rFonts w:ascii="Calibri Light" w:eastAsia="Calibri Light" w:hAnsi="Calibri Light" w:cs="Calibri Light"/>
          <w:b/>
          <w:color w:val="495965"/>
          <w:sz w:val="22"/>
          <w:szCs w:val="22"/>
          <w:u w:color="495965"/>
          <w:lang w:eastAsia="en-AU"/>
        </w:rPr>
      </w:pPr>
      <w:r w:rsidRPr="00766E37">
        <w:rPr>
          <w:rFonts w:asciiTheme="minorHAnsi" w:eastAsia="Calibri Light" w:hAnsiTheme="minorHAnsi" w:cs="Calibri Light"/>
          <w:color w:val="495965"/>
          <w:sz w:val="22"/>
          <w:szCs w:val="22"/>
          <w:u w:color="495965"/>
          <w:lang w:eastAsia="en-AU"/>
        </w:rPr>
        <w:t>A review</w:t>
      </w:r>
      <w:r w:rsidRPr="004C5661">
        <w:rPr>
          <w:rFonts w:ascii="Calibri Light" w:eastAsia="Calibri Light" w:hAnsi="Calibri Light" w:cs="Calibri Light"/>
          <w:color w:val="495965"/>
          <w:sz w:val="22"/>
          <w:szCs w:val="22"/>
          <w:u w:color="495965"/>
          <w:lang w:eastAsia="en-AU"/>
        </w:rPr>
        <w:t xml:space="preserve"> of the Each Child Learns p</w:t>
      </w:r>
      <w:r>
        <w:rPr>
          <w:rFonts w:ascii="Calibri Light" w:eastAsia="Calibri Light" w:hAnsi="Calibri Light" w:cs="Calibri Light"/>
          <w:color w:val="495965"/>
          <w:sz w:val="22"/>
          <w:szCs w:val="22"/>
          <w:u w:color="495965"/>
          <w:lang w:eastAsia="en-AU"/>
        </w:rPr>
        <w:t>ilot funded by Australia</w:t>
      </w:r>
      <w:r w:rsidRPr="004C5661">
        <w:rPr>
          <w:rFonts w:ascii="Calibri Light" w:eastAsia="Calibri Light" w:hAnsi="Calibri Light" w:cs="Calibri Light"/>
          <w:color w:val="495965"/>
          <w:sz w:val="22"/>
          <w:szCs w:val="22"/>
          <w:u w:color="495965"/>
          <w:lang w:eastAsia="en-AU"/>
        </w:rPr>
        <w:t xml:space="preserve"> was </w:t>
      </w:r>
      <w:proofErr w:type="spellStart"/>
      <w:r w:rsidRPr="004C5661">
        <w:rPr>
          <w:rFonts w:ascii="Calibri Light" w:eastAsia="Calibri Light" w:hAnsi="Calibri Light" w:cs="Calibri Light"/>
          <w:color w:val="495965"/>
          <w:sz w:val="22"/>
          <w:szCs w:val="22"/>
          <w:u w:color="495965"/>
          <w:lang w:eastAsia="en-AU"/>
        </w:rPr>
        <w:t>finalised</w:t>
      </w:r>
      <w:proofErr w:type="spellEnd"/>
      <w:r w:rsidRPr="004C5661">
        <w:rPr>
          <w:rFonts w:ascii="Calibri Light" w:eastAsia="Calibri Light" w:hAnsi="Calibri Light" w:cs="Calibri Light"/>
          <w:color w:val="495965"/>
          <w:sz w:val="22"/>
          <w:szCs w:val="22"/>
          <w:u w:color="495965"/>
          <w:lang w:eastAsia="en-AU"/>
        </w:rPr>
        <w:t xml:space="preserve"> and provided useful information for PEDP4 planning. </w:t>
      </w:r>
      <w:r w:rsidRPr="00766E37">
        <w:rPr>
          <w:rFonts w:asciiTheme="minorHAnsi" w:eastAsia="Calibri Light" w:hAnsiTheme="minorHAnsi"/>
          <w:color w:val="495965"/>
          <w:sz w:val="22"/>
          <w:szCs w:val="22"/>
          <w:u w:color="495965"/>
          <w:lang w:eastAsia="en-AU"/>
        </w:rPr>
        <w:t xml:space="preserve">Australia </w:t>
      </w:r>
      <w:proofErr w:type="spellStart"/>
      <w:r>
        <w:rPr>
          <w:rFonts w:asciiTheme="minorHAnsi" w:eastAsia="Calibri Light" w:hAnsiTheme="minorHAnsi"/>
          <w:color w:val="495965"/>
          <w:sz w:val="22"/>
          <w:szCs w:val="22"/>
          <w:u w:color="495965"/>
          <w:lang w:eastAsia="en-AU"/>
        </w:rPr>
        <w:t>utilis</w:t>
      </w:r>
      <w:r w:rsidRPr="00766E37">
        <w:rPr>
          <w:rFonts w:asciiTheme="minorHAnsi" w:eastAsia="Calibri Light" w:hAnsiTheme="minorHAnsi"/>
          <w:color w:val="495965"/>
          <w:sz w:val="22"/>
          <w:szCs w:val="22"/>
          <w:u w:color="495965"/>
          <w:lang w:eastAsia="en-AU"/>
        </w:rPr>
        <w:t>ed</w:t>
      </w:r>
      <w:proofErr w:type="spellEnd"/>
      <w:r w:rsidRPr="00766E37">
        <w:rPr>
          <w:rFonts w:asciiTheme="minorHAnsi" w:eastAsia="Calibri Light" w:hAnsiTheme="minorHAnsi"/>
          <w:color w:val="495965"/>
          <w:sz w:val="22"/>
          <w:szCs w:val="22"/>
          <w:u w:color="495965"/>
          <w:lang w:eastAsia="en-AU"/>
        </w:rPr>
        <w:t xml:space="preserve"> findings to fund a design paper on literacy</w:t>
      </w:r>
      <w:r w:rsidRPr="00766E37">
        <w:rPr>
          <w:rFonts w:asciiTheme="minorHAnsi" w:eastAsia="Calibri Light" w:hAnsiTheme="minorHAnsi" w:cs="Calibri Light"/>
          <w:color w:val="495965"/>
          <w:sz w:val="22"/>
          <w:szCs w:val="22"/>
          <w:u w:color="495965"/>
          <w:lang w:eastAsia="en-AU"/>
        </w:rPr>
        <w:t xml:space="preserve"> and numeracy to drive quality and learning outcomes </w:t>
      </w:r>
      <w:r>
        <w:rPr>
          <w:rFonts w:asciiTheme="minorHAnsi" w:eastAsia="Calibri Light" w:hAnsiTheme="minorHAnsi" w:cs="Calibri Light"/>
          <w:color w:val="495965"/>
          <w:sz w:val="22"/>
          <w:szCs w:val="22"/>
          <w:u w:color="495965"/>
          <w:lang w:eastAsia="en-AU"/>
        </w:rPr>
        <w:t>in</w:t>
      </w:r>
      <w:r w:rsidRPr="00766E37">
        <w:rPr>
          <w:rFonts w:asciiTheme="minorHAnsi" w:eastAsia="Calibri Light" w:hAnsiTheme="minorHAnsi" w:cs="Calibri Light"/>
          <w:color w:val="495965"/>
          <w:sz w:val="22"/>
          <w:szCs w:val="22"/>
          <w:u w:color="495965"/>
          <w:lang w:eastAsia="en-AU"/>
        </w:rPr>
        <w:t xml:space="preserve"> the new phase</w:t>
      </w:r>
      <w:r w:rsidRPr="0059124D">
        <w:rPr>
          <w:rFonts w:asciiTheme="minorHAnsi" w:eastAsia="Calibri Light" w:hAnsiTheme="minorHAnsi" w:cs="Calibri Light"/>
          <w:color w:val="495965"/>
          <w:sz w:val="22"/>
          <w:szCs w:val="22"/>
          <w:u w:color="495965"/>
          <w:lang w:eastAsia="en-AU"/>
        </w:rPr>
        <w:t xml:space="preserve">. </w:t>
      </w:r>
      <w:r>
        <w:rPr>
          <w:rFonts w:ascii="Calibri Light" w:eastAsia="Calibri Light" w:hAnsi="Calibri Light" w:cs="Calibri Light"/>
          <w:color w:val="495965"/>
          <w:sz w:val="22"/>
          <w:szCs w:val="22"/>
          <w:u w:color="495965"/>
          <w:lang w:eastAsia="en-AU"/>
        </w:rPr>
        <w:t>However, the pilot</w:t>
      </w:r>
      <w:r w:rsidRPr="0059124D">
        <w:rPr>
          <w:rFonts w:ascii="Calibri Light" w:eastAsia="Calibri Light" w:hAnsi="Calibri Light" w:cs="Calibri Light"/>
          <w:color w:val="495965"/>
          <w:sz w:val="22"/>
          <w:szCs w:val="22"/>
          <w:u w:color="495965"/>
          <w:lang w:eastAsia="en-AU"/>
        </w:rPr>
        <w:t xml:space="preserve"> findings weren’t fully incorporated into the final PEDP4 Design Document as planned, </w:t>
      </w:r>
      <w:r w:rsidRPr="0059124D">
        <w:rPr>
          <w:rFonts w:ascii="Calibri Light" w:eastAsia="Calibri Light" w:hAnsi="Calibri Light" w:cs="Calibri Light"/>
          <w:b/>
          <w:color w:val="495965"/>
          <w:sz w:val="22"/>
          <w:szCs w:val="22"/>
          <w:u w:color="495965"/>
          <w:lang w:eastAsia="en-AU"/>
        </w:rPr>
        <w:t xml:space="preserve">partially achieving the PAF </w:t>
      </w:r>
      <w:r>
        <w:rPr>
          <w:rFonts w:ascii="Calibri Light" w:eastAsia="Calibri Light" w:hAnsi="Calibri Light" w:cs="Calibri Light"/>
          <w:b/>
          <w:color w:val="495965"/>
          <w:sz w:val="22"/>
          <w:szCs w:val="22"/>
          <w:u w:color="495965"/>
          <w:lang w:eastAsia="en-AU"/>
        </w:rPr>
        <w:t>target</w:t>
      </w:r>
      <w:r w:rsidRPr="0059124D">
        <w:rPr>
          <w:rFonts w:ascii="Calibri Light" w:eastAsia="Calibri Light" w:hAnsi="Calibri Light" w:cs="Calibri Light"/>
          <w:b/>
          <w:color w:val="495965"/>
          <w:sz w:val="22"/>
          <w:szCs w:val="22"/>
          <w:u w:color="495965"/>
          <w:lang w:eastAsia="en-AU"/>
        </w:rPr>
        <w:t>.</w:t>
      </w:r>
      <w:r w:rsidRPr="0059124D">
        <w:rPr>
          <w:rFonts w:ascii="Calibri Light" w:eastAsia="Calibri Light" w:hAnsi="Calibri Light" w:cs="Calibri Light"/>
          <w:color w:val="495965"/>
          <w:sz w:val="22"/>
          <w:szCs w:val="22"/>
          <w:u w:color="495965"/>
          <w:lang w:eastAsia="en-AU"/>
        </w:rPr>
        <w:t xml:space="preserve">  </w:t>
      </w:r>
    </w:p>
    <w:p w14:paraId="49341B05" w14:textId="77777777" w:rsidR="00A34400" w:rsidRPr="00766E37" w:rsidRDefault="00A34400" w:rsidP="00A34400">
      <w:pPr>
        <w:pStyle w:val="ListParagraph"/>
        <w:suppressAutoHyphens/>
        <w:spacing w:before="60" w:after="60"/>
        <w:ind w:left="360"/>
        <w:rPr>
          <w:rFonts w:ascii="Calibri Light" w:eastAsia="Calibri Light" w:hAnsi="Calibri Light" w:cs="Calibri Light"/>
          <w:b/>
          <w:color w:val="495965"/>
          <w:sz w:val="22"/>
          <w:szCs w:val="22"/>
          <w:u w:color="495965"/>
          <w:lang w:eastAsia="en-AU"/>
        </w:rPr>
      </w:pPr>
    </w:p>
    <w:p w14:paraId="6EFD74A4" w14:textId="77777777" w:rsidR="00A34400" w:rsidRDefault="00A34400" w:rsidP="00A34400">
      <w:pPr>
        <w:pStyle w:val="ListParagraph"/>
        <w:numPr>
          <w:ilvl w:val="0"/>
          <w:numId w:val="27"/>
        </w:numPr>
        <w:suppressAutoHyphens/>
        <w:spacing w:before="60" w:after="60"/>
        <w:rPr>
          <w:rFonts w:ascii="Calibri Light" w:eastAsia="Calibri Light" w:hAnsi="Calibri Light" w:cs="Calibri Light"/>
          <w:b/>
          <w:color w:val="495965"/>
          <w:sz w:val="22"/>
          <w:szCs w:val="22"/>
          <w:u w:color="495965"/>
          <w:lang w:eastAsia="en-AU"/>
        </w:rPr>
      </w:pPr>
      <w:r w:rsidRPr="00766E37">
        <w:rPr>
          <w:rFonts w:ascii="Calibri Light" w:eastAsia="Calibri Light" w:hAnsi="Calibri Light" w:cs="Calibri Light"/>
          <w:color w:val="495965"/>
          <w:sz w:val="22"/>
          <w:szCs w:val="22"/>
          <w:u w:color="495965"/>
          <w:lang w:eastAsia="en-AU"/>
        </w:rPr>
        <w:t>The Primary Education Completi</w:t>
      </w:r>
      <w:r>
        <w:rPr>
          <w:rFonts w:ascii="Calibri Light" w:eastAsia="Calibri Light" w:hAnsi="Calibri Light" w:cs="Calibri Light"/>
          <w:color w:val="495965"/>
          <w:sz w:val="22"/>
          <w:szCs w:val="22"/>
          <w:u w:color="495965"/>
          <w:lang w:eastAsia="en-AU"/>
        </w:rPr>
        <w:t>on Exam (PECE)</w:t>
      </w:r>
      <w:r w:rsidRPr="00766E37">
        <w:rPr>
          <w:rFonts w:ascii="Calibri Light" w:eastAsia="Calibri Light" w:hAnsi="Calibri Light" w:cs="Calibri Light"/>
          <w:color w:val="495965"/>
          <w:sz w:val="22"/>
          <w:szCs w:val="22"/>
          <w:u w:color="495965"/>
          <w:lang w:eastAsia="en-AU"/>
        </w:rPr>
        <w:t xml:space="preserve"> was transformed with 65 per cent of questions in the 2017 Grade 5 completion exam now competency based, moving away from rote learning -</w:t>
      </w:r>
      <w:r>
        <w:rPr>
          <w:rFonts w:ascii="Calibri Light" w:eastAsia="Calibri Light" w:hAnsi="Calibri Light" w:cs="Calibri Light"/>
          <w:color w:val="495965"/>
          <w:sz w:val="22"/>
          <w:szCs w:val="22"/>
          <w:u w:color="495965"/>
          <w:lang w:eastAsia="en-AU"/>
        </w:rPr>
        <w:t xml:space="preserve"> </w:t>
      </w:r>
      <w:r w:rsidRPr="00766E37">
        <w:rPr>
          <w:rFonts w:ascii="Calibri Light" w:eastAsia="Calibri Light" w:hAnsi="Calibri Light" w:cs="Calibri Light"/>
          <w:b/>
          <w:color w:val="495965"/>
          <w:sz w:val="22"/>
          <w:szCs w:val="22"/>
          <w:u w:color="495965"/>
          <w:lang w:eastAsia="en-AU"/>
        </w:rPr>
        <w:t>in l</w:t>
      </w:r>
      <w:r>
        <w:rPr>
          <w:rFonts w:ascii="Calibri Light" w:eastAsia="Calibri Light" w:hAnsi="Calibri Light" w:cs="Calibri Light"/>
          <w:b/>
          <w:color w:val="495965"/>
          <w:sz w:val="22"/>
          <w:szCs w:val="22"/>
          <w:u w:color="495965"/>
          <w:lang w:eastAsia="en-AU"/>
        </w:rPr>
        <w:t>ine with the PAF and PB target.</w:t>
      </w:r>
    </w:p>
    <w:p w14:paraId="0C70B204" w14:textId="77777777" w:rsidR="00A34400" w:rsidRPr="00FB31D4" w:rsidRDefault="00A34400" w:rsidP="00A34400">
      <w:pPr>
        <w:pStyle w:val="ListParagraph"/>
        <w:rPr>
          <w:rFonts w:ascii="Calibri Light" w:eastAsia="Calibri Light" w:hAnsi="Calibri Light" w:cs="Calibri Light"/>
          <w:color w:val="495965"/>
          <w:sz w:val="22"/>
          <w:szCs w:val="22"/>
          <w:u w:color="495965"/>
          <w:lang w:eastAsia="en-AU"/>
        </w:rPr>
      </w:pPr>
    </w:p>
    <w:p w14:paraId="5A69EF6F" w14:textId="410BA183" w:rsidR="00A34400" w:rsidRPr="00FB31D4" w:rsidRDefault="00A34400" w:rsidP="00A34400">
      <w:pPr>
        <w:suppressAutoHyphens/>
        <w:spacing w:before="60" w:after="60"/>
        <w:rPr>
          <w:rFonts w:ascii="Calibri Light" w:eastAsia="Calibri Light" w:hAnsi="Calibri Light" w:cs="Calibri Light"/>
          <w:b/>
          <w:color w:val="495965"/>
          <w:sz w:val="22"/>
          <w:szCs w:val="22"/>
          <w:u w:color="495965"/>
          <w:lang w:eastAsia="en-AU"/>
        </w:rPr>
      </w:pPr>
      <w:r w:rsidRPr="00FB31D4">
        <w:rPr>
          <w:rFonts w:ascii="Calibri Light" w:eastAsia="Calibri Light" w:hAnsi="Calibri Light" w:cs="Calibri Light"/>
          <w:color w:val="495965"/>
          <w:sz w:val="22"/>
          <w:szCs w:val="22"/>
          <w:u w:color="495965"/>
          <w:lang w:eastAsia="en-AU"/>
        </w:rPr>
        <w:t>Through Australian funded technical assistance, we</w:t>
      </w:r>
      <w:r w:rsidRPr="00FB31D4">
        <w:rPr>
          <w:rFonts w:ascii="Calibri Light" w:eastAsia="Calibri Light" w:hAnsi="Calibri Light" w:cs="Calibri Light"/>
          <w:color w:val="495965"/>
          <w:sz w:val="22"/>
          <w:szCs w:val="22"/>
          <w:u w:color="000000"/>
          <w:lang w:eastAsia="en-AU"/>
        </w:rPr>
        <w:t xml:space="preserve"> contributed to the development of the National Student Assessment (NSA), a </w:t>
      </w:r>
      <w:proofErr w:type="spellStart"/>
      <w:r w:rsidRPr="00FB31D4">
        <w:rPr>
          <w:rFonts w:ascii="Calibri Light" w:eastAsia="Calibri Light" w:hAnsi="Calibri Light" w:cs="Calibri Light"/>
          <w:color w:val="495965"/>
          <w:sz w:val="22"/>
          <w:szCs w:val="22"/>
          <w:u w:color="000000"/>
          <w:lang w:eastAsia="en-AU"/>
        </w:rPr>
        <w:t>standardised</w:t>
      </w:r>
      <w:proofErr w:type="spellEnd"/>
      <w:r w:rsidRPr="00FB31D4">
        <w:rPr>
          <w:rFonts w:ascii="Calibri Light" w:eastAsia="Calibri Light" w:hAnsi="Calibri Light" w:cs="Calibri Light"/>
          <w:color w:val="495965"/>
          <w:sz w:val="22"/>
          <w:szCs w:val="22"/>
          <w:u w:color="000000"/>
          <w:lang w:eastAsia="en-AU"/>
        </w:rPr>
        <w:t xml:space="preserve"> assessment of learning achievements, and the development of school and classroom based formative assessment tools in PEDP3.</w:t>
      </w:r>
      <w:r w:rsidR="0070115F">
        <w:rPr>
          <w:rFonts w:ascii="Calibri Light" w:eastAsia="Calibri Light" w:hAnsi="Calibri Light" w:cs="Calibri Light"/>
          <w:color w:val="495965"/>
          <w:sz w:val="22"/>
          <w:szCs w:val="22"/>
          <w:u w:color="000000"/>
          <w:lang w:eastAsia="en-AU"/>
        </w:rPr>
        <w:t xml:space="preserve"> </w:t>
      </w:r>
      <w:r>
        <w:rPr>
          <w:rFonts w:ascii="Calibri Light" w:eastAsia="Calibri Light" w:hAnsi="Calibri Light" w:cs="Calibri Light"/>
          <w:color w:val="495965"/>
          <w:sz w:val="22"/>
          <w:szCs w:val="22"/>
          <w:u w:color="000000"/>
          <w:lang w:eastAsia="en-AU"/>
        </w:rPr>
        <w:t xml:space="preserve">Our </w:t>
      </w:r>
      <w:r w:rsidRPr="00FB31D4">
        <w:rPr>
          <w:rFonts w:ascii="Calibri Light" w:eastAsia="Calibri Light" w:hAnsi="Calibri Light" w:cs="Calibri Light"/>
          <w:color w:val="495965"/>
          <w:sz w:val="22"/>
          <w:szCs w:val="22"/>
          <w:u w:color="000000"/>
          <w:lang w:eastAsia="en-AU"/>
        </w:rPr>
        <w:t>funding also supported the development of a Diploma in Primary Education (replacing a Certificate of Education), piloted and delivered in all Government of Bangladesh training institutions, transforming teacher training to focus on child centered and active learning methods.</w:t>
      </w:r>
      <w:r>
        <w:t xml:space="preserve"> </w:t>
      </w:r>
    </w:p>
    <w:p w14:paraId="2D136711" w14:textId="182F2777" w:rsidR="00A34400" w:rsidRPr="00591676" w:rsidRDefault="00A34400" w:rsidP="00A34400">
      <w:pPr>
        <w:pStyle w:val="BodyA"/>
      </w:pPr>
      <w:r w:rsidRPr="009E323D">
        <w:t xml:space="preserve">Over the life of the investment, impressive results were achieved through PEDP3 in improving access to primary education. The program delivered Bangladesh’s achievement of the Millennium Development Goals on education, specifically enrolment and sustained gender parity. In fact girls outperformed boys on all PEDP3 outcome indicators </w:t>
      </w:r>
      <w:r w:rsidRPr="00542A71">
        <w:t>(</w:t>
      </w:r>
      <w:proofErr w:type="spellStart"/>
      <w:r w:rsidRPr="00542A71">
        <w:t>eg</w:t>
      </w:r>
      <w:proofErr w:type="spellEnd"/>
      <w:r w:rsidRPr="00542A71">
        <w:t>. enrolment, school completion, learning outcome</w:t>
      </w:r>
      <w:r w:rsidRPr="00591676">
        <w:t>s)</w:t>
      </w:r>
      <w:r w:rsidRPr="00591676">
        <w:rPr>
          <w:rStyle w:val="FootnoteReference"/>
        </w:rPr>
        <w:footnoteReference w:id="18"/>
      </w:r>
      <w:r w:rsidRPr="00591676">
        <w:t xml:space="preserve">. </w:t>
      </w:r>
      <w:r w:rsidRPr="00542A71">
        <w:t xml:space="preserve">Of particular interest is that there was no significant difference in student performance in Bangla and Mathematics by gender across grades 3 and 5 in the 2015 National Student Assessment (NSA). </w:t>
      </w:r>
      <w:r>
        <w:t xml:space="preserve">The </w:t>
      </w:r>
      <w:r w:rsidRPr="00542A71">
        <w:t xml:space="preserve">2015 </w:t>
      </w:r>
      <w:r>
        <w:t xml:space="preserve">NSA </w:t>
      </w:r>
      <w:r w:rsidRPr="00542A71">
        <w:t>scores, as with 2011 and 2013, show clear evidence of gender parity - this is not typical of gender-differentiated performance in many other countries in this region and represents an important achievement of PEDP3</w:t>
      </w:r>
      <w:r w:rsidR="00EF08D8">
        <w:t>.</w:t>
      </w:r>
    </w:p>
    <w:p w14:paraId="5C65C6AC" w14:textId="77777777" w:rsidR="00A34400" w:rsidRDefault="00A34400" w:rsidP="00A34400">
      <w:pPr>
        <w:pStyle w:val="BodyA"/>
      </w:pPr>
      <w:r w:rsidRPr="00542A71">
        <w:lastRenderedPageBreak/>
        <w:t>However improvements in learning outcomes are not yet evident, and significant challenges remain in improving education quality. Our expectations on improved learning outcomes may have been unrealistic considering the time needed for reforms to consolidate across a large system already managing a significant increase in students. The Government of Bangladesh has identified improving the quality of the education system and learning outcomes as the key focus and challenge of the next phase (PEDP4).</w:t>
      </w:r>
      <w:r w:rsidRPr="008E14F0">
        <w:t xml:space="preserve"> </w:t>
      </w:r>
      <w:r>
        <w:t xml:space="preserve"> </w:t>
      </w:r>
    </w:p>
    <w:p w14:paraId="4783A9F9" w14:textId="77777777" w:rsidR="00A34400" w:rsidRPr="00030FA3" w:rsidRDefault="00A34400" w:rsidP="00A34400">
      <w:pPr>
        <w:spacing w:before="120" w:after="60" w:line="280" w:lineRule="exact"/>
        <w:rPr>
          <w:rStyle w:val="None"/>
          <w:rFonts w:asciiTheme="majorHAnsi" w:eastAsia="Calibri Light" w:hAnsiTheme="majorHAnsi" w:cs="Calibri Light"/>
          <w:b/>
          <w:bCs/>
          <w:color w:val="495965"/>
          <w:u w:color="495965"/>
          <w:lang w:eastAsia="en-AU"/>
        </w:rPr>
      </w:pPr>
      <w:r w:rsidRPr="006A40BA">
        <w:rPr>
          <w:rFonts w:ascii="Calibri Light" w:eastAsia="Calibri Light" w:hAnsi="Calibri Light" w:cs="Calibri Light"/>
          <w:b/>
          <w:bCs/>
          <w:color w:val="495965"/>
          <w:sz w:val="22"/>
          <w:szCs w:val="22"/>
          <w:u w:color="495965"/>
          <w:lang w:eastAsia="en-AU"/>
        </w:rPr>
        <w:t>Outcome 2: Poor children particularly girls benefit from non-formal education</w:t>
      </w:r>
    </w:p>
    <w:p w14:paraId="211C881B" w14:textId="77777777" w:rsidR="00A34400" w:rsidRDefault="00A34400" w:rsidP="00A34400">
      <w:pPr>
        <w:pStyle w:val="BodyA"/>
        <w:spacing w:line="240" w:lineRule="auto"/>
      </w:pPr>
      <w:r w:rsidRPr="00B46E42">
        <w:t xml:space="preserve">Under a Strategic Partnership Arrangement with BRAC, Australian funding supports pre-primary and primary education for the poor and </w:t>
      </w:r>
      <w:proofErr w:type="spellStart"/>
      <w:r w:rsidRPr="00B46E42">
        <w:t>marginalised</w:t>
      </w:r>
      <w:proofErr w:type="spellEnd"/>
      <w:r w:rsidRPr="00B46E42">
        <w:t xml:space="preserve">, particularly girls. </w:t>
      </w:r>
      <w:r w:rsidRPr="00591676">
        <w:t xml:space="preserve">BRAC primary schools implement student-centered teaching techniques through a curriculum that </w:t>
      </w:r>
      <w:proofErr w:type="spellStart"/>
      <w:r w:rsidRPr="00591676">
        <w:t>emphasises</w:t>
      </w:r>
      <w:proofErr w:type="spellEnd"/>
      <w:r w:rsidRPr="00591676">
        <w:t xml:space="preserve"> not only core subjects, but also confidence-building, team-work skills, gender rights, nutrition and hygiene. Teachers are recruited from the local community, and are all female, in order to encourage the attendance and enrolment of female students, a barrier to school attendance by girls.</w:t>
      </w:r>
      <w:r>
        <w:t xml:space="preserve"> </w:t>
      </w:r>
    </w:p>
    <w:p w14:paraId="5E9E34B2" w14:textId="77777777" w:rsidR="00A34400" w:rsidRDefault="00A34400" w:rsidP="00A34400">
      <w:pPr>
        <w:pStyle w:val="BodyA"/>
        <w:spacing w:line="240" w:lineRule="auto"/>
      </w:pPr>
      <w:r w:rsidRPr="00B46E42">
        <w:t xml:space="preserve">BRAC’s innovative </w:t>
      </w:r>
      <w:r>
        <w:t>education program</w:t>
      </w:r>
      <w:r w:rsidRPr="00B46E42">
        <w:t xml:space="preserve"> </w:t>
      </w:r>
      <w:r>
        <w:t xml:space="preserve">focuses on </w:t>
      </w:r>
      <w:r w:rsidRPr="00B46E42">
        <w:t>support</w:t>
      </w:r>
      <w:r>
        <w:t>ing</w:t>
      </w:r>
      <w:r w:rsidRPr="00B46E42">
        <w:t xml:space="preserve"> children who have never been to school or dropped out of school, and face challenges in accessing government schools.</w:t>
      </w:r>
      <w:r w:rsidRPr="007A31C2">
        <w:t xml:space="preserve"> </w:t>
      </w:r>
      <w:r w:rsidRPr="00B46E42">
        <w:t>In 2017, BRAC’s Boat School initiative was chosen as one of the 100 most innovative education projects around the world</w:t>
      </w:r>
      <w:r w:rsidRPr="00B46E42">
        <w:rPr>
          <w:rStyle w:val="FootnoteReference"/>
        </w:rPr>
        <w:footnoteReference w:id="19"/>
      </w:r>
      <w:r w:rsidRPr="00B46E42">
        <w:rPr>
          <w:rStyle w:val="FootnoteReference"/>
        </w:rPr>
        <w:t>.</w:t>
      </w:r>
      <w:r>
        <w:t xml:space="preserve">. </w:t>
      </w:r>
      <w:r w:rsidRPr="00B46E42">
        <w:t>The initiative provides primary education to children excluded from traditional schools due to seasonal floodin</w:t>
      </w:r>
      <w:r>
        <w:t>g or other water-based barriers, a major challenge to access in the poorest areas of Bangladesh.</w:t>
      </w:r>
      <w:r w:rsidRPr="00B46E42">
        <w:t xml:space="preserve"> </w:t>
      </w:r>
    </w:p>
    <w:p w14:paraId="597C1C52" w14:textId="77777777" w:rsidR="00A34400" w:rsidRDefault="00A34400" w:rsidP="00A34400">
      <w:pPr>
        <w:pStyle w:val="CommentText"/>
        <w:spacing w:before="120" w:after="60"/>
        <w:rPr>
          <w:rFonts w:ascii="Calibri Light" w:eastAsia="Calibri Light" w:hAnsi="Calibri Light" w:cs="Calibri Light"/>
          <w:color w:val="495965"/>
          <w:sz w:val="22"/>
          <w:szCs w:val="22"/>
          <w:u w:color="495965"/>
          <w:lang w:eastAsia="en-AU"/>
        </w:rPr>
      </w:pPr>
      <w:r w:rsidRPr="00B46E42">
        <w:rPr>
          <w:rFonts w:ascii="Calibri Light" w:eastAsia="Calibri Light" w:hAnsi="Calibri Light" w:cs="Calibri Light"/>
          <w:color w:val="495965"/>
          <w:sz w:val="22"/>
          <w:szCs w:val="22"/>
          <w:u w:color="495965"/>
          <w:lang w:eastAsia="en-AU"/>
        </w:rPr>
        <w:t xml:space="preserve">BRAC has </w:t>
      </w:r>
      <w:r>
        <w:rPr>
          <w:rFonts w:ascii="Calibri Light" w:eastAsia="Calibri Light" w:hAnsi="Calibri Light" w:cs="Calibri Light"/>
          <w:color w:val="495965"/>
          <w:sz w:val="22"/>
          <w:szCs w:val="22"/>
          <w:u w:color="495965"/>
          <w:lang w:eastAsia="en-AU"/>
        </w:rPr>
        <w:t xml:space="preserve">a number of small scale initiatives </w:t>
      </w:r>
      <w:r w:rsidRPr="00B46E42">
        <w:rPr>
          <w:rFonts w:ascii="Calibri Light" w:eastAsia="Calibri Light" w:hAnsi="Calibri Light" w:cs="Calibri Light"/>
          <w:color w:val="495965"/>
          <w:sz w:val="22"/>
          <w:szCs w:val="22"/>
          <w:u w:color="495965"/>
          <w:lang w:eastAsia="en-AU"/>
        </w:rPr>
        <w:t xml:space="preserve">to support children with disabilities to access and remain in school, including by linking them to BRAC health services and government supports. However, BRAC could enhance its focus on working with the most </w:t>
      </w:r>
      <w:proofErr w:type="spellStart"/>
      <w:r w:rsidRPr="00B46E42">
        <w:rPr>
          <w:rFonts w:ascii="Calibri Light" w:eastAsia="Calibri Light" w:hAnsi="Calibri Light" w:cs="Calibri Light"/>
          <w:color w:val="495965"/>
          <w:sz w:val="22"/>
          <w:szCs w:val="22"/>
          <w:u w:color="495965"/>
          <w:lang w:eastAsia="en-AU"/>
        </w:rPr>
        <w:t>marginalised</w:t>
      </w:r>
      <w:proofErr w:type="spellEnd"/>
      <w:r w:rsidRPr="00B46E42">
        <w:rPr>
          <w:rFonts w:ascii="Calibri Light" w:eastAsia="Calibri Light" w:hAnsi="Calibri Light" w:cs="Calibri Light"/>
          <w:color w:val="495965"/>
          <w:sz w:val="22"/>
          <w:szCs w:val="22"/>
          <w:u w:color="495965"/>
          <w:lang w:eastAsia="en-AU"/>
        </w:rPr>
        <w:t xml:space="preserve"> by </w:t>
      </w:r>
      <w:r>
        <w:rPr>
          <w:rFonts w:ascii="Calibri Light" w:eastAsia="Calibri Light" w:hAnsi="Calibri Light" w:cs="Calibri Light"/>
          <w:color w:val="495965"/>
          <w:sz w:val="22"/>
          <w:szCs w:val="22"/>
          <w:u w:color="495965"/>
          <w:lang w:eastAsia="en-AU"/>
        </w:rPr>
        <w:t xml:space="preserve">scaling up these initiatives and mainstreaming a </w:t>
      </w:r>
      <w:r w:rsidRPr="00B46E42">
        <w:rPr>
          <w:rFonts w:ascii="Calibri Light" w:eastAsia="Calibri Light" w:hAnsi="Calibri Light" w:cs="Calibri Light"/>
          <w:color w:val="495965"/>
          <w:sz w:val="22"/>
          <w:szCs w:val="22"/>
          <w:u w:color="495965"/>
          <w:lang w:eastAsia="en-AU"/>
        </w:rPr>
        <w:t xml:space="preserve">disability inclusive development approach across </w:t>
      </w:r>
      <w:r>
        <w:rPr>
          <w:rFonts w:ascii="Calibri Light" w:eastAsia="Calibri Light" w:hAnsi="Calibri Light" w:cs="Calibri Light"/>
          <w:color w:val="495965"/>
          <w:sz w:val="22"/>
          <w:szCs w:val="22"/>
          <w:u w:color="495965"/>
          <w:lang w:eastAsia="en-AU"/>
        </w:rPr>
        <w:t xml:space="preserve">all of its schools. </w:t>
      </w:r>
      <w:r w:rsidRPr="00B46E42">
        <w:rPr>
          <w:rFonts w:ascii="Calibri Light" w:eastAsia="Calibri Light" w:hAnsi="Calibri Light" w:cs="Calibri Light"/>
          <w:color w:val="495965"/>
          <w:sz w:val="22"/>
          <w:szCs w:val="22"/>
          <w:u w:color="495965"/>
          <w:lang w:eastAsia="en-AU"/>
        </w:rPr>
        <w:t xml:space="preserve">DFAT will support BRAC </w:t>
      </w:r>
      <w:r>
        <w:rPr>
          <w:rFonts w:ascii="Calibri Light" w:eastAsia="Calibri Light" w:hAnsi="Calibri Light" w:cs="Calibri Light"/>
          <w:color w:val="495965"/>
          <w:sz w:val="22"/>
          <w:szCs w:val="22"/>
          <w:u w:color="495965"/>
          <w:lang w:eastAsia="en-AU"/>
        </w:rPr>
        <w:t xml:space="preserve">in mainstreaming disability across relevant programs next reporting period (identified as a </w:t>
      </w:r>
      <w:r w:rsidRPr="007A31C2">
        <w:rPr>
          <w:rFonts w:ascii="Calibri Light" w:eastAsia="Calibri Light" w:hAnsi="Calibri Light" w:cs="Calibri Light"/>
          <w:b/>
          <w:color w:val="495965"/>
          <w:sz w:val="22"/>
          <w:szCs w:val="22"/>
          <w:u w:color="495965"/>
          <w:lang w:eastAsia="en-AU"/>
        </w:rPr>
        <w:t>Management Action</w:t>
      </w:r>
      <w:r>
        <w:rPr>
          <w:rFonts w:ascii="Calibri Light" w:eastAsia="Calibri Light" w:hAnsi="Calibri Light" w:cs="Calibri Light"/>
          <w:b/>
          <w:color w:val="495965"/>
          <w:sz w:val="22"/>
          <w:szCs w:val="22"/>
          <w:u w:color="495965"/>
          <w:lang w:eastAsia="en-AU"/>
        </w:rPr>
        <w:t xml:space="preserve"> for 2018-19</w:t>
      </w:r>
      <w:r>
        <w:rPr>
          <w:rFonts w:ascii="Calibri Light" w:eastAsia="Calibri Light" w:hAnsi="Calibri Light" w:cs="Calibri Light"/>
          <w:color w:val="495965"/>
          <w:sz w:val="22"/>
          <w:szCs w:val="22"/>
          <w:u w:color="495965"/>
          <w:lang w:eastAsia="en-AU"/>
        </w:rPr>
        <w:t xml:space="preserve">, refer to </w:t>
      </w:r>
      <w:proofErr w:type="spellStart"/>
      <w:r>
        <w:rPr>
          <w:rFonts w:ascii="Calibri Light" w:eastAsia="Calibri Light" w:hAnsi="Calibri Light" w:cs="Calibri Light"/>
          <w:color w:val="495965"/>
          <w:sz w:val="22"/>
          <w:szCs w:val="22"/>
          <w:u w:color="495965"/>
          <w:lang w:eastAsia="en-AU"/>
        </w:rPr>
        <w:t>Pg</w:t>
      </w:r>
      <w:proofErr w:type="spellEnd"/>
      <w:r>
        <w:rPr>
          <w:rFonts w:ascii="Calibri Light" w:eastAsia="Calibri Light" w:hAnsi="Calibri Light" w:cs="Calibri Light"/>
          <w:color w:val="495965"/>
          <w:sz w:val="22"/>
          <w:szCs w:val="22"/>
          <w:u w:color="495965"/>
          <w:lang w:eastAsia="en-AU"/>
        </w:rPr>
        <w:t xml:space="preserve"> 20). </w:t>
      </w:r>
      <w:r w:rsidRPr="00B46E42">
        <w:rPr>
          <w:rFonts w:ascii="Calibri Light" w:eastAsia="Calibri Light" w:hAnsi="Calibri Light" w:cs="Calibri Light"/>
          <w:color w:val="495965"/>
          <w:sz w:val="22"/>
          <w:szCs w:val="22"/>
          <w:u w:color="495965"/>
          <w:lang w:eastAsia="en-AU"/>
        </w:rPr>
        <w:t xml:space="preserve"> </w:t>
      </w:r>
    </w:p>
    <w:p w14:paraId="09575759" w14:textId="77777777" w:rsidR="00A34400" w:rsidRPr="00DC7C0D" w:rsidRDefault="00A34400" w:rsidP="00A34400">
      <w:pPr>
        <w:pStyle w:val="CommentText"/>
        <w:spacing w:before="120" w:after="60"/>
        <w:rPr>
          <w:rFonts w:ascii="Calibri Light" w:eastAsia="Calibri Light" w:hAnsi="Calibri Light" w:cs="Calibri Light"/>
          <w:color w:val="495965"/>
          <w:sz w:val="22"/>
          <w:szCs w:val="22"/>
          <w:u w:color="495965"/>
          <w:lang w:eastAsia="en-AU"/>
        </w:rPr>
      </w:pPr>
      <w:r w:rsidRPr="00DC7C0D">
        <w:rPr>
          <w:rFonts w:ascii="Calibri Light" w:eastAsia="Calibri Light" w:hAnsi="Calibri Light" w:cs="Calibri Light"/>
          <w:color w:val="495965"/>
          <w:sz w:val="22"/>
          <w:szCs w:val="22"/>
          <w:u w:color="495965"/>
          <w:lang w:eastAsia="en-AU"/>
        </w:rPr>
        <w:t>During the reporting period, Australia supported</w:t>
      </w:r>
      <w:r w:rsidRPr="00565798">
        <w:rPr>
          <w:rFonts w:ascii="Calibri Light" w:eastAsia="Calibri Light" w:hAnsi="Calibri Light" w:cs="Calibri Light"/>
          <w:color w:val="495965"/>
          <w:sz w:val="22"/>
          <w:szCs w:val="22"/>
          <w:u w:color="495965"/>
          <w:lang w:eastAsia="en-AU"/>
        </w:rPr>
        <w:t xml:space="preserve"> 547,232 children (</w:t>
      </w:r>
      <w:r w:rsidRPr="00565798">
        <w:rPr>
          <w:rFonts w:ascii="Calibri Light" w:eastAsia="Calibri Light" w:hAnsi="Calibri Light" w:cs="Calibri Light"/>
          <w:b/>
          <w:color w:val="495965"/>
          <w:sz w:val="22"/>
          <w:szCs w:val="22"/>
          <w:u w:color="495965"/>
          <w:lang w:eastAsia="en-AU"/>
        </w:rPr>
        <w:t>exceeding the PB and PAF target of 539,154</w:t>
      </w:r>
      <w:r w:rsidRPr="00565798">
        <w:rPr>
          <w:rFonts w:ascii="Calibri Light" w:eastAsia="Calibri Light" w:hAnsi="Calibri Light" w:cs="Calibri Light"/>
          <w:color w:val="495965"/>
          <w:sz w:val="22"/>
          <w:szCs w:val="22"/>
          <w:u w:color="495965"/>
          <w:lang w:eastAsia="en-AU"/>
        </w:rPr>
        <w:t>) to complete BRAC’s primary schooling, of which 53 per cent (290,635) were girls and 17,190</w:t>
      </w:r>
      <w:r w:rsidRPr="00DC7C0D">
        <w:rPr>
          <w:rFonts w:ascii="Calibri Light" w:eastAsia="Calibri Light" w:hAnsi="Calibri Light" w:cs="Calibri Light"/>
          <w:color w:val="495965"/>
          <w:sz w:val="22"/>
          <w:szCs w:val="22"/>
          <w:u w:color="495965"/>
          <w:lang w:eastAsia="en-AU"/>
        </w:rPr>
        <w:t xml:space="preserve"> were children with disabilities. The quality of BRAC‘s primary schooling is comparable to the formal education system. BRAC’s student performance in the national end of primary exams exceeded the national average</w:t>
      </w:r>
      <w:r>
        <w:rPr>
          <w:rFonts w:ascii="Calibri Light" w:eastAsia="Calibri Light" w:hAnsi="Calibri Light" w:cs="Calibri Light"/>
          <w:color w:val="495965"/>
          <w:sz w:val="22"/>
          <w:szCs w:val="22"/>
          <w:u w:color="495965"/>
          <w:lang w:eastAsia="en-AU"/>
        </w:rPr>
        <w:t>. T</w:t>
      </w:r>
      <w:r w:rsidRPr="00DC7C0D">
        <w:rPr>
          <w:rFonts w:ascii="Calibri Light" w:eastAsia="Calibri Light" w:hAnsi="Calibri Light" w:cs="Calibri Light"/>
          <w:color w:val="495965"/>
          <w:sz w:val="22"/>
          <w:szCs w:val="22"/>
          <w:u w:color="495965"/>
          <w:lang w:eastAsia="en-AU"/>
        </w:rPr>
        <w:t>he pass rate of BRAC students was 97.91 per cent which was slightly higher than the national average of 95.18 per cent</w:t>
      </w:r>
      <w:r>
        <w:rPr>
          <w:rStyle w:val="FootnoteReference"/>
          <w:rFonts w:ascii="Calibri Light" w:eastAsia="Calibri Light" w:hAnsi="Calibri Light" w:cs="Calibri Light"/>
          <w:color w:val="495965"/>
          <w:sz w:val="22"/>
          <w:szCs w:val="22"/>
          <w:u w:color="495965"/>
          <w:lang w:eastAsia="en-AU"/>
        </w:rPr>
        <w:footnoteReference w:id="20"/>
      </w:r>
      <w:r w:rsidRPr="00DC7C0D">
        <w:rPr>
          <w:rFonts w:ascii="Calibri Light" w:eastAsia="Calibri Light" w:hAnsi="Calibri Light" w:cs="Calibri Light"/>
          <w:color w:val="495965"/>
          <w:sz w:val="22"/>
          <w:szCs w:val="22"/>
          <w:u w:color="495965"/>
          <w:lang w:eastAsia="en-AU"/>
        </w:rPr>
        <w:t xml:space="preserve">. </w:t>
      </w:r>
      <w:r>
        <w:rPr>
          <w:rFonts w:ascii="Calibri Light" w:eastAsia="Calibri Light" w:hAnsi="Calibri Light" w:cs="Calibri Light"/>
          <w:color w:val="495965"/>
          <w:sz w:val="22"/>
          <w:szCs w:val="22"/>
          <w:u w:color="495965"/>
          <w:lang w:eastAsia="en-AU"/>
        </w:rPr>
        <w:t>Girls marginally out performed boys in pass rates (98.23 to 97.49 per cent) in BRAC schools, consistent with national patterns. Around 58 per cent</w:t>
      </w:r>
      <w:r w:rsidRPr="00DC7C0D">
        <w:rPr>
          <w:rFonts w:ascii="Calibri Light" w:eastAsia="Calibri Light" w:hAnsi="Calibri Light" w:cs="Calibri Light"/>
          <w:color w:val="495965"/>
          <w:sz w:val="22"/>
          <w:szCs w:val="22"/>
          <w:u w:color="495965"/>
          <w:lang w:eastAsia="en-AU"/>
        </w:rPr>
        <w:t xml:space="preserve"> of BRAC primary students attained a grade point</w:t>
      </w:r>
      <w:r>
        <w:rPr>
          <w:rFonts w:ascii="Calibri Light" w:eastAsia="Calibri Light" w:hAnsi="Calibri Light" w:cs="Calibri Light"/>
          <w:color w:val="495965"/>
          <w:sz w:val="22"/>
          <w:szCs w:val="22"/>
          <w:u w:color="495965"/>
          <w:lang w:eastAsia="en-AU"/>
        </w:rPr>
        <w:t xml:space="preserve"> average of 3.5-5, which is 7.7</w:t>
      </w:r>
      <w:r w:rsidRPr="00DC7C0D">
        <w:rPr>
          <w:rFonts w:ascii="Calibri Light" w:eastAsia="Calibri Light" w:hAnsi="Calibri Light" w:cs="Calibri Light"/>
          <w:color w:val="495965"/>
          <w:sz w:val="22"/>
          <w:szCs w:val="22"/>
          <w:u w:color="495965"/>
          <w:lang w:eastAsia="en-AU"/>
        </w:rPr>
        <w:t>% higher than the national average</w:t>
      </w:r>
      <w:r>
        <w:rPr>
          <w:rStyle w:val="FootnoteReference"/>
          <w:rFonts w:ascii="Calibri Light" w:eastAsia="Calibri Light" w:hAnsi="Calibri Light" w:cs="Calibri Light"/>
          <w:color w:val="495965"/>
          <w:sz w:val="22"/>
          <w:szCs w:val="22"/>
          <w:u w:color="495965"/>
          <w:lang w:eastAsia="en-AU"/>
        </w:rPr>
        <w:footnoteReference w:id="21"/>
      </w:r>
      <w:r w:rsidRPr="00DC7C0D">
        <w:rPr>
          <w:rFonts w:ascii="Calibri Light" w:eastAsia="Calibri Light" w:hAnsi="Calibri Light" w:cs="Calibri Light"/>
          <w:color w:val="495965"/>
          <w:sz w:val="22"/>
          <w:szCs w:val="22"/>
          <w:u w:color="495965"/>
          <w:lang w:eastAsia="en-AU"/>
        </w:rPr>
        <w:t>. These are significant achievements given the level of disadvantage these children experience.</w:t>
      </w:r>
    </w:p>
    <w:p w14:paraId="76BEB7D6" w14:textId="77777777" w:rsidR="00A34400" w:rsidRDefault="00A34400" w:rsidP="00A34400">
      <w:pPr>
        <w:pStyle w:val="BodyA"/>
        <w:spacing w:line="240" w:lineRule="auto"/>
      </w:pPr>
      <w:r>
        <w:t xml:space="preserve">BRAC continues to work collaboratively with relevant stakeholders, including the Government of Bangladesh to improve primary education quality, </w:t>
      </w:r>
      <w:r w:rsidRPr="00567F7D">
        <w:rPr>
          <w:b/>
        </w:rPr>
        <w:t xml:space="preserve">in line with </w:t>
      </w:r>
      <w:r>
        <w:rPr>
          <w:b/>
        </w:rPr>
        <w:t xml:space="preserve">the </w:t>
      </w:r>
      <w:r w:rsidRPr="00567F7D">
        <w:rPr>
          <w:b/>
        </w:rPr>
        <w:t>PAF target</w:t>
      </w:r>
      <w:r>
        <w:t xml:space="preserve">. BRAC is conducting an internal review (to be completed in December 2018) of the formative assessment system of BRAC primary schools, supported by the Institute for Education and Research at Dhaka University and the Government’s National Curriculum and Textbook Board. The review findings will be shared with the Government of Bangladesh to inform its formative assessment system. </w:t>
      </w:r>
    </w:p>
    <w:p w14:paraId="0D9F8A07" w14:textId="77777777" w:rsidR="00A34400" w:rsidRPr="006A40BA" w:rsidRDefault="00A34400" w:rsidP="00A34400">
      <w:pPr>
        <w:pStyle w:val="BodyA"/>
        <w:spacing w:line="240" w:lineRule="auto"/>
        <w:rPr>
          <w:b/>
          <w:bCs/>
        </w:rPr>
      </w:pPr>
      <w:r w:rsidRPr="006A40BA">
        <w:rPr>
          <w:b/>
          <w:bCs/>
        </w:rPr>
        <w:t>Outcome 3: Partnership between Government and Development Partners improves effectiveness, equitable and accountable service delivery of primary education outcomes</w:t>
      </w:r>
    </w:p>
    <w:p w14:paraId="3C7ED6A1" w14:textId="77777777" w:rsidR="00A34400" w:rsidRPr="00C62B6A" w:rsidRDefault="00A34400" w:rsidP="00A34400">
      <w:pPr>
        <w:spacing w:before="120" w:after="60"/>
        <w:rPr>
          <w:rFonts w:asciiTheme="minorHAnsi" w:eastAsia="Calibri Light" w:hAnsiTheme="minorHAnsi" w:cs="Calibri Light"/>
          <w:color w:val="495965"/>
          <w:sz w:val="22"/>
          <w:szCs w:val="22"/>
          <w:u w:color="495965"/>
          <w:lang w:eastAsia="en-AU"/>
        </w:rPr>
      </w:pPr>
      <w:r w:rsidRPr="00567F7D">
        <w:rPr>
          <w:rFonts w:ascii="Calibri Light" w:eastAsia="Calibri Light" w:hAnsi="Calibri Light" w:cs="Calibri Light"/>
          <w:color w:val="495965"/>
          <w:sz w:val="22"/>
          <w:szCs w:val="22"/>
          <w:u w:color="495965"/>
          <w:lang w:eastAsia="en-AU"/>
        </w:rPr>
        <w:t xml:space="preserve">Development </w:t>
      </w:r>
      <w:r>
        <w:rPr>
          <w:rFonts w:ascii="Calibri Light" w:eastAsia="Calibri Light" w:hAnsi="Calibri Light" w:cs="Calibri Light"/>
          <w:color w:val="495965"/>
          <w:sz w:val="22"/>
          <w:szCs w:val="22"/>
          <w:u w:color="495965"/>
          <w:lang w:eastAsia="en-AU"/>
        </w:rPr>
        <w:t>p</w:t>
      </w:r>
      <w:r w:rsidRPr="00567F7D">
        <w:rPr>
          <w:rFonts w:ascii="Calibri Light" w:eastAsia="Calibri Light" w:hAnsi="Calibri Light" w:cs="Calibri Light"/>
          <w:color w:val="495965"/>
          <w:sz w:val="22"/>
          <w:szCs w:val="22"/>
          <w:u w:color="495965"/>
          <w:lang w:eastAsia="en-AU"/>
        </w:rPr>
        <w:t>artners, including Australia worked collaboratively with the Government of Bangladesh to implement the reform agenda underpinning PEDP3. Of the 59 reform areas linked to donor funding, the Bangladesh Government successfully implem</w:t>
      </w:r>
      <w:r>
        <w:rPr>
          <w:rFonts w:ascii="Calibri Light" w:eastAsia="Calibri Light" w:hAnsi="Calibri Light" w:cs="Calibri Light"/>
          <w:color w:val="495965"/>
          <w:sz w:val="22"/>
          <w:szCs w:val="22"/>
          <w:u w:color="495965"/>
          <w:lang w:eastAsia="en-AU"/>
        </w:rPr>
        <w:t>ented 56 (95 per cent)</w:t>
      </w:r>
      <w:r>
        <w:rPr>
          <w:rStyle w:val="FootnoteReference"/>
          <w:rFonts w:ascii="Calibri Light" w:eastAsia="Calibri Light" w:hAnsi="Calibri Light" w:cs="Calibri Light"/>
          <w:color w:val="495965"/>
          <w:sz w:val="22"/>
          <w:szCs w:val="22"/>
          <w:u w:color="495965"/>
          <w:lang w:eastAsia="en-AU"/>
        </w:rPr>
        <w:footnoteReference w:id="22"/>
      </w:r>
      <w:r>
        <w:rPr>
          <w:rFonts w:ascii="Calibri Light" w:eastAsia="Calibri Light" w:hAnsi="Calibri Light" w:cs="Calibri Light"/>
          <w:color w:val="495965"/>
          <w:sz w:val="22"/>
          <w:szCs w:val="22"/>
          <w:u w:color="495965"/>
          <w:lang w:eastAsia="en-AU"/>
        </w:rPr>
        <w:t xml:space="preserve">. This is </w:t>
      </w:r>
      <w:r w:rsidRPr="00567F7D">
        <w:rPr>
          <w:rFonts w:ascii="Calibri Light" w:eastAsia="Calibri Light" w:hAnsi="Calibri Light" w:cs="Calibri Light"/>
          <w:color w:val="495965"/>
          <w:sz w:val="22"/>
          <w:szCs w:val="22"/>
          <w:u w:color="495965"/>
          <w:lang w:eastAsia="en-AU"/>
        </w:rPr>
        <w:t xml:space="preserve">strong performance in an ambitious </w:t>
      </w:r>
      <w:r w:rsidRPr="00567F7D">
        <w:rPr>
          <w:rFonts w:ascii="Calibri Light" w:eastAsia="Calibri Light" w:hAnsi="Calibri Light" w:cs="Calibri Light"/>
          <w:color w:val="495965"/>
          <w:sz w:val="22"/>
          <w:szCs w:val="22"/>
          <w:u w:color="495965"/>
          <w:lang w:eastAsia="en-AU"/>
        </w:rPr>
        <w:lastRenderedPageBreak/>
        <w:t xml:space="preserve">sector wide program, and demonstrates the effectiveness of </w:t>
      </w:r>
      <w:r>
        <w:rPr>
          <w:rFonts w:ascii="Calibri Light" w:eastAsia="Calibri Light" w:hAnsi="Calibri Light" w:cs="Calibri Light"/>
          <w:color w:val="495965"/>
          <w:sz w:val="22"/>
          <w:szCs w:val="22"/>
          <w:u w:color="495965"/>
          <w:lang w:eastAsia="en-AU"/>
        </w:rPr>
        <w:t>multi-</w:t>
      </w:r>
      <w:r w:rsidRPr="00567F7D">
        <w:rPr>
          <w:rFonts w:ascii="Calibri Light" w:eastAsia="Calibri Light" w:hAnsi="Calibri Light" w:cs="Calibri Light"/>
          <w:color w:val="495965"/>
          <w:sz w:val="22"/>
          <w:szCs w:val="22"/>
          <w:u w:color="495965"/>
          <w:lang w:eastAsia="en-AU"/>
        </w:rPr>
        <w:t>donor policy dialogue</w:t>
      </w:r>
      <w:r>
        <w:rPr>
          <w:rFonts w:ascii="Calibri Light" w:eastAsia="Calibri Light" w:hAnsi="Calibri Light" w:cs="Calibri Light"/>
          <w:color w:val="495965"/>
          <w:sz w:val="22"/>
          <w:szCs w:val="22"/>
          <w:u w:color="495965"/>
          <w:lang w:eastAsia="en-AU"/>
        </w:rPr>
        <w:t xml:space="preserve"> when government is receptive to policy dialogue and collaboration and donors are </w:t>
      </w:r>
      <w:proofErr w:type="spellStart"/>
      <w:r>
        <w:rPr>
          <w:rFonts w:ascii="Calibri Light" w:eastAsia="Calibri Light" w:hAnsi="Calibri Light" w:cs="Calibri Light"/>
          <w:color w:val="495965"/>
          <w:sz w:val="22"/>
          <w:szCs w:val="22"/>
          <w:u w:color="495965"/>
          <w:lang w:eastAsia="en-AU"/>
        </w:rPr>
        <w:t>harmonised</w:t>
      </w:r>
      <w:proofErr w:type="spellEnd"/>
      <w:r>
        <w:rPr>
          <w:rFonts w:ascii="Calibri Light" w:eastAsia="Calibri Light" w:hAnsi="Calibri Light" w:cs="Calibri Light"/>
          <w:color w:val="495965"/>
          <w:sz w:val="22"/>
          <w:szCs w:val="22"/>
          <w:u w:color="495965"/>
          <w:lang w:eastAsia="en-AU"/>
        </w:rPr>
        <w:t xml:space="preserve"> on reform priorities</w:t>
      </w:r>
      <w:r w:rsidRPr="00567F7D">
        <w:rPr>
          <w:rFonts w:ascii="Calibri Light" w:eastAsia="Calibri Light" w:hAnsi="Calibri Light" w:cs="Calibri Light"/>
          <w:color w:val="495965"/>
          <w:sz w:val="22"/>
          <w:szCs w:val="22"/>
          <w:u w:color="495965"/>
          <w:lang w:eastAsia="en-AU"/>
        </w:rPr>
        <w:t>.</w:t>
      </w:r>
      <w:r>
        <w:rPr>
          <w:rFonts w:ascii="Calibri Light" w:eastAsia="Calibri Light" w:hAnsi="Calibri Light" w:cs="Calibri Light"/>
          <w:color w:val="495965"/>
          <w:sz w:val="22"/>
          <w:szCs w:val="22"/>
          <w:u w:color="495965"/>
          <w:lang w:eastAsia="en-AU"/>
        </w:rPr>
        <w:t xml:space="preserve"> With PEDP3 concluding during the reporting period,</w:t>
      </w:r>
      <w:r w:rsidRPr="00567F7D">
        <w:rPr>
          <w:rFonts w:ascii="Calibri Light" w:eastAsia="Calibri Light" w:hAnsi="Calibri Light" w:cs="Calibri Light"/>
          <w:color w:val="495965"/>
          <w:sz w:val="22"/>
          <w:szCs w:val="22"/>
          <w:u w:color="495965"/>
          <w:lang w:eastAsia="en-AU"/>
        </w:rPr>
        <w:t xml:space="preserve"> </w:t>
      </w:r>
      <w:r>
        <w:rPr>
          <w:rFonts w:ascii="Calibri Light" w:eastAsia="Calibri Light" w:hAnsi="Calibri Light" w:cs="Calibri Light"/>
          <w:color w:val="495965"/>
          <w:sz w:val="22"/>
          <w:szCs w:val="22"/>
          <w:u w:color="495965"/>
          <w:lang w:eastAsia="en-AU"/>
        </w:rPr>
        <w:t>i</w:t>
      </w:r>
      <w:r w:rsidRPr="007A31C2">
        <w:rPr>
          <w:rFonts w:ascii="Calibri Light" w:eastAsia="Calibri Light" w:hAnsi="Calibri Light" w:cs="Calibri Light"/>
          <w:color w:val="495965"/>
          <w:sz w:val="22"/>
          <w:szCs w:val="22"/>
          <w:u w:color="495965"/>
          <w:lang w:eastAsia="en-AU"/>
        </w:rPr>
        <w:t>mportant reforms supported by Australia within PEDP3 such as improved learning materials, the upgrading of teacher qualifications and a new approach to assessments will be sustained in PEDP4, funded through the Government’s budget and loans from multilateral banks.</w:t>
      </w:r>
    </w:p>
    <w:p w14:paraId="68FCBF25" w14:textId="77777777" w:rsidR="00A34400" w:rsidRPr="00DC7C0D" w:rsidRDefault="00A34400" w:rsidP="00A34400">
      <w:pPr>
        <w:spacing w:before="120" w:after="60" w:line="280" w:lineRule="exact"/>
        <w:rPr>
          <w:rFonts w:cs="Arial Unicode MS"/>
          <w:color w:val="000000"/>
          <w:u w:color="000000"/>
          <w:lang w:eastAsia="en-AU"/>
        </w:rPr>
      </w:pPr>
      <w:r w:rsidRPr="00567F7D">
        <w:rPr>
          <w:rFonts w:ascii="Calibri Light" w:eastAsia="Calibri Light" w:hAnsi="Calibri Light" w:cs="Calibri Light"/>
          <w:color w:val="495965"/>
          <w:sz w:val="22"/>
          <w:szCs w:val="22"/>
          <w:u w:color="495965"/>
          <w:lang w:eastAsia="en-AU"/>
        </w:rPr>
        <w:t>During the reporting period, 50 per cent of Australia’s funding was tied to the achievement of</w:t>
      </w:r>
      <w:r>
        <w:rPr>
          <w:rFonts w:ascii="Calibri Light" w:eastAsia="Calibri Light" w:hAnsi="Calibri Light" w:cs="Calibri Light"/>
          <w:color w:val="495965"/>
          <w:sz w:val="22"/>
          <w:szCs w:val="22"/>
          <w:u w:color="495965"/>
          <w:lang w:eastAsia="en-AU"/>
        </w:rPr>
        <w:t xml:space="preserve"> </w:t>
      </w:r>
      <w:r w:rsidRPr="00567F7D">
        <w:rPr>
          <w:rFonts w:ascii="Calibri Light" w:eastAsia="Calibri Light" w:hAnsi="Calibri Light" w:cs="Calibri Light"/>
          <w:color w:val="495965"/>
          <w:sz w:val="22"/>
          <w:szCs w:val="22"/>
          <w:u w:color="495965"/>
          <w:lang w:eastAsia="en-AU"/>
        </w:rPr>
        <w:t>Government reform efforts (</w:t>
      </w:r>
      <w:r w:rsidRPr="00567F7D">
        <w:rPr>
          <w:rFonts w:ascii="Calibri Light" w:eastAsia="Calibri Light" w:hAnsi="Calibri Light" w:cs="Calibri Light"/>
          <w:b/>
          <w:color w:val="495965"/>
          <w:sz w:val="22"/>
          <w:szCs w:val="22"/>
          <w:u w:color="495965"/>
          <w:lang w:eastAsia="en-AU"/>
        </w:rPr>
        <w:t>a PB and PAF target</w:t>
      </w:r>
      <w:r w:rsidRPr="00567F7D">
        <w:rPr>
          <w:rFonts w:ascii="Calibri Light" w:eastAsia="Calibri Light" w:hAnsi="Calibri Light" w:cs="Calibri Light"/>
          <w:color w:val="495965"/>
          <w:sz w:val="22"/>
          <w:szCs w:val="22"/>
          <w:u w:color="495965"/>
          <w:lang w:eastAsia="en-AU"/>
        </w:rPr>
        <w:t>). This results</w:t>
      </w:r>
      <w:r>
        <w:rPr>
          <w:rFonts w:ascii="Calibri Light" w:eastAsia="Calibri Light" w:hAnsi="Calibri Light" w:cs="Calibri Light"/>
          <w:color w:val="495965"/>
          <w:sz w:val="22"/>
          <w:szCs w:val="22"/>
          <w:u w:color="495965"/>
          <w:lang w:eastAsia="en-AU"/>
        </w:rPr>
        <w:t>-</w:t>
      </w:r>
      <w:r w:rsidRPr="00567F7D">
        <w:rPr>
          <w:rFonts w:ascii="Calibri Light" w:eastAsia="Calibri Light" w:hAnsi="Calibri Light" w:cs="Calibri Light"/>
          <w:color w:val="495965"/>
          <w:sz w:val="22"/>
          <w:szCs w:val="22"/>
          <w:u w:color="495965"/>
          <w:lang w:eastAsia="en-AU"/>
        </w:rPr>
        <w:t>based funding mode</w:t>
      </w:r>
      <w:r>
        <w:rPr>
          <w:rFonts w:ascii="Calibri Light" w:eastAsia="Calibri Light" w:hAnsi="Calibri Light" w:cs="Calibri Light"/>
          <w:color w:val="495965"/>
          <w:sz w:val="22"/>
          <w:szCs w:val="22"/>
          <w:u w:color="495965"/>
          <w:lang w:eastAsia="en-AU"/>
        </w:rPr>
        <w:t>l</w:t>
      </w:r>
      <w:r w:rsidRPr="00567F7D">
        <w:rPr>
          <w:rFonts w:ascii="Calibri Light" w:eastAsia="Calibri Light" w:hAnsi="Calibri Light" w:cs="Calibri Light"/>
          <w:color w:val="495965"/>
          <w:sz w:val="22"/>
          <w:szCs w:val="22"/>
          <w:u w:color="495965"/>
          <w:lang w:eastAsia="en-AU"/>
        </w:rPr>
        <w:t>, while very effective in driving results, did mean a lack of predictability in DFAT</w:t>
      </w:r>
      <w:r>
        <w:rPr>
          <w:rFonts w:ascii="Calibri Light" w:eastAsia="Calibri Light" w:hAnsi="Calibri Light" w:cs="Calibri Light"/>
          <w:color w:val="495965"/>
          <w:sz w:val="22"/>
          <w:szCs w:val="22"/>
          <w:u w:color="495965"/>
          <w:lang w:eastAsia="en-AU"/>
        </w:rPr>
        <w:t xml:space="preserve"> disbursements and challenges for</w:t>
      </w:r>
      <w:r w:rsidRPr="00567F7D">
        <w:rPr>
          <w:rFonts w:ascii="Calibri Light" w:eastAsia="Calibri Light" w:hAnsi="Calibri Light" w:cs="Calibri Light"/>
          <w:color w:val="495965"/>
          <w:sz w:val="22"/>
          <w:szCs w:val="22"/>
          <w:u w:color="495965"/>
          <w:lang w:eastAsia="en-AU"/>
        </w:rPr>
        <w:t xml:space="preserve"> DFAT program management. The model also </w:t>
      </w:r>
      <w:r>
        <w:rPr>
          <w:rFonts w:ascii="Calibri Light" w:eastAsia="Calibri Light" w:hAnsi="Calibri Light" w:cs="Calibri Light"/>
          <w:color w:val="495965"/>
          <w:sz w:val="22"/>
          <w:szCs w:val="22"/>
          <w:u w:color="495965"/>
          <w:lang w:eastAsia="en-AU"/>
        </w:rPr>
        <w:t xml:space="preserve">proved to involve high transaction costs for the government in dealing with multiple development partners, despite the latter’s efforts to coordinate amongst themselves. </w:t>
      </w:r>
    </w:p>
    <w:p w14:paraId="433DD46B" w14:textId="77777777" w:rsidR="00A34400" w:rsidRPr="00567F7D" w:rsidRDefault="00A34400" w:rsidP="00A34400">
      <w:pPr>
        <w:suppressAutoHyphens/>
        <w:spacing w:before="120" w:after="60"/>
        <w:rPr>
          <w:rFonts w:ascii="Calibri Light" w:eastAsia="Calibri Light" w:hAnsi="Calibri Light" w:cs="Calibri Light"/>
          <w:color w:val="495965"/>
          <w:sz w:val="22"/>
          <w:szCs w:val="22"/>
          <w:u w:color="495965"/>
          <w:lang w:eastAsia="en-AU"/>
        </w:rPr>
      </w:pPr>
      <w:r>
        <w:rPr>
          <w:rFonts w:ascii="Calibri Light" w:eastAsia="Calibri Light" w:hAnsi="Calibri Light" w:cs="Calibri Light"/>
          <w:color w:val="495965"/>
          <w:sz w:val="22"/>
          <w:szCs w:val="22"/>
          <w:u w:color="495965"/>
          <w:lang w:eastAsia="en-AU"/>
        </w:rPr>
        <w:t xml:space="preserve">Australia supported improvements to primary education sector governance and gender approaches under this outcome, with efforts in the reporting period focused on contributing to the design of the next phase. The PEDP4 design team reviewed primary education planning and monitoring processes, with the result that reforms implemented in PEDP3 will be sustained in PEDP4 such as the Annual Sector Performance Report, the Annual Primary School Census, the National Student Assessment, and mechanisms to </w:t>
      </w:r>
      <w:proofErr w:type="spellStart"/>
      <w:r>
        <w:rPr>
          <w:rFonts w:ascii="Calibri Light" w:eastAsia="Calibri Light" w:hAnsi="Calibri Light" w:cs="Calibri Light"/>
          <w:color w:val="495965"/>
          <w:sz w:val="22"/>
          <w:szCs w:val="22"/>
          <w:u w:color="495965"/>
          <w:lang w:eastAsia="en-AU"/>
        </w:rPr>
        <w:t>decentralise</w:t>
      </w:r>
      <w:proofErr w:type="spellEnd"/>
      <w:r>
        <w:rPr>
          <w:rFonts w:ascii="Calibri Light" w:eastAsia="Calibri Light" w:hAnsi="Calibri Light" w:cs="Calibri Light"/>
          <w:color w:val="495965"/>
          <w:sz w:val="22"/>
          <w:szCs w:val="22"/>
          <w:u w:color="495965"/>
          <w:lang w:eastAsia="en-AU"/>
        </w:rPr>
        <w:t xml:space="preserve"> management to enable schools and school districts to identify and fund priorities, </w:t>
      </w:r>
      <w:r w:rsidRPr="00F0185E">
        <w:rPr>
          <w:rFonts w:ascii="Calibri Light" w:eastAsia="Calibri Light" w:hAnsi="Calibri Light" w:cs="Calibri Light"/>
          <w:b/>
          <w:color w:val="495965"/>
          <w:sz w:val="22"/>
          <w:szCs w:val="22"/>
          <w:u w:color="495965"/>
          <w:lang w:eastAsia="en-AU"/>
        </w:rPr>
        <w:t>achieving the PAF target</w:t>
      </w:r>
      <w:r>
        <w:rPr>
          <w:rFonts w:ascii="Calibri Light" w:eastAsia="Calibri Light" w:hAnsi="Calibri Light" w:cs="Calibri Light"/>
          <w:color w:val="495965"/>
          <w:sz w:val="22"/>
          <w:szCs w:val="22"/>
          <w:u w:color="495965"/>
          <w:lang w:eastAsia="en-AU"/>
        </w:rPr>
        <w:t>. Our e</w:t>
      </w:r>
      <w:r w:rsidRPr="00567F7D">
        <w:rPr>
          <w:rFonts w:ascii="Calibri Light" w:eastAsia="Calibri Light" w:hAnsi="Calibri Light" w:cs="Calibri Light"/>
          <w:color w:val="495965"/>
          <w:sz w:val="22"/>
          <w:szCs w:val="22"/>
          <w:u w:color="495965"/>
          <w:lang w:eastAsia="en-AU"/>
        </w:rPr>
        <w:t xml:space="preserve">fforts </w:t>
      </w:r>
      <w:r>
        <w:rPr>
          <w:rFonts w:ascii="Calibri Light" w:eastAsia="Calibri Light" w:hAnsi="Calibri Light" w:cs="Calibri Light"/>
          <w:color w:val="495965"/>
          <w:sz w:val="22"/>
          <w:szCs w:val="22"/>
          <w:u w:color="495965"/>
          <w:lang w:eastAsia="en-AU"/>
        </w:rPr>
        <w:t xml:space="preserve">through technical support </w:t>
      </w:r>
      <w:r w:rsidRPr="00567F7D">
        <w:rPr>
          <w:rFonts w:ascii="Calibri Light" w:eastAsia="Calibri Light" w:hAnsi="Calibri Light" w:cs="Calibri Light"/>
          <w:color w:val="495965"/>
          <w:sz w:val="22"/>
          <w:szCs w:val="22"/>
          <w:u w:color="495965"/>
          <w:lang w:eastAsia="en-AU"/>
        </w:rPr>
        <w:t xml:space="preserve">to incorporate gender lessons from PEDP3 </w:t>
      </w:r>
      <w:r>
        <w:rPr>
          <w:rFonts w:ascii="Calibri Light" w:eastAsia="Calibri Light" w:hAnsi="Calibri Light" w:cs="Calibri Light"/>
          <w:color w:val="495965"/>
          <w:sz w:val="22"/>
          <w:szCs w:val="22"/>
          <w:u w:color="495965"/>
          <w:lang w:eastAsia="en-AU"/>
        </w:rPr>
        <w:t xml:space="preserve">to the new phase (PEDP4) </w:t>
      </w:r>
      <w:r w:rsidRPr="00567F7D">
        <w:rPr>
          <w:rFonts w:ascii="Calibri Light" w:eastAsia="Calibri Light" w:hAnsi="Calibri Light" w:cs="Calibri Light"/>
          <w:color w:val="495965"/>
          <w:sz w:val="22"/>
          <w:szCs w:val="22"/>
          <w:u w:color="495965"/>
          <w:lang w:eastAsia="en-AU"/>
        </w:rPr>
        <w:t>w</w:t>
      </w:r>
      <w:r>
        <w:rPr>
          <w:rFonts w:ascii="Calibri Light" w:eastAsia="Calibri Light" w:hAnsi="Calibri Light" w:cs="Calibri Light"/>
          <w:color w:val="495965"/>
          <w:sz w:val="22"/>
          <w:szCs w:val="22"/>
          <w:u w:color="495965"/>
          <w:lang w:eastAsia="en-AU"/>
        </w:rPr>
        <w:t>as</w:t>
      </w:r>
      <w:r w:rsidRPr="00567F7D">
        <w:rPr>
          <w:rFonts w:ascii="Calibri Light" w:eastAsia="Calibri Light" w:hAnsi="Calibri Light" w:cs="Calibri Light"/>
          <w:color w:val="495965"/>
          <w:sz w:val="22"/>
          <w:szCs w:val="22"/>
          <w:u w:color="495965"/>
          <w:lang w:eastAsia="en-AU"/>
        </w:rPr>
        <w:t xml:space="preserve"> only partly successf</w:t>
      </w:r>
      <w:r>
        <w:rPr>
          <w:rFonts w:ascii="Calibri Light" w:eastAsia="Calibri Light" w:hAnsi="Calibri Light" w:cs="Calibri Light"/>
          <w:color w:val="495965"/>
          <w:sz w:val="22"/>
          <w:szCs w:val="22"/>
          <w:u w:color="495965"/>
          <w:lang w:eastAsia="en-AU"/>
        </w:rPr>
        <w:t>ul</w:t>
      </w:r>
      <w:r w:rsidRPr="00567F7D">
        <w:rPr>
          <w:rFonts w:ascii="Calibri Light" w:eastAsia="Calibri Light" w:hAnsi="Calibri Light" w:cs="Calibri Light"/>
          <w:color w:val="495965"/>
          <w:sz w:val="22"/>
          <w:szCs w:val="22"/>
          <w:u w:color="495965"/>
          <w:lang w:eastAsia="en-AU"/>
        </w:rPr>
        <w:t xml:space="preserve"> (</w:t>
      </w:r>
      <w:r>
        <w:rPr>
          <w:rFonts w:ascii="Calibri Light" w:eastAsia="Calibri Light" w:hAnsi="Calibri Light" w:cs="Calibri Light"/>
          <w:b/>
          <w:color w:val="495965"/>
          <w:sz w:val="22"/>
          <w:szCs w:val="22"/>
          <w:u w:color="495965"/>
          <w:lang w:eastAsia="en-AU"/>
        </w:rPr>
        <w:t>partly achieving the</w:t>
      </w:r>
      <w:r w:rsidRPr="00567F7D">
        <w:rPr>
          <w:rFonts w:ascii="Calibri Light" w:eastAsia="Calibri Light" w:hAnsi="Calibri Light" w:cs="Calibri Light"/>
          <w:b/>
          <w:color w:val="495965"/>
          <w:sz w:val="22"/>
          <w:szCs w:val="22"/>
          <w:u w:color="495965"/>
          <w:lang w:eastAsia="en-AU"/>
        </w:rPr>
        <w:t xml:space="preserve"> PAF target</w:t>
      </w:r>
      <w:r w:rsidRPr="00567F7D">
        <w:rPr>
          <w:rFonts w:ascii="Calibri Light" w:eastAsia="Calibri Light" w:hAnsi="Calibri Light" w:cs="Calibri Light"/>
          <w:color w:val="495965"/>
          <w:sz w:val="22"/>
          <w:szCs w:val="22"/>
          <w:u w:color="495965"/>
          <w:lang w:eastAsia="en-AU"/>
        </w:rPr>
        <w:t xml:space="preserve">). </w:t>
      </w:r>
      <w:r>
        <w:rPr>
          <w:rFonts w:ascii="Calibri Light" w:eastAsia="Calibri Light" w:hAnsi="Calibri Light" w:cs="Calibri Light"/>
          <w:color w:val="495965"/>
          <w:sz w:val="22"/>
          <w:szCs w:val="22"/>
          <w:u w:color="495965"/>
          <w:lang w:eastAsia="en-AU"/>
        </w:rPr>
        <w:t xml:space="preserve">Expected improvements in the quality of </w:t>
      </w:r>
      <w:r w:rsidRPr="00567F7D">
        <w:rPr>
          <w:rFonts w:ascii="Calibri Light" w:eastAsia="Calibri Light" w:hAnsi="Calibri Light" w:cs="Calibri Light"/>
          <w:color w:val="495965"/>
          <w:sz w:val="22"/>
          <w:szCs w:val="22"/>
          <w:u w:color="495965"/>
          <w:lang w:eastAsia="en-AU"/>
        </w:rPr>
        <w:t xml:space="preserve">PEDP4’s Gender Inclusive Education Action Plan </w:t>
      </w:r>
      <w:r>
        <w:rPr>
          <w:rFonts w:ascii="Calibri Light" w:eastAsia="Calibri Light" w:hAnsi="Calibri Light" w:cs="Calibri Light"/>
          <w:color w:val="495965"/>
          <w:sz w:val="22"/>
          <w:szCs w:val="22"/>
          <w:u w:color="495965"/>
          <w:lang w:eastAsia="en-AU"/>
        </w:rPr>
        <w:t xml:space="preserve">compared to </w:t>
      </w:r>
      <w:r w:rsidRPr="00567F7D">
        <w:rPr>
          <w:rFonts w:ascii="Calibri Light" w:eastAsia="Calibri Light" w:hAnsi="Calibri Light" w:cs="Calibri Light"/>
          <w:color w:val="495965"/>
          <w:sz w:val="22"/>
          <w:szCs w:val="22"/>
          <w:u w:color="495965"/>
          <w:lang w:eastAsia="en-AU"/>
        </w:rPr>
        <w:t>the previous phase</w:t>
      </w:r>
      <w:r>
        <w:rPr>
          <w:rFonts w:ascii="Calibri Light" w:eastAsia="Calibri Light" w:hAnsi="Calibri Light" w:cs="Calibri Light"/>
          <w:color w:val="495965"/>
          <w:sz w:val="22"/>
          <w:szCs w:val="22"/>
          <w:u w:color="495965"/>
          <w:lang w:eastAsia="en-AU"/>
        </w:rPr>
        <w:t xml:space="preserve"> were not achieved</w:t>
      </w:r>
      <w:r w:rsidRPr="00567F7D">
        <w:rPr>
          <w:rFonts w:ascii="Calibri Light" w:eastAsia="Calibri Light" w:hAnsi="Calibri Light" w:cs="Calibri Light"/>
          <w:color w:val="495965"/>
          <w:sz w:val="22"/>
          <w:szCs w:val="22"/>
          <w:u w:color="495965"/>
          <w:lang w:eastAsia="en-AU"/>
        </w:rPr>
        <w:t xml:space="preserve">, but the new program has a strong system </w:t>
      </w:r>
      <w:r>
        <w:rPr>
          <w:rFonts w:ascii="Calibri Light" w:eastAsia="Calibri Light" w:hAnsi="Calibri Light" w:cs="Calibri Light"/>
          <w:color w:val="495965"/>
          <w:sz w:val="22"/>
          <w:szCs w:val="22"/>
          <w:u w:color="495965"/>
          <w:lang w:eastAsia="en-AU"/>
        </w:rPr>
        <w:t xml:space="preserve">in place </w:t>
      </w:r>
      <w:r w:rsidRPr="00567F7D">
        <w:rPr>
          <w:rFonts w:ascii="Calibri Light" w:eastAsia="Calibri Light" w:hAnsi="Calibri Light" w:cs="Calibri Light"/>
          <w:color w:val="495965"/>
          <w:sz w:val="22"/>
          <w:szCs w:val="22"/>
          <w:u w:color="495965"/>
          <w:lang w:eastAsia="en-AU"/>
        </w:rPr>
        <w:t xml:space="preserve">for capturing and monitoring gender disaggregated data. </w:t>
      </w:r>
    </w:p>
    <w:p w14:paraId="360AEEE1" w14:textId="77777777" w:rsidR="00A34400" w:rsidRDefault="00A34400" w:rsidP="00A34400">
      <w:pPr>
        <w:pStyle w:val="ListBullet"/>
        <w:tabs>
          <w:tab w:val="clear" w:pos="284"/>
        </w:tabs>
        <w:spacing w:before="480" w:line="300" w:lineRule="exact"/>
        <w:rPr>
          <w:rStyle w:val="None"/>
          <w:rFonts w:ascii="Calibri" w:eastAsia="Calibri" w:hAnsi="Calibri" w:cs="Calibri"/>
          <w:caps/>
          <w:color w:val="495965"/>
          <w:sz w:val="38"/>
          <w:szCs w:val="38"/>
          <w:u w:color="495965"/>
        </w:rPr>
      </w:pPr>
      <w:r>
        <w:rPr>
          <w:rStyle w:val="None"/>
          <w:rFonts w:ascii="Calibri" w:eastAsia="Calibri" w:hAnsi="Calibri" w:cs="Calibri"/>
          <w:caps/>
          <w:color w:val="495965"/>
          <w:sz w:val="38"/>
          <w:szCs w:val="38"/>
          <w:u w:color="495965"/>
        </w:rPr>
        <w:t>Objective 2: building economic resilience by reducing vulnerability and improving inclusion in the growing economy</w:t>
      </w:r>
    </w:p>
    <w:p w14:paraId="5C7AF7B1" w14:textId="77777777" w:rsidR="00A34400" w:rsidRDefault="00A34400" w:rsidP="00A34400">
      <w:pPr>
        <w:pStyle w:val="ListBullet"/>
        <w:tabs>
          <w:tab w:val="clear" w:pos="284"/>
        </w:tabs>
        <w:spacing w:before="480" w:line="300" w:lineRule="exact"/>
        <w:rPr>
          <w:rStyle w:val="None"/>
          <w:rFonts w:ascii="Calibri" w:eastAsia="Calibri" w:hAnsi="Calibri" w:cs="Calibri"/>
          <w:caps/>
          <w:color w:val="495965"/>
          <w:sz w:val="38"/>
          <w:szCs w:val="38"/>
          <w:u w:color="495965"/>
        </w:rPr>
      </w:pPr>
      <w:r>
        <w:rPr>
          <w:rStyle w:val="None"/>
          <w:rFonts w:ascii="Times New Roman" w:eastAsia="Times New Roman" w:hAnsi="Times New Roman" w:cs="Times New Roman"/>
          <w:noProof/>
          <w:sz w:val="24"/>
          <w:szCs w:val="24"/>
          <w:lang w:val="en-AU"/>
        </w:rPr>
        <w:drawing>
          <wp:anchor distT="0" distB="0" distL="114300" distR="114300" simplePos="0" relativeHeight="251678720" behindDoc="0" locked="0" layoutInCell="1" allowOverlap="1" wp14:anchorId="31081F5B" wp14:editId="1FA7C405">
            <wp:simplePos x="0" y="0"/>
            <wp:positionH relativeFrom="column">
              <wp:posOffset>4737735</wp:posOffset>
            </wp:positionH>
            <wp:positionV relativeFrom="paragraph">
              <wp:posOffset>27940</wp:posOffset>
            </wp:positionV>
            <wp:extent cx="612000" cy="612000"/>
            <wp:effectExtent l="0" t="0" r="0" b="0"/>
            <wp:wrapSquare wrapText="bothSides"/>
            <wp:docPr id="23" name="officeArt object" descr="SDG 13.png"/>
            <wp:cNvGraphicFramePr/>
            <a:graphic xmlns:a="http://schemas.openxmlformats.org/drawingml/2006/main">
              <a:graphicData uri="http://schemas.openxmlformats.org/drawingml/2006/picture">
                <pic:pic xmlns:pic="http://schemas.openxmlformats.org/drawingml/2006/picture">
                  <pic:nvPicPr>
                    <pic:cNvPr id="1073741845" name="SDG 13.png" descr="SDG 13.pn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00" cy="612000"/>
                    </a:xfrm>
                    <a:prstGeom prst="rect">
                      <a:avLst/>
                    </a:prstGeom>
                    <a:ln w="12700" cap="flat">
                      <a:noFill/>
                      <a:miter lim="400000"/>
                    </a:ln>
                    <a:effectLst/>
                  </pic:spPr>
                </pic:pic>
              </a:graphicData>
            </a:graphic>
          </wp:anchor>
        </w:drawing>
      </w:r>
      <w:r>
        <w:rPr>
          <w:rStyle w:val="None"/>
          <w:rFonts w:ascii="Times New Roman" w:eastAsia="Times New Roman" w:hAnsi="Times New Roman" w:cs="Times New Roman"/>
          <w:noProof/>
          <w:sz w:val="24"/>
          <w:szCs w:val="24"/>
          <w:lang w:val="en-AU"/>
        </w:rPr>
        <w:drawing>
          <wp:anchor distT="0" distB="0" distL="114300" distR="114300" simplePos="0" relativeHeight="251677696" behindDoc="0" locked="0" layoutInCell="1" allowOverlap="1" wp14:anchorId="0217C51E" wp14:editId="64F1C672">
            <wp:simplePos x="0" y="0"/>
            <wp:positionH relativeFrom="column">
              <wp:posOffset>4013835</wp:posOffset>
            </wp:positionH>
            <wp:positionV relativeFrom="paragraph">
              <wp:posOffset>27940</wp:posOffset>
            </wp:positionV>
            <wp:extent cx="612000" cy="612000"/>
            <wp:effectExtent l="0" t="0" r="0" b="0"/>
            <wp:wrapSquare wrapText="bothSides"/>
            <wp:docPr id="26" name="officeArt object" descr="SDG 10.png"/>
            <wp:cNvGraphicFramePr/>
            <a:graphic xmlns:a="http://schemas.openxmlformats.org/drawingml/2006/main">
              <a:graphicData uri="http://schemas.openxmlformats.org/drawingml/2006/picture">
                <pic:pic xmlns:pic="http://schemas.openxmlformats.org/drawingml/2006/picture">
                  <pic:nvPicPr>
                    <pic:cNvPr id="1073741839" name="SDG 10.png" descr="SDG 10.png"/>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00" cy="612000"/>
                    </a:xfrm>
                    <a:prstGeom prst="rect">
                      <a:avLst/>
                    </a:prstGeom>
                    <a:ln w="12700" cap="flat">
                      <a:noFill/>
                      <a:miter lim="400000"/>
                    </a:ln>
                    <a:effectLst/>
                  </pic:spPr>
                </pic:pic>
              </a:graphicData>
            </a:graphic>
          </wp:anchor>
        </w:drawing>
      </w:r>
      <w:r>
        <w:rPr>
          <w:rStyle w:val="None"/>
          <w:rFonts w:ascii="Times New Roman" w:eastAsia="Times New Roman" w:hAnsi="Times New Roman" w:cs="Times New Roman"/>
          <w:noProof/>
          <w:sz w:val="24"/>
          <w:szCs w:val="24"/>
          <w:lang w:val="en-AU"/>
        </w:rPr>
        <w:drawing>
          <wp:anchor distT="0" distB="0" distL="114300" distR="114300" simplePos="0" relativeHeight="251676672" behindDoc="0" locked="0" layoutInCell="1" allowOverlap="1" wp14:anchorId="2A56E640" wp14:editId="62CBDFC4">
            <wp:simplePos x="0" y="0"/>
            <wp:positionH relativeFrom="column">
              <wp:posOffset>3337560</wp:posOffset>
            </wp:positionH>
            <wp:positionV relativeFrom="paragraph">
              <wp:posOffset>27940</wp:posOffset>
            </wp:positionV>
            <wp:extent cx="609600" cy="609600"/>
            <wp:effectExtent l="0" t="0" r="0" b="0"/>
            <wp:wrapSquare wrapText="bothSides"/>
            <wp:docPr id="27" name="officeArt object" descr="C:\Users\scarpen2\AppData\Local\Microsoft\Windows\INetCache\Content.Word\SDG 8.png"/>
            <wp:cNvGraphicFramePr/>
            <a:graphic xmlns:a="http://schemas.openxmlformats.org/drawingml/2006/main">
              <a:graphicData uri="http://schemas.openxmlformats.org/drawingml/2006/picture">
                <pic:pic xmlns:pic="http://schemas.openxmlformats.org/drawingml/2006/picture">
                  <pic:nvPicPr>
                    <pic:cNvPr id="1073741852" name="C:\Users\scarpen2\AppData\Local\Microsoft\Windows\INetCache\Content.Word\SDG 8.png" descr="C:\Users\scarpen2\AppData\Local\Microsoft\Windows\INetCache\Content.Word\SDG 8.png"/>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09600" cy="609600"/>
                    </a:xfrm>
                    <a:prstGeom prst="rect">
                      <a:avLst/>
                    </a:prstGeom>
                    <a:ln w="12700" cap="flat">
                      <a:noFill/>
                      <a:miter lim="400000"/>
                    </a:ln>
                    <a:effectLst/>
                  </pic:spPr>
                </pic:pic>
              </a:graphicData>
            </a:graphic>
          </wp:anchor>
        </w:drawing>
      </w:r>
      <w:r>
        <w:rPr>
          <w:rStyle w:val="Hyperlink0"/>
          <w:b/>
          <w:noProof/>
          <w:lang w:val="en-AU"/>
        </w:rPr>
        <w:drawing>
          <wp:anchor distT="0" distB="0" distL="114300" distR="114300" simplePos="0" relativeHeight="251675648" behindDoc="0" locked="0" layoutInCell="1" allowOverlap="1" wp14:anchorId="42545D16" wp14:editId="3983EAA3">
            <wp:simplePos x="0" y="0"/>
            <wp:positionH relativeFrom="column">
              <wp:posOffset>2613660</wp:posOffset>
            </wp:positionH>
            <wp:positionV relativeFrom="paragraph">
              <wp:posOffset>27940</wp:posOffset>
            </wp:positionV>
            <wp:extent cx="609600" cy="6096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rStyle w:val="None"/>
          <w:rFonts w:ascii="Times New Roman" w:eastAsia="Times New Roman" w:hAnsi="Times New Roman" w:cs="Times New Roman"/>
          <w:noProof/>
          <w:sz w:val="24"/>
          <w:szCs w:val="24"/>
          <w:lang w:val="en-AU"/>
        </w:rPr>
        <w:drawing>
          <wp:anchor distT="0" distB="0" distL="114300" distR="114300" simplePos="0" relativeHeight="251674624" behindDoc="0" locked="0" layoutInCell="1" allowOverlap="1" wp14:anchorId="14CD3A4C" wp14:editId="2042293D">
            <wp:simplePos x="0" y="0"/>
            <wp:positionH relativeFrom="column">
              <wp:posOffset>1889760</wp:posOffset>
            </wp:positionH>
            <wp:positionV relativeFrom="paragraph">
              <wp:posOffset>17780</wp:posOffset>
            </wp:positionV>
            <wp:extent cx="611505" cy="619125"/>
            <wp:effectExtent l="0" t="0" r="0" b="9525"/>
            <wp:wrapSquare wrapText="bothSides"/>
            <wp:docPr id="29" name="officeArt object" descr="SDG 2.png"/>
            <wp:cNvGraphicFramePr/>
            <a:graphic xmlns:a="http://schemas.openxmlformats.org/drawingml/2006/main">
              <a:graphicData uri="http://schemas.openxmlformats.org/drawingml/2006/picture">
                <pic:pic xmlns:pic="http://schemas.openxmlformats.org/drawingml/2006/picture">
                  <pic:nvPicPr>
                    <pic:cNvPr id="1073741840" name="SDG 2.png" descr="SDG 2.png"/>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1505" cy="619125"/>
                    </a:xfrm>
                    <a:prstGeom prst="rect">
                      <a:avLst/>
                    </a:prstGeom>
                    <a:ln w="12700" cap="flat">
                      <a:noFill/>
                      <a:miter lim="400000"/>
                    </a:ln>
                    <a:effectLst/>
                  </pic:spPr>
                </pic:pic>
              </a:graphicData>
            </a:graphic>
            <wp14:sizeRelV relativeFrom="margin">
              <wp14:pctHeight>0</wp14:pctHeight>
            </wp14:sizeRelV>
          </wp:anchor>
        </w:drawing>
      </w:r>
      <w:r>
        <w:rPr>
          <w:rStyle w:val="None"/>
          <w:rFonts w:ascii="Times New Roman" w:eastAsia="Times New Roman" w:hAnsi="Times New Roman" w:cs="Times New Roman"/>
          <w:noProof/>
          <w:sz w:val="24"/>
          <w:szCs w:val="24"/>
          <w:lang w:val="en-AU"/>
        </w:rPr>
        <w:drawing>
          <wp:anchor distT="0" distB="0" distL="114300" distR="114300" simplePos="0" relativeHeight="251673600" behindDoc="0" locked="0" layoutInCell="1" allowOverlap="1" wp14:anchorId="2534C268" wp14:editId="7412E0ED">
            <wp:simplePos x="0" y="0"/>
            <wp:positionH relativeFrom="column">
              <wp:posOffset>1213485</wp:posOffset>
            </wp:positionH>
            <wp:positionV relativeFrom="paragraph">
              <wp:posOffset>18415</wp:posOffset>
            </wp:positionV>
            <wp:extent cx="611505" cy="619125"/>
            <wp:effectExtent l="0" t="0" r="0" b="9525"/>
            <wp:wrapSquare wrapText="bothSides"/>
            <wp:docPr id="30" name="officeArt object" descr="\\TITAN\CHCH\Desktop\scarpen2\Desktop\New folder (2)\SDG 1.png"/>
            <wp:cNvGraphicFramePr/>
            <a:graphic xmlns:a="http://schemas.openxmlformats.org/drawingml/2006/main">
              <a:graphicData uri="http://schemas.openxmlformats.org/drawingml/2006/picture">
                <pic:pic xmlns:pic="http://schemas.openxmlformats.org/drawingml/2006/picture">
                  <pic:nvPicPr>
                    <pic:cNvPr id="1073741838" name="\\TITAN\CHCH\Desktop\scarpen2\Desktop\New folder (2)\SDG 1.png" descr="\\TITAN\CHCH\Desktop\scarpen2\Desktop\New folder (2)\SDG 1.png"/>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611505" cy="619125"/>
                    </a:xfrm>
                    <a:prstGeom prst="rect">
                      <a:avLst/>
                    </a:prstGeom>
                    <a:ln w="12700" cap="flat">
                      <a:noFill/>
                      <a:miter lim="400000"/>
                    </a:ln>
                    <a:effectLst/>
                  </pic:spPr>
                </pic:pic>
              </a:graphicData>
            </a:graphic>
            <wp14:sizeRelV relativeFrom="margin">
              <wp14:pctHeight>0</wp14:pctHeight>
            </wp14:sizeRelV>
          </wp:anchor>
        </w:drawing>
      </w:r>
      <w:r w:rsidRPr="00F827DD">
        <w:rPr>
          <w:rFonts w:ascii="Calibri" w:eastAsia="Times New Roman" w:hAnsi="Calibri" w:cs="Times New Roman"/>
          <w:caps/>
          <w:noProof/>
          <w:sz w:val="38"/>
          <w:szCs w:val="26"/>
          <w:bdr w:val="none" w:sz="0" w:space="0" w:color="auto"/>
          <w:lang w:val="en-AU"/>
        </w:rPr>
        <w:drawing>
          <wp:anchor distT="0" distB="0" distL="114300" distR="114300" simplePos="0" relativeHeight="251672576" behindDoc="0" locked="0" layoutInCell="1" allowOverlap="1" wp14:anchorId="134BD970" wp14:editId="5FE1628C">
            <wp:simplePos x="0" y="0"/>
            <wp:positionH relativeFrom="column">
              <wp:posOffset>3810</wp:posOffset>
            </wp:positionH>
            <wp:positionV relativeFrom="paragraph">
              <wp:posOffset>14605</wp:posOffset>
            </wp:positionV>
            <wp:extent cx="1134745" cy="619125"/>
            <wp:effectExtent l="0" t="0" r="825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4745" cy="619125"/>
                    </a:xfrm>
                    <a:prstGeom prst="rect">
                      <a:avLst/>
                    </a:prstGeom>
                  </pic:spPr>
                </pic:pic>
              </a:graphicData>
            </a:graphic>
            <wp14:sizeRelV relativeFrom="margin">
              <wp14:pctHeight>0</wp14:pctHeight>
            </wp14:sizeRelV>
          </wp:anchor>
        </w:drawing>
      </w:r>
    </w:p>
    <w:p w14:paraId="747D25DA" w14:textId="77777777" w:rsidR="00A34400" w:rsidRDefault="00A34400" w:rsidP="00A34400">
      <w:pPr>
        <w:pStyle w:val="BodyA"/>
        <w:spacing w:before="240" w:line="240" w:lineRule="auto"/>
        <w:rPr>
          <w:b/>
          <w:bCs/>
        </w:rPr>
      </w:pPr>
    </w:p>
    <w:p w14:paraId="00221343" w14:textId="0EFEA7D5" w:rsidR="00A34400" w:rsidRPr="00954977" w:rsidRDefault="00A34400" w:rsidP="00A34400">
      <w:pPr>
        <w:pStyle w:val="BodyA"/>
        <w:spacing w:line="240" w:lineRule="auto"/>
        <w:rPr>
          <w:b/>
        </w:rPr>
      </w:pPr>
      <w:r>
        <w:rPr>
          <w:b/>
          <w:bCs/>
        </w:rPr>
        <w:t>The objective was rated</w:t>
      </w:r>
      <w:r>
        <w:t xml:space="preserve"> </w:t>
      </w:r>
      <w:r w:rsidRPr="006462D2">
        <w:rPr>
          <w:b/>
          <w:bCs/>
        </w:rPr>
        <w:t>green</w:t>
      </w:r>
      <w:r w:rsidRPr="006462D2">
        <w:t xml:space="preserve"> </w:t>
      </w:r>
      <w:r w:rsidRPr="006B166E">
        <w:t xml:space="preserve">because both Performance Benchmarks and </w:t>
      </w:r>
      <w:r w:rsidR="00F61CD8">
        <w:rPr>
          <w:b/>
        </w:rPr>
        <w:t>9</w:t>
      </w:r>
      <w:r w:rsidRPr="006B166E">
        <w:rPr>
          <w:b/>
        </w:rPr>
        <w:t xml:space="preserve"> of 12 PAF</w:t>
      </w:r>
      <w:r w:rsidRPr="006462D2">
        <w:rPr>
          <w:b/>
        </w:rPr>
        <w:t xml:space="preserve"> targets</w:t>
      </w:r>
      <w:r w:rsidRPr="00B36C71">
        <w:rPr>
          <w:b/>
        </w:rPr>
        <w:t xml:space="preserve"> were met</w:t>
      </w:r>
      <w:r>
        <w:t xml:space="preserve"> (see </w:t>
      </w:r>
      <w:r>
        <w:rPr>
          <w:b/>
          <w:bCs/>
        </w:rPr>
        <w:t>Annex B</w:t>
      </w:r>
      <w:r>
        <w:t xml:space="preserve"> and </w:t>
      </w:r>
      <w:r>
        <w:rPr>
          <w:b/>
          <w:bCs/>
        </w:rPr>
        <w:t>Annex E</w:t>
      </w:r>
      <w:r>
        <w:t xml:space="preserve"> for detail) during the reporting period. </w:t>
      </w:r>
      <w:r w:rsidR="00F61CD8" w:rsidRPr="00F61CD8">
        <w:rPr>
          <w:b/>
        </w:rPr>
        <w:t>Three</w:t>
      </w:r>
      <w:r w:rsidRPr="00F61CD8">
        <w:rPr>
          <w:b/>
        </w:rPr>
        <w:t xml:space="preserve"> PAF targets were</w:t>
      </w:r>
      <w:r w:rsidR="00954977">
        <w:rPr>
          <w:b/>
        </w:rPr>
        <w:t xml:space="preserve"> either</w:t>
      </w:r>
      <w:r w:rsidRPr="00F61CD8">
        <w:rPr>
          <w:b/>
        </w:rPr>
        <w:t xml:space="preserve"> </w:t>
      </w:r>
      <w:r w:rsidR="00F61CD8" w:rsidRPr="00F61CD8">
        <w:rPr>
          <w:b/>
        </w:rPr>
        <w:t xml:space="preserve">partially achieved or </w:t>
      </w:r>
      <w:r w:rsidRPr="00F61CD8">
        <w:rPr>
          <w:b/>
        </w:rPr>
        <w:t>unmet</w:t>
      </w:r>
      <w:r>
        <w:t xml:space="preserve">, including a target </w:t>
      </w:r>
      <w:r w:rsidR="00EF08D8">
        <w:t xml:space="preserve">impacted by </w:t>
      </w:r>
      <w:r>
        <w:t xml:space="preserve">the </w:t>
      </w:r>
      <w:r w:rsidR="00EF08D8">
        <w:t xml:space="preserve">significant </w:t>
      </w:r>
      <w:r>
        <w:t>Rohingya influx (over 700,000 displaced people, including 60 per cent children) into Cox’s Bazar District distorting results in addressing wasting in children. With the scale-up of Australia’s humanitarian funding in 2017-18, the AIP Performance Framework was updated to include a fourth program outcome.</w:t>
      </w:r>
      <w:r w:rsidR="00F61CD8">
        <w:t xml:space="preserve"> </w:t>
      </w:r>
      <w:r w:rsidR="00F61CD8" w:rsidRPr="00954977">
        <w:rPr>
          <w:b/>
        </w:rPr>
        <w:t xml:space="preserve">Of the two </w:t>
      </w:r>
      <w:r w:rsidR="00954977">
        <w:rPr>
          <w:b/>
        </w:rPr>
        <w:t>PBs</w:t>
      </w:r>
      <w:r w:rsidR="00F61CD8" w:rsidRPr="00954977">
        <w:rPr>
          <w:b/>
        </w:rPr>
        <w:t xml:space="preserve">, one was </w:t>
      </w:r>
      <w:r w:rsidR="00954977">
        <w:rPr>
          <w:b/>
        </w:rPr>
        <w:t xml:space="preserve">met, and </w:t>
      </w:r>
      <w:r w:rsidR="00954977" w:rsidRPr="00954977">
        <w:rPr>
          <w:b/>
        </w:rPr>
        <w:t>the other only partially me</w:t>
      </w:r>
      <w:r w:rsidR="00954977">
        <w:rPr>
          <w:b/>
        </w:rPr>
        <w:t>t</w:t>
      </w:r>
      <w:r w:rsidR="00173364">
        <w:rPr>
          <w:b/>
        </w:rPr>
        <w:t xml:space="preserve"> </w:t>
      </w:r>
      <w:r w:rsidR="00173364" w:rsidRPr="00173364">
        <w:t>(see Annex B)</w:t>
      </w:r>
      <w:r w:rsidR="00F61CD8" w:rsidRPr="00173364">
        <w:t>.</w:t>
      </w:r>
      <w:r w:rsidR="00F61CD8" w:rsidRPr="00954977">
        <w:rPr>
          <w:b/>
        </w:rPr>
        <w:t xml:space="preserve"> </w:t>
      </w:r>
    </w:p>
    <w:p w14:paraId="36499695" w14:textId="40067FCF" w:rsidR="00A34400" w:rsidRPr="00B53B34" w:rsidRDefault="00A34400" w:rsidP="00A34400">
      <w:pPr>
        <w:pStyle w:val="BodyA"/>
        <w:spacing w:line="240" w:lineRule="auto"/>
      </w:pPr>
      <w:r>
        <w:t xml:space="preserve">Australia has contributed to building the resilience of the most vulnerable in Bangladesh’s growing </w:t>
      </w:r>
      <w:r w:rsidRPr="006931C2">
        <w:t xml:space="preserve">economy </w:t>
      </w:r>
      <w:r>
        <w:t xml:space="preserve">by helping to strengthen the Government’s social security system, and supporting the poorest to improve their productive capacity through access to livelihoods and skills. Australia also responded to a large-scale and protracted </w:t>
      </w:r>
      <w:r w:rsidR="00EF08D8">
        <w:t xml:space="preserve">Rohingya </w:t>
      </w:r>
      <w:r>
        <w:t xml:space="preserve">humanitarian crisis in the Cox’s Bazar District. </w:t>
      </w:r>
      <w:r w:rsidRPr="00565798">
        <w:t>This objective has a strong focus on addressing gender inequality through the inclusion of large numbers of women and girls in livelihoods activities; targeting social security reform, where women are the major beneficiaries</w:t>
      </w:r>
      <w:r w:rsidRPr="00565798">
        <w:rPr>
          <w:rStyle w:val="FootnoteReference"/>
        </w:rPr>
        <w:footnoteReference w:id="23"/>
      </w:r>
      <w:r w:rsidRPr="00565798">
        <w:t>; and addressing protection needs of women and girls in humanitarian response</w:t>
      </w:r>
      <w:r w:rsidR="00EF08D8">
        <w:t>s</w:t>
      </w:r>
      <w:r w:rsidRPr="00565798">
        <w:t xml:space="preserve">. Our investments through selected partnerships [BRAC; UN agencies (WFP and UNDP); and Australian NGOs] continued to </w:t>
      </w:r>
      <w:proofErr w:type="spellStart"/>
      <w:r w:rsidRPr="00565798">
        <w:t>catalyse</w:t>
      </w:r>
      <w:proofErr w:type="spellEnd"/>
      <w:r w:rsidRPr="00565798">
        <w:t xml:space="preserve"> change at scale. Approximately, 54.9 per cent ($49.4 million) of the Bangladesh ODA was allocated to this Objective in 2017-18 through five investments.</w:t>
      </w:r>
      <w:r>
        <w:t xml:space="preserve"> </w:t>
      </w:r>
    </w:p>
    <w:p w14:paraId="4022902C" w14:textId="77777777" w:rsidR="00A34400" w:rsidRDefault="00A34400" w:rsidP="00A34400">
      <w:pPr>
        <w:pStyle w:val="BodyA"/>
        <w:spacing w:before="240" w:line="240" w:lineRule="auto"/>
        <w:rPr>
          <w:b/>
          <w:bCs/>
        </w:rPr>
      </w:pPr>
      <w:r>
        <w:rPr>
          <w:b/>
          <w:bCs/>
        </w:rPr>
        <w:lastRenderedPageBreak/>
        <w:t>Outcome 1: Government of Bangladesh implemented its National Social Security Strategy informed by best international practices</w:t>
      </w:r>
    </w:p>
    <w:p w14:paraId="0901B923" w14:textId="77777777" w:rsidR="00A34400" w:rsidRDefault="00A34400" w:rsidP="00A34400">
      <w:pPr>
        <w:pStyle w:val="BodyA"/>
        <w:spacing w:before="240" w:line="240" w:lineRule="auto"/>
      </w:pPr>
      <w:r w:rsidRPr="00565798">
        <w:t xml:space="preserve">Australia supports the Government of Bangladesh to implement the National Social Security Strategy (NSSS) through our </w:t>
      </w:r>
      <w:r w:rsidRPr="00565798">
        <w:rPr>
          <w:bCs/>
          <w:i/>
        </w:rPr>
        <w:t>Strengthening Government Social Protection Systems (SGSP</w:t>
      </w:r>
      <w:r w:rsidRPr="00565798">
        <w:rPr>
          <w:i/>
        </w:rPr>
        <w:t>) initiative</w:t>
      </w:r>
      <w:r w:rsidRPr="00565798">
        <w:t xml:space="preserve">, a four year delegated cooperation arrangement with DFID. The NSSS outlines Government’s ambitious reform agenda to improve the impact and sustainability of public expenditure on social security programs with the aim of building an inclusive social security system which effectively tackles extreme poverty and inequality. </w:t>
      </w:r>
    </w:p>
    <w:p w14:paraId="22281C54" w14:textId="77777777" w:rsidR="00A34400" w:rsidRDefault="00A34400" w:rsidP="00A34400">
      <w:pPr>
        <w:pStyle w:val="BodyA"/>
        <w:spacing w:before="240" w:line="240" w:lineRule="auto"/>
      </w:pPr>
      <w:r>
        <w:t xml:space="preserve">SGSP concluded in 2017-18 and in its final year of implementation met all project milestones and the </w:t>
      </w:r>
      <w:r>
        <w:rPr>
          <w:b/>
        </w:rPr>
        <w:t>five</w:t>
      </w:r>
      <w:r w:rsidRPr="00D23BD8">
        <w:rPr>
          <w:b/>
        </w:rPr>
        <w:t xml:space="preserve"> rel</w:t>
      </w:r>
      <w:r>
        <w:rPr>
          <w:b/>
        </w:rPr>
        <w:t>ated</w:t>
      </w:r>
      <w:r w:rsidRPr="00D23BD8">
        <w:rPr>
          <w:b/>
        </w:rPr>
        <w:t xml:space="preserve"> PAF targets </w:t>
      </w:r>
      <w:r>
        <w:t>(</w:t>
      </w:r>
      <w:r>
        <w:rPr>
          <w:b/>
          <w:bCs/>
        </w:rPr>
        <w:t>See Annex E.).</w:t>
      </w:r>
      <w:r>
        <w:t xml:space="preserve"> A DFID led review in May 2018 concluded the investment was high performing. SGSP embedded the Government’s policy commitment to increase the impact of social security spending – the program supported the Government to strengthen governance structures to translate the NSSS into planning, to increase sector funding, and to consolidate the number of safety net programs. </w:t>
      </w:r>
    </w:p>
    <w:p w14:paraId="277CB621" w14:textId="77777777" w:rsidR="004B0DE7" w:rsidRDefault="00A34400" w:rsidP="00A34400">
      <w:pPr>
        <w:rPr>
          <w:rFonts w:ascii="Calibri Light" w:eastAsia="Calibri Light" w:hAnsi="Calibri Light" w:cs="Calibri Light"/>
          <w:color w:val="495965"/>
          <w:sz w:val="22"/>
          <w:szCs w:val="22"/>
          <w:u w:color="495965"/>
          <w:lang w:eastAsia="en-AU"/>
        </w:rPr>
      </w:pPr>
      <w:r w:rsidRPr="006B166E">
        <w:rPr>
          <w:rFonts w:ascii="Calibri Light" w:eastAsia="Calibri Light" w:hAnsi="Calibri Light" w:cs="Calibri Light"/>
          <w:color w:val="495965"/>
          <w:sz w:val="22"/>
          <w:szCs w:val="22"/>
          <w:u w:color="495965"/>
          <w:lang w:eastAsia="en-AU"/>
        </w:rPr>
        <w:t>At the conclusion of SGSP the Government’s commitment to sector reform remains strong and SGSP has supported the development of the institutional structures and capability required to deliver sustainable social protection reform.</w:t>
      </w:r>
      <w:r>
        <w:rPr>
          <w:rFonts w:ascii="Calibri Light" w:eastAsia="Calibri Light" w:hAnsi="Calibri Light" w:cs="Calibri Light"/>
          <w:color w:val="495965"/>
          <w:sz w:val="22"/>
          <w:szCs w:val="22"/>
          <w:u w:color="495965"/>
          <w:lang w:eastAsia="en-AU"/>
        </w:rPr>
        <w:t xml:space="preserve"> </w:t>
      </w:r>
    </w:p>
    <w:p w14:paraId="69CE4120" w14:textId="77777777" w:rsidR="004B0DE7" w:rsidRDefault="004B0DE7" w:rsidP="00A34400">
      <w:pPr>
        <w:rPr>
          <w:rFonts w:ascii="Calibri Light" w:eastAsia="Calibri Light" w:hAnsi="Calibri Light" w:cs="Calibri Light"/>
          <w:color w:val="495965"/>
          <w:sz w:val="22"/>
          <w:szCs w:val="22"/>
          <w:u w:color="495965"/>
          <w:lang w:eastAsia="en-AU"/>
        </w:rPr>
      </w:pPr>
    </w:p>
    <w:p w14:paraId="77D38739" w14:textId="33589EBB" w:rsidR="00A34400" w:rsidRPr="00996320" w:rsidRDefault="00A34400" w:rsidP="00A34400">
      <w:pPr>
        <w:rPr>
          <w:rFonts w:asciiTheme="minorHAnsi" w:hAnsiTheme="minorHAnsi"/>
          <w:sz w:val="22"/>
          <w:szCs w:val="22"/>
        </w:rPr>
      </w:pPr>
      <w:r>
        <w:rPr>
          <w:rFonts w:ascii="Calibri Light" w:eastAsia="Calibri Light" w:hAnsi="Calibri Light" w:cs="Calibri Light"/>
          <w:color w:val="495965"/>
          <w:sz w:val="22"/>
          <w:szCs w:val="22"/>
          <w:u w:color="495965"/>
          <w:lang w:eastAsia="en-AU"/>
        </w:rPr>
        <w:t>These institutional changes will have a significant impact on the delivery of</w:t>
      </w:r>
      <w:r w:rsidRPr="006B166E">
        <w:rPr>
          <w:rFonts w:ascii="Calibri Light" w:eastAsia="Calibri Light" w:hAnsi="Calibri Light" w:cs="Calibri Light"/>
          <w:color w:val="495965"/>
          <w:sz w:val="22"/>
          <w:szCs w:val="22"/>
          <w:u w:color="495965"/>
          <w:lang w:eastAsia="en-AU"/>
        </w:rPr>
        <w:t xml:space="preserve"> social protection programs, particularly for women.  For example, the Ministry of Finance has launched an electronic payment pilot for </w:t>
      </w:r>
      <w:r w:rsidR="00EF08D8">
        <w:rPr>
          <w:rFonts w:ascii="Calibri Light" w:eastAsia="Calibri Light" w:hAnsi="Calibri Light" w:cs="Calibri Light"/>
          <w:color w:val="495965"/>
          <w:sz w:val="22"/>
          <w:szCs w:val="22"/>
          <w:u w:color="495965"/>
          <w:lang w:eastAsia="en-AU"/>
        </w:rPr>
        <w:t xml:space="preserve">the </w:t>
      </w:r>
      <w:r w:rsidRPr="006B166E">
        <w:rPr>
          <w:rFonts w:ascii="Calibri Light" w:eastAsia="Calibri Light" w:hAnsi="Calibri Light" w:cs="Calibri Light"/>
          <w:color w:val="495965"/>
          <w:sz w:val="22"/>
          <w:szCs w:val="22"/>
          <w:u w:color="495965"/>
          <w:lang w:eastAsia="en-AU"/>
        </w:rPr>
        <w:t>Maternity Allowance, and a new model</w:t>
      </w:r>
      <w:r w:rsidRPr="00FD0FEB">
        <w:rPr>
          <w:rFonts w:ascii="Calibri Light" w:eastAsia="Calibri Light" w:hAnsi="Calibri Light" w:cs="Calibri Light"/>
          <w:color w:val="495965"/>
          <w:sz w:val="22"/>
          <w:szCs w:val="22"/>
          <w:u w:color="495965"/>
          <w:lang w:eastAsia="en-AU"/>
        </w:rPr>
        <w:t xml:space="preserve"> has been developed to increase the impact of the Vulnerable Group Development program, one of the largest safety net programs in Bangladesh targeted to ultra-poor women</w:t>
      </w:r>
      <w:r w:rsidRPr="00996320">
        <w:rPr>
          <w:rFonts w:asciiTheme="minorHAnsi" w:hAnsiTheme="minorHAnsi"/>
          <w:color w:val="1F497D"/>
          <w:sz w:val="22"/>
          <w:szCs w:val="22"/>
        </w:rPr>
        <w:t xml:space="preserve">. </w:t>
      </w:r>
    </w:p>
    <w:p w14:paraId="08F78534" w14:textId="77777777" w:rsidR="00A34400" w:rsidRPr="00173364" w:rsidRDefault="00A34400" w:rsidP="00A34400">
      <w:pPr>
        <w:pStyle w:val="BodyA"/>
        <w:spacing w:before="240" w:line="240" w:lineRule="auto"/>
        <w:rPr>
          <w:b/>
        </w:rPr>
      </w:pPr>
      <w:r w:rsidRPr="00173364">
        <w:rPr>
          <w:b/>
        </w:rPr>
        <w:t xml:space="preserve">In line with PAF expectations: </w:t>
      </w:r>
    </w:p>
    <w:p w14:paraId="1ABDDA29" w14:textId="77777777" w:rsidR="00A34400" w:rsidRDefault="00A34400" w:rsidP="00A34400">
      <w:pPr>
        <w:pStyle w:val="BodyA"/>
        <w:numPr>
          <w:ilvl w:val="0"/>
          <w:numId w:val="26"/>
        </w:numPr>
        <w:spacing w:before="240" w:line="240" w:lineRule="auto"/>
      </w:pPr>
      <w:r>
        <w:t>NSSS implementation continues to be led and monitored by a Central Management Committee in the Government’s Cabinet Division. The SGSP established Social Protection Budget Management Unit in the Ministry of Finance and the NSSS Unit in the Planning Commission are now fully resourced to enhance efficiency of budget provision and provide leadership for social sector reform. NSSS is being mainstreamed across all 23 implementing line ministries, including through the endorsement of action plans (</w:t>
      </w:r>
      <w:r w:rsidRPr="00DD0059">
        <w:rPr>
          <w:b/>
        </w:rPr>
        <w:t>PAF target</w:t>
      </w:r>
      <w:r w:rsidRPr="00325482">
        <w:t>)</w:t>
      </w:r>
      <w:r>
        <w:t xml:space="preserve">. </w:t>
      </w:r>
    </w:p>
    <w:p w14:paraId="00670834" w14:textId="77777777" w:rsidR="00A34400" w:rsidRDefault="00A34400" w:rsidP="00A34400">
      <w:pPr>
        <w:pStyle w:val="BodyA"/>
        <w:numPr>
          <w:ilvl w:val="0"/>
          <w:numId w:val="26"/>
        </w:numPr>
        <w:spacing w:before="240" w:line="240" w:lineRule="auto"/>
      </w:pPr>
      <w:r>
        <w:t xml:space="preserve">SGSP commissioned diagnostic studies to improve the impact and efficiency of welfare schemes and the Management Information System (MIS) at the Ministry of Finance developed through the program are being used by ministries to make evidence based decisions on budgets and to </w:t>
      </w:r>
      <w:proofErr w:type="spellStart"/>
      <w:r>
        <w:t>maximise</w:t>
      </w:r>
      <w:proofErr w:type="spellEnd"/>
      <w:r>
        <w:t xml:space="preserve"> outcomes within their funding envelopes</w:t>
      </w:r>
      <w:r>
        <w:rPr>
          <w:b/>
        </w:rPr>
        <w:t xml:space="preserve"> (PAF target)</w:t>
      </w:r>
      <w:r>
        <w:t xml:space="preserve">. The MIS developed under the Ministry of Finance is monitoring expenditure and validating beneficiary data of all social protections programs thus reducing overlap and duplication of payments to beneficiaries. </w:t>
      </w:r>
    </w:p>
    <w:p w14:paraId="0BB253F0" w14:textId="77777777" w:rsidR="00A34400" w:rsidRDefault="00A34400" w:rsidP="00A34400">
      <w:pPr>
        <w:pStyle w:val="BodyA"/>
        <w:numPr>
          <w:ilvl w:val="0"/>
          <w:numId w:val="26"/>
        </w:numPr>
        <w:spacing w:before="240" w:line="240" w:lineRule="auto"/>
      </w:pPr>
      <w:r>
        <w:t xml:space="preserve">Sector funding increased from 2.09 per cent of GDP (2016-17) to 2.17 per cent in 2017-18 (equating to an increase from $50 billion to $57 billion), </w:t>
      </w:r>
      <w:r w:rsidRPr="00016C7C">
        <w:rPr>
          <w:b/>
        </w:rPr>
        <w:t>achieving a PAF target</w:t>
      </w:r>
      <w:r>
        <w:t xml:space="preserve">. However a percentage of funding is allocated to government pensions and not social safety nets, and Australia will investigate this to inform policy dialogue in the next reporting period. </w:t>
      </w:r>
    </w:p>
    <w:p w14:paraId="534AD5A3" w14:textId="1E49AB2A" w:rsidR="00A34400" w:rsidRPr="00565798" w:rsidRDefault="00A34400" w:rsidP="00A34400">
      <w:pPr>
        <w:pStyle w:val="BodyA"/>
        <w:numPr>
          <w:ilvl w:val="0"/>
          <w:numId w:val="26"/>
        </w:numPr>
        <w:spacing w:before="240" w:line="240" w:lineRule="auto"/>
      </w:pPr>
      <w:r>
        <w:t>Welfare schemes are being consolidated in line with the NSSS reform agenda – the number dropped from 145 in 2015 to 136 in 2017-18, while the number of beneficiaries accessing these schemes increased from 52 million to 62.7 million</w:t>
      </w:r>
      <w:r>
        <w:rPr>
          <w:rStyle w:val="FootnoteReference"/>
        </w:rPr>
        <w:footnoteReference w:id="24"/>
      </w:r>
      <w:r w:rsidR="00954977">
        <w:t xml:space="preserve"> , </w:t>
      </w:r>
      <w:r w:rsidRPr="00016C7C">
        <w:rPr>
          <w:b/>
        </w:rPr>
        <w:t xml:space="preserve">achieving a </w:t>
      </w:r>
      <w:r w:rsidRPr="00710794">
        <w:rPr>
          <w:b/>
        </w:rPr>
        <w:t>PAF</w:t>
      </w:r>
      <w:r w:rsidRPr="004F66CC">
        <w:rPr>
          <w:b/>
        </w:rPr>
        <w:t xml:space="preserve"> target</w:t>
      </w:r>
      <w:r>
        <w:t>.</w:t>
      </w:r>
      <w:r w:rsidRPr="00565798">
        <w:t xml:space="preserve"> </w:t>
      </w:r>
    </w:p>
    <w:p w14:paraId="78F29FF3" w14:textId="77777777" w:rsidR="00A34400" w:rsidRDefault="00A34400" w:rsidP="00A34400">
      <w:pPr>
        <w:pStyle w:val="BodyA"/>
        <w:spacing w:line="240" w:lineRule="auto"/>
      </w:pPr>
      <w:r>
        <w:t xml:space="preserve">In response to a request from the Government for further support, Australia invested in </w:t>
      </w:r>
      <w:r w:rsidRPr="00E84371">
        <w:t xml:space="preserve">the </w:t>
      </w:r>
      <w:r w:rsidRPr="00B13667">
        <w:rPr>
          <w:i/>
        </w:rPr>
        <w:t>Social Security Policy Support program (SSPS)</w:t>
      </w:r>
      <w:r>
        <w:t xml:space="preserve"> in partnership with UNDP. SSPS builds on the support and progress made in SGSP with a continued focus on supporting the Government to strengthen governance and delivery of social security programs. The investment will support development of a NSSS monitoring and evaluation framework, an enhanced evidence base for policy decisions, a grievance redress system to improve </w:t>
      </w:r>
      <w:r>
        <w:lastRenderedPageBreak/>
        <w:t>governance, and a direct electronic payments scheme to increase efficiency and transparency. Noting the focus of social security programs on women, we will also support the development of a gender policy for the NSSS, and tools to ensure it delivers results</w:t>
      </w:r>
      <w:r w:rsidRPr="00565798">
        <w:t>. With women lagging behind men in-almost all counts of socio-economic indicators in Bangladesh owing to gender discriminatory norms and practices, and due to limitations in reaching social security coverage and services, a gender sensitive social security system will be instrumental in narrowing gender gaps in poverty, security and resilience from shocks.</w:t>
      </w:r>
      <w:r>
        <w:t xml:space="preserve"> </w:t>
      </w:r>
    </w:p>
    <w:p w14:paraId="0EEF24B7" w14:textId="77777777" w:rsidR="00A34400" w:rsidRDefault="00A34400" w:rsidP="00A34400">
      <w:pPr>
        <w:pStyle w:val="BodyA"/>
        <w:spacing w:line="240" w:lineRule="auto"/>
      </w:pPr>
      <w:r>
        <w:t xml:space="preserve">With SGSP concluding in 2017-18, a key lesson learned in SGSP was that assessing the performance of policy reform programs that use an iterative and adaptive approach is challenging. With NSSS reforms moving from strengthening institutions for policy development and planning to implementation and delivering program outcomes (such as social safety net program consolidation) during SSPS, new challenges will emerge. Australia will work through our partnership with UNDP in the next reporting period to support a Government led </w:t>
      </w:r>
      <w:proofErr w:type="spellStart"/>
      <w:r>
        <w:t>mid term</w:t>
      </w:r>
      <w:proofErr w:type="spellEnd"/>
      <w:r>
        <w:t xml:space="preserve"> review of NSSS implementation (identified as </w:t>
      </w:r>
      <w:r w:rsidRPr="008A5C1C">
        <w:rPr>
          <w:b/>
        </w:rPr>
        <w:t>a Management Action</w:t>
      </w:r>
      <w:r>
        <w:rPr>
          <w:b/>
        </w:rPr>
        <w:t xml:space="preserve"> for 2018-19</w:t>
      </w:r>
      <w:r>
        <w:t xml:space="preserve">, refer to </w:t>
      </w:r>
      <w:proofErr w:type="spellStart"/>
      <w:r>
        <w:t>Pg</w:t>
      </w:r>
      <w:proofErr w:type="spellEnd"/>
      <w:r>
        <w:t xml:space="preserve"> 20). We will work with the Government to test the monitoring and evaluation systems in place to capture performance information; assess progress; and identify achievements, challenges, and priorities for future action.</w:t>
      </w:r>
    </w:p>
    <w:p w14:paraId="59F090D2" w14:textId="77777777" w:rsidR="004B0DE7" w:rsidRDefault="004B0DE7" w:rsidP="00A34400">
      <w:pPr>
        <w:pStyle w:val="BodyA"/>
        <w:spacing w:before="240" w:line="240" w:lineRule="auto"/>
        <w:rPr>
          <w:b/>
          <w:bCs/>
        </w:rPr>
      </w:pPr>
    </w:p>
    <w:p w14:paraId="1C9C1077" w14:textId="77777777" w:rsidR="004B0DE7" w:rsidRDefault="004B0DE7" w:rsidP="00A34400">
      <w:pPr>
        <w:pStyle w:val="BodyA"/>
        <w:spacing w:before="240" w:line="240" w:lineRule="auto"/>
        <w:rPr>
          <w:b/>
          <w:bCs/>
        </w:rPr>
      </w:pPr>
    </w:p>
    <w:p w14:paraId="076048A4" w14:textId="5FC4D13E" w:rsidR="00A34400" w:rsidRDefault="00A34400" w:rsidP="00A34400">
      <w:pPr>
        <w:pStyle w:val="BodyA"/>
        <w:spacing w:before="240" w:line="240" w:lineRule="auto"/>
        <w:rPr>
          <w:b/>
          <w:bCs/>
        </w:rPr>
      </w:pPr>
      <w:r>
        <w:rPr>
          <w:b/>
          <w:bCs/>
        </w:rPr>
        <w:t xml:space="preserve">Outcome 2: NGOS and other partners provide the poorest women and women-led households with increased income and nutrition, greater assets and capacity to participate in the economy. </w:t>
      </w:r>
    </w:p>
    <w:p w14:paraId="13CF6BFC" w14:textId="3078FB8D" w:rsidR="00A34400" w:rsidRDefault="00A34400" w:rsidP="00A34400">
      <w:pPr>
        <w:pStyle w:val="BodyA"/>
        <w:spacing w:before="240" w:line="240" w:lineRule="auto"/>
        <w:rPr>
          <w:bCs/>
        </w:rPr>
      </w:pPr>
      <w:r>
        <w:rPr>
          <w:bCs/>
        </w:rPr>
        <w:t xml:space="preserve">With poor women experiencing the highest rates of income poverty, </w:t>
      </w:r>
      <w:r w:rsidRPr="000E0126">
        <w:rPr>
          <w:bCs/>
        </w:rPr>
        <w:t xml:space="preserve">Australia’s partnerships with BRAC and WFP </w:t>
      </w:r>
      <w:r>
        <w:rPr>
          <w:bCs/>
        </w:rPr>
        <w:t>are</w:t>
      </w:r>
      <w:r w:rsidRPr="000E0126">
        <w:rPr>
          <w:bCs/>
        </w:rPr>
        <w:t xml:space="preserve"> helping women and their families to find pathways out of extreme poverty, and supporting improvements in nutritional status</w:t>
      </w:r>
      <w:r>
        <w:rPr>
          <w:bCs/>
        </w:rPr>
        <w:t xml:space="preserve">, particularly for </w:t>
      </w:r>
      <w:r w:rsidRPr="000E0126">
        <w:rPr>
          <w:bCs/>
        </w:rPr>
        <w:t>pregnant and lactating women and children in vulnerable communities, including in Cox’s Bazar District</w:t>
      </w:r>
      <w:r>
        <w:t xml:space="preserve">. </w:t>
      </w:r>
      <w:r w:rsidRPr="000E0126">
        <w:rPr>
          <w:b/>
          <w:bCs/>
        </w:rPr>
        <w:t xml:space="preserve">Of the </w:t>
      </w:r>
      <w:r>
        <w:rPr>
          <w:b/>
          <w:bCs/>
        </w:rPr>
        <w:t>four related PAF targets, one was</w:t>
      </w:r>
      <w:r w:rsidRPr="000E0126">
        <w:rPr>
          <w:b/>
          <w:bCs/>
        </w:rPr>
        <w:t xml:space="preserve"> not achieved</w:t>
      </w:r>
      <w:r>
        <w:rPr>
          <w:b/>
          <w:bCs/>
        </w:rPr>
        <w:t xml:space="preserve"> and one was partially achieved</w:t>
      </w:r>
      <w:r w:rsidRPr="000E0126">
        <w:rPr>
          <w:b/>
          <w:bCs/>
        </w:rPr>
        <w:t xml:space="preserve">. </w:t>
      </w:r>
      <w:r w:rsidRPr="000E0126">
        <w:rPr>
          <w:bCs/>
        </w:rPr>
        <w:t>Following the Rohingya influx into Cox’s Bazar in August 2017, malnutrition levels ha</w:t>
      </w:r>
      <w:r>
        <w:rPr>
          <w:bCs/>
        </w:rPr>
        <w:t>ve</w:t>
      </w:r>
      <w:r w:rsidRPr="000E0126">
        <w:rPr>
          <w:bCs/>
        </w:rPr>
        <w:t xml:space="preserve"> increased, resulting in </w:t>
      </w:r>
      <w:r w:rsidRPr="00566B43">
        <w:rPr>
          <w:bCs/>
        </w:rPr>
        <w:t xml:space="preserve">the </w:t>
      </w:r>
      <w:r>
        <w:rPr>
          <w:bCs/>
        </w:rPr>
        <w:t>indicator</w:t>
      </w:r>
      <w:r w:rsidRPr="00566B43">
        <w:rPr>
          <w:bCs/>
        </w:rPr>
        <w:t xml:space="preserve"> for wasting not being met</w:t>
      </w:r>
      <w:r w:rsidRPr="000E0126">
        <w:rPr>
          <w:bCs/>
        </w:rPr>
        <w:t>.</w:t>
      </w:r>
      <w:r>
        <w:rPr>
          <w:bCs/>
        </w:rPr>
        <w:t xml:space="preserve"> </w:t>
      </w:r>
      <w:r w:rsidRPr="006B166E">
        <w:rPr>
          <w:bCs/>
        </w:rPr>
        <w:t xml:space="preserve">BRAC’s </w:t>
      </w:r>
      <w:proofErr w:type="spellStart"/>
      <w:r w:rsidRPr="006B166E">
        <w:rPr>
          <w:bCs/>
        </w:rPr>
        <w:t>ultra poor</w:t>
      </w:r>
      <w:proofErr w:type="spellEnd"/>
      <w:r w:rsidRPr="006B166E">
        <w:rPr>
          <w:bCs/>
        </w:rPr>
        <w:t xml:space="preserve"> program delivered good results in poverty reduction, </w:t>
      </w:r>
      <w:r>
        <w:rPr>
          <w:bCs/>
        </w:rPr>
        <w:t xml:space="preserve">but </w:t>
      </w:r>
      <w:r w:rsidRPr="00954977">
        <w:rPr>
          <w:b/>
          <w:bCs/>
        </w:rPr>
        <w:t>only achieved 96 per cent of the target</w:t>
      </w:r>
      <w:r>
        <w:rPr>
          <w:bCs/>
        </w:rPr>
        <w:t xml:space="preserve"> to graduate 75,506 ultra-poor</w:t>
      </w:r>
      <w:r>
        <w:rPr>
          <w:rStyle w:val="FootnoteReference"/>
          <w:bCs/>
        </w:rPr>
        <w:footnoteReference w:id="25"/>
      </w:r>
      <w:r>
        <w:rPr>
          <w:bCs/>
        </w:rPr>
        <w:t xml:space="preserve"> households from extreme poverty</w:t>
      </w:r>
      <w:r>
        <w:rPr>
          <w:rStyle w:val="FootnoteReference"/>
          <w:bCs/>
        </w:rPr>
        <w:footnoteReference w:id="26"/>
      </w:r>
      <w:r>
        <w:rPr>
          <w:bCs/>
        </w:rPr>
        <w:t>.</w:t>
      </w:r>
    </w:p>
    <w:p w14:paraId="176E6310" w14:textId="77777777" w:rsidR="00A34400" w:rsidRPr="00FD0FEB" w:rsidRDefault="00A34400" w:rsidP="00A34400">
      <w:pPr>
        <w:pStyle w:val="BodyA"/>
        <w:spacing w:line="240" w:lineRule="auto"/>
      </w:pPr>
      <w:r w:rsidRPr="000E0126">
        <w:rPr>
          <w:bCs/>
        </w:rPr>
        <w:t xml:space="preserve">In 2017-18, our funding to </w:t>
      </w:r>
      <w:r>
        <w:rPr>
          <w:bCs/>
        </w:rPr>
        <w:t xml:space="preserve">BRAC and </w:t>
      </w:r>
      <w:r w:rsidRPr="000E0126">
        <w:rPr>
          <w:bCs/>
        </w:rPr>
        <w:t xml:space="preserve">WFP </w:t>
      </w:r>
      <w:r w:rsidRPr="001C5A83">
        <w:rPr>
          <w:b/>
          <w:bCs/>
        </w:rPr>
        <w:t>provided 54,789 women and their households</w:t>
      </w:r>
      <w:r>
        <w:rPr>
          <w:bCs/>
        </w:rPr>
        <w:t xml:space="preserve"> (</w:t>
      </w:r>
      <w:r w:rsidRPr="007337C9">
        <w:rPr>
          <w:b/>
          <w:bCs/>
        </w:rPr>
        <w:t>against a PAF target of 54,600</w:t>
      </w:r>
      <w:r>
        <w:rPr>
          <w:bCs/>
        </w:rPr>
        <w:t>)</w:t>
      </w:r>
      <w:r w:rsidRPr="000E0126">
        <w:rPr>
          <w:bCs/>
        </w:rPr>
        <w:t xml:space="preserve"> </w:t>
      </w:r>
      <w:r w:rsidRPr="001C5A83">
        <w:rPr>
          <w:b/>
          <w:bCs/>
        </w:rPr>
        <w:t>with cash transfers</w:t>
      </w:r>
      <w:r w:rsidRPr="000E0126">
        <w:rPr>
          <w:bCs/>
        </w:rPr>
        <w:t xml:space="preserve"> to support livelihood activities. A DFAT review (January 2018) </w:t>
      </w:r>
      <w:r>
        <w:rPr>
          <w:bCs/>
        </w:rPr>
        <w:t>found that</w:t>
      </w:r>
      <w:r w:rsidRPr="000E0126">
        <w:rPr>
          <w:bCs/>
        </w:rPr>
        <w:t xml:space="preserve"> </w:t>
      </w:r>
      <w:r>
        <w:rPr>
          <w:bCs/>
        </w:rPr>
        <w:t xml:space="preserve">WFP’s activities in Cox’s Bazar over two years had contributed </w:t>
      </w:r>
      <w:r w:rsidRPr="000E0126">
        <w:rPr>
          <w:bCs/>
        </w:rPr>
        <w:t>to a four-fold increase in women’s income; improved household food consum</w:t>
      </w:r>
      <w:r>
        <w:rPr>
          <w:bCs/>
        </w:rPr>
        <w:t xml:space="preserve">ption and dietary diversity; </w:t>
      </w:r>
      <w:r w:rsidRPr="000E0126">
        <w:rPr>
          <w:bCs/>
        </w:rPr>
        <w:t>increase</w:t>
      </w:r>
      <w:r>
        <w:rPr>
          <w:bCs/>
        </w:rPr>
        <w:t>d</w:t>
      </w:r>
      <w:r w:rsidRPr="000E0126">
        <w:rPr>
          <w:bCs/>
        </w:rPr>
        <w:t xml:space="preserve"> confidence levels among women and; reduced use of strategies to cope with food shortages. </w:t>
      </w:r>
      <w:r>
        <w:rPr>
          <w:bCs/>
        </w:rPr>
        <w:t>WFP had also contributed to improvements in stunting outcomes.</w:t>
      </w:r>
      <w:r w:rsidDel="005A07C0">
        <w:rPr>
          <w:bCs/>
        </w:rPr>
        <w:t xml:space="preserve"> </w:t>
      </w:r>
      <w:r>
        <w:rPr>
          <w:bCs/>
        </w:rPr>
        <w:t>Stunting in children reduced from 42.1 per cent (</w:t>
      </w:r>
      <w:r w:rsidRPr="00FD0FEB">
        <w:t xml:space="preserve">2016-17) to </w:t>
      </w:r>
      <w:r w:rsidRPr="00954977">
        <w:t>36.4 per cent</w:t>
      </w:r>
      <w:r w:rsidRPr="00954977">
        <w:rPr>
          <w:b/>
        </w:rPr>
        <w:t xml:space="preserve"> (against a PAF target of 39.8 per cent in 2017-18</w:t>
      </w:r>
      <w:r w:rsidRPr="00FD0FEB">
        <w:t xml:space="preserve">). The review also pointed to the significant change in the context and the possible impact on the sustainability of the outcomes from livelihood activities, which we will continue to monitor.  </w:t>
      </w:r>
    </w:p>
    <w:p w14:paraId="00DB1F5A" w14:textId="2C1B2C85" w:rsidR="00A34400" w:rsidRDefault="00A34400" w:rsidP="00A34400">
      <w:pPr>
        <w:pStyle w:val="BodyA"/>
        <w:spacing w:line="240" w:lineRule="auto"/>
      </w:pPr>
      <w:r w:rsidRPr="000E0126">
        <w:t xml:space="preserve">Australia’s partnership with BRAC </w:t>
      </w:r>
      <w:r>
        <w:t xml:space="preserve">continues to </w:t>
      </w:r>
      <w:r w:rsidRPr="000E0126">
        <w:t xml:space="preserve">deliver </w:t>
      </w:r>
      <w:r>
        <w:t xml:space="preserve">good </w:t>
      </w:r>
      <w:r w:rsidRPr="000E0126">
        <w:t xml:space="preserve">results in </w:t>
      </w:r>
      <w:r>
        <w:t>increasing</w:t>
      </w:r>
      <w:r w:rsidRPr="000E0126">
        <w:t xml:space="preserve"> economic opportunit</w:t>
      </w:r>
      <w:r>
        <w:t>ies</w:t>
      </w:r>
      <w:r w:rsidRPr="000E0126">
        <w:t xml:space="preserve"> for the poorest and most </w:t>
      </w:r>
      <w:proofErr w:type="spellStart"/>
      <w:r w:rsidRPr="00FD0FEB">
        <w:t>marginalised</w:t>
      </w:r>
      <w:proofErr w:type="spellEnd"/>
      <w:r w:rsidRPr="000E0126">
        <w:t xml:space="preserve"> </w:t>
      </w:r>
      <w:r>
        <w:t xml:space="preserve">women </w:t>
      </w:r>
      <w:r w:rsidRPr="000E0126">
        <w:t xml:space="preserve">in </w:t>
      </w:r>
      <w:r w:rsidR="00173364">
        <w:t xml:space="preserve">Bangladesh through </w:t>
      </w:r>
      <w:r w:rsidRPr="00B050C7">
        <w:t xml:space="preserve">their ground-breaking Targeting the Ultra Poor Program (TUP). TUP was designed to respond to extreme poverty by </w:t>
      </w:r>
      <w:r w:rsidRPr="006B166E">
        <w:t>building</w:t>
      </w:r>
      <w:r w:rsidRPr="00B050C7">
        <w:t xml:space="preserve"> socioeconomic</w:t>
      </w:r>
      <w:r w:rsidRPr="00223F85">
        <w:t xml:space="preserve"> resilience, as well as promoting sustainable livelihoods. A two-year time-bound ‘Graduation’ approach blends together elements of livelihoods, social safety nets, financial inclusion and social integration - each of which tackles separate aspects of ultra-poverty. It combines multidimensional support to address immediate needs of beneficiaries using stipends and asset transfers, as well as long-term investments in life skills and technical skills training, enterprise development, savings and financial planning. Gender and women’s empowerment is core to TUP through focusing on increasing women’s economic position, and therefore their bargaining </w:t>
      </w:r>
      <w:r w:rsidRPr="00223F85">
        <w:lastRenderedPageBreak/>
        <w:t>power within the household. TUP also supports activities to address abuse and discrimination such as violence against women, dowry and early marriage, through complementary social development activities aimed to contribute to wider changes in equality between men and women, at the individual, household and community level.</w:t>
      </w:r>
      <w:r w:rsidRPr="007E3984">
        <w:t xml:space="preserve"> </w:t>
      </w:r>
    </w:p>
    <w:p w14:paraId="714E7E8F" w14:textId="3FCDD251" w:rsidR="00A34400" w:rsidRDefault="00A34400" w:rsidP="00A34400">
      <w:pPr>
        <w:spacing w:before="120" w:after="60" w:line="254" w:lineRule="auto"/>
        <w:rPr>
          <w:rFonts w:asciiTheme="minorHAnsi" w:hAnsiTheme="minorHAnsi"/>
          <w:bCs/>
          <w:sz w:val="22"/>
          <w:szCs w:val="22"/>
        </w:rPr>
      </w:pPr>
      <w:r w:rsidRPr="007D7252">
        <w:rPr>
          <w:rFonts w:ascii="Calibri Light" w:eastAsia="Calibri Light" w:hAnsi="Calibri Light" w:cs="Calibri Light"/>
          <w:color w:val="495965"/>
          <w:sz w:val="22"/>
          <w:szCs w:val="22"/>
          <w:u w:color="495965"/>
          <w:lang w:eastAsia="en-AU"/>
        </w:rPr>
        <w:t>T</w:t>
      </w:r>
      <w:r w:rsidRPr="00B050C7">
        <w:rPr>
          <w:rFonts w:ascii="Calibri Light" w:eastAsia="Calibri Light" w:hAnsi="Calibri Light" w:cs="Calibri Light"/>
          <w:color w:val="495965"/>
          <w:sz w:val="22"/>
          <w:szCs w:val="22"/>
          <w:u w:color="495965"/>
          <w:lang w:eastAsia="en-AU"/>
        </w:rPr>
        <w:t>hrough TUP</w:t>
      </w:r>
      <w:r w:rsidR="00173364">
        <w:rPr>
          <w:rFonts w:ascii="Calibri Light" w:eastAsia="Calibri Light" w:hAnsi="Calibri Light" w:cs="Calibri Light"/>
          <w:color w:val="495965"/>
          <w:sz w:val="22"/>
          <w:szCs w:val="22"/>
          <w:u w:color="495965"/>
          <w:lang w:eastAsia="en-AU"/>
        </w:rPr>
        <w:t>, Australia</w:t>
      </w:r>
      <w:r w:rsidRPr="00B050C7">
        <w:rPr>
          <w:rFonts w:ascii="Calibri Light" w:eastAsia="Calibri Light" w:hAnsi="Calibri Light" w:cs="Calibri Light"/>
          <w:color w:val="495965"/>
          <w:sz w:val="22"/>
          <w:szCs w:val="22"/>
          <w:u w:color="495965"/>
          <w:lang w:eastAsia="en-AU"/>
        </w:rPr>
        <w:t xml:space="preserve"> supported 72,804 women and their households </w:t>
      </w:r>
      <w:r>
        <w:rPr>
          <w:rFonts w:ascii="Calibri Light" w:eastAsia="Calibri Light" w:hAnsi="Calibri Light" w:cs="Calibri Light"/>
          <w:color w:val="495965"/>
          <w:sz w:val="22"/>
          <w:szCs w:val="22"/>
          <w:u w:color="495965"/>
          <w:lang w:eastAsia="en-AU"/>
        </w:rPr>
        <w:t xml:space="preserve">to </w:t>
      </w:r>
      <w:r w:rsidRPr="00B050C7">
        <w:rPr>
          <w:rFonts w:ascii="Calibri Light" w:eastAsia="Calibri Light" w:hAnsi="Calibri Light" w:cs="Calibri Light"/>
          <w:color w:val="495965"/>
          <w:sz w:val="22"/>
          <w:szCs w:val="22"/>
          <w:u w:color="495965"/>
          <w:lang w:eastAsia="en-AU"/>
        </w:rPr>
        <w:t>graduate from extreme poverty in the reporting period</w:t>
      </w:r>
      <w:r>
        <w:rPr>
          <w:rFonts w:ascii="Calibri Light" w:eastAsia="Calibri Light" w:hAnsi="Calibri Light" w:cs="Calibri Light"/>
          <w:color w:val="495965"/>
          <w:sz w:val="22"/>
          <w:szCs w:val="22"/>
          <w:u w:color="495965"/>
          <w:lang w:eastAsia="en-AU"/>
        </w:rPr>
        <w:t xml:space="preserve">, </w:t>
      </w:r>
      <w:r w:rsidR="00173364">
        <w:rPr>
          <w:rFonts w:ascii="Calibri Light" w:eastAsia="Calibri Light" w:hAnsi="Calibri Light" w:cs="Calibri Light"/>
          <w:color w:val="495965"/>
          <w:sz w:val="22"/>
          <w:szCs w:val="22"/>
          <w:u w:color="495965"/>
          <w:lang w:eastAsia="en-AU"/>
        </w:rPr>
        <w:t xml:space="preserve">but </w:t>
      </w:r>
      <w:r w:rsidR="00173364" w:rsidRPr="00173364">
        <w:rPr>
          <w:rFonts w:ascii="Calibri Light" w:eastAsia="Calibri Light" w:hAnsi="Calibri Light" w:cs="Calibri Light"/>
          <w:b/>
          <w:color w:val="495965"/>
          <w:sz w:val="22"/>
          <w:szCs w:val="22"/>
          <w:u w:color="495965"/>
          <w:lang w:eastAsia="en-AU"/>
        </w:rPr>
        <w:t xml:space="preserve">fell </w:t>
      </w:r>
      <w:r w:rsidRPr="00173364">
        <w:rPr>
          <w:rFonts w:ascii="Calibri Light" w:eastAsia="Calibri Light" w:hAnsi="Calibri Light" w:cs="Calibri Light"/>
          <w:b/>
          <w:color w:val="495965"/>
          <w:sz w:val="22"/>
          <w:szCs w:val="22"/>
          <w:u w:color="495965"/>
          <w:lang w:eastAsia="en-AU"/>
        </w:rPr>
        <w:t>short of</w:t>
      </w:r>
      <w:r w:rsidRPr="00F0278D">
        <w:rPr>
          <w:rFonts w:ascii="Calibri Light" w:eastAsia="Calibri Light" w:hAnsi="Calibri Light" w:cs="Calibri Light"/>
          <w:b/>
          <w:color w:val="495965"/>
          <w:sz w:val="22"/>
          <w:szCs w:val="22"/>
          <w:u w:color="495965"/>
          <w:lang w:eastAsia="en-AU"/>
        </w:rPr>
        <w:t xml:space="preserve"> the </w:t>
      </w:r>
      <w:r>
        <w:rPr>
          <w:rFonts w:ascii="Calibri Light" w:eastAsia="Calibri Light" w:hAnsi="Calibri Light" w:cs="Calibri Light"/>
          <w:b/>
          <w:color w:val="495965"/>
          <w:sz w:val="22"/>
          <w:szCs w:val="22"/>
          <w:u w:color="495965"/>
          <w:lang w:eastAsia="en-AU"/>
        </w:rPr>
        <w:t xml:space="preserve">PAF </w:t>
      </w:r>
      <w:r w:rsidRPr="00F0278D">
        <w:rPr>
          <w:rFonts w:ascii="Calibri Light" w:eastAsia="Calibri Light" w:hAnsi="Calibri Light" w:cs="Calibri Light"/>
          <w:b/>
          <w:color w:val="495965"/>
          <w:sz w:val="22"/>
          <w:szCs w:val="22"/>
          <w:u w:color="495965"/>
          <w:lang w:eastAsia="en-AU"/>
        </w:rPr>
        <w:t>target (75,506)</w:t>
      </w:r>
      <w:r>
        <w:rPr>
          <w:rFonts w:ascii="Calibri Light" w:eastAsia="Calibri Light" w:hAnsi="Calibri Light" w:cs="Calibri Light"/>
          <w:color w:val="495965"/>
          <w:sz w:val="22"/>
          <w:szCs w:val="22"/>
          <w:u w:color="495965"/>
          <w:lang w:eastAsia="en-AU"/>
        </w:rPr>
        <w:t xml:space="preserve"> </w:t>
      </w:r>
      <w:r w:rsidRPr="00B050C7">
        <w:rPr>
          <w:rFonts w:ascii="Calibri Light" w:eastAsia="Calibri Light" w:hAnsi="Calibri Light" w:cs="Calibri Light"/>
          <w:color w:val="495965"/>
          <w:sz w:val="22"/>
          <w:szCs w:val="22"/>
          <w:u w:color="495965"/>
          <w:lang w:eastAsia="en-AU"/>
        </w:rPr>
        <w:t xml:space="preserve">due to households failing to meet one of seven graduation criteria – </w:t>
      </w:r>
      <w:r w:rsidR="00173364">
        <w:rPr>
          <w:rFonts w:ascii="Calibri Light" w:eastAsia="Calibri Light" w:hAnsi="Calibri Light" w:cs="Calibri Light"/>
          <w:color w:val="495965"/>
          <w:sz w:val="22"/>
          <w:szCs w:val="22"/>
          <w:u w:color="495965"/>
          <w:lang w:eastAsia="en-AU"/>
        </w:rPr>
        <w:t xml:space="preserve">the </w:t>
      </w:r>
      <w:r w:rsidRPr="00B050C7">
        <w:rPr>
          <w:rFonts w:ascii="Calibri Light" w:eastAsia="Calibri Light" w:hAnsi="Calibri Light" w:cs="Calibri Light"/>
          <w:color w:val="495965"/>
          <w:sz w:val="22"/>
          <w:szCs w:val="22"/>
          <w:u w:color="495965"/>
          <w:lang w:eastAsia="en-AU"/>
        </w:rPr>
        <w:t xml:space="preserve">use of a sanitary latrine. Ultra poor participants could not bear the costs of maintaining their sanitary latrines in the reporting period due to natural disasters and other challenges in the highly vulnerable coastal and </w:t>
      </w:r>
      <w:r w:rsidR="001C5A83">
        <w:rPr>
          <w:rFonts w:ascii="Calibri Light" w:eastAsia="Calibri Light" w:hAnsi="Calibri Light" w:cs="Calibri Light"/>
          <w:color w:val="495965"/>
          <w:sz w:val="22"/>
          <w:szCs w:val="22"/>
          <w:u w:color="495965"/>
          <w:lang w:eastAsia="en-AU"/>
        </w:rPr>
        <w:t>“</w:t>
      </w:r>
      <w:proofErr w:type="spellStart"/>
      <w:r w:rsidRPr="00B050C7">
        <w:rPr>
          <w:rFonts w:ascii="Calibri Light" w:eastAsia="Calibri Light" w:hAnsi="Calibri Light" w:cs="Calibri Light"/>
          <w:color w:val="495965"/>
          <w:sz w:val="22"/>
          <w:szCs w:val="22"/>
          <w:u w:color="495965"/>
          <w:lang w:eastAsia="en-AU"/>
        </w:rPr>
        <w:t>haor</w:t>
      </w:r>
      <w:proofErr w:type="spellEnd"/>
      <w:r w:rsidR="001C5A83">
        <w:rPr>
          <w:rFonts w:ascii="Calibri Light" w:eastAsia="Calibri Light" w:hAnsi="Calibri Light" w:cs="Calibri Light"/>
          <w:color w:val="495965"/>
          <w:sz w:val="22"/>
          <w:szCs w:val="22"/>
          <w:u w:color="495965"/>
          <w:lang w:eastAsia="en-AU"/>
        </w:rPr>
        <w:t>”</w:t>
      </w:r>
      <w:r w:rsidRPr="00B050C7">
        <w:rPr>
          <w:rFonts w:ascii="Calibri Light" w:eastAsia="Calibri Light" w:hAnsi="Calibri Light" w:cs="Calibri Light"/>
          <w:color w:val="495965"/>
          <w:sz w:val="22"/>
          <w:szCs w:val="22"/>
          <w:u w:color="495965"/>
          <w:lang w:eastAsia="en-AU"/>
        </w:rPr>
        <w:t xml:space="preserve"> (seasonally flooded) geographic areas. In response, BRAC has commenced more rigorous follow-up in coastal and </w:t>
      </w:r>
      <w:r w:rsidR="001C5A83">
        <w:rPr>
          <w:rFonts w:ascii="Calibri Light" w:eastAsia="Calibri Light" w:hAnsi="Calibri Light" w:cs="Calibri Light"/>
          <w:color w:val="495965"/>
          <w:sz w:val="22"/>
          <w:szCs w:val="22"/>
          <w:u w:color="495965"/>
          <w:lang w:eastAsia="en-AU"/>
        </w:rPr>
        <w:t>“</w:t>
      </w:r>
      <w:proofErr w:type="spellStart"/>
      <w:r w:rsidRPr="00B050C7">
        <w:rPr>
          <w:rFonts w:ascii="Calibri Light" w:eastAsia="Calibri Light" w:hAnsi="Calibri Light" w:cs="Calibri Light"/>
          <w:color w:val="495965"/>
          <w:sz w:val="22"/>
          <w:szCs w:val="22"/>
          <w:u w:color="495965"/>
          <w:lang w:eastAsia="en-AU"/>
        </w:rPr>
        <w:t>haor</w:t>
      </w:r>
      <w:proofErr w:type="spellEnd"/>
      <w:r w:rsidR="001C5A83">
        <w:rPr>
          <w:rFonts w:ascii="Calibri Light" w:eastAsia="Calibri Light" w:hAnsi="Calibri Light" w:cs="Calibri Light"/>
          <w:color w:val="495965"/>
          <w:sz w:val="22"/>
          <w:szCs w:val="22"/>
          <w:u w:color="495965"/>
          <w:lang w:eastAsia="en-AU"/>
        </w:rPr>
        <w:t>”</w:t>
      </w:r>
      <w:r w:rsidRPr="00B050C7">
        <w:rPr>
          <w:rFonts w:ascii="Calibri Light" w:eastAsia="Calibri Light" w:hAnsi="Calibri Light" w:cs="Calibri Light"/>
          <w:color w:val="495965"/>
          <w:sz w:val="22"/>
          <w:szCs w:val="22"/>
          <w:u w:color="495965"/>
          <w:lang w:eastAsia="en-AU"/>
        </w:rPr>
        <w:t xml:space="preserve"> areas, and is providing additional grant support to </w:t>
      </w:r>
      <w:proofErr w:type="spellStart"/>
      <w:r w:rsidRPr="00B050C7">
        <w:rPr>
          <w:rFonts w:ascii="Calibri Light" w:eastAsia="Calibri Light" w:hAnsi="Calibri Light" w:cs="Calibri Light"/>
          <w:color w:val="495965"/>
          <w:sz w:val="22"/>
          <w:szCs w:val="22"/>
          <w:u w:color="495965"/>
          <w:lang w:eastAsia="en-AU"/>
        </w:rPr>
        <w:t>ultra poor</w:t>
      </w:r>
      <w:proofErr w:type="spellEnd"/>
      <w:r w:rsidRPr="00B050C7">
        <w:rPr>
          <w:rFonts w:ascii="Calibri Light" w:eastAsia="Calibri Light" w:hAnsi="Calibri Light" w:cs="Calibri Light"/>
          <w:color w:val="495965"/>
          <w:sz w:val="22"/>
          <w:szCs w:val="22"/>
          <w:u w:color="495965"/>
          <w:lang w:eastAsia="en-AU"/>
        </w:rPr>
        <w:t xml:space="preserve"> participants to help them establish sanitary latrines </w:t>
      </w:r>
      <w:r w:rsidR="00173364">
        <w:rPr>
          <w:rFonts w:ascii="Calibri Light" w:eastAsia="Calibri Light" w:hAnsi="Calibri Light" w:cs="Calibri Light"/>
          <w:color w:val="495965"/>
          <w:sz w:val="22"/>
          <w:szCs w:val="22"/>
          <w:u w:color="495965"/>
          <w:lang w:eastAsia="en-AU"/>
        </w:rPr>
        <w:t>through BRAC’s Water, Sanitation and Hygiene (WASH)</w:t>
      </w:r>
      <w:r>
        <w:rPr>
          <w:rFonts w:ascii="Calibri Light" w:eastAsia="Calibri Light" w:hAnsi="Calibri Light" w:cs="Calibri Light"/>
          <w:color w:val="495965"/>
          <w:sz w:val="22"/>
          <w:szCs w:val="22"/>
          <w:u w:color="495965"/>
          <w:lang w:eastAsia="en-AU"/>
        </w:rPr>
        <w:t xml:space="preserve"> program. </w:t>
      </w:r>
      <w:r w:rsidRPr="00B050C7">
        <w:rPr>
          <w:rFonts w:ascii="Calibri Light" w:eastAsia="Calibri Light" w:hAnsi="Calibri Light" w:cs="Calibri Light"/>
          <w:color w:val="495965"/>
          <w:sz w:val="22"/>
          <w:szCs w:val="22"/>
          <w:u w:color="495965"/>
          <w:lang w:eastAsia="en-AU"/>
        </w:rPr>
        <w:t xml:space="preserve">This PAF target is assessed as partially achieved as the program delivered 96 percent of expected results. It delivered additional poverty reduction outcomes, considering those households who met some but not all criteria for graduation in this multidimensional poverty reduction program. </w:t>
      </w:r>
    </w:p>
    <w:p w14:paraId="6B5A1CFF" w14:textId="78FB0058" w:rsidR="00A34400" w:rsidRPr="00FD0FEB" w:rsidRDefault="00A34400" w:rsidP="00A34400">
      <w:pPr>
        <w:pStyle w:val="BodyA"/>
        <w:spacing w:line="240" w:lineRule="auto"/>
      </w:pPr>
      <w:r>
        <w:t xml:space="preserve">BRAC continues to build on the proven results from TUP and to innovate within the model (over 95% of women have graduated from extreme poverty in the sixteen years of the program and the model has been adapted in 45 countries). In the reporting period BRAC commenced a new phase to increase the cost effectiveness of the program and to improve targeting in the context of changing extreme poverty indicators in Bangladesh’s growing economy. Program entrants were scaled down for this first year </w:t>
      </w:r>
      <w:r w:rsidRPr="00566B43">
        <w:t>(45,396 women were provided with an integrated package of support</w:t>
      </w:r>
      <w:r>
        <w:t xml:space="preserve">). BRAC is closely monitoring the pilot and exploring options for an impact assessment of this year’s entrants. The new phase will be scaled up in 2019. </w:t>
      </w:r>
    </w:p>
    <w:p w14:paraId="7B176156" w14:textId="77777777" w:rsidR="00A34400" w:rsidRDefault="00A34400" w:rsidP="00A34400">
      <w:pPr>
        <w:pStyle w:val="BodyA"/>
        <w:spacing w:before="240" w:line="240" w:lineRule="auto"/>
        <w:rPr>
          <w:b/>
          <w:bCs/>
        </w:rPr>
      </w:pPr>
      <w:r w:rsidRPr="0017743B">
        <w:rPr>
          <w:b/>
          <w:bCs/>
        </w:rPr>
        <w:t xml:space="preserve">Objective 3: Disadvantaged youth </w:t>
      </w:r>
      <w:r>
        <w:rPr>
          <w:b/>
          <w:bCs/>
        </w:rPr>
        <w:t xml:space="preserve">have access to skills and jobs </w:t>
      </w:r>
    </w:p>
    <w:p w14:paraId="4AFE2670" w14:textId="6EBD0768" w:rsidR="00A34400" w:rsidRPr="00FD0FEB" w:rsidRDefault="00A34400" w:rsidP="00A34400">
      <w:pPr>
        <w:spacing w:before="120" w:after="60" w:line="254" w:lineRule="auto"/>
        <w:rPr>
          <w:rFonts w:ascii="Calibri Light" w:eastAsia="Calibri Light" w:hAnsi="Calibri Light" w:cs="Calibri Light"/>
          <w:color w:val="495965"/>
          <w:sz w:val="22"/>
          <w:szCs w:val="22"/>
          <w:u w:color="495965"/>
          <w:lang w:eastAsia="en-AU"/>
        </w:rPr>
      </w:pPr>
      <w:r w:rsidRPr="00FD0FEB">
        <w:rPr>
          <w:rFonts w:ascii="Calibri Light" w:eastAsia="Calibri Light" w:hAnsi="Calibri Light" w:cs="Calibri Light"/>
          <w:color w:val="495965"/>
          <w:sz w:val="22"/>
          <w:szCs w:val="22"/>
          <w:u w:color="495965"/>
          <w:lang w:eastAsia="en-AU"/>
        </w:rPr>
        <w:t xml:space="preserve">Australia supports BRAC’s Skills Development Program (SDP), which is aligned with the Bangladesh Government’s National Skills Development Policy and its focus on building a skilled workforce to drive economic growth. SDP provides skills training to youth from ultra-poor and disadvantaged families and </w:t>
      </w:r>
      <w:r w:rsidRPr="0022381B">
        <w:rPr>
          <w:rFonts w:ascii="Calibri Light" w:eastAsia="Calibri Light" w:hAnsi="Calibri Light" w:cs="Calibri Light"/>
          <w:b/>
          <w:color w:val="495965"/>
          <w:sz w:val="22"/>
          <w:szCs w:val="22"/>
          <w:u w:color="495965"/>
          <w:lang w:eastAsia="en-AU"/>
        </w:rPr>
        <w:t>supports job placement and micro enterprise development</w:t>
      </w:r>
      <w:r w:rsidRPr="00FD0FEB">
        <w:rPr>
          <w:rFonts w:ascii="Calibri Light" w:eastAsia="Calibri Light" w:hAnsi="Calibri Light" w:cs="Calibri Light"/>
          <w:color w:val="495965"/>
          <w:sz w:val="22"/>
          <w:szCs w:val="22"/>
          <w:u w:color="495965"/>
          <w:lang w:eastAsia="en-AU"/>
        </w:rPr>
        <w:t xml:space="preserve">. Increasing skills and economic opportunities </w:t>
      </w:r>
      <w:r>
        <w:rPr>
          <w:rFonts w:ascii="Calibri Light" w:eastAsia="Calibri Light" w:hAnsi="Calibri Light" w:cs="Calibri Light"/>
          <w:color w:val="495965"/>
          <w:sz w:val="22"/>
          <w:szCs w:val="22"/>
          <w:u w:color="495965"/>
          <w:lang w:eastAsia="en-AU"/>
        </w:rPr>
        <w:t xml:space="preserve">also </w:t>
      </w:r>
      <w:r w:rsidR="001C5A83" w:rsidRPr="00FD0FEB">
        <w:rPr>
          <w:rFonts w:ascii="Calibri Light" w:eastAsia="Calibri Light" w:hAnsi="Calibri Light" w:cs="Calibri Light"/>
          <w:color w:val="495965"/>
          <w:sz w:val="22"/>
          <w:szCs w:val="22"/>
          <w:u w:color="495965"/>
          <w:lang w:eastAsia="en-AU"/>
        </w:rPr>
        <w:t xml:space="preserve">has </w:t>
      </w:r>
      <w:r w:rsidRPr="00FD0FEB">
        <w:rPr>
          <w:rFonts w:ascii="Calibri Light" w:eastAsia="Calibri Light" w:hAnsi="Calibri Light" w:cs="Calibri Light"/>
          <w:color w:val="495965"/>
          <w:sz w:val="22"/>
          <w:szCs w:val="22"/>
          <w:u w:color="495965"/>
          <w:lang w:eastAsia="en-AU"/>
        </w:rPr>
        <w:t>the potential to prevent early and forced marriages, as global experience has shown that poverty, lack of education and economic opportunities are some of the key drivers of child marriage.</w:t>
      </w:r>
    </w:p>
    <w:p w14:paraId="13157CD1" w14:textId="77777777" w:rsidR="00A34400" w:rsidRDefault="00A34400" w:rsidP="00A34400">
      <w:pPr>
        <w:spacing w:before="120" w:after="60" w:line="254" w:lineRule="auto"/>
        <w:rPr>
          <w:rFonts w:ascii="Calibri Light" w:eastAsia="Calibri Light" w:hAnsi="Calibri Light" w:cs="Calibri Light"/>
          <w:color w:val="495965"/>
          <w:sz w:val="22"/>
          <w:szCs w:val="22"/>
          <w:u w:color="495965"/>
          <w:lang w:eastAsia="en-AU"/>
        </w:rPr>
      </w:pPr>
      <w:r>
        <w:rPr>
          <w:rFonts w:ascii="Calibri Light" w:eastAsia="Calibri Light" w:hAnsi="Calibri Light" w:cs="Calibri Light"/>
          <w:color w:val="495965"/>
          <w:sz w:val="22"/>
          <w:szCs w:val="22"/>
          <w:u w:color="495965"/>
          <w:lang w:eastAsia="en-AU"/>
        </w:rPr>
        <w:t xml:space="preserve">Australia’s predictable funding supports BRAC to pilot new approaches, deal with the challenges and risks involved in innovating, and evolve the skills program. In its second year, </w:t>
      </w:r>
      <w:r w:rsidRPr="0017743B">
        <w:rPr>
          <w:rFonts w:ascii="Calibri Light" w:eastAsia="Calibri Light" w:hAnsi="Calibri Light" w:cs="Calibri Light"/>
          <w:color w:val="495965"/>
          <w:sz w:val="22"/>
          <w:szCs w:val="22"/>
          <w:u w:color="495965"/>
          <w:lang w:eastAsia="en-AU"/>
        </w:rPr>
        <w:t>SDP</w:t>
      </w:r>
      <w:r w:rsidRPr="007A2D3F">
        <w:rPr>
          <w:rFonts w:ascii="Calibri Light" w:eastAsia="Calibri Light" w:hAnsi="Calibri Light" w:cs="Calibri Light"/>
          <w:color w:val="495965"/>
          <w:sz w:val="22"/>
          <w:szCs w:val="22"/>
          <w:u w:color="495965"/>
          <w:lang w:eastAsia="en-AU"/>
        </w:rPr>
        <w:t xml:space="preserve"> </w:t>
      </w:r>
      <w:r>
        <w:rPr>
          <w:rFonts w:ascii="Calibri Light" w:eastAsia="Calibri Light" w:hAnsi="Calibri Light" w:cs="Calibri Light"/>
          <w:color w:val="495965"/>
          <w:sz w:val="22"/>
          <w:szCs w:val="22"/>
          <w:u w:color="495965"/>
          <w:lang w:eastAsia="en-AU"/>
        </w:rPr>
        <w:t xml:space="preserve">expanded its successful apprenticeship model and commenced an institution based learning model. Both models respond to the needs of the private sector and are underpinned by industry partnerships and analyses of in-demand skills. BRAC has also increased its focus on building the environment for decent work, </w:t>
      </w:r>
      <w:proofErr w:type="spellStart"/>
      <w:r>
        <w:rPr>
          <w:rFonts w:ascii="Calibri Light" w:eastAsia="Calibri Light" w:hAnsi="Calibri Light" w:cs="Calibri Light"/>
          <w:color w:val="495965"/>
          <w:sz w:val="22"/>
          <w:szCs w:val="22"/>
          <w:u w:color="495965"/>
          <w:lang w:eastAsia="en-AU"/>
        </w:rPr>
        <w:t>utilising</w:t>
      </w:r>
      <w:proofErr w:type="spellEnd"/>
      <w:r>
        <w:rPr>
          <w:rFonts w:ascii="Calibri Light" w:eastAsia="Calibri Light" w:hAnsi="Calibri Light" w:cs="Calibri Light"/>
          <w:color w:val="495965"/>
          <w:sz w:val="22"/>
          <w:szCs w:val="22"/>
          <w:u w:color="495965"/>
          <w:lang w:eastAsia="en-AU"/>
        </w:rPr>
        <w:t xml:space="preserve"> the International </w:t>
      </w:r>
      <w:proofErr w:type="spellStart"/>
      <w:r>
        <w:rPr>
          <w:rFonts w:ascii="Calibri Light" w:eastAsia="Calibri Light" w:hAnsi="Calibri Light" w:cs="Calibri Light"/>
          <w:color w:val="495965"/>
          <w:sz w:val="22"/>
          <w:szCs w:val="22"/>
          <w:u w:color="495965"/>
          <w:lang w:eastAsia="en-AU"/>
        </w:rPr>
        <w:t>Labour</w:t>
      </w:r>
      <w:proofErr w:type="spellEnd"/>
      <w:r>
        <w:rPr>
          <w:rFonts w:ascii="Calibri Light" w:eastAsia="Calibri Light" w:hAnsi="Calibri Light" w:cs="Calibri Light"/>
          <w:color w:val="495965"/>
          <w:sz w:val="22"/>
          <w:szCs w:val="22"/>
          <w:u w:color="495965"/>
          <w:lang w:eastAsia="en-AU"/>
        </w:rPr>
        <w:t xml:space="preserve"> Organization (ILO)’s decent work standards and is exploring opportunities to work directly with the Bangladesh Government.  </w:t>
      </w:r>
    </w:p>
    <w:p w14:paraId="3A622782" w14:textId="77777777" w:rsidR="00A34400" w:rsidRPr="002D503E" w:rsidRDefault="00A34400" w:rsidP="00A34400">
      <w:pPr>
        <w:spacing w:before="120" w:after="60" w:line="254" w:lineRule="auto"/>
        <w:rPr>
          <w:rFonts w:ascii="Calibri Light" w:eastAsia="Calibri Light" w:hAnsi="Calibri Light" w:cs="Calibri Light"/>
          <w:color w:val="495965"/>
          <w:sz w:val="22"/>
          <w:szCs w:val="22"/>
          <w:u w:color="495965"/>
          <w:lang w:eastAsia="en-AU"/>
        </w:rPr>
      </w:pPr>
      <w:r w:rsidRPr="0017743B">
        <w:rPr>
          <w:rFonts w:ascii="Calibri Light" w:eastAsia="Calibri Light" w:hAnsi="Calibri Light" w:cs="Calibri Light"/>
          <w:color w:val="495965"/>
          <w:sz w:val="22"/>
          <w:szCs w:val="22"/>
          <w:u w:color="495965"/>
          <w:lang w:eastAsia="en-AU"/>
        </w:rPr>
        <w:t>SDP is compleme</w:t>
      </w:r>
      <w:r>
        <w:rPr>
          <w:rFonts w:ascii="Calibri Light" w:eastAsia="Calibri Light" w:hAnsi="Calibri Light" w:cs="Calibri Light"/>
          <w:color w:val="495965"/>
          <w:sz w:val="22"/>
          <w:szCs w:val="22"/>
          <w:u w:color="495965"/>
          <w:lang w:eastAsia="en-AU"/>
        </w:rPr>
        <w:t xml:space="preserve">nted by other BRAC programs </w:t>
      </w:r>
      <w:r w:rsidRPr="0017743B">
        <w:rPr>
          <w:rFonts w:ascii="Calibri Light" w:eastAsia="Calibri Light" w:hAnsi="Calibri Light" w:cs="Calibri Light"/>
          <w:color w:val="495965"/>
          <w:sz w:val="22"/>
          <w:szCs w:val="22"/>
          <w:u w:color="495965"/>
          <w:lang w:eastAsia="en-AU"/>
        </w:rPr>
        <w:t>including the Post Primary Basic and Continuing Education Schools (P</w:t>
      </w:r>
      <w:r>
        <w:rPr>
          <w:rFonts w:ascii="Calibri Light" w:eastAsia="Calibri Light" w:hAnsi="Calibri Light" w:cs="Calibri Light"/>
          <w:color w:val="495965"/>
          <w:sz w:val="22"/>
          <w:szCs w:val="22"/>
          <w:u w:color="495965"/>
          <w:lang w:eastAsia="en-AU"/>
        </w:rPr>
        <w:t>A</w:t>
      </w:r>
      <w:r w:rsidRPr="0017743B">
        <w:rPr>
          <w:rFonts w:ascii="Calibri Light" w:eastAsia="Calibri Light" w:hAnsi="Calibri Light" w:cs="Calibri Light"/>
          <w:color w:val="495965"/>
          <w:sz w:val="22"/>
          <w:szCs w:val="22"/>
          <w:u w:color="495965"/>
          <w:lang w:eastAsia="en-AU"/>
        </w:rPr>
        <w:t>CE)</w:t>
      </w:r>
      <w:r>
        <w:rPr>
          <w:rFonts w:ascii="Calibri Light" w:eastAsia="Calibri Light" w:hAnsi="Calibri Light" w:cs="Calibri Light"/>
          <w:color w:val="495965"/>
          <w:sz w:val="22"/>
          <w:szCs w:val="22"/>
          <w:u w:color="495965"/>
          <w:lang w:eastAsia="en-AU"/>
        </w:rPr>
        <w:t xml:space="preserve"> initiative, </w:t>
      </w:r>
      <w:r w:rsidRPr="0017743B">
        <w:rPr>
          <w:rFonts w:ascii="Calibri Light" w:eastAsia="Calibri Light" w:hAnsi="Calibri Light" w:cs="Calibri Light"/>
          <w:color w:val="495965"/>
          <w:sz w:val="22"/>
          <w:szCs w:val="22"/>
          <w:u w:color="495965"/>
          <w:lang w:eastAsia="en-AU"/>
        </w:rPr>
        <w:t>and the Adolescent Developme</w:t>
      </w:r>
      <w:r>
        <w:rPr>
          <w:rFonts w:ascii="Calibri Light" w:eastAsia="Calibri Light" w:hAnsi="Calibri Light" w:cs="Calibri Light"/>
          <w:color w:val="495965"/>
          <w:sz w:val="22"/>
          <w:szCs w:val="22"/>
          <w:u w:color="495965"/>
          <w:lang w:eastAsia="en-AU"/>
        </w:rPr>
        <w:t>nt Program (ADP), which aim to build life skills</w:t>
      </w:r>
      <w:r w:rsidRPr="000F6DDE">
        <w:rPr>
          <w:rFonts w:ascii="Calibri Light" w:eastAsia="Calibri Light" w:hAnsi="Calibri Light" w:cs="Calibri Light"/>
          <w:color w:val="495965"/>
          <w:sz w:val="22"/>
          <w:szCs w:val="22"/>
          <w:u w:color="495965"/>
          <w:lang w:eastAsia="en-AU"/>
        </w:rPr>
        <w:t xml:space="preserve">, create safe places for adolescent girls to </w:t>
      </w:r>
      <w:proofErr w:type="spellStart"/>
      <w:r w:rsidRPr="000F6DDE">
        <w:rPr>
          <w:rFonts w:ascii="Calibri Light" w:eastAsia="Calibri Light" w:hAnsi="Calibri Light" w:cs="Calibri Light"/>
          <w:color w:val="495965"/>
          <w:sz w:val="22"/>
          <w:szCs w:val="22"/>
          <w:u w:color="495965"/>
          <w:lang w:eastAsia="en-AU"/>
        </w:rPr>
        <w:t>socialise</w:t>
      </w:r>
      <w:proofErr w:type="spellEnd"/>
      <w:r w:rsidRPr="000F6DDE">
        <w:rPr>
          <w:rFonts w:ascii="Calibri Light" w:eastAsia="Calibri Light" w:hAnsi="Calibri Light" w:cs="Calibri Light"/>
          <w:color w:val="495965"/>
          <w:sz w:val="22"/>
          <w:szCs w:val="22"/>
          <w:u w:color="495965"/>
          <w:lang w:eastAsia="en-AU"/>
        </w:rPr>
        <w:t>, help older children retain literacy skills, improve capacities of rural secondary school teachers, and promote positive community attitudes towards education and vocational training. PACE is a collaboration with government schools. During the reporting period,</w:t>
      </w:r>
      <w:r w:rsidRPr="000F6DDE">
        <w:rPr>
          <w:rFonts w:ascii="Calibri Light" w:eastAsia="Calibri Light" w:hAnsi="Calibri Light" w:cs="Calibri Light"/>
          <w:b/>
          <w:color w:val="495965"/>
          <w:sz w:val="22"/>
          <w:szCs w:val="22"/>
          <w:u w:color="495965"/>
          <w:lang w:eastAsia="en-AU"/>
        </w:rPr>
        <w:t xml:space="preserve"> two PAF targets were met and one was</w:t>
      </w:r>
      <w:r w:rsidRPr="00776C23">
        <w:rPr>
          <w:rFonts w:ascii="Calibri Light" w:eastAsia="Calibri Light" w:hAnsi="Calibri Light" w:cs="Calibri Light"/>
          <w:b/>
          <w:color w:val="495965"/>
          <w:sz w:val="22"/>
          <w:szCs w:val="22"/>
          <w:u w:color="495965"/>
          <w:lang w:eastAsia="en-AU"/>
        </w:rPr>
        <w:t xml:space="preserve"> partially met</w:t>
      </w:r>
      <w:r w:rsidRPr="0017743B">
        <w:rPr>
          <w:rFonts w:ascii="Calibri Light" w:eastAsia="Calibri Light" w:hAnsi="Calibri Light" w:cs="Calibri Light"/>
          <w:color w:val="495965"/>
          <w:sz w:val="22"/>
          <w:szCs w:val="22"/>
          <w:u w:color="495965"/>
          <w:lang w:eastAsia="en-AU"/>
        </w:rPr>
        <w:t xml:space="preserve">. Australia’s key contributions include: </w:t>
      </w:r>
    </w:p>
    <w:p w14:paraId="629267F0" w14:textId="77777777" w:rsidR="00A34400" w:rsidRPr="003F2224" w:rsidRDefault="00A34400" w:rsidP="00A34400">
      <w:pPr>
        <w:pStyle w:val="BodyA"/>
        <w:numPr>
          <w:ilvl w:val="0"/>
          <w:numId w:val="26"/>
        </w:numPr>
        <w:spacing w:before="240" w:line="240" w:lineRule="auto"/>
      </w:pPr>
      <w:r w:rsidRPr="0017743B">
        <w:t>Assisting 1,4</w:t>
      </w:r>
      <w:r>
        <w:t>22</w:t>
      </w:r>
      <w:r w:rsidRPr="0017743B">
        <w:t>,369 youth (</w:t>
      </w:r>
      <w:r w:rsidRPr="00776C23">
        <w:rPr>
          <w:b/>
        </w:rPr>
        <w:t>against a PAF target of 1,422,000</w:t>
      </w:r>
      <w:r w:rsidRPr="0017743B">
        <w:t>),</w:t>
      </w:r>
      <w:r>
        <w:t xml:space="preserve"> especially girls (</w:t>
      </w:r>
      <w:r w:rsidRPr="00566B43">
        <w:t>53%</w:t>
      </w:r>
      <w:r w:rsidRPr="00F11ED7">
        <w:t>)</w:t>
      </w:r>
      <w:r>
        <w:t xml:space="preserve"> by providing vocational skills, health awareness (including reproductive health), continued learning, and leadership. </w:t>
      </w:r>
    </w:p>
    <w:p w14:paraId="25AA477E" w14:textId="77777777" w:rsidR="00A34400" w:rsidRPr="0017743B" w:rsidRDefault="00A34400" w:rsidP="00A34400">
      <w:pPr>
        <w:pStyle w:val="BodyA"/>
        <w:numPr>
          <w:ilvl w:val="0"/>
          <w:numId w:val="26"/>
        </w:numPr>
        <w:spacing w:before="240" w:line="240" w:lineRule="auto"/>
      </w:pPr>
      <w:r>
        <w:t>Providing competency based vocational training to 16,805 people (</w:t>
      </w:r>
      <w:r w:rsidRPr="00B36C71">
        <w:rPr>
          <w:b/>
        </w:rPr>
        <w:t>PAF target: 18,876</w:t>
      </w:r>
      <w:r>
        <w:t xml:space="preserve">) including 6,979 women and 1,085 people with a disability. Eight nine per cent of participants secured a job or started their own business following the training. While BRAC exceeded targets within the apprenticeship model, </w:t>
      </w:r>
      <w:r w:rsidRPr="00776C23">
        <w:rPr>
          <w:b/>
        </w:rPr>
        <w:lastRenderedPageBreak/>
        <w:t>it fell short of targets in its new institution based learning model</w:t>
      </w:r>
      <w:r>
        <w:t xml:space="preserve"> due to establishment delays in the first year of this new initiative. </w:t>
      </w:r>
    </w:p>
    <w:p w14:paraId="1085766E" w14:textId="77777777" w:rsidR="00A34400" w:rsidRPr="006A40BA" w:rsidRDefault="00A34400" w:rsidP="00A34400">
      <w:pPr>
        <w:pStyle w:val="BodyA"/>
        <w:numPr>
          <w:ilvl w:val="0"/>
          <w:numId w:val="26"/>
        </w:numPr>
        <w:spacing w:before="240" w:line="240" w:lineRule="auto"/>
      </w:pPr>
      <w:r w:rsidRPr="0017743B">
        <w:t>Supporting 1,400 Post Primary Basic and Continuing Education Schools (</w:t>
      </w:r>
      <w:r w:rsidRPr="00566B43">
        <w:rPr>
          <w:b/>
        </w:rPr>
        <w:t>against a PAF target of 1,400</w:t>
      </w:r>
      <w:r w:rsidRPr="0017743B">
        <w:t>)</w:t>
      </w:r>
      <w:r>
        <w:t xml:space="preserve"> to improve classroom pedagogy as well as the overall quality of education.</w:t>
      </w:r>
    </w:p>
    <w:p w14:paraId="6B1D22A4" w14:textId="77777777" w:rsidR="00A34400" w:rsidRPr="0069314C" w:rsidRDefault="00A34400" w:rsidP="00A34400">
      <w:pPr>
        <w:suppressAutoHyphens/>
        <w:spacing w:before="240" w:after="60"/>
        <w:rPr>
          <w:rFonts w:ascii="Calibri Light" w:eastAsia="Calibri Light" w:hAnsi="Calibri Light" w:cs="Calibri Light"/>
          <w:b/>
          <w:bCs/>
          <w:color w:val="495965"/>
          <w:sz w:val="22"/>
          <w:szCs w:val="22"/>
          <w:u w:color="495965"/>
          <w:lang w:eastAsia="en-AU"/>
        </w:rPr>
      </w:pPr>
      <w:r w:rsidRPr="0069314C">
        <w:rPr>
          <w:rFonts w:ascii="Calibri Light" w:eastAsia="Calibri Light" w:hAnsi="Calibri Light" w:cs="Calibri Light"/>
          <w:b/>
          <w:bCs/>
          <w:color w:val="495965"/>
          <w:sz w:val="22"/>
          <w:szCs w:val="22"/>
          <w:u w:color="495965"/>
          <w:lang w:eastAsia="en-AU"/>
        </w:rPr>
        <w:t>Outcome 4: Support an effective humanita</w:t>
      </w:r>
      <w:r>
        <w:rPr>
          <w:rFonts w:ascii="Calibri Light" w:eastAsia="Calibri Light" w:hAnsi="Calibri Light" w:cs="Calibri Light"/>
          <w:b/>
          <w:bCs/>
          <w:color w:val="495965"/>
          <w:sz w:val="22"/>
          <w:szCs w:val="22"/>
          <w:u w:color="495965"/>
          <w:lang w:eastAsia="en-AU"/>
        </w:rPr>
        <w:t xml:space="preserve">rian response to the Rohingya refugee </w:t>
      </w:r>
      <w:r w:rsidRPr="0069314C">
        <w:rPr>
          <w:rFonts w:ascii="Calibri Light" w:eastAsia="Calibri Light" w:hAnsi="Calibri Light" w:cs="Calibri Light"/>
          <w:b/>
          <w:bCs/>
          <w:color w:val="495965"/>
          <w:sz w:val="22"/>
          <w:szCs w:val="22"/>
          <w:u w:color="495965"/>
          <w:lang w:eastAsia="en-AU"/>
        </w:rPr>
        <w:t xml:space="preserve">crisis </w:t>
      </w:r>
    </w:p>
    <w:p w14:paraId="57C6CEC2" w14:textId="7929662D" w:rsidR="00A34400" w:rsidRDefault="00A34400" w:rsidP="00A34400">
      <w:pPr>
        <w:pStyle w:val="BodyA"/>
      </w:pPr>
      <w:r>
        <w:t xml:space="preserve">Australian support to the Rohingya response is focused on delivering immediate lifesaving assistance including the provision of basic health, nutrition and shelter. This assistance supports the needs of the most vulnerable, including women and children, who form </w:t>
      </w:r>
      <w:r w:rsidRPr="00B20C03">
        <w:t xml:space="preserve">80 per cent of the refugee population. </w:t>
      </w:r>
      <w:r>
        <w:t xml:space="preserve">DFAT seeks to support coordination efforts and leverage trusted partners who have capacity to implement timely, context specific, multisector interventions. The humanitarian response aims to progress global humanitarian reform and implement </w:t>
      </w:r>
      <w:r w:rsidR="001C5A83">
        <w:t xml:space="preserve">international humanitarian </w:t>
      </w:r>
      <w:r>
        <w:t xml:space="preserve">commitments made </w:t>
      </w:r>
      <w:r w:rsidR="001C5A83">
        <w:t>at</w:t>
      </w:r>
      <w:r w:rsidR="001C5A83" w:rsidRPr="002006A0">
        <w:t xml:space="preserve"> the </w:t>
      </w:r>
      <w:r w:rsidR="001C5A83">
        <w:t xml:space="preserve">2016 </w:t>
      </w:r>
      <w:r w:rsidR="001C5A83" w:rsidRPr="002006A0">
        <w:t xml:space="preserve">World Humanitarian Summit </w:t>
      </w:r>
      <w:r>
        <w:t xml:space="preserve">under the </w:t>
      </w:r>
      <w:r w:rsidR="001C5A83">
        <w:t xml:space="preserve">associated </w:t>
      </w:r>
      <w:r>
        <w:t xml:space="preserve">Grand Bargain including cash programing, flexible funding and </w:t>
      </w:r>
      <w:proofErr w:type="spellStart"/>
      <w:r>
        <w:t>localis</w:t>
      </w:r>
      <w:r w:rsidR="0037642C">
        <w:t>ing</w:t>
      </w:r>
      <w:proofErr w:type="spellEnd"/>
      <w:r>
        <w:t xml:space="preserve"> humanitarian action. </w:t>
      </w:r>
    </w:p>
    <w:p w14:paraId="00F6D8F3" w14:textId="7F87CD6B" w:rsidR="00A34400" w:rsidRDefault="00A34400" w:rsidP="00A34400">
      <w:pPr>
        <w:pStyle w:val="BodyA"/>
      </w:pPr>
      <w:r w:rsidRPr="0002292C">
        <w:t>Since</w:t>
      </w:r>
      <w:r w:rsidRPr="0069314C">
        <w:t xml:space="preserve"> August 2017, </w:t>
      </w:r>
      <w:r w:rsidRPr="00991D04">
        <w:rPr>
          <w:b/>
        </w:rPr>
        <w:t>Australia has contributed over $70 million in humanitarian funding</w:t>
      </w:r>
      <w:r w:rsidRPr="0069314C">
        <w:t xml:space="preserve"> towards the Rohingya crisis, including $62.</w:t>
      </w:r>
      <w:r w:rsidR="001C5A83">
        <w:t>4</w:t>
      </w:r>
      <w:r w:rsidRPr="0069314C">
        <w:t>million</w:t>
      </w:r>
      <w:r>
        <w:t xml:space="preserve"> </w:t>
      </w:r>
      <w:r w:rsidRPr="0069314C">
        <w:t>for response efforts in Cox’s Bazar District</w:t>
      </w:r>
      <w:r>
        <w:t xml:space="preserve"> delivered by a mix of </w:t>
      </w:r>
      <w:r w:rsidRPr="00E76C45">
        <w:t>Non-Government Organisations (BRAC, Oxfam</w:t>
      </w:r>
      <w:r>
        <w:t>, CARE, Save the Children</w:t>
      </w:r>
      <w:r w:rsidRPr="00E76C45">
        <w:t>, Australian Red Cross)</w:t>
      </w:r>
      <w:r>
        <w:t xml:space="preserve"> receiving approximately 25 per cent of funding</w:t>
      </w:r>
      <w:r w:rsidRPr="00E76C45">
        <w:t xml:space="preserve"> and UN partners (WFP, UNHCR, IOM and UNFPA</w:t>
      </w:r>
      <w:r>
        <w:t xml:space="preserve">) the remaining 75 per cent of </w:t>
      </w:r>
      <w:r w:rsidR="001C5A83">
        <w:t xml:space="preserve">the </w:t>
      </w:r>
      <w:r>
        <w:t>$62.</w:t>
      </w:r>
      <w:r w:rsidR="001C5A83">
        <w:t>4</w:t>
      </w:r>
      <w:r>
        <w:t>million</w:t>
      </w:r>
      <w:r w:rsidR="001C5A83">
        <w:t xml:space="preserve"> committed for Bangladesh</w:t>
      </w:r>
      <w:r>
        <w:t xml:space="preserve">. </w:t>
      </w:r>
      <w:r w:rsidRPr="0069314C">
        <w:t xml:space="preserve">Our funding is complemented by international and regional engagement and advocacy on a sustainable solution to the Rohingya crisis, including the safe and voluntary repatriation of the displaced </w:t>
      </w:r>
      <w:proofErr w:type="spellStart"/>
      <w:r w:rsidRPr="0069314C">
        <w:t>Rohingya</w:t>
      </w:r>
      <w:proofErr w:type="spellEnd"/>
      <w:r w:rsidRPr="0069314C">
        <w:t xml:space="preserve"> to </w:t>
      </w:r>
      <w:proofErr w:type="spellStart"/>
      <w:r w:rsidRPr="0069314C">
        <w:t>Rakhine</w:t>
      </w:r>
      <w:proofErr w:type="spellEnd"/>
      <w:r w:rsidRPr="0069314C">
        <w:t xml:space="preserve"> State, Myanmar. In Bangladesh, Australia is an active member of key donor coordination forums, </w:t>
      </w:r>
      <w:r>
        <w:t xml:space="preserve">including the UN led Strategic </w:t>
      </w:r>
      <w:r w:rsidRPr="0069314C">
        <w:t>Executive Group, which provides strategic direction for the international humanitarian effort in Cox’s Bazar. Australia attended all key Dhaka-based donor c</w:t>
      </w:r>
      <w:r>
        <w:t>oordination meetings in 2017-18</w:t>
      </w:r>
      <w:r w:rsidRPr="0069314C">
        <w:t>.</w:t>
      </w:r>
      <w:r>
        <w:t xml:space="preserve"> </w:t>
      </w:r>
    </w:p>
    <w:p w14:paraId="18ED880B" w14:textId="76705BDA" w:rsidR="00A34400" w:rsidRDefault="00A34400" w:rsidP="00A34400">
      <w:pPr>
        <w:pStyle w:val="BodyA"/>
      </w:pPr>
      <w:r w:rsidRPr="002006A0">
        <w:t xml:space="preserve">In line with Australia’s </w:t>
      </w:r>
      <w:r>
        <w:t>commitments made at</w:t>
      </w:r>
      <w:r w:rsidRPr="002006A0">
        <w:t xml:space="preserve"> the </w:t>
      </w:r>
      <w:r w:rsidR="001C5A83">
        <w:t xml:space="preserve">2016 </w:t>
      </w:r>
      <w:r w:rsidRPr="002006A0">
        <w:t xml:space="preserve">World Humanitarian Summit in the Grand Bargain, our funding is largely un-earmarked, enabling partners’ flexibility to allocate funds to the most critical priorities, program funds quickly, and adapt the response to the rapidly changing situation on the ground. An independent review of WFP’s operations in Cox’s Bazar (conducted in January 2018) found that Australia’s willingness to allow its contribution to be used flexibility across the Cox’s Bazar program was </w:t>
      </w:r>
      <w:proofErr w:type="spellStart"/>
      <w:r w:rsidRPr="002006A0">
        <w:t>recognised</w:t>
      </w:r>
      <w:proofErr w:type="spellEnd"/>
      <w:r w:rsidRPr="002006A0">
        <w:t xml:space="preserve"> by WFP as a major contribution to their efficiency, allowing an uninterrupted flow of funds to </w:t>
      </w:r>
      <w:r w:rsidRPr="0022381B">
        <w:rPr>
          <w:b/>
        </w:rPr>
        <w:t>WFP’s Enhancing Food Security and Nutrition program in Cox Bazar</w:t>
      </w:r>
      <w:r w:rsidRPr="002006A0">
        <w:t xml:space="preserve">, which depended for its success on timely inputs. This flexibility and our long standing partnerships has allowed Australia to be one of the first responders to the new arrivals in August, with WFP providing immediate life-saving nutrition support in the first days of the influx using prepositioned high-energy biscuits funded by Australian aid. </w:t>
      </w:r>
    </w:p>
    <w:p w14:paraId="6B88D673" w14:textId="6B06DA42" w:rsidR="00A34400" w:rsidRPr="003A07A4" w:rsidRDefault="00A34400" w:rsidP="00A34400">
      <w:pPr>
        <w:pStyle w:val="BodyA"/>
      </w:pPr>
      <w:r w:rsidRPr="003A07A4">
        <w:t xml:space="preserve">We also made a modest contribution to strengthening national and local leadership in </w:t>
      </w:r>
      <w:r w:rsidR="001C5A83">
        <w:t xml:space="preserve">the </w:t>
      </w:r>
      <w:r w:rsidRPr="003A07A4">
        <w:t xml:space="preserve">humanitarian response by channeling funding </w:t>
      </w:r>
      <w:r w:rsidRPr="0002292C">
        <w:t xml:space="preserve">through local actors, including </w:t>
      </w:r>
      <w:r w:rsidRPr="003A07A4">
        <w:t>BRAC. Of the $62.4million, $5 million (around 8 per cent</w:t>
      </w:r>
      <w:r w:rsidRPr="0002292C">
        <w:t>)</w:t>
      </w:r>
      <w:r>
        <w:rPr>
          <w:rStyle w:val="FootnoteReference"/>
        </w:rPr>
        <w:footnoteReference w:id="27"/>
      </w:r>
      <w:r w:rsidRPr="0002292C">
        <w:t xml:space="preserve"> </w:t>
      </w:r>
      <w:r w:rsidRPr="003A07A4">
        <w:t xml:space="preserve">was allocated to BRAC to meet the </w:t>
      </w:r>
      <w:proofErr w:type="spellStart"/>
      <w:r w:rsidRPr="003A07A4">
        <w:t>localisation</w:t>
      </w:r>
      <w:proofErr w:type="spellEnd"/>
      <w:r w:rsidRPr="003A07A4">
        <w:t xml:space="preserve"> agenda. </w:t>
      </w:r>
      <w:r w:rsidRPr="0022381B">
        <w:rPr>
          <w:b/>
        </w:rPr>
        <w:t>BRAC has been an effective local actor</w:t>
      </w:r>
      <w:r w:rsidRPr="003A07A4">
        <w:t>, able to reach a large population within a very short time because of its dedicated human resources and programs all over the country, and years of experience with the Rohingya community. Despite initial challenges in BRAC’s sanitation activities, particularly the construction of toilets</w:t>
      </w:r>
      <w:r>
        <w:rPr>
          <w:rStyle w:val="FootnoteReference"/>
        </w:rPr>
        <w:footnoteReference w:id="28"/>
      </w:r>
      <w:r w:rsidRPr="003A07A4">
        <w:t xml:space="preserve">, which has now been addressed, </w:t>
      </w:r>
      <w:r w:rsidRPr="0022381B">
        <w:t>BRAC remains an important partner for Australia that is able to</w:t>
      </w:r>
      <w:r w:rsidRPr="0022381B">
        <w:rPr>
          <w:b/>
        </w:rPr>
        <w:t xml:space="preserve"> scale-up quickly, leverage established relationships with government and deliver multi-sectoral programs in both the refugee camps and the host community. </w:t>
      </w:r>
      <w:r w:rsidRPr="003A07A4">
        <w:t xml:space="preserve">Although BRAC’s involvement in the humanitarian response provides a positive case study for the </w:t>
      </w:r>
      <w:proofErr w:type="spellStart"/>
      <w:r w:rsidRPr="003A07A4">
        <w:t>localisation</w:t>
      </w:r>
      <w:proofErr w:type="spellEnd"/>
      <w:r w:rsidRPr="003A07A4">
        <w:t xml:space="preserve"> agenda, there are challenges to implementing the </w:t>
      </w:r>
      <w:proofErr w:type="spellStart"/>
      <w:r w:rsidRPr="003A07A4">
        <w:t>localisation</w:t>
      </w:r>
      <w:proofErr w:type="spellEnd"/>
      <w:r w:rsidRPr="003A07A4">
        <w:t xml:space="preserve"> agenda more broadly.</w:t>
      </w:r>
      <w:r>
        <w:t xml:space="preserve"> </w:t>
      </w:r>
      <w:r w:rsidRPr="003A07A4">
        <w:t xml:space="preserve">There remains a cultural perception around the capacity of local actors which means they are not </w:t>
      </w:r>
      <w:r w:rsidRPr="003A07A4">
        <w:lastRenderedPageBreak/>
        <w:t xml:space="preserve">always integrated into decision-making, consultation or coordination mechanisms and are not fully leveraged as part of the response. </w:t>
      </w:r>
    </w:p>
    <w:p w14:paraId="7B97F7EA" w14:textId="77777777" w:rsidR="00A34400" w:rsidRPr="002006A0" w:rsidRDefault="00A34400" w:rsidP="00A34400">
      <w:pPr>
        <w:pStyle w:val="BodyA"/>
      </w:pPr>
      <w:r w:rsidRPr="002006A0">
        <w:t>In line with humanitarian best practice, Australia</w:t>
      </w:r>
      <w:r>
        <w:t xml:space="preserve"> through WFP</w:t>
      </w:r>
      <w:r w:rsidRPr="002006A0">
        <w:t xml:space="preserve"> continued to promote cash-based assistance to empower the affected </w:t>
      </w:r>
      <w:r>
        <w:t xml:space="preserve">population </w:t>
      </w:r>
      <w:r w:rsidRPr="002006A0">
        <w:t>to make choices about their p</w:t>
      </w:r>
      <w:r>
        <w:t>riority needs</w:t>
      </w:r>
      <w:r w:rsidRPr="002006A0">
        <w:t>.</w:t>
      </w:r>
      <w:r>
        <w:t xml:space="preserve"> </w:t>
      </w:r>
      <w:r w:rsidRPr="002006A0">
        <w:t xml:space="preserve">WFP is one of few organisations providing cash-based assistance. WFP's Porter and Volunteer system pays cash to ‘volunteers’ helping manage lines and deliver food. </w:t>
      </w:r>
      <w:r>
        <w:t>A multi</w:t>
      </w:r>
      <w:r w:rsidRPr="002006A0">
        <w:t xml:space="preserve">-wallet system (e-voucher), developed by WFP in previous phases of our support was rapidly expanded, allowing beneficiaries to access different services using the one cash card. The multi-wallet system is being used by UNHCR, WFP and IOM and allows beneficiaries to access different services using the one card. Other agencies are considering joining the multi-wallet platform. </w:t>
      </w:r>
    </w:p>
    <w:p w14:paraId="100ED774" w14:textId="5D4A1536" w:rsidR="00A34400" w:rsidRPr="008809A8" w:rsidRDefault="00A34400" w:rsidP="00A34400">
      <w:pPr>
        <w:pStyle w:val="BodyA"/>
      </w:pPr>
      <w:r>
        <w:t xml:space="preserve">Australian funding </w:t>
      </w:r>
      <w:proofErr w:type="spellStart"/>
      <w:r w:rsidRPr="008809A8">
        <w:t>prioritises</w:t>
      </w:r>
      <w:proofErr w:type="spellEnd"/>
      <w:r w:rsidRPr="002006A0">
        <w:t xml:space="preserve"> the needs of women and children. </w:t>
      </w:r>
      <w:r w:rsidRPr="0022381B">
        <w:rPr>
          <w:b/>
        </w:rPr>
        <w:t>DFAT is supporting Child and Women Friendly spaces through partnerships with BRAC, Save the Children and UNFPA.</w:t>
      </w:r>
      <w:r w:rsidRPr="002006A0">
        <w:t xml:space="preserve"> These facilities provide a safe space for children to play and access health and psychosocial services, but also offer</w:t>
      </w:r>
      <w:r>
        <w:t xml:space="preserve"> critical protection services. </w:t>
      </w:r>
      <w:r w:rsidRPr="002006A0">
        <w:t>Children who attend these facilities ar</w:t>
      </w:r>
      <w:r w:rsidRPr="008809A8">
        <w:t>e registered and monitored, and are</w:t>
      </w:r>
      <w:r w:rsidRPr="002006A0">
        <w:t xml:space="preserve"> less likely to spend time alone or be sent on household errands.</w:t>
      </w:r>
      <w:r w:rsidRPr="008809A8">
        <w:t xml:space="preserve"> </w:t>
      </w:r>
      <w:r>
        <w:t xml:space="preserve">Women Friendly Spaces provide a safe places for women and girls to rest, share experiences, and rebuild a sense of community. They are also access points for </w:t>
      </w:r>
      <w:r w:rsidRPr="008809A8">
        <w:t>information</w:t>
      </w:r>
      <w:r>
        <w:t xml:space="preserve"> and referrals for support services, including medical care, counselling and case management for survivors of gender-based violence</w:t>
      </w:r>
      <w:r w:rsidRPr="008809A8">
        <w:t xml:space="preserve">. During the reporting period, Australian funding jointly with donor partners helped: </w:t>
      </w:r>
    </w:p>
    <w:p w14:paraId="246C31F8" w14:textId="77777777" w:rsidR="00A34400" w:rsidRPr="008809A8" w:rsidRDefault="00A34400" w:rsidP="00A34400">
      <w:pPr>
        <w:pStyle w:val="BodyA"/>
        <w:numPr>
          <w:ilvl w:val="0"/>
          <w:numId w:val="35"/>
        </w:numPr>
      </w:pPr>
      <w:r>
        <w:t xml:space="preserve">302,049 women and children </w:t>
      </w:r>
      <w:r w:rsidRPr="008809A8">
        <w:t>access safe spaces,</w:t>
      </w:r>
      <w:r>
        <w:t xml:space="preserve"> through implementing partners BRAC, Save the Children and UNFPA</w:t>
      </w:r>
      <w:r w:rsidRPr="008809A8">
        <w:rPr>
          <w:rStyle w:val="FootnoteReference"/>
        </w:rPr>
        <w:footnoteReference w:id="29"/>
      </w:r>
      <w:r w:rsidRPr="008809A8">
        <w:t xml:space="preserve">. </w:t>
      </w:r>
    </w:p>
    <w:p w14:paraId="65C5ACBE" w14:textId="116B7D1B" w:rsidR="00A34400" w:rsidRDefault="0037642C" w:rsidP="00A34400">
      <w:pPr>
        <w:numPr>
          <w:ilvl w:val="0"/>
          <w:numId w:val="26"/>
        </w:numPr>
        <w:suppressAutoHyphens/>
        <w:spacing w:before="240" w:after="60"/>
        <w:rPr>
          <w:rFonts w:ascii="Calibri Light" w:eastAsia="Calibri Light" w:hAnsi="Calibri Light" w:cs="Calibri Light"/>
          <w:color w:val="495965"/>
          <w:sz w:val="22"/>
          <w:szCs w:val="22"/>
          <w:u w:color="495965"/>
          <w:lang w:eastAsia="en-AU"/>
        </w:rPr>
      </w:pPr>
      <w:r>
        <w:rPr>
          <w:rFonts w:ascii="Calibri Light" w:eastAsia="Calibri Light" w:hAnsi="Calibri Light" w:cs="Calibri Light"/>
          <w:color w:val="495965"/>
          <w:sz w:val="22"/>
          <w:szCs w:val="22"/>
          <w:u w:color="495965"/>
          <w:lang w:eastAsia="en-AU"/>
        </w:rPr>
        <w:t>To p</w:t>
      </w:r>
      <w:r w:rsidR="00A34400">
        <w:rPr>
          <w:rFonts w:ascii="Calibri Light" w:eastAsia="Calibri Light" w:hAnsi="Calibri Light" w:cs="Calibri Light"/>
          <w:color w:val="495965"/>
          <w:sz w:val="22"/>
          <w:szCs w:val="22"/>
          <w:u w:color="495965"/>
          <w:lang w:eastAsia="en-AU"/>
        </w:rPr>
        <w:t>rovid</w:t>
      </w:r>
      <w:r>
        <w:rPr>
          <w:rFonts w:ascii="Calibri Light" w:eastAsia="Calibri Light" w:hAnsi="Calibri Light" w:cs="Calibri Light"/>
          <w:color w:val="495965"/>
          <w:sz w:val="22"/>
          <w:szCs w:val="22"/>
          <w:u w:color="495965"/>
          <w:lang w:eastAsia="en-AU"/>
        </w:rPr>
        <w:t>e</w:t>
      </w:r>
      <w:r w:rsidR="00A34400">
        <w:rPr>
          <w:rFonts w:ascii="Calibri Light" w:eastAsia="Calibri Light" w:hAnsi="Calibri Light" w:cs="Calibri Light"/>
          <w:color w:val="495965"/>
          <w:sz w:val="22"/>
          <w:szCs w:val="22"/>
          <w:u w:color="495965"/>
          <w:lang w:eastAsia="en-AU"/>
        </w:rPr>
        <w:t xml:space="preserve"> </w:t>
      </w:r>
      <w:r w:rsidR="00A34400" w:rsidRPr="008809A8">
        <w:rPr>
          <w:rFonts w:ascii="Calibri Light" w:eastAsia="Calibri Light" w:hAnsi="Calibri Light" w:cs="Calibri Light"/>
          <w:color w:val="495965"/>
          <w:sz w:val="22"/>
          <w:szCs w:val="22"/>
          <w:u w:color="495965"/>
          <w:lang w:eastAsia="en-AU"/>
        </w:rPr>
        <w:t>358, 576 health consultations</w:t>
      </w:r>
      <w:r w:rsidR="00A34400">
        <w:rPr>
          <w:rFonts w:ascii="Calibri Light" w:eastAsia="Calibri Light" w:hAnsi="Calibri Light" w:cs="Calibri Light"/>
          <w:color w:val="495965"/>
          <w:sz w:val="22"/>
          <w:szCs w:val="22"/>
          <w:u w:color="495965"/>
          <w:lang w:eastAsia="en-AU"/>
        </w:rPr>
        <w:t xml:space="preserve"> including vaccinations for diphtheria for Rohingya women, men and children at </w:t>
      </w:r>
      <w:r w:rsidR="00A34400" w:rsidRPr="008809A8">
        <w:rPr>
          <w:rFonts w:ascii="Calibri Light" w:eastAsia="Calibri Light" w:hAnsi="Calibri Light" w:cs="Calibri Light"/>
          <w:color w:val="495965"/>
          <w:sz w:val="22"/>
          <w:szCs w:val="22"/>
          <w:u w:color="495965"/>
          <w:lang w:eastAsia="en-AU"/>
        </w:rPr>
        <w:t>Australian supported health facilities</w:t>
      </w:r>
      <w:r w:rsidR="00A34400">
        <w:rPr>
          <w:rFonts w:ascii="Calibri Light" w:eastAsia="Calibri Light" w:hAnsi="Calibri Light" w:cs="Calibri Light"/>
          <w:color w:val="495965"/>
          <w:sz w:val="22"/>
          <w:szCs w:val="22"/>
          <w:u w:color="495965"/>
          <w:lang w:eastAsia="en-AU"/>
        </w:rPr>
        <w:t>, managed by IOM</w:t>
      </w:r>
      <w:r w:rsidR="00A34400" w:rsidRPr="008809A8">
        <w:rPr>
          <w:rStyle w:val="FootnoteReference"/>
          <w:rFonts w:ascii="Calibri Light" w:eastAsia="Calibri Light" w:hAnsi="Calibri Light" w:cs="Calibri Light"/>
          <w:color w:val="495965"/>
          <w:sz w:val="22"/>
          <w:szCs w:val="22"/>
          <w:u w:color="495965"/>
          <w:lang w:eastAsia="en-AU"/>
        </w:rPr>
        <w:footnoteReference w:id="30"/>
      </w:r>
      <w:r w:rsidR="00A34400" w:rsidRPr="008809A8">
        <w:rPr>
          <w:rFonts w:ascii="Calibri Light" w:eastAsia="Calibri Light" w:hAnsi="Calibri Light" w:cs="Calibri Light"/>
          <w:color w:val="495965"/>
          <w:sz w:val="22"/>
          <w:szCs w:val="22"/>
          <w:u w:color="495965"/>
          <w:lang w:eastAsia="en-AU"/>
        </w:rPr>
        <w:t>.</w:t>
      </w:r>
    </w:p>
    <w:p w14:paraId="6B80D0F5" w14:textId="77777777" w:rsidR="00A34400" w:rsidRPr="00362F6F" w:rsidRDefault="00A34400" w:rsidP="00A34400">
      <w:pPr>
        <w:numPr>
          <w:ilvl w:val="0"/>
          <w:numId w:val="26"/>
        </w:numPr>
        <w:suppressAutoHyphens/>
        <w:spacing w:before="240" w:after="60"/>
        <w:rPr>
          <w:rFonts w:ascii="Calibri Light" w:eastAsia="Calibri Light" w:hAnsi="Calibri Light" w:cs="Calibri Light"/>
          <w:color w:val="495965"/>
          <w:sz w:val="22"/>
          <w:szCs w:val="22"/>
          <w:u w:color="495965"/>
          <w:lang w:eastAsia="en-AU"/>
        </w:rPr>
      </w:pPr>
      <w:r w:rsidRPr="008809A8">
        <w:rPr>
          <w:rFonts w:ascii="Calibri Light" w:eastAsia="Calibri Light" w:hAnsi="Calibri Light" w:cs="Calibri Light"/>
          <w:color w:val="495965"/>
          <w:sz w:val="22"/>
          <w:szCs w:val="22"/>
          <w:u w:color="495965"/>
          <w:lang w:eastAsia="en-AU"/>
        </w:rPr>
        <w:t>223,600 women and men access safe drinking water, and a furt</w:t>
      </w:r>
      <w:r>
        <w:rPr>
          <w:rFonts w:ascii="Calibri Light" w:eastAsia="Calibri Light" w:hAnsi="Calibri Light" w:cs="Calibri Light"/>
          <w:color w:val="495965"/>
          <w:sz w:val="22"/>
          <w:szCs w:val="22"/>
          <w:u w:color="495965"/>
          <w:lang w:eastAsia="en-AU"/>
        </w:rPr>
        <w:t xml:space="preserve">her 245,700 people with improved </w:t>
      </w:r>
      <w:r w:rsidRPr="008809A8">
        <w:rPr>
          <w:rFonts w:ascii="Calibri Light" w:eastAsia="Calibri Light" w:hAnsi="Calibri Light" w:cs="Calibri Light"/>
          <w:color w:val="495965"/>
          <w:sz w:val="22"/>
          <w:szCs w:val="22"/>
          <w:u w:color="495965"/>
          <w:lang w:eastAsia="en-AU"/>
        </w:rPr>
        <w:t>access to sanitation facilities</w:t>
      </w:r>
      <w:r>
        <w:rPr>
          <w:rFonts w:ascii="Calibri Light" w:eastAsia="Calibri Light" w:hAnsi="Calibri Light" w:cs="Calibri Light"/>
          <w:color w:val="495965"/>
          <w:sz w:val="22"/>
          <w:szCs w:val="22"/>
          <w:u w:color="495965"/>
          <w:lang w:eastAsia="en-AU"/>
        </w:rPr>
        <w:t xml:space="preserve">, responding to acute water, sanitation and hygiene needs in camp settlements </w:t>
      </w:r>
      <w:r w:rsidRPr="008809A8">
        <w:rPr>
          <w:rFonts w:ascii="Calibri Light" w:eastAsia="Calibri Light" w:hAnsi="Calibri Light" w:cs="Calibri Light"/>
          <w:color w:val="495965"/>
          <w:sz w:val="22"/>
          <w:szCs w:val="22"/>
          <w:u w:color="495965"/>
          <w:lang w:eastAsia="en-AU"/>
        </w:rPr>
        <w:t>(</w:t>
      </w:r>
      <w:r>
        <w:rPr>
          <w:rFonts w:ascii="Calibri Light" w:eastAsia="Calibri Light" w:hAnsi="Calibri Light" w:cs="Calibri Light"/>
          <w:color w:val="495965"/>
          <w:sz w:val="22"/>
          <w:szCs w:val="22"/>
          <w:u w:color="495965"/>
          <w:lang w:eastAsia="en-AU"/>
        </w:rPr>
        <w:t xml:space="preserve">through </w:t>
      </w:r>
      <w:r w:rsidRPr="008809A8">
        <w:rPr>
          <w:rFonts w:ascii="Calibri Light" w:eastAsia="Calibri Light" w:hAnsi="Calibri Light" w:cs="Calibri Light"/>
          <w:color w:val="495965"/>
          <w:sz w:val="22"/>
          <w:szCs w:val="22"/>
          <w:u w:color="495965"/>
          <w:lang w:eastAsia="en-AU"/>
        </w:rPr>
        <w:t xml:space="preserve">Australian NGOs Save </w:t>
      </w:r>
      <w:r>
        <w:rPr>
          <w:rFonts w:ascii="Calibri Light" w:eastAsia="Calibri Light" w:hAnsi="Calibri Light" w:cs="Calibri Light"/>
          <w:color w:val="495965"/>
          <w:sz w:val="22"/>
          <w:szCs w:val="22"/>
          <w:u w:color="495965"/>
          <w:lang w:eastAsia="en-AU"/>
        </w:rPr>
        <w:t>the Children, Oxfam and CARE</w:t>
      </w:r>
      <w:r w:rsidRPr="008809A8">
        <w:rPr>
          <w:rFonts w:ascii="Calibri Light" w:eastAsia="Calibri Light" w:hAnsi="Calibri Light" w:cs="Calibri Light"/>
          <w:color w:val="495965"/>
          <w:sz w:val="22"/>
          <w:szCs w:val="22"/>
          <w:u w:color="495965"/>
          <w:lang w:eastAsia="en-AU"/>
        </w:rPr>
        <w:t xml:space="preserve"> and BRAC)</w:t>
      </w:r>
      <w:r w:rsidRPr="008809A8">
        <w:rPr>
          <w:rStyle w:val="FootnoteReference"/>
          <w:rFonts w:ascii="Calibri Light" w:eastAsia="Calibri Light" w:hAnsi="Calibri Light" w:cs="Calibri Light"/>
          <w:color w:val="495965"/>
          <w:sz w:val="22"/>
          <w:szCs w:val="22"/>
          <w:u w:color="495965"/>
          <w:lang w:eastAsia="en-AU"/>
        </w:rPr>
        <w:footnoteReference w:id="31"/>
      </w:r>
      <w:r w:rsidRPr="008809A8">
        <w:rPr>
          <w:rFonts w:ascii="Calibri Light" w:eastAsia="Calibri Light" w:hAnsi="Calibri Light" w:cs="Calibri Light"/>
          <w:color w:val="495965"/>
          <w:sz w:val="22"/>
          <w:szCs w:val="22"/>
          <w:u w:color="495965"/>
          <w:lang w:eastAsia="en-AU"/>
        </w:rPr>
        <w:t>.</w:t>
      </w:r>
    </w:p>
    <w:p w14:paraId="47DD4256" w14:textId="77777777" w:rsidR="00A34400" w:rsidRPr="004F7962" w:rsidRDefault="00A34400" w:rsidP="00A34400">
      <w:pPr>
        <w:pStyle w:val="BodyA"/>
        <w:numPr>
          <w:ilvl w:val="0"/>
          <w:numId w:val="26"/>
        </w:numPr>
        <w:spacing w:before="240" w:line="240" w:lineRule="auto"/>
      </w:pPr>
      <w:r w:rsidRPr="008809A8">
        <w:t>882,800 people (196,180 households) receive food assistance consisting of rice, sugar, vegetable oil and pulses monthly in camp settlements in Cox’s Bazar (</w:t>
      </w:r>
      <w:r>
        <w:t xml:space="preserve">through </w:t>
      </w:r>
      <w:r w:rsidRPr="008809A8">
        <w:t>WFP)</w:t>
      </w:r>
      <w:r w:rsidRPr="008809A8">
        <w:rPr>
          <w:rStyle w:val="FootnoteReference"/>
        </w:rPr>
        <w:footnoteReference w:id="32"/>
      </w:r>
      <w:r w:rsidRPr="008809A8">
        <w:t>.</w:t>
      </w:r>
    </w:p>
    <w:p w14:paraId="0E46B67C" w14:textId="0122C5D7" w:rsidR="00A34400" w:rsidRDefault="00A34400" w:rsidP="00A34400">
      <w:pPr>
        <w:pStyle w:val="BodyA"/>
      </w:pPr>
      <w:r>
        <w:t xml:space="preserve">Our </w:t>
      </w:r>
      <w:r w:rsidRPr="000E46A6">
        <w:t xml:space="preserve">funding is complemented by the </w:t>
      </w:r>
      <w:r w:rsidRPr="0022381B">
        <w:rPr>
          <w:b/>
        </w:rPr>
        <w:t xml:space="preserve">deployment of Australian civilian specialists through the Australia Assists program, implemented by </w:t>
      </w:r>
      <w:proofErr w:type="spellStart"/>
      <w:r w:rsidRPr="0022381B">
        <w:rPr>
          <w:b/>
        </w:rPr>
        <w:t>RedR</w:t>
      </w:r>
      <w:proofErr w:type="spellEnd"/>
      <w:r w:rsidRPr="0022381B">
        <w:rPr>
          <w:b/>
        </w:rPr>
        <w:t xml:space="preserve"> Australia. </w:t>
      </w:r>
      <w:r w:rsidRPr="000E46A6">
        <w:t>These civilian specialists work with governments and communities to prepare for, respond to and recover from natural disasters and conflict. The program enables the Australian Government to deploy quickly and safely Australian civilian specialists into high priority and difficult situations in line with Australia’s humanitarian responsibilities. During the reporting period, approximately 27 specialists were deployed to provide surge capacity to a range of UN agencies, including UNHCR in Cox’s Bazar. For example, an Australian geologist and shelter expert d</w:t>
      </w:r>
      <w:r>
        <w:t>eployed through UNHCR is help</w:t>
      </w:r>
      <w:r w:rsidR="0037642C">
        <w:t>ing</w:t>
      </w:r>
      <w:r w:rsidRPr="000E46A6">
        <w:t xml:space="preserve"> Rohingya families understand the impact of landslides and the importance of preparedness for the monsoon rains. An Australian </w:t>
      </w:r>
      <w:hyperlink r:id="rId27" w:tgtFrame="_blank" w:tooltip="Engineering a food solution for Rohingya refuges" w:history="1">
        <w:r w:rsidRPr="000E46A6">
          <w:t>site engineer</w:t>
        </w:r>
      </w:hyperlink>
      <w:r w:rsidRPr="000E46A6">
        <w:t xml:space="preserve"> deployed to WFP designed and supervised construction of a bridge across the </w:t>
      </w:r>
      <w:proofErr w:type="spellStart"/>
      <w:r w:rsidRPr="000E46A6">
        <w:t>Bakkhali</w:t>
      </w:r>
      <w:proofErr w:type="spellEnd"/>
      <w:r w:rsidRPr="000E46A6">
        <w:t xml:space="preserve"> River that has enabled WFP to truck food to a camp hosting 100,000 refugees. </w:t>
      </w:r>
    </w:p>
    <w:p w14:paraId="49D37356" w14:textId="253864E7" w:rsidR="00A34400" w:rsidRDefault="00A34400" w:rsidP="00A34400">
      <w:pPr>
        <w:pStyle w:val="BodyA"/>
      </w:pPr>
      <w:r>
        <w:t xml:space="preserve">Responding to the Rohingya crisis has not been without challenges. At the onset of the crisis, hundreds of humanitarian actors entered Bangladesh. There was little coordination between agencies and the cluster system was not implemented immediately. There was also a degree of confusion over the unusual co-leadership arrangements between UNHCR and IOM. However, the </w:t>
      </w:r>
      <w:r w:rsidRPr="0022381B">
        <w:rPr>
          <w:b/>
        </w:rPr>
        <w:t>establishment of the Inter Sector Coordination Group (ISCG)</w:t>
      </w:r>
      <w:r>
        <w:t xml:space="preserve"> and the implementation of the sector system (similar to the cluster system) improved coordination mechanisms over time. Maintaining funding from the international community required to support humanitarian efforts remains a consistent challenge. Approximately 32 per cent of the </w:t>
      </w:r>
      <w:r>
        <w:lastRenderedPageBreak/>
        <w:t>Joint Response Plan for the Rohingya Crisis has been funded to date. Internally, DFAT’s resources were put under pressure in the initial months of the response. Whilst $20.24 million of DFAT funding was channeled to existing Strategic Partnerships with BRAC and WFP, in order to contribute funding across sectors DFAT entered into seve</w:t>
      </w:r>
      <w:r w:rsidR="00430C1E">
        <w:t>ral</w:t>
      </w:r>
      <w:r>
        <w:t xml:space="preserve"> new partnerships including with IOM, UNHCR and UNFPA. In order to manage resource constraints, DFAT’s Dhaka Post re-allocated local staff and supplemented the team with a Humanitarian Advisor for 12 month from February 2018. </w:t>
      </w:r>
      <w:r w:rsidRPr="000E46A6">
        <w:t xml:space="preserve">With the humanitarian crisis likely to remain protracted, Australia will </w:t>
      </w:r>
      <w:r>
        <w:t xml:space="preserve">work to </w:t>
      </w:r>
      <w:r w:rsidRPr="000E46A6">
        <w:t xml:space="preserve">develop a </w:t>
      </w:r>
      <w:r>
        <w:t>frame</w:t>
      </w:r>
      <w:r w:rsidRPr="000E46A6">
        <w:t xml:space="preserve">work to respond to the needs of the displaced Rohingya population in Cox’s Bazar (identified as </w:t>
      </w:r>
      <w:r w:rsidRPr="0002292C">
        <w:rPr>
          <w:b/>
        </w:rPr>
        <w:t>a Management Action for 2018-19</w:t>
      </w:r>
      <w:r w:rsidRPr="000E46A6">
        <w:t xml:space="preserve">, refer to </w:t>
      </w:r>
      <w:proofErr w:type="spellStart"/>
      <w:r w:rsidRPr="000E46A6">
        <w:t>Pg</w:t>
      </w:r>
      <w:proofErr w:type="spellEnd"/>
      <w:r w:rsidRPr="000E46A6">
        <w:t xml:space="preserve"> 20)</w:t>
      </w:r>
      <w:r>
        <w:t>, with careful consideration of sectoral engagement and partnership choices.</w:t>
      </w:r>
    </w:p>
    <w:p w14:paraId="4FFC7E3C" w14:textId="77777777" w:rsidR="00A34400" w:rsidRPr="007A4F6A" w:rsidRDefault="00A34400" w:rsidP="00A34400">
      <w:pPr>
        <w:pStyle w:val="Heading2"/>
      </w:pPr>
      <w:r w:rsidRPr="00FA00AA">
        <w:t>cross-cutting, regional, global and other government departments</w:t>
      </w:r>
    </w:p>
    <w:p w14:paraId="2483B564" w14:textId="77777777" w:rsidR="00A34400" w:rsidRPr="00613387" w:rsidRDefault="00A34400" w:rsidP="00A34400">
      <w:pPr>
        <w:pStyle w:val="BodyA"/>
      </w:pPr>
      <w:r w:rsidRPr="006F1CE7">
        <w:rPr>
          <w:bdr w:val="none" w:sz="0" w:space="0" w:color="auto"/>
          <w:lang w:val="en-GB"/>
        </w:rPr>
        <w:t xml:space="preserve">Bangladesh’s development program was supported by a range of cross-cutting investments funded from bilateral, global, </w:t>
      </w:r>
      <w:r w:rsidRPr="00613387">
        <w:t xml:space="preserve">regional and other Australian Government departments ($17.1 million, 19 per cent of total Australian ODA to Bangladesh). </w:t>
      </w:r>
    </w:p>
    <w:p w14:paraId="6BD27EE3" w14:textId="77777777" w:rsidR="00A34400" w:rsidRPr="00613387" w:rsidRDefault="00A34400" w:rsidP="00A34400">
      <w:pPr>
        <w:pStyle w:val="BodyA"/>
        <w:rPr>
          <w:b/>
        </w:rPr>
      </w:pPr>
      <w:r w:rsidRPr="00613387">
        <w:rPr>
          <w:b/>
        </w:rPr>
        <w:t xml:space="preserve">Australia Awards </w:t>
      </w:r>
    </w:p>
    <w:p w14:paraId="055AC833" w14:textId="541EC949" w:rsidR="00A34400" w:rsidRDefault="00A34400" w:rsidP="00A34400">
      <w:pPr>
        <w:rPr>
          <w:rFonts w:ascii="Calibri Light" w:eastAsia="Calibri Light" w:hAnsi="Calibri Light" w:cs="Calibri Light"/>
          <w:color w:val="495965"/>
          <w:sz w:val="22"/>
          <w:szCs w:val="22"/>
          <w:u w:color="495965"/>
          <w:lang w:eastAsia="en-AU"/>
        </w:rPr>
      </w:pPr>
      <w:r w:rsidRPr="001E0325">
        <w:rPr>
          <w:rFonts w:ascii="Calibri Light" w:eastAsia="Calibri Light" w:hAnsi="Calibri Light" w:cs="Calibri Light"/>
          <w:color w:val="495965"/>
          <w:sz w:val="22"/>
          <w:szCs w:val="22"/>
          <w:u w:color="495965"/>
          <w:lang w:eastAsia="en-AU"/>
        </w:rPr>
        <w:t>Australia Awards supports aid program objectives by helping to develop human resource capacity, supplementing existing initiative</w:t>
      </w:r>
      <w:r>
        <w:rPr>
          <w:rFonts w:ascii="Calibri Light" w:eastAsia="Calibri Light" w:hAnsi="Calibri Light" w:cs="Calibri Light"/>
          <w:color w:val="495965"/>
          <w:sz w:val="22"/>
          <w:szCs w:val="22"/>
          <w:u w:color="495965"/>
          <w:lang w:eastAsia="en-AU"/>
        </w:rPr>
        <w:t>s</w:t>
      </w:r>
      <w:r w:rsidRPr="001E0325">
        <w:rPr>
          <w:rFonts w:ascii="Calibri Light" w:eastAsia="Calibri Light" w:hAnsi="Calibri Light" w:cs="Calibri Light"/>
          <w:color w:val="495965"/>
          <w:sz w:val="22"/>
          <w:szCs w:val="22"/>
          <w:u w:color="495965"/>
          <w:lang w:eastAsia="en-AU"/>
        </w:rPr>
        <w:t>. Australia Awards is the largest source of scholarships for Bangladeshis, particularly for public sector employees. In 2018, 70 Bangladesh students (35 females) were offered graduate scholarships</w:t>
      </w:r>
      <w:r>
        <w:rPr>
          <w:rFonts w:ascii="Calibri Light" w:eastAsia="Calibri Light" w:hAnsi="Calibri Light" w:cs="Calibri Light"/>
          <w:color w:val="495965"/>
          <w:sz w:val="22"/>
          <w:szCs w:val="22"/>
          <w:u w:color="495965"/>
          <w:lang w:eastAsia="en-AU"/>
        </w:rPr>
        <w:t xml:space="preserve"> </w:t>
      </w:r>
      <w:r w:rsidRPr="00CC539B">
        <w:rPr>
          <w:rFonts w:ascii="Calibri Light" w:eastAsia="Calibri Light" w:hAnsi="Calibri Light" w:cs="Calibri Light"/>
          <w:b/>
          <w:color w:val="495965"/>
          <w:sz w:val="22"/>
          <w:szCs w:val="22"/>
          <w:u w:color="495965"/>
          <w:lang w:eastAsia="en-AU"/>
        </w:rPr>
        <w:t>in line with</w:t>
      </w:r>
      <w:r>
        <w:rPr>
          <w:rFonts w:ascii="Calibri Light" w:eastAsia="Calibri Light" w:hAnsi="Calibri Light" w:cs="Calibri Light"/>
          <w:color w:val="495965"/>
          <w:sz w:val="22"/>
          <w:szCs w:val="22"/>
          <w:u w:color="495965"/>
          <w:lang w:eastAsia="en-AU"/>
        </w:rPr>
        <w:t xml:space="preserve"> </w:t>
      </w:r>
      <w:r w:rsidR="001E3DA1" w:rsidRPr="001E3DA1">
        <w:rPr>
          <w:rFonts w:ascii="Calibri Light" w:eastAsia="Calibri Light" w:hAnsi="Calibri Light" w:cs="Calibri Light"/>
          <w:b/>
          <w:color w:val="495965"/>
          <w:sz w:val="22"/>
          <w:szCs w:val="22"/>
          <w:u w:color="495965"/>
          <w:lang w:eastAsia="en-AU"/>
        </w:rPr>
        <w:t>the</w:t>
      </w:r>
      <w:r w:rsidR="001E3DA1">
        <w:rPr>
          <w:rFonts w:ascii="Calibri Light" w:eastAsia="Calibri Light" w:hAnsi="Calibri Light" w:cs="Calibri Light"/>
          <w:b/>
          <w:color w:val="495965"/>
          <w:sz w:val="22"/>
          <w:szCs w:val="22"/>
          <w:u w:color="495965"/>
          <w:lang w:eastAsia="en-AU"/>
        </w:rPr>
        <w:t xml:space="preserve"> </w:t>
      </w:r>
      <w:r w:rsidRPr="00CC539B">
        <w:rPr>
          <w:rFonts w:ascii="Calibri Light" w:eastAsia="Calibri Light" w:hAnsi="Calibri Light" w:cs="Calibri Light"/>
          <w:b/>
          <w:color w:val="495965"/>
          <w:sz w:val="22"/>
          <w:szCs w:val="22"/>
          <w:u w:color="495965"/>
          <w:lang w:eastAsia="en-AU"/>
        </w:rPr>
        <w:t>Performance Benchmark target</w:t>
      </w:r>
      <w:r>
        <w:rPr>
          <w:rFonts w:ascii="Calibri Light" w:eastAsia="Calibri Light" w:hAnsi="Calibri Light" w:cs="Calibri Light"/>
          <w:b/>
          <w:color w:val="495965"/>
          <w:sz w:val="22"/>
          <w:szCs w:val="22"/>
          <w:u w:color="495965"/>
          <w:lang w:eastAsia="en-AU"/>
        </w:rPr>
        <w:t xml:space="preserve"> </w:t>
      </w:r>
      <w:r w:rsidRPr="00DD768C">
        <w:rPr>
          <w:rFonts w:ascii="Calibri Light" w:eastAsia="Calibri Light" w:hAnsi="Calibri Light" w:cs="Calibri Light"/>
          <w:color w:val="495965"/>
          <w:sz w:val="22"/>
          <w:szCs w:val="22"/>
          <w:u w:color="495965"/>
          <w:lang w:eastAsia="en-AU"/>
        </w:rPr>
        <w:t>(gender parity in the Awards program)</w:t>
      </w:r>
      <w:r>
        <w:rPr>
          <w:rFonts w:ascii="Calibri Light" w:eastAsia="Calibri Light" w:hAnsi="Calibri Light" w:cs="Calibri Light"/>
          <w:color w:val="495965"/>
          <w:sz w:val="22"/>
          <w:szCs w:val="22"/>
          <w:u w:color="495965"/>
          <w:lang w:eastAsia="en-AU"/>
        </w:rPr>
        <w:t xml:space="preserve">, but one female Awardee withdrew prior to commencing study in Australia. </w:t>
      </w:r>
    </w:p>
    <w:p w14:paraId="06BEF837" w14:textId="77777777" w:rsidR="00A34400" w:rsidRDefault="00A34400" w:rsidP="00A34400">
      <w:pPr>
        <w:rPr>
          <w:rFonts w:ascii="Calibri Light" w:eastAsia="Calibri Light" w:hAnsi="Calibri Light" w:cs="Calibri Light"/>
          <w:color w:val="495965"/>
          <w:sz w:val="22"/>
          <w:szCs w:val="22"/>
          <w:u w:color="495965"/>
          <w:lang w:eastAsia="en-AU"/>
        </w:rPr>
      </w:pPr>
    </w:p>
    <w:p w14:paraId="6745057C" w14:textId="77777777" w:rsidR="00A34400" w:rsidRPr="00777232" w:rsidRDefault="00A34400" w:rsidP="00A34400">
      <w:pPr>
        <w:rPr>
          <w:rFonts w:ascii="Calibri Light" w:eastAsia="Calibri Light" w:hAnsi="Calibri Light" w:cs="Calibri Light"/>
          <w:color w:val="495965"/>
          <w:sz w:val="22"/>
          <w:szCs w:val="22"/>
          <w:u w:color="495965"/>
          <w:lang w:eastAsia="en-AU"/>
        </w:rPr>
      </w:pPr>
      <w:r>
        <w:rPr>
          <w:rFonts w:ascii="Calibri Light" w:eastAsia="Calibri Light" w:hAnsi="Calibri Light" w:cs="Calibri Light"/>
          <w:color w:val="495965"/>
          <w:sz w:val="22"/>
          <w:szCs w:val="22"/>
          <w:u w:color="495965"/>
          <w:lang w:eastAsia="en-AU"/>
        </w:rPr>
        <w:t xml:space="preserve">The program offered </w:t>
      </w:r>
      <w:r w:rsidRPr="001E0325">
        <w:rPr>
          <w:rFonts w:ascii="Calibri Light" w:eastAsia="Calibri Light" w:hAnsi="Calibri Light" w:cs="Calibri Light"/>
          <w:color w:val="495965"/>
          <w:sz w:val="22"/>
          <w:szCs w:val="22"/>
          <w:u w:color="495965"/>
          <w:lang w:eastAsia="en-AU"/>
        </w:rPr>
        <w:t>eigh</w:t>
      </w:r>
      <w:r>
        <w:rPr>
          <w:rFonts w:ascii="Calibri Light" w:eastAsia="Calibri Light" w:hAnsi="Calibri Light" w:cs="Calibri Light"/>
          <w:color w:val="495965"/>
          <w:sz w:val="22"/>
          <w:szCs w:val="22"/>
          <w:u w:color="495965"/>
          <w:lang w:eastAsia="en-AU"/>
        </w:rPr>
        <w:t xml:space="preserve">ty-four Short Course Awards (43 per cent </w:t>
      </w:r>
      <w:r w:rsidRPr="001E0325">
        <w:rPr>
          <w:rFonts w:ascii="Calibri Light" w:eastAsia="Calibri Light" w:hAnsi="Calibri Light" w:cs="Calibri Light"/>
          <w:color w:val="495965"/>
          <w:sz w:val="22"/>
          <w:szCs w:val="22"/>
          <w:u w:color="495965"/>
          <w:lang w:eastAsia="en-AU"/>
        </w:rPr>
        <w:t>f</w:t>
      </w:r>
      <w:r>
        <w:rPr>
          <w:rFonts w:ascii="Calibri Light" w:eastAsia="Calibri Light" w:hAnsi="Calibri Light" w:cs="Calibri Light"/>
          <w:color w:val="495965"/>
          <w:sz w:val="22"/>
          <w:szCs w:val="22"/>
          <w:u w:color="495965"/>
          <w:lang w:eastAsia="en-AU"/>
        </w:rPr>
        <w:t>emales; 57 per cent males) through six short c</w:t>
      </w:r>
      <w:r w:rsidRPr="001E0325">
        <w:rPr>
          <w:rFonts w:ascii="Calibri Light" w:eastAsia="Calibri Light" w:hAnsi="Calibri Light" w:cs="Calibri Light"/>
          <w:color w:val="495965"/>
          <w:sz w:val="22"/>
          <w:szCs w:val="22"/>
          <w:u w:color="495965"/>
          <w:lang w:eastAsia="en-AU"/>
        </w:rPr>
        <w:t>ourses covering countering violence extremism, international trade, project management and energy security targeted a</w:t>
      </w:r>
      <w:r>
        <w:rPr>
          <w:rFonts w:ascii="Calibri Light" w:eastAsia="Calibri Light" w:hAnsi="Calibri Light" w:cs="Calibri Light"/>
          <w:color w:val="495965"/>
          <w:sz w:val="22"/>
          <w:szCs w:val="22"/>
          <w:u w:color="495965"/>
          <w:lang w:eastAsia="en-AU"/>
        </w:rPr>
        <w:t>t government officials</w:t>
      </w:r>
      <w:r w:rsidRPr="001E0325">
        <w:rPr>
          <w:rFonts w:ascii="Calibri Light" w:eastAsia="Calibri Light" w:hAnsi="Calibri Light" w:cs="Calibri Light"/>
          <w:color w:val="495965"/>
          <w:sz w:val="22"/>
          <w:szCs w:val="22"/>
          <w:u w:color="495965"/>
          <w:lang w:eastAsia="en-AU"/>
        </w:rPr>
        <w:t xml:space="preserve">. These short </w:t>
      </w:r>
      <w:r>
        <w:rPr>
          <w:rFonts w:ascii="Calibri Light" w:eastAsia="Calibri Light" w:hAnsi="Calibri Light" w:cs="Calibri Light"/>
          <w:color w:val="495965"/>
          <w:sz w:val="22"/>
          <w:szCs w:val="22"/>
          <w:u w:color="495965"/>
          <w:lang w:eastAsia="en-AU"/>
        </w:rPr>
        <w:t>courses are providing</w:t>
      </w:r>
      <w:r w:rsidRPr="001E0325">
        <w:rPr>
          <w:rFonts w:ascii="Calibri Light" w:eastAsia="Calibri Light" w:hAnsi="Calibri Light" w:cs="Calibri Light"/>
          <w:color w:val="495965"/>
          <w:sz w:val="22"/>
          <w:szCs w:val="22"/>
          <w:u w:color="495965"/>
          <w:lang w:eastAsia="en-AU"/>
        </w:rPr>
        <w:t xml:space="preserve"> officials with institutional linka</w:t>
      </w:r>
      <w:r>
        <w:rPr>
          <w:rFonts w:ascii="Calibri Light" w:eastAsia="Calibri Light" w:hAnsi="Calibri Light" w:cs="Calibri Light"/>
          <w:color w:val="495965"/>
          <w:sz w:val="22"/>
          <w:szCs w:val="22"/>
          <w:u w:color="495965"/>
          <w:lang w:eastAsia="en-AU"/>
        </w:rPr>
        <w:t xml:space="preserve">ges to key sectors in Australia, </w:t>
      </w:r>
      <w:r w:rsidRPr="001E0325">
        <w:rPr>
          <w:rFonts w:ascii="Calibri Light" w:eastAsia="Calibri Light" w:hAnsi="Calibri Light" w:cs="Calibri Light"/>
          <w:color w:val="495965"/>
          <w:sz w:val="22"/>
          <w:szCs w:val="22"/>
          <w:u w:color="495965"/>
          <w:lang w:eastAsia="en-AU"/>
        </w:rPr>
        <w:t>supporting</w:t>
      </w:r>
      <w:r>
        <w:rPr>
          <w:rFonts w:ascii="Calibri Light" w:eastAsia="Calibri Light" w:hAnsi="Calibri Light" w:cs="Calibri Light"/>
          <w:color w:val="495965"/>
          <w:sz w:val="22"/>
          <w:szCs w:val="22"/>
          <w:u w:color="495965"/>
          <w:lang w:eastAsia="en-AU"/>
        </w:rPr>
        <w:t xml:space="preserve"> the bilateral s</w:t>
      </w:r>
      <w:r w:rsidRPr="001E0325">
        <w:rPr>
          <w:rFonts w:ascii="Calibri Light" w:eastAsia="Calibri Light" w:hAnsi="Calibri Light" w:cs="Calibri Light"/>
          <w:color w:val="495965"/>
          <w:sz w:val="22"/>
          <w:szCs w:val="22"/>
          <w:u w:color="495965"/>
          <w:lang w:eastAsia="en-AU"/>
        </w:rPr>
        <w:t>ecu</w:t>
      </w:r>
      <w:r>
        <w:rPr>
          <w:rFonts w:ascii="Calibri Light" w:eastAsia="Calibri Light" w:hAnsi="Calibri Light" w:cs="Calibri Light"/>
          <w:color w:val="495965"/>
          <w:sz w:val="22"/>
          <w:szCs w:val="22"/>
          <w:u w:color="495965"/>
          <w:lang w:eastAsia="en-AU"/>
        </w:rPr>
        <w:t>rity, trade and energy agendas. It is also a valuable source of learning and information sharing. A memorandum of understanding</w:t>
      </w:r>
      <w:r w:rsidRPr="00D7067E">
        <w:rPr>
          <w:rFonts w:ascii="Calibri Light" w:eastAsia="Calibri Light" w:hAnsi="Calibri Light" w:cs="Calibri Light"/>
          <w:color w:val="495965"/>
          <w:sz w:val="22"/>
          <w:szCs w:val="22"/>
          <w:u w:color="495965"/>
          <w:lang w:eastAsia="en-AU"/>
        </w:rPr>
        <w:t xml:space="preserve"> was signed between Bangladesh Financial Intelligence Unit of the Central Bank of Bangladesh and the National Board of Revenue – enabling closer inter-agency cooperation on anti-money laundering and counter-terrorism financing activities, learning from Australia’s experience on whole-of-government coordination</w:t>
      </w:r>
      <w:r>
        <w:rPr>
          <w:rFonts w:ascii="Calibri Light" w:eastAsia="Calibri Light" w:hAnsi="Calibri Light" w:cs="Calibri Light"/>
          <w:color w:val="495965"/>
          <w:sz w:val="22"/>
          <w:szCs w:val="22"/>
          <w:u w:color="495965"/>
          <w:lang w:eastAsia="en-AU"/>
        </w:rPr>
        <w:t>.</w:t>
      </w:r>
    </w:p>
    <w:p w14:paraId="5DF04607" w14:textId="77777777" w:rsidR="00A34400" w:rsidRPr="001E0325" w:rsidRDefault="00A34400" w:rsidP="00A34400">
      <w:pPr>
        <w:pStyle w:val="BodyA"/>
      </w:pPr>
      <w:r w:rsidRPr="001E0325">
        <w:t xml:space="preserve">Awards Alumni continue to contribute to development efforts in Bangladesh, according to the 2017 Alumni Development Impact Survey conducted </w:t>
      </w:r>
      <w:r>
        <w:t xml:space="preserve">by </w:t>
      </w:r>
      <w:r w:rsidRPr="001E0325">
        <w:t>Scope G</w:t>
      </w:r>
      <w:r>
        <w:t>lobal, DFAT’s implementing partner. For example, an alumnus</w:t>
      </w:r>
      <w:r w:rsidRPr="001E0325">
        <w:t xml:space="preserve"> is developing a disability-inclusive skills training module and recruitment manual for the ready-made garments sector, </w:t>
      </w:r>
      <w:proofErr w:type="spellStart"/>
      <w:r w:rsidRPr="001E0325">
        <w:t>utilising</w:t>
      </w:r>
      <w:proofErr w:type="spellEnd"/>
      <w:r w:rsidRPr="001E0325">
        <w:t xml:space="preserve"> skills gained through the Awards program. </w:t>
      </w:r>
    </w:p>
    <w:p w14:paraId="65BB6E88" w14:textId="77777777" w:rsidR="00A34400" w:rsidRPr="00613387" w:rsidRDefault="00A34400" w:rsidP="00A34400">
      <w:pPr>
        <w:pStyle w:val="BodyA"/>
        <w:rPr>
          <w:b/>
        </w:rPr>
      </w:pPr>
      <w:r w:rsidRPr="00613387">
        <w:rPr>
          <w:b/>
        </w:rPr>
        <w:t>Australian NGO Cooperation Program (ANCP)</w:t>
      </w:r>
    </w:p>
    <w:p w14:paraId="628C3823" w14:textId="49143E78" w:rsidR="00A34400" w:rsidRDefault="00A34400" w:rsidP="00A34400">
      <w:pPr>
        <w:pStyle w:val="BodyA"/>
      </w:pPr>
      <w:r w:rsidRPr="001E0325">
        <w:t>Twelve Australian NGOs delivered a range of projects across Bangladesh through local partner organisations, benefitting 450,000 people (total funding: $6.4 million). Disability inclusiveness, women’s economic empowerment, and promoting the safety and security of women and girls were strong themes ($3 million). Australia</w:t>
      </w:r>
      <w:r>
        <w:t xml:space="preserve">n funding </w:t>
      </w:r>
      <w:r w:rsidRPr="001E0325">
        <w:t>support</w:t>
      </w:r>
      <w:r>
        <w:t>ed</w:t>
      </w:r>
      <w:r w:rsidRPr="001E0325">
        <w:t xml:space="preserve"> Save the Children Australia, Oxfam Australia, ActionAid Australia and Ha</w:t>
      </w:r>
      <w:r>
        <w:t xml:space="preserve">bitat for Humanity Australia </w:t>
      </w:r>
      <w:r w:rsidRPr="001E0325">
        <w:t xml:space="preserve">implement climate change and disaster risk reduction projects ($2.3 million) benefitting more than 175,000 people. Under the ANCP program, The Fred Hollows Foundation ($0.5 million) </w:t>
      </w:r>
      <w:r>
        <w:t xml:space="preserve">contributed to strengthening the Government’s </w:t>
      </w:r>
      <w:r w:rsidRPr="001E0325">
        <w:t>eye health care service system</w:t>
      </w:r>
      <w:r>
        <w:t>, directly</w:t>
      </w:r>
      <w:r w:rsidRPr="001E0325">
        <w:t xml:space="preserve"> benefitting 76,000 people living in rural and </w:t>
      </w:r>
      <w:proofErr w:type="spellStart"/>
      <w:r w:rsidRPr="001E0325">
        <w:t>marginalised</w:t>
      </w:r>
      <w:proofErr w:type="spellEnd"/>
      <w:r w:rsidRPr="001E0325">
        <w:t xml:space="preserve"> areas. The Australian High Commission in Dhaka maintains a strong relationship with Australian NGOs and hosted two </w:t>
      </w:r>
      <w:r w:rsidRPr="00613387">
        <w:t xml:space="preserve">networking events </w:t>
      </w:r>
      <w:r w:rsidRPr="001E0325">
        <w:t xml:space="preserve">to facilitate and strengthen </w:t>
      </w:r>
      <w:r>
        <w:t xml:space="preserve">networks between NGO partners. </w:t>
      </w:r>
    </w:p>
    <w:p w14:paraId="385283A9" w14:textId="77777777" w:rsidR="00A34400" w:rsidRPr="00613387" w:rsidRDefault="00A34400" w:rsidP="00A34400">
      <w:pPr>
        <w:pStyle w:val="BodyA"/>
        <w:rPr>
          <w:b/>
        </w:rPr>
      </w:pPr>
      <w:r w:rsidRPr="00613387">
        <w:rPr>
          <w:b/>
        </w:rPr>
        <w:t>Direct Aid Program (DAP)</w:t>
      </w:r>
    </w:p>
    <w:p w14:paraId="0DC64215" w14:textId="69630820" w:rsidR="00A34400" w:rsidRPr="00954977" w:rsidRDefault="00A34400" w:rsidP="00954977">
      <w:pPr>
        <w:pStyle w:val="BodyA"/>
      </w:pPr>
      <w:r w:rsidRPr="001E0325">
        <w:t xml:space="preserve">In 2017-18, nine projects received small grants (totaling $429,084.71) to support activities across multiple sectors, including </w:t>
      </w:r>
      <w:r>
        <w:t xml:space="preserve">in </w:t>
      </w:r>
      <w:r w:rsidRPr="001E0325">
        <w:t xml:space="preserve">education, health, human rights and women’s empowerment. For example, our funding to local </w:t>
      </w:r>
      <w:proofErr w:type="spellStart"/>
      <w:r w:rsidRPr="001E0325">
        <w:t>organisation</w:t>
      </w:r>
      <w:proofErr w:type="spellEnd"/>
      <w:r w:rsidRPr="001E0325">
        <w:t xml:space="preserve"> </w:t>
      </w:r>
      <w:proofErr w:type="spellStart"/>
      <w:r w:rsidRPr="001E0325">
        <w:t>Kapaeeng</w:t>
      </w:r>
      <w:proofErr w:type="spellEnd"/>
      <w:r w:rsidRPr="001E0325">
        <w:t xml:space="preserve"> Foundation contributes to enhancing the voice of indigenous’ human rights </w:t>
      </w:r>
      <w:r w:rsidRPr="001E0325">
        <w:lastRenderedPageBreak/>
        <w:t>defenders in addressing</w:t>
      </w:r>
      <w:r>
        <w:t xml:space="preserve"> land related violence</w:t>
      </w:r>
      <w:r w:rsidRPr="001E0325">
        <w:t xml:space="preserve"> through training, strengthening the platform for advocacy and access to justice. UCEP Bangladesh, through Australian funding is providing young women with disability access to finance, vocational training and employment opportunit</w:t>
      </w:r>
      <w:r>
        <w:t>ies</w:t>
      </w:r>
      <w:r w:rsidRPr="001E0325">
        <w:t xml:space="preserve"> in Khulna district. DAP</w:t>
      </w:r>
      <w:r>
        <w:t xml:space="preserve"> provides modest public diplomacy gains and increases our understanding of poverty and inequality through engagement in sectors outside our bilateral program (such as health, access to justice and high rights). </w:t>
      </w:r>
    </w:p>
    <w:p w14:paraId="09E1DBBA" w14:textId="77777777" w:rsidR="00A34400" w:rsidRPr="001E0325" w:rsidRDefault="00A34400" w:rsidP="00A34400">
      <w:pPr>
        <w:suppressAutoHyphens/>
        <w:spacing w:before="240" w:after="60"/>
        <w:rPr>
          <w:rFonts w:ascii="Calibri Light" w:eastAsia="Calibri Light" w:hAnsi="Calibri Light" w:cs="Calibri Light"/>
          <w:b/>
          <w:bCs/>
          <w:color w:val="495965"/>
          <w:sz w:val="22"/>
          <w:szCs w:val="22"/>
          <w:u w:color="495965"/>
          <w:lang w:eastAsia="en-AU"/>
        </w:rPr>
      </w:pPr>
      <w:r w:rsidRPr="001E0325">
        <w:rPr>
          <w:rFonts w:ascii="Calibri Light" w:eastAsia="Calibri Light" w:hAnsi="Calibri Light" w:cs="Calibri Light"/>
          <w:b/>
          <w:bCs/>
          <w:color w:val="495965"/>
          <w:sz w:val="22"/>
          <w:szCs w:val="22"/>
          <w:u w:color="495965"/>
          <w:lang w:eastAsia="en-AU"/>
        </w:rPr>
        <w:t>Busi</w:t>
      </w:r>
      <w:r>
        <w:rPr>
          <w:rFonts w:ascii="Calibri Light" w:eastAsia="Calibri Light" w:hAnsi="Calibri Light" w:cs="Calibri Light"/>
          <w:b/>
          <w:bCs/>
          <w:color w:val="495965"/>
          <w:sz w:val="22"/>
          <w:szCs w:val="22"/>
          <w:u w:color="495965"/>
          <w:lang w:eastAsia="en-AU"/>
        </w:rPr>
        <w:t>ness Partnerships Platform (BPP)</w:t>
      </w:r>
    </w:p>
    <w:p w14:paraId="38B7159C" w14:textId="3DF39ED2" w:rsidR="00A34400" w:rsidRPr="001E0325" w:rsidRDefault="00A34400" w:rsidP="00A34400">
      <w:pPr>
        <w:pStyle w:val="BodyA"/>
      </w:pPr>
      <w:r w:rsidRPr="001E0325">
        <w:t xml:space="preserve">The Business Partnerships Platform is a flagship initiative to support the work of the private sector in addressing social and economic development challenges in the region, including Bangladesh. In 2017-18, Australia contributed $4.4 million, leveraging $6 million </w:t>
      </w:r>
      <w:r>
        <w:t>from the</w:t>
      </w:r>
      <w:r w:rsidRPr="001E0325">
        <w:t xml:space="preserve"> private sector to fund two projects aimed at improving the dairy sector through sustainable energy use</w:t>
      </w:r>
      <w:r w:rsidR="001C5A83">
        <w:t>,</w:t>
      </w:r>
      <w:r w:rsidRPr="001E0325">
        <w:t xml:space="preserve"> and promoting affordable vision correction services to rural populations in Bangladesh. These projects will benefit close to 100,000 poor people, including 4,000 dairy farmers. </w:t>
      </w:r>
    </w:p>
    <w:p w14:paraId="62C4CD7F" w14:textId="77777777" w:rsidR="00A34400" w:rsidRPr="00613387" w:rsidRDefault="00A34400" w:rsidP="00A34400">
      <w:pPr>
        <w:pStyle w:val="BodyA"/>
        <w:rPr>
          <w:b/>
        </w:rPr>
      </w:pPr>
      <w:r w:rsidRPr="00613387">
        <w:rPr>
          <w:b/>
        </w:rPr>
        <w:t xml:space="preserve">Gender Equality Fund </w:t>
      </w:r>
      <w:r>
        <w:rPr>
          <w:b/>
        </w:rPr>
        <w:t>(GEF)</w:t>
      </w:r>
    </w:p>
    <w:p w14:paraId="330C7A72" w14:textId="7D2D70B5" w:rsidR="00A34400" w:rsidRPr="00613387" w:rsidRDefault="00A34400" w:rsidP="00A34400">
      <w:pPr>
        <w:pStyle w:val="BodyA"/>
      </w:pPr>
      <w:r w:rsidRPr="001E0325">
        <w:t>Australia through the DFAT managed Gender Equality Fund is supporting local NGO Acid Survivors Foundation</w:t>
      </w:r>
      <w:r>
        <w:t xml:space="preserve"> ($1 million, 2015-2019)</w:t>
      </w:r>
      <w:r w:rsidRPr="001E0325">
        <w:t xml:space="preserve">. The Foundation was formed to address the growing concern </w:t>
      </w:r>
      <w:r w:rsidR="001C5A83">
        <w:t>around</w:t>
      </w:r>
      <w:r w:rsidR="001C5A83" w:rsidRPr="001E0325">
        <w:t xml:space="preserve"> </w:t>
      </w:r>
      <w:r w:rsidRPr="001E0325">
        <w:t xml:space="preserve">the rising trend of acid violence in Bangladesh, a form of gender-based violence. Australian funding contributes to an ‘ICT based response and support mechanisms for acid survivors. </w:t>
      </w:r>
      <w:r w:rsidRPr="00613387">
        <w:t xml:space="preserve">The project, implemented in </w:t>
      </w:r>
      <w:proofErr w:type="spellStart"/>
      <w:r w:rsidRPr="00613387">
        <w:t>Bogra</w:t>
      </w:r>
      <w:proofErr w:type="spellEnd"/>
      <w:r w:rsidRPr="00613387">
        <w:t xml:space="preserve"> and </w:t>
      </w:r>
      <w:proofErr w:type="spellStart"/>
      <w:r w:rsidRPr="00613387">
        <w:t>Narsingdi</w:t>
      </w:r>
      <w:proofErr w:type="spellEnd"/>
      <w:r w:rsidRPr="00613387">
        <w:t xml:space="preserve"> districts maps available emergency support services at the local level, </w:t>
      </w:r>
      <w:r w:rsidR="001C5A83">
        <w:t xml:space="preserve">is developing </w:t>
      </w:r>
      <w:r w:rsidRPr="00613387">
        <w:t xml:space="preserve">a phone based alert system for reporting and a helpdesk for quick response and referral. An e-clinic will be established for medical, legal and psycho social support and </w:t>
      </w:r>
      <w:r w:rsidR="001C5A83">
        <w:t xml:space="preserve">to </w:t>
      </w:r>
      <w:r w:rsidRPr="00613387">
        <w:t xml:space="preserve">provide tele-counseling services to survivors and at risk women and girls. </w:t>
      </w:r>
    </w:p>
    <w:p w14:paraId="00C2442E" w14:textId="77777777" w:rsidR="00A34400" w:rsidRDefault="00A34400" w:rsidP="00A34400">
      <w:pPr>
        <w:pStyle w:val="Heading2"/>
      </w:pPr>
      <w:r>
        <w:t>Mutual obligations</w:t>
      </w:r>
    </w:p>
    <w:p w14:paraId="37BE473E" w14:textId="77777777" w:rsidR="00A34400" w:rsidRDefault="00A34400" w:rsidP="00A34400">
      <w:pPr>
        <w:pStyle w:val="BodyA"/>
      </w:pPr>
      <w:r>
        <w:t xml:space="preserve">Australia’s aid investments align with the Government of Bangladesh’s national development plan – the </w:t>
      </w:r>
      <w:r w:rsidRPr="000551CD">
        <w:rPr>
          <w:i/>
        </w:rPr>
        <w:t>Seventh Five Year Plan 2016-2020</w:t>
      </w:r>
      <w:r>
        <w:t xml:space="preserve">. This was </w:t>
      </w:r>
      <w:proofErr w:type="spellStart"/>
      <w:r>
        <w:t>recognised</w:t>
      </w:r>
      <w:proofErr w:type="spellEnd"/>
      <w:r>
        <w:t xml:space="preserve"> by the Government at the government led Bangladesh Development Forum and the Review of SDG implementation in 2018. Shared priorities and mutual obligations were discussed at the Australia Bangladesh Senior Officials Talks held in Dhaka in November 2017. The Australian High Commission in Bangladesh has regular dialogue with the Bangladesh Government on development policy through the Local Consultative Group mechanisms, including in the Executive Committee and key working groups on aid effectiveness, social protection, gender equality, primary education and humanitarian action. </w:t>
      </w:r>
    </w:p>
    <w:p w14:paraId="19BFE7A6" w14:textId="77777777" w:rsidR="00A34400" w:rsidRPr="00CD2CB7"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CD2CB7">
        <w:rPr>
          <w:rFonts w:ascii="Calibri Light" w:eastAsia="Calibri Light" w:hAnsi="Calibri Light"/>
          <w:color w:val="495965"/>
          <w:sz w:val="22"/>
          <w:szCs w:val="22"/>
          <w:bdr w:val="none" w:sz="0" w:space="0" w:color="auto"/>
          <w:lang w:val="en-GB"/>
        </w:rPr>
        <w:t>Our funding for social protection aligns with the Government of Bangladesh’s National Social Security Strategy</w:t>
      </w:r>
      <w:r>
        <w:rPr>
          <w:rFonts w:ascii="Calibri Light" w:eastAsia="Calibri Light" w:hAnsi="Calibri Light"/>
          <w:color w:val="495965"/>
          <w:sz w:val="22"/>
          <w:szCs w:val="22"/>
          <w:bdr w:val="none" w:sz="0" w:space="0" w:color="auto"/>
          <w:lang w:val="en-GB"/>
        </w:rPr>
        <w:t xml:space="preserve"> (NSSS)</w:t>
      </w:r>
      <w:r w:rsidRPr="00CD2CB7">
        <w:rPr>
          <w:rFonts w:ascii="Calibri Light" w:eastAsia="Calibri Light" w:hAnsi="Calibri Light"/>
          <w:color w:val="495965"/>
          <w:sz w:val="22"/>
          <w:szCs w:val="22"/>
          <w:bdr w:val="none" w:sz="0" w:space="0" w:color="auto"/>
          <w:lang w:val="en-GB"/>
        </w:rPr>
        <w:t>. The Bangladesh Government made solid progress toward meeting its responsibilities</w:t>
      </w:r>
      <w:r>
        <w:rPr>
          <w:rFonts w:ascii="Calibri Light" w:eastAsia="Calibri Light" w:hAnsi="Calibri Light"/>
          <w:color w:val="495965"/>
          <w:sz w:val="22"/>
          <w:szCs w:val="22"/>
          <w:bdr w:val="none" w:sz="0" w:space="0" w:color="auto"/>
          <w:lang w:val="en-GB"/>
        </w:rPr>
        <w:t xml:space="preserve"> under the SGSP and SSPS programs through efforts to institutionalise NSSS within government policies, plans and budgets. Twenty-three line ministries have approved NSSS Action Plans, and a Cabinet led Central Management Committee continues to provide leadership and ensure accountability on reform efforts. In line with the NSSS consolidation agenda, the social security programs reduced </w:t>
      </w:r>
      <w:r w:rsidRPr="0094452E">
        <w:rPr>
          <w:rFonts w:ascii="Calibri Light" w:eastAsia="Calibri Light" w:hAnsi="Calibri Light"/>
          <w:color w:val="495965"/>
          <w:sz w:val="22"/>
          <w:szCs w:val="22"/>
          <w:bdr w:val="none" w:sz="0" w:space="0" w:color="auto"/>
          <w:lang w:val="en-GB"/>
        </w:rPr>
        <w:t>from 136 in 2017 to 118 in 2018, while the number of beneficiaries accessing these programs increased from 52 million to 62.7 million (2017-18).</w:t>
      </w:r>
      <w:r>
        <w:rPr>
          <w:rFonts w:ascii="Calibri Light" w:eastAsia="Calibri Light" w:hAnsi="Calibri Light"/>
          <w:color w:val="495965"/>
          <w:sz w:val="22"/>
          <w:szCs w:val="22"/>
          <w:bdr w:val="none" w:sz="0" w:space="0" w:color="auto"/>
          <w:lang w:val="en-GB"/>
        </w:rPr>
        <w:t xml:space="preserve"> </w:t>
      </w:r>
    </w:p>
    <w:p w14:paraId="72268D3D" w14:textId="77777777" w:rsidR="00A34400"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CD2CB7">
        <w:rPr>
          <w:rFonts w:ascii="Calibri Light" w:eastAsia="Calibri Light" w:hAnsi="Calibri Light"/>
          <w:color w:val="495965"/>
          <w:sz w:val="22"/>
          <w:szCs w:val="22"/>
          <w:bdr w:val="none" w:sz="0" w:space="0" w:color="auto"/>
          <w:lang w:val="en-GB"/>
        </w:rPr>
        <w:t>Australia</w:t>
      </w:r>
      <w:r>
        <w:rPr>
          <w:rFonts w:ascii="Calibri Light" w:eastAsia="Calibri Light" w:hAnsi="Calibri Light"/>
          <w:color w:val="495965"/>
          <w:sz w:val="22"/>
          <w:szCs w:val="22"/>
          <w:bdr w:val="none" w:sz="0" w:space="0" w:color="auto"/>
          <w:lang w:val="en-GB"/>
        </w:rPr>
        <w:t>n</w:t>
      </w:r>
      <w:r w:rsidRPr="00CD2CB7">
        <w:rPr>
          <w:rFonts w:ascii="Calibri Light" w:eastAsia="Calibri Light" w:hAnsi="Calibri Light"/>
          <w:color w:val="495965"/>
          <w:sz w:val="22"/>
          <w:szCs w:val="22"/>
          <w:bdr w:val="none" w:sz="0" w:space="0" w:color="auto"/>
          <w:lang w:val="en-GB"/>
        </w:rPr>
        <w:t xml:space="preserve"> </w:t>
      </w:r>
      <w:r>
        <w:rPr>
          <w:rFonts w:ascii="Calibri Light" w:eastAsia="Calibri Light" w:hAnsi="Calibri Light"/>
          <w:color w:val="495965"/>
          <w:sz w:val="22"/>
          <w:szCs w:val="22"/>
          <w:bdr w:val="none" w:sz="0" w:space="0" w:color="auto"/>
          <w:lang w:val="en-GB"/>
        </w:rPr>
        <w:t>funding to the Government of Bangladesh led Third Primary Education Development Programme (PEDP3) links</w:t>
      </w:r>
      <w:r w:rsidRPr="00CD2CB7">
        <w:rPr>
          <w:rFonts w:ascii="Calibri Light" w:eastAsia="Calibri Light" w:hAnsi="Calibri Light"/>
          <w:color w:val="495965"/>
          <w:sz w:val="22"/>
          <w:szCs w:val="22"/>
          <w:bdr w:val="none" w:sz="0" w:space="0" w:color="auto"/>
          <w:lang w:val="en-GB"/>
        </w:rPr>
        <w:t xml:space="preserve"> donor funding</w:t>
      </w:r>
      <w:r>
        <w:rPr>
          <w:rFonts w:ascii="Calibri Light" w:eastAsia="Calibri Light" w:hAnsi="Calibri Light"/>
          <w:color w:val="495965"/>
          <w:sz w:val="22"/>
          <w:szCs w:val="22"/>
          <w:bdr w:val="none" w:sz="0" w:space="0" w:color="auto"/>
          <w:lang w:val="en-GB"/>
        </w:rPr>
        <w:t xml:space="preserve"> </w:t>
      </w:r>
      <w:r w:rsidRPr="00CD2CB7">
        <w:rPr>
          <w:rFonts w:ascii="Calibri Light" w:eastAsia="Calibri Light" w:hAnsi="Calibri Light"/>
          <w:color w:val="495965"/>
          <w:sz w:val="22"/>
          <w:szCs w:val="22"/>
          <w:bdr w:val="none" w:sz="0" w:space="0" w:color="auto"/>
          <w:lang w:val="en-GB"/>
        </w:rPr>
        <w:t>to mutually agreed performance indicators</w:t>
      </w:r>
      <w:r>
        <w:rPr>
          <w:rFonts w:ascii="Calibri Light" w:eastAsia="Calibri Light" w:hAnsi="Calibri Light"/>
          <w:color w:val="495965"/>
          <w:sz w:val="22"/>
          <w:szCs w:val="22"/>
          <w:bdr w:val="none" w:sz="0" w:space="0" w:color="auto"/>
          <w:lang w:val="en-GB"/>
        </w:rPr>
        <w:t xml:space="preserve"> (known as Disbursement Linked Indicators, DLIs)</w:t>
      </w:r>
      <w:r w:rsidRPr="00CD2CB7">
        <w:rPr>
          <w:rFonts w:ascii="Calibri Light" w:eastAsia="Calibri Light" w:hAnsi="Calibri Light"/>
          <w:color w:val="495965"/>
          <w:sz w:val="22"/>
          <w:szCs w:val="22"/>
          <w:bdr w:val="none" w:sz="0" w:space="0" w:color="auto"/>
          <w:lang w:val="en-GB"/>
        </w:rPr>
        <w:t>. The Bangladesh</w:t>
      </w:r>
      <w:r>
        <w:rPr>
          <w:rFonts w:ascii="Calibri Light" w:eastAsia="Calibri Light" w:hAnsi="Calibri Light"/>
          <w:color w:val="495965"/>
          <w:sz w:val="22"/>
          <w:szCs w:val="22"/>
          <w:bdr w:val="none" w:sz="0" w:space="0" w:color="auto"/>
          <w:lang w:val="en-GB"/>
        </w:rPr>
        <w:t xml:space="preserve"> Government met 56 out of the 59 DLIs, all of which are linked to the achievement of reforms. </w:t>
      </w:r>
    </w:p>
    <w:p w14:paraId="4C05575E" w14:textId="683F4727" w:rsidR="00A34400" w:rsidRPr="000551CD"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Pr>
          <w:rFonts w:ascii="Calibri Light" w:eastAsia="Calibri Light" w:hAnsi="Calibri Light"/>
          <w:color w:val="495965"/>
          <w:sz w:val="22"/>
          <w:szCs w:val="22"/>
          <w:bdr w:val="none" w:sz="0" w:space="0" w:color="auto"/>
          <w:lang w:val="en-GB"/>
        </w:rPr>
        <w:t xml:space="preserve">Australia’s humanitarian funding is aligned with the 2017 and 2018 UN-led Joint Response Plan for the Rohingya crisis, and </w:t>
      </w:r>
      <w:r w:rsidR="0037642C">
        <w:rPr>
          <w:rFonts w:ascii="Calibri Light" w:eastAsia="Calibri Light" w:hAnsi="Calibri Light"/>
          <w:color w:val="495965"/>
          <w:sz w:val="22"/>
          <w:szCs w:val="22"/>
          <w:bdr w:val="none" w:sz="0" w:space="0" w:color="auto"/>
          <w:lang w:val="en-GB"/>
        </w:rPr>
        <w:t xml:space="preserve">is </w:t>
      </w:r>
      <w:r w:rsidRPr="00C615D6">
        <w:rPr>
          <w:rFonts w:ascii="Calibri Light" w:eastAsia="Calibri Light" w:hAnsi="Calibri Light"/>
          <w:color w:val="495965"/>
          <w:sz w:val="22"/>
          <w:szCs w:val="22"/>
          <w:bdr w:val="none" w:sz="0" w:space="0" w:color="auto"/>
          <w:lang w:val="en-GB"/>
        </w:rPr>
        <w:t>consistent with the Government’s National Strategy on Myanmar Refugees and Undocumented Myanmar Nationals in Bangladesh</w:t>
      </w:r>
      <w:r>
        <w:rPr>
          <w:rFonts w:ascii="Calibri Light" w:eastAsia="Calibri Light" w:hAnsi="Calibri Light"/>
          <w:color w:val="495965"/>
          <w:sz w:val="22"/>
          <w:szCs w:val="22"/>
          <w:bdr w:val="none" w:sz="0" w:space="0" w:color="auto"/>
          <w:lang w:val="en-GB"/>
        </w:rPr>
        <w:t xml:space="preserve">. Bangladesh’s response to the humanitarian response is commendable, keeping borders open, undertaking international advocacy and carrying the significant financial burden in hosting the displaced population. </w:t>
      </w:r>
    </w:p>
    <w:p w14:paraId="03F594E2" w14:textId="77777777" w:rsidR="00A34400" w:rsidRDefault="00A34400" w:rsidP="00A34400">
      <w:pPr>
        <w:pStyle w:val="Heading2"/>
      </w:pPr>
      <w:r>
        <w:lastRenderedPageBreak/>
        <w:t xml:space="preserve">Program Quality and Partner Performance </w:t>
      </w:r>
    </w:p>
    <w:p w14:paraId="7F5D4C82" w14:textId="77777777" w:rsidR="00A34400" w:rsidRDefault="00A34400" w:rsidP="00A34400">
      <w:pPr>
        <w:pStyle w:val="BodyA"/>
        <w:rPr>
          <w:rStyle w:val="None"/>
          <w:b/>
          <w:bCs/>
          <w:lang w:val="nl-NL"/>
        </w:rPr>
      </w:pPr>
      <w:r>
        <w:rPr>
          <w:rStyle w:val="None"/>
          <w:b/>
          <w:bCs/>
          <w:lang w:val="nl-NL"/>
        </w:rPr>
        <w:t>Overview</w:t>
      </w:r>
    </w:p>
    <w:p w14:paraId="394D1016" w14:textId="77777777" w:rsidR="00A34400" w:rsidRDefault="00A34400" w:rsidP="00A34400">
      <w:pPr>
        <w:pStyle w:val="BodyA"/>
        <w:rPr>
          <w:lang w:val="nl-NL"/>
        </w:rPr>
      </w:pPr>
      <w:r>
        <w:rPr>
          <w:lang w:val="nl-NL"/>
        </w:rPr>
        <w:t xml:space="preserve">In 2017-18, Australia’s bilateral investments performed strongly, with key investments receiving a rating of ‘Good’ against the Aid Quality Checks effectiveness and efficiency criteria. Additionally, the program’s capacity to generate and use effective performance information increased. The Results Framework for the BRAC Strategic Partnership Arrangement was finalised in 2017. The Performance Assessment Framework for Australia’s Aid Investment Plan 2015-19 was updated to reflect new humanitarian investments. </w:t>
      </w:r>
    </w:p>
    <w:p w14:paraId="5C6EF561" w14:textId="77777777" w:rsidR="00A34400" w:rsidRDefault="00A34400" w:rsidP="00A34400">
      <w:pPr>
        <w:pStyle w:val="BodyA"/>
        <w:rPr>
          <w:lang w:val="nl-NL"/>
        </w:rPr>
      </w:pPr>
      <w:r>
        <w:rPr>
          <w:lang w:val="nl-NL"/>
        </w:rPr>
        <w:t xml:space="preserve">Reviews were undertaken of two key investments - WFP’s Cox’s Bazar livelihood program and  the SGSP - and recommendations helped inform the next phases of the partnerships. For example, our new partnership with UNDP supporting the Government to strengthen its social protection systems builds on our achievements supporting the Government under SGSP, and was entered into in response to a request for continued support from the Government. Evaluation planning information is at </w:t>
      </w:r>
      <w:r w:rsidRPr="00BD32AD">
        <w:rPr>
          <w:b/>
        </w:rPr>
        <w:t>Annex C</w:t>
      </w:r>
    </w:p>
    <w:p w14:paraId="27C87ED4" w14:textId="77777777" w:rsidR="00A34400" w:rsidRDefault="00A34400" w:rsidP="00A34400">
      <w:pPr>
        <w:pStyle w:val="BodyA"/>
        <w:rPr>
          <w:lang w:val="nl-NL"/>
        </w:rPr>
      </w:pPr>
      <w:r>
        <w:rPr>
          <w:lang w:val="nl-NL"/>
        </w:rPr>
        <w:t xml:space="preserve">Australia continued to ensure its support was well-coordinated and complementary with other development and humantiarian partners. Australia had a very strong role in development partner coordination, including active participation in the Local Consultation Group, which focuses on donor harmonisation and coordinating donor engagement with the Govenment of Bangladesh, and in the UN led Steering Executive Group, which provides strategic direction for international humanitarian efforts in Cox’s Bazar. </w:t>
      </w:r>
    </w:p>
    <w:p w14:paraId="51B656C4" w14:textId="28F933A7" w:rsidR="00A34400" w:rsidRDefault="00A34400" w:rsidP="00A34400">
      <w:pPr>
        <w:pStyle w:val="BodyA"/>
        <w:rPr>
          <w:lang w:val="nl-NL"/>
        </w:rPr>
      </w:pPr>
      <w:r>
        <w:rPr>
          <w:lang w:val="nl-NL"/>
        </w:rPr>
        <w:t>During the reporting period, due to the scale-up of Australia’s humanitarian response effort in Cox Bazar, seve</w:t>
      </w:r>
      <w:r w:rsidR="00430C1E">
        <w:rPr>
          <w:lang w:val="nl-NL"/>
        </w:rPr>
        <w:t>ral</w:t>
      </w:r>
      <w:r>
        <w:rPr>
          <w:lang w:val="nl-NL"/>
        </w:rPr>
        <w:t xml:space="preserve"> new partnerships were entered into, and the number of investments increased from </w:t>
      </w:r>
      <w:r w:rsidRPr="00B70A91">
        <w:rPr>
          <w:lang w:val="nl-NL"/>
        </w:rPr>
        <w:t xml:space="preserve">eight (2016-17) to </w:t>
      </w:r>
      <w:r>
        <w:rPr>
          <w:lang w:val="nl-NL"/>
        </w:rPr>
        <w:t xml:space="preserve">nine(2017-18). </w:t>
      </w:r>
    </w:p>
    <w:p w14:paraId="5B2B8F8B" w14:textId="77777777" w:rsidR="00A34400" w:rsidRDefault="00A34400" w:rsidP="00A34400">
      <w:pPr>
        <w:pStyle w:val="BodyA"/>
        <w:rPr>
          <w:lang w:val="nl-NL"/>
        </w:rPr>
      </w:pPr>
      <w:r>
        <w:rPr>
          <w:rStyle w:val="None"/>
          <w:b/>
          <w:bCs/>
          <w:lang w:val="nl-NL"/>
        </w:rPr>
        <w:t xml:space="preserve">Aid Quality Checks (AQCs)  </w:t>
      </w:r>
      <w:r>
        <w:rPr>
          <w:rStyle w:val="None"/>
          <w:b/>
          <w:bCs/>
          <w:lang w:val="nl-NL"/>
        </w:rPr>
        <w:tab/>
      </w:r>
      <w:r>
        <w:rPr>
          <w:rStyle w:val="None"/>
          <w:b/>
          <w:bCs/>
          <w:lang w:val="nl-NL"/>
        </w:rPr>
        <w:tab/>
      </w:r>
    </w:p>
    <w:p w14:paraId="312EA861" w14:textId="0B477469" w:rsidR="00A34400" w:rsidRDefault="00A34400" w:rsidP="00A34400">
      <w:pPr>
        <w:pStyle w:val="BodyA"/>
      </w:pPr>
      <w:r>
        <w:t xml:space="preserve">In 2017-18, Aid Quality Checks (AQCs) for five investments were conducted, including three Final AQCs for WFP, SGSP and PEDP3. A summary of AQC ratings is at </w:t>
      </w:r>
      <w:r w:rsidRPr="0037642C">
        <w:rPr>
          <w:b/>
        </w:rPr>
        <w:t>Annex D</w:t>
      </w:r>
      <w:r w:rsidRPr="00B05957">
        <w:rPr>
          <w:b/>
        </w:rPr>
        <w:t>.</w:t>
      </w:r>
      <w:r>
        <w:t xml:space="preserve"> Overall ratings improved during the reporting period, with investments receiving a satisfactory rating (4 or above) across all key AQC assessment criteria (Effectiveness, Efficiency, Relevance, Gender Equality, Monitoring and Evaluation, and Sustainability). The improved rating reflects assessments of the overall performance of programs against their end of program outcomes. For example</w:t>
      </w:r>
      <w:r w:rsidR="001C5A83">
        <w:t>,</w:t>
      </w:r>
      <w:r>
        <w:t xml:space="preserve"> significant progress was made in SGSP in 2017-18 </w:t>
      </w:r>
      <w:r w:rsidR="001C5A83">
        <w:t xml:space="preserve">on </w:t>
      </w:r>
      <w:r>
        <w:t xml:space="preserve">achieving key milestones, despite initial delays. Additionally, in 2017-18 partner capacity to adapt to the security context in Bangladesh improved, supporting timely program delivery.  </w:t>
      </w:r>
    </w:p>
    <w:p w14:paraId="65FE65C1" w14:textId="77777777" w:rsidR="00A34400" w:rsidRDefault="00A34400" w:rsidP="00A34400">
      <w:pPr>
        <w:pStyle w:val="BodyA"/>
      </w:pPr>
      <w:r>
        <w:t xml:space="preserve">Overall portfolio performance on gender equality was strong, and met Australia’s aid program strategic target for gender equality - </w:t>
      </w:r>
      <w:proofErr w:type="spellStart"/>
      <w:r>
        <w:t>i.e</w:t>
      </w:r>
      <w:proofErr w:type="spellEnd"/>
      <w:r>
        <w:t xml:space="preserve"> 80 per cent of investments achieving a rating of satisfactory or above. However, there is room for improvement. Australia is supporting partners to mainstream a gender perspective across their programs and to improve their results on gender equality. In PEDP3 we learnt that a sustained and comprehensive strategy is required to support change within government systems.</w:t>
      </w:r>
    </w:p>
    <w:p w14:paraId="6B92991E" w14:textId="0C99E128" w:rsidR="00A34400" w:rsidRDefault="00A34400" w:rsidP="00A34400">
      <w:pPr>
        <w:pStyle w:val="BodyA"/>
      </w:pPr>
      <w:r>
        <w:t>Three investments (PEDP3, BRAC and SGSP) had a score of less than satisfactory for disability inclusiveness in programming. In 2018-19, DFAT will work with partners to develop a comprehensive strategy to support partners improve their systems to address disability inclusiveness</w:t>
      </w:r>
      <w:r w:rsidR="0037642C">
        <w:t xml:space="preserve"> </w:t>
      </w:r>
      <w:r w:rsidR="0037642C" w:rsidRPr="0037642C">
        <w:rPr>
          <w:b/>
        </w:rPr>
        <w:t>(a management action)</w:t>
      </w:r>
      <w:r>
        <w:t xml:space="preserve">. </w:t>
      </w:r>
    </w:p>
    <w:p w14:paraId="72090556" w14:textId="77777777" w:rsidR="00A34400" w:rsidRDefault="00A34400" w:rsidP="00A34400">
      <w:pPr>
        <w:pStyle w:val="BodyA"/>
      </w:pPr>
      <w:r>
        <w:t>In 2017-18, Partner Performance Assessments were conducted for two partners (BRAC and WFP). Assessments show Australia’s partners are effective and that DFAT is achieving value for money in these partnerships.</w:t>
      </w:r>
    </w:p>
    <w:p w14:paraId="5F1EB4BE" w14:textId="77777777" w:rsidR="00A34400" w:rsidRDefault="00A34400" w:rsidP="00A34400">
      <w:pPr>
        <w:pStyle w:val="BodyA"/>
        <w:rPr>
          <w:b/>
          <w:bCs/>
        </w:rPr>
      </w:pPr>
      <w:r>
        <w:rPr>
          <w:b/>
          <w:bCs/>
        </w:rPr>
        <w:t>Performance of key delivery partners</w:t>
      </w:r>
    </w:p>
    <w:p w14:paraId="3808CAA5" w14:textId="44F3D383" w:rsidR="00A34400" w:rsidRPr="00AE3448" w:rsidRDefault="00A34400" w:rsidP="00A34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Style w:val="None"/>
          <w:rFonts w:ascii="Calibri Light" w:eastAsia="Calibri Light" w:hAnsi="Calibri Light"/>
          <w:color w:val="495965"/>
          <w:sz w:val="22"/>
          <w:szCs w:val="22"/>
          <w:bdr w:val="none" w:sz="0" w:space="0" w:color="auto"/>
          <w:lang w:val="en-GB"/>
        </w:rPr>
      </w:pPr>
      <w:r w:rsidRPr="00C30207">
        <w:rPr>
          <w:rFonts w:ascii="Calibri Light" w:eastAsia="Calibri Light" w:hAnsi="Calibri Light"/>
          <w:color w:val="495965"/>
          <w:sz w:val="22"/>
          <w:szCs w:val="22"/>
          <w:bdr w:val="none" w:sz="0" w:space="0" w:color="auto"/>
          <w:lang w:val="en-GB"/>
        </w:rPr>
        <w:t xml:space="preserve">Australia’s aid to Bangladesh is delivered </w:t>
      </w:r>
      <w:r>
        <w:rPr>
          <w:rFonts w:ascii="Calibri Light" w:eastAsia="Calibri Light" w:hAnsi="Calibri Light"/>
          <w:color w:val="495965"/>
          <w:sz w:val="22"/>
          <w:szCs w:val="22"/>
          <w:bdr w:val="none" w:sz="0" w:space="0" w:color="auto"/>
          <w:lang w:val="en-GB"/>
        </w:rPr>
        <w:t xml:space="preserve">through strategic partnership with a range of </w:t>
      </w:r>
      <w:r w:rsidRPr="00C30207">
        <w:rPr>
          <w:rFonts w:ascii="Calibri Light" w:eastAsia="Calibri Light" w:hAnsi="Calibri Light"/>
          <w:color w:val="495965"/>
          <w:sz w:val="22"/>
          <w:szCs w:val="22"/>
          <w:bdr w:val="none" w:sz="0" w:space="0" w:color="auto"/>
          <w:lang w:val="en-GB"/>
        </w:rPr>
        <w:t xml:space="preserve">partners </w:t>
      </w:r>
      <w:r>
        <w:rPr>
          <w:rFonts w:ascii="Calibri Light" w:eastAsia="Calibri Light" w:hAnsi="Calibri Light"/>
          <w:color w:val="495965"/>
          <w:sz w:val="22"/>
          <w:szCs w:val="22"/>
          <w:bdr w:val="none" w:sz="0" w:space="0" w:color="auto"/>
          <w:lang w:val="en-GB"/>
        </w:rPr>
        <w:t>that have the capability to deliver results at scale in a complicated aid context</w:t>
      </w:r>
      <w:r w:rsidRPr="00C30207">
        <w:rPr>
          <w:rFonts w:ascii="Calibri Light" w:eastAsia="Calibri Light" w:hAnsi="Calibri Light"/>
          <w:color w:val="495965"/>
          <w:sz w:val="22"/>
          <w:szCs w:val="22"/>
          <w:bdr w:val="none" w:sz="0" w:space="0" w:color="auto"/>
          <w:lang w:val="en-GB"/>
        </w:rPr>
        <w:t xml:space="preserve"> – the Government of Bangladesh (discussed under Objective 1</w:t>
      </w:r>
      <w:r>
        <w:rPr>
          <w:rFonts w:ascii="Calibri Light" w:eastAsia="Calibri Light" w:hAnsi="Calibri Light"/>
          <w:color w:val="495965"/>
          <w:sz w:val="22"/>
          <w:szCs w:val="22"/>
          <w:bdr w:val="none" w:sz="0" w:space="0" w:color="auto"/>
          <w:lang w:val="en-GB"/>
        </w:rPr>
        <w:t xml:space="preserve"> and Objective 2</w:t>
      </w:r>
      <w:r w:rsidRPr="00C30207">
        <w:rPr>
          <w:rFonts w:ascii="Calibri Light" w:eastAsia="Calibri Light" w:hAnsi="Calibri Light"/>
          <w:color w:val="495965"/>
          <w:sz w:val="22"/>
          <w:szCs w:val="22"/>
          <w:bdr w:val="none" w:sz="0" w:space="0" w:color="auto"/>
          <w:lang w:val="en-GB"/>
        </w:rPr>
        <w:t>)</w:t>
      </w:r>
      <w:r>
        <w:rPr>
          <w:rFonts w:ascii="Calibri Light" w:eastAsia="Calibri Light" w:hAnsi="Calibri Light"/>
          <w:color w:val="495965"/>
          <w:sz w:val="22"/>
          <w:szCs w:val="22"/>
          <w:bdr w:val="none" w:sz="0" w:space="0" w:color="auto"/>
          <w:lang w:val="en-GB"/>
        </w:rPr>
        <w:t xml:space="preserve">, BRAC, WFP, UNDP, and </w:t>
      </w:r>
      <w:r w:rsidRPr="00C30207">
        <w:rPr>
          <w:rFonts w:ascii="Calibri Light" w:eastAsia="Calibri Light" w:hAnsi="Calibri Light"/>
          <w:color w:val="495965"/>
          <w:sz w:val="22"/>
          <w:szCs w:val="22"/>
          <w:bdr w:val="none" w:sz="0" w:space="0" w:color="auto"/>
          <w:lang w:val="en-GB"/>
        </w:rPr>
        <w:t>DFID</w:t>
      </w:r>
      <w:r>
        <w:rPr>
          <w:rFonts w:ascii="Calibri Light" w:eastAsia="Calibri Light" w:hAnsi="Calibri Light"/>
          <w:color w:val="495965"/>
          <w:sz w:val="22"/>
          <w:szCs w:val="22"/>
          <w:bdr w:val="none" w:sz="0" w:space="0" w:color="auto"/>
          <w:lang w:val="en-GB"/>
        </w:rPr>
        <w:t xml:space="preserve">. With the </w:t>
      </w:r>
      <w:r w:rsidRPr="000C634A">
        <w:rPr>
          <w:rFonts w:ascii="Calibri Light" w:eastAsia="Calibri Light" w:hAnsi="Calibri Light"/>
          <w:color w:val="495965"/>
          <w:sz w:val="22"/>
          <w:szCs w:val="22"/>
          <w:bdr w:val="none" w:sz="0" w:space="0" w:color="auto"/>
          <w:lang w:val="en-GB"/>
        </w:rPr>
        <w:t>scale-up of humanitarian assistance to Cox’s Bazar</w:t>
      </w:r>
      <w:r>
        <w:rPr>
          <w:rFonts w:ascii="Calibri Light" w:eastAsia="Calibri Light" w:hAnsi="Calibri Light"/>
          <w:color w:val="495965"/>
          <w:sz w:val="22"/>
          <w:szCs w:val="22"/>
          <w:bdr w:val="none" w:sz="0" w:space="0" w:color="auto"/>
          <w:lang w:val="en-GB"/>
        </w:rPr>
        <w:t>, Australia entered into seve</w:t>
      </w:r>
      <w:r w:rsidR="00430C1E">
        <w:rPr>
          <w:rFonts w:ascii="Calibri Light" w:eastAsia="Calibri Light" w:hAnsi="Calibri Light"/>
          <w:color w:val="495965"/>
          <w:sz w:val="22"/>
          <w:szCs w:val="22"/>
          <w:bdr w:val="none" w:sz="0" w:space="0" w:color="auto"/>
          <w:lang w:val="en-GB"/>
        </w:rPr>
        <w:t>ral</w:t>
      </w:r>
      <w:r>
        <w:rPr>
          <w:rFonts w:ascii="Calibri Light" w:eastAsia="Calibri Light" w:hAnsi="Calibri Light"/>
          <w:color w:val="495965"/>
          <w:sz w:val="22"/>
          <w:szCs w:val="22"/>
          <w:bdr w:val="none" w:sz="0" w:space="0" w:color="auto"/>
          <w:lang w:val="en-GB"/>
        </w:rPr>
        <w:t xml:space="preserve"> new partnership arrangements </w:t>
      </w:r>
      <w:r w:rsidR="00430C1E">
        <w:rPr>
          <w:rFonts w:ascii="Calibri Light" w:eastAsia="Calibri Light" w:hAnsi="Calibri Light"/>
          <w:color w:val="495965"/>
          <w:sz w:val="22"/>
          <w:szCs w:val="22"/>
          <w:bdr w:val="none" w:sz="0" w:space="0" w:color="auto"/>
          <w:lang w:val="en-GB"/>
        </w:rPr>
        <w:t xml:space="preserve">including </w:t>
      </w:r>
      <w:r>
        <w:rPr>
          <w:rFonts w:ascii="Calibri Light" w:eastAsia="Calibri Light" w:hAnsi="Calibri Light"/>
          <w:color w:val="495965"/>
          <w:sz w:val="22"/>
          <w:szCs w:val="22"/>
          <w:bdr w:val="none" w:sz="0" w:space="0" w:color="auto"/>
          <w:lang w:val="en-GB"/>
        </w:rPr>
        <w:t>with - UNHCR, IOM, UNFPA and Australian NGOs (Oxfam, CARE and Save the Children, Australian Red Cross)</w:t>
      </w:r>
      <w:r w:rsidRPr="000C634A">
        <w:rPr>
          <w:rFonts w:ascii="Calibri Light" w:eastAsia="Calibri Light" w:hAnsi="Calibri Light"/>
          <w:color w:val="495965"/>
          <w:sz w:val="22"/>
          <w:szCs w:val="22"/>
          <w:bdr w:val="none" w:sz="0" w:space="0" w:color="auto"/>
          <w:lang w:val="en-GB"/>
        </w:rPr>
        <w:t xml:space="preserve">. </w:t>
      </w:r>
    </w:p>
    <w:p w14:paraId="4452EBD1" w14:textId="77777777" w:rsidR="00A34400" w:rsidRDefault="00A34400" w:rsidP="00A34400">
      <w:pPr>
        <w:pStyle w:val="BodyA"/>
        <w:rPr>
          <w:rStyle w:val="None"/>
          <w:b/>
          <w:bCs/>
        </w:rPr>
      </w:pPr>
      <w:r>
        <w:rPr>
          <w:rStyle w:val="None"/>
          <w:b/>
          <w:bCs/>
        </w:rPr>
        <w:t xml:space="preserve">BRAC </w:t>
      </w:r>
    </w:p>
    <w:p w14:paraId="3C2D7C87" w14:textId="77777777" w:rsidR="00A34400" w:rsidRDefault="00A34400" w:rsidP="00A34400">
      <w:pPr>
        <w:pStyle w:val="BodyA"/>
      </w:pPr>
      <w:r w:rsidRPr="006148FE">
        <w:rPr>
          <w:lang w:val="en-GB"/>
        </w:rPr>
        <w:lastRenderedPageBreak/>
        <w:t>Australia</w:t>
      </w:r>
      <w:r>
        <w:rPr>
          <w:lang w:val="en-GB"/>
        </w:rPr>
        <w:t xml:space="preserve">’s Strategic Partnership Arrangement with BRAC </w:t>
      </w:r>
      <w:r w:rsidRPr="006148FE">
        <w:rPr>
          <w:lang w:val="en-GB"/>
        </w:rPr>
        <w:t>leverage</w:t>
      </w:r>
      <w:r>
        <w:rPr>
          <w:lang w:val="en-GB"/>
        </w:rPr>
        <w:t>s</w:t>
      </w:r>
      <w:r w:rsidRPr="006148FE">
        <w:rPr>
          <w:lang w:val="en-GB"/>
        </w:rPr>
        <w:t xml:space="preserve"> BRAC’s high quality, large scale programs in areas of priority for Australia, including in primary edu</w:t>
      </w:r>
      <w:r>
        <w:rPr>
          <w:lang w:val="en-GB"/>
        </w:rPr>
        <w:t xml:space="preserve">cation, skills development, </w:t>
      </w:r>
      <w:r w:rsidRPr="006148FE">
        <w:rPr>
          <w:lang w:val="en-GB"/>
        </w:rPr>
        <w:t>women’s economic empowerment</w:t>
      </w:r>
      <w:r>
        <w:rPr>
          <w:lang w:val="en-GB"/>
        </w:rPr>
        <w:t xml:space="preserve"> and humanitarian response</w:t>
      </w:r>
      <w:r>
        <w:t xml:space="preserve">. </w:t>
      </w:r>
      <w:r w:rsidRPr="00C0179B">
        <w:t xml:space="preserve">BRAC is strongly aligned with the priorities of the Australian aid program, particularly with the aim </w:t>
      </w:r>
      <w:r>
        <w:t xml:space="preserve">of </w:t>
      </w:r>
      <w:r w:rsidRPr="00C0179B">
        <w:t>help</w:t>
      </w:r>
      <w:r>
        <w:t xml:space="preserve">ing </w:t>
      </w:r>
      <w:r w:rsidRPr="00C0179B">
        <w:t xml:space="preserve">poor and </w:t>
      </w:r>
      <w:proofErr w:type="spellStart"/>
      <w:r w:rsidRPr="00C0179B">
        <w:t>marginalised</w:t>
      </w:r>
      <w:proofErr w:type="spellEnd"/>
      <w:r w:rsidRPr="00C0179B">
        <w:t xml:space="preserve"> people into productive activity and </w:t>
      </w:r>
      <w:r>
        <w:t>of equipping poor</w:t>
      </w:r>
      <w:r w:rsidRPr="00F05EDC">
        <w:t xml:space="preserve"> </w:t>
      </w:r>
      <w:r>
        <w:t xml:space="preserve">people </w:t>
      </w:r>
      <w:r w:rsidRPr="00F05EDC">
        <w:t>through better education to play a part in society and to contribute to the economy.</w:t>
      </w:r>
      <w:r>
        <w:t xml:space="preserve"> </w:t>
      </w:r>
      <w:r w:rsidRPr="00555425">
        <w:t>BRAC provides dir</w:t>
      </w:r>
      <w:r>
        <w:t xml:space="preserve">ect benefits to poor households to find </w:t>
      </w:r>
      <w:r w:rsidRPr="00555425">
        <w:t>pathways out of poverty and towards participation in the growing economy, and complements Australia’s work supporting the large scale but slower change achievable through the</w:t>
      </w:r>
      <w:r>
        <w:t xml:space="preserve"> reform of government systems.</w:t>
      </w:r>
    </w:p>
    <w:p w14:paraId="380F2B73" w14:textId="77777777" w:rsidR="00A34400" w:rsidRPr="00DA0AD3" w:rsidRDefault="00A34400" w:rsidP="00A34400">
      <w:pPr>
        <w:pStyle w:val="BodyA"/>
        <w:rPr>
          <w:rFonts w:asciiTheme="minorHAnsi" w:hAnsiTheme="minorHAnsi" w:cs="Arial"/>
          <w:lang w:val="en-AU"/>
        </w:rPr>
      </w:pPr>
      <w:r>
        <w:t xml:space="preserve">During the reporting period, BRAC exceeded program targets, reaching 110 million people and enabling DFAT to accelerate progress against development goals in Bangladesh with a focus on improving the status of women and girls. BRAC also met its targets against its ambitious institutional strengthening agenda, which aims to transform </w:t>
      </w:r>
      <w:r w:rsidRPr="00CE277A">
        <w:rPr>
          <w:rFonts w:asciiTheme="minorHAnsi" w:hAnsiTheme="minorHAnsi" w:cs="Arial"/>
          <w:lang w:val="en-AU"/>
        </w:rPr>
        <w:t>its business model in the context of Bangladesh's transition to middle income country status.  Increasing program relevance and financial sustainability in Bangladesh's changing poverty landscape are core goals of BRAC's strategic plan.</w:t>
      </w:r>
    </w:p>
    <w:p w14:paraId="39029D8A" w14:textId="262FF1F6" w:rsidR="00A34400" w:rsidRDefault="00A34400" w:rsidP="00A34400">
      <w:pPr>
        <w:pStyle w:val="Default"/>
        <w:spacing w:before="120" w:after="60"/>
        <w:rPr>
          <w:rFonts w:ascii="Calibri Light" w:eastAsia="Calibri Light" w:hAnsi="Calibri Light" w:cs="Calibri Light"/>
          <w:color w:val="495965"/>
          <w:u w:color="495965"/>
        </w:rPr>
      </w:pPr>
      <w:r w:rsidRPr="001A4319">
        <w:rPr>
          <w:rFonts w:ascii="Calibri Light" w:eastAsia="Calibri Light" w:hAnsi="Calibri Light" w:cs="Calibri Light"/>
          <w:color w:val="495965"/>
          <w:u w:color="495965"/>
        </w:rPr>
        <w:t>In 2017-18, DFAT worked with BRAC and DFID to strength</w:t>
      </w:r>
      <w:r>
        <w:rPr>
          <w:rFonts w:ascii="Calibri Light" w:eastAsia="Calibri Light" w:hAnsi="Calibri Light" w:cs="Calibri Light"/>
          <w:color w:val="495965"/>
          <w:u w:color="495965"/>
        </w:rPr>
        <w:t xml:space="preserve">en the partnership approach. </w:t>
      </w:r>
      <w:r w:rsidRPr="001A4319">
        <w:rPr>
          <w:rFonts w:ascii="Calibri Light" w:eastAsia="Calibri Light" w:hAnsi="Calibri Light" w:cs="Calibri Light"/>
          <w:color w:val="495965"/>
          <w:u w:color="495965"/>
        </w:rPr>
        <w:t xml:space="preserve">A Results Framework and an Evaluation Plan were endorsed by all partners to strengthen results reporting. </w:t>
      </w:r>
      <w:r>
        <w:rPr>
          <w:rFonts w:ascii="Calibri Light" w:eastAsia="Calibri Light" w:hAnsi="Calibri Light" w:cs="Calibri Light"/>
          <w:color w:val="495965"/>
          <w:u w:color="495965"/>
        </w:rPr>
        <w:t>Although DFAT faced challenges in finalising the Results Framework in a timely manner, it was considered important to allow BRAC additional time to strengthen their internal monitoring and evaluation systems on which the framework draws. Further work is needed to improve the reporting on BRAC’s institutional strengthening agenda and this will be a priority for the next reporting period</w:t>
      </w:r>
      <w:r w:rsidR="0037642C">
        <w:rPr>
          <w:rFonts w:ascii="Calibri Light" w:eastAsia="Calibri Light" w:hAnsi="Calibri Light" w:cs="Calibri Light"/>
          <w:color w:val="495965"/>
          <w:u w:color="495965"/>
        </w:rPr>
        <w:t>.</w:t>
      </w:r>
    </w:p>
    <w:p w14:paraId="34628AE7" w14:textId="77777777" w:rsidR="00A34400" w:rsidRPr="005D2A8F" w:rsidRDefault="00A34400" w:rsidP="00A34400">
      <w:pPr>
        <w:pStyle w:val="Default"/>
        <w:spacing w:before="120" w:after="60"/>
        <w:rPr>
          <w:rFonts w:ascii="Calibri Light" w:eastAsia="Calibri Light" w:hAnsi="Calibri Light" w:cs="Calibri Light"/>
          <w:color w:val="495965"/>
          <w:u w:color="495965"/>
          <w:lang w:val="en-US"/>
        </w:rPr>
      </w:pPr>
      <w:r>
        <w:rPr>
          <w:rFonts w:ascii="Calibri Light" w:eastAsia="Calibri Light" w:hAnsi="Calibri Light" w:cs="Calibri Light"/>
          <w:color w:val="495965"/>
          <w:u w:color="495965"/>
        </w:rPr>
        <w:t>In 2018-</w:t>
      </w:r>
      <w:r w:rsidRPr="001A4319">
        <w:rPr>
          <w:rFonts w:ascii="Calibri Light" w:eastAsia="Calibri Light" w:hAnsi="Calibri Light" w:cs="Calibri Light"/>
          <w:color w:val="495965"/>
          <w:u w:color="495965"/>
        </w:rPr>
        <w:t>19 DFAT will undertake a Mid Term Review to assess progress against objectives and engage partners to identify lessons learned</w:t>
      </w:r>
      <w:r w:rsidRPr="00B05957">
        <w:rPr>
          <w:rFonts w:ascii="Calibri Light" w:eastAsia="Calibri Light" w:hAnsi="Calibri Light" w:cs="Calibri Light"/>
          <w:color w:val="495965"/>
          <w:u w:color="495965"/>
        </w:rPr>
        <w:t xml:space="preserve"> that can inform partnership improvement in the remaining years of the program</w:t>
      </w:r>
      <w:r w:rsidRPr="001A4319">
        <w:rPr>
          <w:rFonts w:ascii="Calibri Light" w:eastAsia="Calibri Light" w:hAnsi="Calibri Light" w:cs="Calibri Light"/>
          <w:color w:val="495965"/>
          <w:u w:color="495965"/>
        </w:rPr>
        <w:t>.</w:t>
      </w:r>
      <w:r w:rsidRPr="00457B63">
        <w:rPr>
          <w:rFonts w:ascii="Calibri Light" w:eastAsia="Calibri Light" w:hAnsi="Calibri Light" w:cs="Calibri Light"/>
          <w:color w:val="495965"/>
          <w:u w:color="495965"/>
        </w:rPr>
        <w:t xml:space="preserve"> </w:t>
      </w:r>
      <w:r w:rsidRPr="005D2A8F">
        <w:rPr>
          <w:rFonts w:ascii="Calibri Light" w:eastAsia="Calibri Light" w:hAnsi="Calibri Light" w:cs="Calibri Light"/>
          <w:color w:val="495965"/>
          <w:u w:color="495965"/>
          <w:lang w:val="en-US"/>
        </w:rPr>
        <w:t xml:space="preserve">DFAT will also work with BRAC to </w:t>
      </w:r>
      <w:r>
        <w:rPr>
          <w:rFonts w:ascii="Calibri Light" w:eastAsia="Calibri Light" w:hAnsi="Calibri Light" w:cs="Calibri Light"/>
          <w:color w:val="495965"/>
          <w:u w:color="495965"/>
          <w:lang w:val="en-US"/>
        </w:rPr>
        <w:t xml:space="preserve">support their efforts to </w:t>
      </w:r>
      <w:r w:rsidRPr="005D2A8F">
        <w:rPr>
          <w:rFonts w:ascii="Calibri Light" w:eastAsia="Calibri Light" w:hAnsi="Calibri Light" w:cs="Calibri Light"/>
          <w:color w:val="495965"/>
          <w:u w:color="495965"/>
          <w:lang w:val="en-US"/>
        </w:rPr>
        <w:t>mainstream disability into key programs</w:t>
      </w:r>
      <w:r>
        <w:rPr>
          <w:rFonts w:ascii="Calibri Light" w:eastAsia="Calibri Light" w:hAnsi="Calibri Light" w:cs="Calibri Light"/>
          <w:color w:val="495965"/>
          <w:u w:color="495965"/>
          <w:lang w:val="en-US"/>
        </w:rPr>
        <w:t xml:space="preserve">, noting that BRAC had </w:t>
      </w:r>
      <w:r w:rsidRPr="005D2A8F">
        <w:rPr>
          <w:rFonts w:ascii="Calibri Light" w:eastAsia="Calibri Light" w:hAnsi="Calibri Light" w:cs="Calibri Light"/>
          <w:color w:val="495965"/>
          <w:u w:color="495965"/>
          <w:lang w:val="en-US"/>
        </w:rPr>
        <w:t xml:space="preserve">unsatisfactory scores </w:t>
      </w:r>
      <w:r>
        <w:rPr>
          <w:rFonts w:ascii="Calibri Light" w:eastAsia="Calibri Light" w:hAnsi="Calibri Light" w:cs="Calibri Light"/>
          <w:color w:val="495965"/>
          <w:u w:color="495965"/>
          <w:lang w:val="en-US"/>
        </w:rPr>
        <w:t xml:space="preserve">on </w:t>
      </w:r>
      <w:r w:rsidRPr="005D2A8F">
        <w:rPr>
          <w:rFonts w:ascii="Calibri Light" w:eastAsia="Calibri Light" w:hAnsi="Calibri Light" w:cs="Calibri Light"/>
          <w:color w:val="495965"/>
          <w:u w:color="495965"/>
          <w:lang w:val="en-US"/>
        </w:rPr>
        <w:t>disability inclusiveness</w:t>
      </w:r>
      <w:r>
        <w:rPr>
          <w:rFonts w:ascii="Calibri Light" w:eastAsia="Calibri Light" w:hAnsi="Calibri Light" w:cs="Calibri Light"/>
          <w:color w:val="495965"/>
          <w:u w:color="495965"/>
          <w:lang w:val="en-US"/>
        </w:rPr>
        <w:t xml:space="preserve"> in their 2017/18 Aid Quality Check and have already initiated action to address this issue</w:t>
      </w:r>
      <w:r w:rsidRPr="005D2A8F">
        <w:rPr>
          <w:rFonts w:ascii="Calibri Light" w:eastAsia="Calibri Light" w:hAnsi="Calibri Light" w:cs="Calibri Light"/>
          <w:color w:val="495965"/>
          <w:u w:color="495965"/>
          <w:lang w:val="en-US"/>
        </w:rPr>
        <w:t xml:space="preserve">. </w:t>
      </w:r>
    </w:p>
    <w:p w14:paraId="43779C9B" w14:textId="77777777" w:rsidR="00A34400" w:rsidRDefault="00A34400" w:rsidP="00A34400">
      <w:pPr>
        <w:pStyle w:val="BodyA"/>
      </w:pPr>
      <w:r>
        <w:t>Following the Rohingya influx, Australia channeled additional humanitarian funding to BRAC under a separate agreement. The relationship and the knowledge of BRAC’s capacity built through the SPA enabled DFAT to quickly engage BRAC at the onset of the humanitarian crisis. Our funding to BRAC draws on BRAC’s deep knowledge of host communities and relationships with local stakeholders, including the Government of Bangladesh</w:t>
      </w:r>
      <w:r w:rsidRPr="0019528D">
        <w:t xml:space="preserve">, and supports Australia’s commitment to the </w:t>
      </w:r>
      <w:proofErr w:type="spellStart"/>
      <w:r w:rsidRPr="0019528D">
        <w:t>localisation</w:t>
      </w:r>
      <w:proofErr w:type="spellEnd"/>
      <w:r w:rsidRPr="0019528D">
        <w:t xml:space="preserve"> of humanitarian response efforts.</w:t>
      </w:r>
      <w:r>
        <w:t xml:space="preserve"> </w:t>
      </w:r>
    </w:p>
    <w:p w14:paraId="5EBFB43C" w14:textId="65860DD5" w:rsidR="00A34400" w:rsidRPr="00B05957" w:rsidRDefault="00A34400" w:rsidP="00A34400">
      <w:pPr>
        <w:pStyle w:val="BodyA"/>
        <w:rPr>
          <w:bCs/>
        </w:rPr>
      </w:pPr>
      <w:r w:rsidRPr="00B05957">
        <w:rPr>
          <w:bCs/>
        </w:rPr>
        <w:t>Australia has put more effort into strengthening our technical engagement with BRAC on the programs in which we are most interested. This has been a long standing deficit in the partnership and more needs to be done to deepen our engagement in this way. The ambition to develop the partnership beyond financing BRAC’s results into a knowledge partnership where practice and innovation are share</w:t>
      </w:r>
      <w:r>
        <w:rPr>
          <w:bCs/>
        </w:rPr>
        <w:t xml:space="preserve">d is still a work in progress. </w:t>
      </w:r>
      <w:r>
        <w:t>DFAT, BRAC and DFID have faced challenges in finding a shared focus for this objective and the Mid Term review will provide recommendations on this</w:t>
      </w:r>
      <w:r w:rsidR="001C5A83">
        <w:t>.</w:t>
      </w:r>
      <w:r>
        <w:rPr>
          <w:bCs/>
        </w:rPr>
        <w:t xml:space="preserve"> </w:t>
      </w:r>
    </w:p>
    <w:p w14:paraId="7B723809" w14:textId="77777777" w:rsidR="00A34400" w:rsidRDefault="00A34400" w:rsidP="00A34400">
      <w:pPr>
        <w:pStyle w:val="BodyA"/>
        <w:rPr>
          <w:b/>
          <w:bCs/>
        </w:rPr>
      </w:pPr>
      <w:r>
        <w:rPr>
          <w:b/>
          <w:bCs/>
        </w:rPr>
        <w:t xml:space="preserve">World Food </w:t>
      </w:r>
      <w:proofErr w:type="spellStart"/>
      <w:r>
        <w:rPr>
          <w:b/>
          <w:bCs/>
        </w:rPr>
        <w:t>Programme</w:t>
      </w:r>
      <w:proofErr w:type="spellEnd"/>
      <w:r>
        <w:rPr>
          <w:b/>
          <w:bCs/>
        </w:rPr>
        <w:t xml:space="preserve"> </w:t>
      </w:r>
    </w:p>
    <w:p w14:paraId="67DCB418" w14:textId="5C6B186A" w:rsidR="00A34400" w:rsidRPr="00457B63" w:rsidRDefault="00A34400" w:rsidP="00A34400">
      <w:pPr>
        <w:pStyle w:val="BodyA"/>
        <w:rPr>
          <w:lang w:val="en-AU"/>
        </w:rPr>
      </w:pPr>
      <w:r w:rsidRPr="00B05957">
        <w:rPr>
          <w:lang w:val="en-AU"/>
        </w:rPr>
        <w:t xml:space="preserve">Effective collaboration with WFP </w:t>
      </w:r>
      <w:r>
        <w:rPr>
          <w:lang w:val="en-AU"/>
        </w:rPr>
        <w:t>continued in 2017-18. Australia</w:t>
      </w:r>
      <w:r w:rsidRPr="00B05957">
        <w:rPr>
          <w:lang w:val="en-AU"/>
        </w:rPr>
        <w:t xml:space="preserve"> entered into a new Strategic Partnership Arrangement with WFP over a three year period (2017-2020). The new SPA will enable Australia to contribute across the range of WFP activities in Bangladesh. The Rohingya influx in August 2017 delayed joint work on </w:t>
      </w:r>
      <w:r w:rsidR="001C5A83">
        <w:rPr>
          <w:lang w:val="en-AU"/>
        </w:rPr>
        <w:t xml:space="preserve">improving </w:t>
      </w:r>
      <w:r w:rsidRPr="00B05957">
        <w:rPr>
          <w:lang w:val="en-AU"/>
        </w:rPr>
        <w:t>partnership modalities, but work on th</w:t>
      </w:r>
      <w:r w:rsidR="00D1721C">
        <w:rPr>
          <w:lang w:val="en-AU"/>
        </w:rPr>
        <w:t>is</w:t>
      </w:r>
      <w:r w:rsidRPr="00B05957">
        <w:rPr>
          <w:lang w:val="en-AU"/>
        </w:rPr>
        <w:t xml:space="preserve"> has resumed.</w:t>
      </w:r>
      <w:r w:rsidRPr="00456942">
        <w:rPr>
          <w:lang w:val="en-AU"/>
        </w:rPr>
        <w:t xml:space="preserve"> </w:t>
      </w:r>
    </w:p>
    <w:p w14:paraId="18F5DC41" w14:textId="77777777" w:rsidR="00A34400" w:rsidRPr="00456942" w:rsidRDefault="00A34400" w:rsidP="00A34400">
      <w:pPr>
        <w:spacing w:before="120" w:after="60"/>
        <w:rPr>
          <w:rFonts w:ascii="Calibri Light" w:eastAsia="Calibri Light" w:hAnsi="Calibri Light" w:cs="Calibri Light"/>
          <w:color w:val="495965"/>
          <w:sz w:val="22"/>
          <w:szCs w:val="22"/>
          <w:u w:color="495965"/>
          <w:lang w:val="en-AU" w:eastAsia="en-AU"/>
        </w:rPr>
      </w:pPr>
      <w:r w:rsidRPr="00456942">
        <w:rPr>
          <w:rFonts w:ascii="Calibri Light" w:eastAsia="Calibri Light" w:hAnsi="Calibri Light" w:cs="Calibri Light"/>
          <w:color w:val="495965"/>
          <w:sz w:val="22"/>
          <w:szCs w:val="22"/>
          <w:u w:color="495965"/>
          <w:lang w:val="en-AU" w:eastAsia="en-AU"/>
        </w:rPr>
        <w:t xml:space="preserve">In 2017-18, Australia’s funding to WFP formed part of our overall contribution to the Rohingya crisis. Australia is the third largest donor to WFP (out of 18 donors) and our flexible funding approach was important in the </w:t>
      </w:r>
      <w:r>
        <w:rPr>
          <w:rFonts w:ascii="Calibri Light" w:eastAsia="Calibri Light" w:hAnsi="Calibri Light" w:cs="Calibri Light"/>
          <w:color w:val="495965"/>
          <w:sz w:val="22"/>
          <w:szCs w:val="22"/>
          <w:u w:color="495965"/>
          <w:lang w:val="en-AU" w:eastAsia="en-AU"/>
        </w:rPr>
        <w:t>humanitarian response.</w:t>
      </w:r>
      <w:r w:rsidRPr="00456942">
        <w:rPr>
          <w:rFonts w:ascii="Calibri Light" w:eastAsia="Calibri Light" w:hAnsi="Calibri Light" w:cs="Calibri Light"/>
          <w:color w:val="495965"/>
          <w:sz w:val="22"/>
          <w:szCs w:val="22"/>
          <w:u w:color="495965"/>
          <w:lang w:val="en-AU" w:eastAsia="en-AU"/>
        </w:rPr>
        <w:t xml:space="preserve"> We remain the only development partner to provide flexible funding to WFP’s whole Bangladesh country program, enabling Australia to respond quickly, and to direct funding to improve the food security and nutrition outcomes of the most vulnerable households and individuals.</w:t>
      </w:r>
      <w:r>
        <w:rPr>
          <w:rFonts w:ascii="Calibri Light" w:eastAsia="Calibri Light" w:hAnsi="Calibri Light" w:cs="Calibri Light"/>
          <w:color w:val="495965"/>
          <w:sz w:val="22"/>
          <w:szCs w:val="22"/>
          <w:u w:color="495965"/>
          <w:lang w:val="en-AU" w:eastAsia="en-AU"/>
        </w:rPr>
        <w:t xml:space="preserve"> </w:t>
      </w:r>
      <w:r w:rsidRPr="00456942">
        <w:rPr>
          <w:rFonts w:ascii="Calibri Light" w:eastAsia="Calibri Light" w:hAnsi="Calibri Light" w:cs="Calibri Light"/>
          <w:color w:val="495965"/>
          <w:sz w:val="22"/>
          <w:szCs w:val="22"/>
          <w:u w:color="495965"/>
          <w:lang w:val="en-AU" w:eastAsia="en-AU"/>
        </w:rPr>
        <w:t>The well-established relationship built on mutual respect and cooperation over the years in the partnership with WFP</w:t>
      </w:r>
      <w:r>
        <w:rPr>
          <w:rFonts w:ascii="Calibri Light" w:eastAsia="Calibri Light" w:hAnsi="Calibri Light" w:cs="Calibri Light"/>
          <w:color w:val="495965"/>
          <w:sz w:val="22"/>
          <w:szCs w:val="22"/>
          <w:u w:color="495965"/>
          <w:lang w:val="en-AU" w:eastAsia="en-AU"/>
        </w:rPr>
        <w:t xml:space="preserve"> (since 2012)</w:t>
      </w:r>
      <w:r w:rsidRPr="00456942">
        <w:rPr>
          <w:rFonts w:ascii="Calibri Light" w:eastAsia="Calibri Light" w:hAnsi="Calibri Light" w:cs="Calibri Light"/>
          <w:color w:val="495965"/>
          <w:sz w:val="22"/>
          <w:szCs w:val="22"/>
          <w:u w:color="495965"/>
          <w:lang w:val="en-AU" w:eastAsia="en-AU"/>
        </w:rPr>
        <w:t xml:space="preserve"> has enabled Australia to mount a quick and effective first response to the Rohingya crisis. It has also enabled Australia to engage with Government through diplomatic and humanitarian focused discussions regarding broader political and human rights issues related to Rohingya arrivals and repatriation. </w:t>
      </w:r>
    </w:p>
    <w:p w14:paraId="2B0F73CB" w14:textId="77777777" w:rsidR="00A34400" w:rsidRDefault="00A34400" w:rsidP="00A34400">
      <w:pPr>
        <w:pStyle w:val="BodyA"/>
      </w:pPr>
      <w:r w:rsidRPr="00B05957">
        <w:rPr>
          <w:lang w:val="en-AU"/>
        </w:rPr>
        <w:lastRenderedPageBreak/>
        <w:t>Our partnership has helped WFP to improve its results reporting. However, the rapid scale-up in operations in Cox’s Bazar has stretched WFP’s capacity across its operations, resulting in a drop in the quality and frequency of reporting, which will be closely monitored in 2018.</w:t>
      </w:r>
      <w:r w:rsidRPr="00457B63">
        <w:rPr>
          <w:lang w:val="en-AU"/>
        </w:rPr>
        <w:t xml:space="preserve"> </w:t>
      </w:r>
      <w:r>
        <w:t xml:space="preserve">A review of Australian support for WFP activities in Cox’s Bazar found that the Enhanced Food and Security Nutrition program has been a successful initiative, and identified areas where Australia could add value to WFP operations, including in monitoring and evaluation and disability. </w:t>
      </w:r>
    </w:p>
    <w:p w14:paraId="0ADA05D8" w14:textId="77777777" w:rsidR="00A34400" w:rsidRPr="001E0325" w:rsidRDefault="00A34400" w:rsidP="00A34400">
      <w:pPr>
        <w:suppressAutoHyphens/>
        <w:spacing w:before="120" w:after="60" w:line="230" w:lineRule="atLeast"/>
        <w:rPr>
          <w:rFonts w:ascii="Calibri Light" w:eastAsia="Calibri Light" w:hAnsi="Calibri Light" w:cs="Calibri Light"/>
          <w:b/>
          <w:bCs/>
          <w:color w:val="495965"/>
          <w:sz w:val="22"/>
          <w:szCs w:val="22"/>
          <w:u w:color="495965"/>
          <w:lang w:eastAsia="en-AU"/>
        </w:rPr>
      </w:pPr>
      <w:r w:rsidRPr="001E0325">
        <w:rPr>
          <w:rFonts w:ascii="Calibri Light" w:eastAsia="Calibri Light" w:hAnsi="Calibri Light" w:cs="Calibri Light"/>
          <w:b/>
          <w:bCs/>
          <w:color w:val="495965"/>
          <w:sz w:val="22"/>
          <w:szCs w:val="22"/>
          <w:u w:color="495965"/>
          <w:lang w:eastAsia="en-AU"/>
        </w:rPr>
        <w:t>Humanitarian Partnerships</w:t>
      </w:r>
    </w:p>
    <w:p w14:paraId="691EF3CD" w14:textId="5ADCAE76" w:rsidR="00A34400" w:rsidRPr="00613387" w:rsidRDefault="00A34400" w:rsidP="00A34400">
      <w:pPr>
        <w:spacing w:before="120" w:after="60"/>
        <w:rPr>
          <w:rFonts w:ascii="Calibri Light" w:eastAsia="Calibri Light" w:hAnsi="Calibri Light" w:cs="Calibri Light"/>
          <w:color w:val="495965"/>
          <w:sz w:val="22"/>
          <w:szCs w:val="22"/>
          <w:u w:color="495965"/>
          <w:lang w:val="en-AU" w:eastAsia="en-AU"/>
        </w:rPr>
      </w:pPr>
      <w:r w:rsidRPr="001E0325">
        <w:rPr>
          <w:rFonts w:ascii="Calibri Light" w:eastAsia="Calibri Light" w:hAnsi="Calibri Light" w:cs="Calibri Light"/>
          <w:color w:val="495965"/>
          <w:sz w:val="22"/>
          <w:szCs w:val="22"/>
          <w:u w:color="495965"/>
          <w:lang w:eastAsia="en-AU"/>
        </w:rPr>
        <w:t>Australia’s humanitarian response in Cox’s Bazar was delivered through Australian NGOs (Oxfam/Ca</w:t>
      </w:r>
      <w:r>
        <w:rPr>
          <w:rFonts w:ascii="Calibri Light" w:eastAsia="Calibri Light" w:hAnsi="Calibri Light" w:cs="Calibri Light"/>
          <w:color w:val="495965"/>
          <w:sz w:val="22"/>
          <w:szCs w:val="22"/>
          <w:u w:color="495965"/>
          <w:lang w:eastAsia="en-AU"/>
        </w:rPr>
        <w:t xml:space="preserve">re, Save the Children, </w:t>
      </w:r>
      <w:r w:rsidR="00D1721C">
        <w:rPr>
          <w:rFonts w:ascii="Calibri Light" w:eastAsia="Calibri Light" w:hAnsi="Calibri Light" w:cs="Calibri Light"/>
          <w:color w:val="495965"/>
          <w:sz w:val="22"/>
          <w:szCs w:val="22"/>
          <w:u w:color="495965"/>
          <w:lang w:eastAsia="en-AU"/>
        </w:rPr>
        <w:t xml:space="preserve">and </w:t>
      </w:r>
      <w:r>
        <w:rPr>
          <w:rFonts w:ascii="Calibri Light" w:eastAsia="Calibri Light" w:hAnsi="Calibri Light" w:cs="Calibri Light"/>
          <w:color w:val="495965"/>
          <w:sz w:val="22"/>
          <w:szCs w:val="22"/>
          <w:u w:color="495965"/>
          <w:lang w:eastAsia="en-AU"/>
        </w:rPr>
        <w:t xml:space="preserve">Australian Red Cross), </w:t>
      </w:r>
      <w:r w:rsidRPr="001E0325">
        <w:rPr>
          <w:rFonts w:ascii="Calibri Light" w:eastAsia="Calibri Light" w:hAnsi="Calibri Light" w:cs="Calibri Light"/>
          <w:color w:val="495965"/>
          <w:sz w:val="22"/>
          <w:szCs w:val="22"/>
          <w:u w:color="495965"/>
          <w:lang w:eastAsia="en-AU"/>
        </w:rPr>
        <w:t>BRAC and UN partners (WFP, UNHCR, IOM and UNFPA). Through the Australian Humanitarian Partnership (AHP) initiative, funding was provided to Save the Children and Oxfam (co-funded with Care). AHP is a partnership be</w:t>
      </w:r>
      <w:r>
        <w:rPr>
          <w:rFonts w:ascii="Calibri Light" w:eastAsia="Calibri Light" w:hAnsi="Calibri Light" w:cs="Calibri Light"/>
          <w:color w:val="495965"/>
          <w:sz w:val="22"/>
          <w:szCs w:val="22"/>
          <w:u w:color="495965"/>
          <w:lang w:eastAsia="en-AU"/>
        </w:rPr>
        <w:t xml:space="preserve">tween DFAT and Australian NGOS </w:t>
      </w:r>
      <w:r w:rsidRPr="001E0325">
        <w:rPr>
          <w:rFonts w:ascii="Calibri Light" w:eastAsia="Calibri Light" w:hAnsi="Calibri Light" w:cs="Calibri Light"/>
          <w:color w:val="495965"/>
          <w:sz w:val="22"/>
          <w:szCs w:val="22"/>
          <w:u w:color="495965"/>
          <w:lang w:eastAsia="en-AU"/>
        </w:rPr>
        <w:t xml:space="preserve">that </w:t>
      </w:r>
      <w:r>
        <w:rPr>
          <w:rFonts w:ascii="Calibri Light" w:eastAsia="Calibri Light" w:hAnsi="Calibri Light" w:cs="Calibri Light"/>
          <w:color w:val="495965"/>
          <w:sz w:val="22"/>
          <w:szCs w:val="22"/>
          <w:u w:color="495965"/>
          <w:lang w:eastAsia="en-AU"/>
        </w:rPr>
        <w:t xml:space="preserve">supports the delivery of </w:t>
      </w:r>
      <w:r w:rsidRPr="001E0325">
        <w:rPr>
          <w:rFonts w:ascii="Calibri Light" w:eastAsia="Calibri Light" w:hAnsi="Calibri Light" w:cs="Calibri Light"/>
          <w:color w:val="495965"/>
          <w:sz w:val="22"/>
          <w:szCs w:val="22"/>
          <w:u w:color="495965"/>
          <w:lang w:eastAsia="en-AU"/>
        </w:rPr>
        <w:t xml:space="preserve">effective, innovative and collaborative humanitarian assistance by allowing Australia to </w:t>
      </w:r>
      <w:proofErr w:type="spellStart"/>
      <w:r w:rsidRPr="001E0325">
        <w:rPr>
          <w:rFonts w:ascii="Calibri Light" w:eastAsia="Calibri Light" w:hAnsi="Calibri Light" w:cs="Calibri Light"/>
          <w:color w:val="495965"/>
          <w:sz w:val="22"/>
          <w:szCs w:val="22"/>
          <w:u w:color="495965"/>
          <w:lang w:eastAsia="en-AU"/>
        </w:rPr>
        <w:t>utilise</w:t>
      </w:r>
      <w:proofErr w:type="spellEnd"/>
      <w:r w:rsidRPr="001E0325">
        <w:rPr>
          <w:rFonts w:ascii="Calibri Light" w:eastAsia="Calibri Light" w:hAnsi="Calibri Light" w:cs="Calibri Light"/>
          <w:color w:val="495965"/>
          <w:sz w:val="22"/>
          <w:szCs w:val="22"/>
          <w:u w:color="495965"/>
          <w:lang w:eastAsia="en-AU"/>
        </w:rPr>
        <w:t xml:space="preserve"> the networks of Australian NG</w:t>
      </w:r>
      <w:r>
        <w:rPr>
          <w:rFonts w:ascii="Calibri Light" w:eastAsia="Calibri Light" w:hAnsi="Calibri Light" w:cs="Calibri Light"/>
          <w:color w:val="495965"/>
          <w:sz w:val="22"/>
          <w:szCs w:val="22"/>
          <w:u w:color="495965"/>
          <w:lang w:eastAsia="en-AU"/>
        </w:rPr>
        <w:t xml:space="preserve">Os to </w:t>
      </w:r>
      <w:r w:rsidRPr="001E0325">
        <w:rPr>
          <w:rFonts w:ascii="Calibri Light" w:eastAsia="Calibri Light" w:hAnsi="Calibri Light" w:cs="Calibri Light"/>
          <w:color w:val="495965"/>
          <w:sz w:val="22"/>
          <w:szCs w:val="22"/>
          <w:u w:color="495965"/>
          <w:lang w:eastAsia="en-AU"/>
        </w:rPr>
        <w:t xml:space="preserve">respond to humanitarian crises. Australian NGOs play a niche role in </w:t>
      </w:r>
      <w:r>
        <w:rPr>
          <w:rFonts w:ascii="Calibri Light" w:eastAsia="Calibri Light" w:hAnsi="Calibri Light" w:cs="Calibri Light"/>
          <w:color w:val="495965"/>
          <w:sz w:val="22"/>
          <w:szCs w:val="22"/>
          <w:u w:color="495965"/>
          <w:lang w:eastAsia="en-AU"/>
        </w:rPr>
        <w:t xml:space="preserve">building local capacity and targeting </w:t>
      </w:r>
      <w:r w:rsidRPr="001E0325">
        <w:rPr>
          <w:rFonts w:ascii="Calibri Light" w:eastAsia="Calibri Light" w:hAnsi="Calibri Light" w:cs="Calibri Light"/>
          <w:color w:val="495965"/>
          <w:sz w:val="22"/>
          <w:szCs w:val="22"/>
          <w:u w:color="495965"/>
          <w:lang w:eastAsia="en-AU"/>
        </w:rPr>
        <w:t>the most vulnerable</w:t>
      </w:r>
      <w:r>
        <w:rPr>
          <w:rFonts w:ascii="Calibri Light" w:eastAsia="Calibri Light" w:hAnsi="Calibri Light" w:cs="Calibri Light"/>
          <w:color w:val="495965"/>
          <w:sz w:val="22"/>
          <w:szCs w:val="22"/>
          <w:u w:color="495965"/>
          <w:lang w:eastAsia="en-AU"/>
        </w:rPr>
        <w:t xml:space="preserve"> in Cox’s Bazar</w:t>
      </w:r>
      <w:r w:rsidRPr="001E0325">
        <w:rPr>
          <w:rFonts w:ascii="Calibri Light" w:eastAsia="Calibri Light" w:hAnsi="Calibri Light" w:cs="Calibri Light"/>
          <w:color w:val="495965"/>
          <w:sz w:val="22"/>
          <w:szCs w:val="22"/>
          <w:u w:color="495965"/>
          <w:lang w:eastAsia="en-AU"/>
        </w:rPr>
        <w:t xml:space="preserve">, particularly women and children. For example, Save the Children </w:t>
      </w:r>
      <w:r>
        <w:rPr>
          <w:rFonts w:ascii="Calibri Light" w:eastAsia="Calibri Light" w:hAnsi="Calibri Light" w:cs="Calibri Light"/>
          <w:color w:val="495965"/>
          <w:sz w:val="22"/>
          <w:szCs w:val="22"/>
          <w:u w:color="495965"/>
          <w:lang w:eastAsia="en-AU"/>
        </w:rPr>
        <w:t xml:space="preserve">has a core focus on children, providing 24-hour </w:t>
      </w:r>
      <w:r w:rsidRPr="001E0325">
        <w:rPr>
          <w:rFonts w:ascii="Calibri Light" w:eastAsia="Calibri Light" w:hAnsi="Calibri Light" w:cs="Calibri Light"/>
          <w:color w:val="495965"/>
          <w:sz w:val="22"/>
          <w:szCs w:val="22"/>
          <w:u w:color="495965"/>
          <w:lang w:eastAsia="en-AU"/>
        </w:rPr>
        <w:t xml:space="preserve">protection for unaccompanied children, </w:t>
      </w:r>
      <w:r>
        <w:rPr>
          <w:rFonts w:ascii="Calibri Light" w:eastAsia="Calibri Light" w:hAnsi="Calibri Light" w:cs="Calibri Light"/>
          <w:color w:val="495965"/>
          <w:sz w:val="22"/>
          <w:szCs w:val="22"/>
          <w:u w:color="495965"/>
          <w:lang w:eastAsia="en-AU"/>
        </w:rPr>
        <w:t xml:space="preserve">facilitating </w:t>
      </w:r>
      <w:r w:rsidRPr="001E0325">
        <w:rPr>
          <w:rFonts w:ascii="Calibri Light" w:eastAsia="Calibri Light" w:hAnsi="Calibri Light" w:cs="Calibri Light"/>
          <w:color w:val="495965"/>
          <w:sz w:val="22"/>
          <w:szCs w:val="22"/>
          <w:u w:color="495965"/>
          <w:lang w:eastAsia="en-AU"/>
        </w:rPr>
        <w:t>safe-space for childre</w:t>
      </w:r>
      <w:r>
        <w:rPr>
          <w:rFonts w:ascii="Calibri Light" w:eastAsia="Calibri Light" w:hAnsi="Calibri Light" w:cs="Calibri Light"/>
          <w:color w:val="495965"/>
          <w:sz w:val="22"/>
          <w:szCs w:val="22"/>
          <w:u w:color="495965"/>
          <w:lang w:eastAsia="en-AU"/>
        </w:rPr>
        <w:t xml:space="preserve">n to play and learn, nutrition and conducting </w:t>
      </w:r>
      <w:r w:rsidRPr="001E0325">
        <w:rPr>
          <w:rFonts w:ascii="Calibri Light" w:eastAsia="Calibri Light" w:hAnsi="Calibri Light" w:cs="Calibri Light"/>
          <w:color w:val="495965"/>
          <w:sz w:val="22"/>
          <w:szCs w:val="22"/>
          <w:u w:color="495965"/>
          <w:lang w:eastAsia="en-AU"/>
        </w:rPr>
        <w:t>emergency clinics to address urgent life-sa</w:t>
      </w:r>
      <w:r>
        <w:rPr>
          <w:rFonts w:ascii="Calibri Light" w:eastAsia="Calibri Light" w:hAnsi="Calibri Light" w:cs="Calibri Light"/>
          <w:color w:val="495965"/>
          <w:sz w:val="22"/>
          <w:szCs w:val="22"/>
          <w:u w:color="495965"/>
          <w:lang w:eastAsia="en-AU"/>
        </w:rPr>
        <w:t xml:space="preserve">ving healthcare, supporting around 152,388 beneficiaries (through our funding). </w:t>
      </w:r>
      <w:r w:rsidRPr="005F249F">
        <w:rPr>
          <w:rFonts w:ascii="Calibri Light" w:eastAsia="Calibri Light" w:hAnsi="Calibri Light" w:cs="Calibri Light"/>
          <w:color w:val="495965"/>
          <w:sz w:val="22"/>
          <w:szCs w:val="22"/>
          <w:u w:color="495965"/>
          <w:lang w:eastAsia="en-AU"/>
        </w:rPr>
        <w:t>Oxfam</w:t>
      </w:r>
      <w:r>
        <w:rPr>
          <w:rFonts w:ascii="Calibri Light" w:eastAsia="Calibri Light" w:hAnsi="Calibri Light" w:cs="Calibri Light"/>
          <w:color w:val="495965"/>
          <w:sz w:val="22"/>
          <w:szCs w:val="22"/>
          <w:u w:color="495965"/>
          <w:lang w:eastAsia="en-AU"/>
        </w:rPr>
        <w:t xml:space="preserve"> (with Care) aims </w:t>
      </w:r>
      <w:r w:rsidRPr="005F249F">
        <w:rPr>
          <w:rFonts w:ascii="Calibri Light" w:eastAsia="Calibri Light" w:hAnsi="Calibri Light" w:cs="Calibri Light"/>
          <w:color w:val="495965"/>
          <w:sz w:val="22"/>
          <w:szCs w:val="22"/>
          <w:u w:color="495965"/>
          <w:lang w:eastAsia="en-AU"/>
        </w:rPr>
        <w:t xml:space="preserve">to support 75,000 of the most vulnerable men, women, girls, boys and people with disabilities so that their basic water, sanitation and hygiene needs are met, in a protective environment, especially for </w:t>
      </w:r>
      <w:r w:rsidRPr="00613387">
        <w:rPr>
          <w:rFonts w:ascii="Calibri Light" w:eastAsia="Calibri Light" w:hAnsi="Calibri Light" w:cs="Calibri Light"/>
          <w:color w:val="495965"/>
          <w:sz w:val="22"/>
          <w:szCs w:val="22"/>
          <w:u w:color="495965"/>
          <w:lang w:val="en-AU" w:eastAsia="en-AU"/>
        </w:rPr>
        <w:t xml:space="preserve">women and girls. </w:t>
      </w:r>
    </w:p>
    <w:p w14:paraId="637BF27C" w14:textId="7A1CD28B" w:rsidR="00A34400" w:rsidRPr="00A07A73" w:rsidRDefault="00A34400" w:rsidP="00A34400">
      <w:pPr>
        <w:spacing w:before="120" w:after="60"/>
        <w:rPr>
          <w:rFonts w:ascii="Calibri Light" w:eastAsia="Calibri Light" w:hAnsi="Calibri Light" w:cs="Calibri Light"/>
          <w:color w:val="495965"/>
          <w:sz w:val="22"/>
          <w:szCs w:val="22"/>
          <w:u w:color="495965"/>
          <w:lang w:eastAsia="en-AU"/>
        </w:rPr>
      </w:pPr>
      <w:r w:rsidRPr="00613387">
        <w:rPr>
          <w:rFonts w:ascii="Calibri Light" w:eastAsia="Calibri Light" w:hAnsi="Calibri Light" w:cs="Calibri Light"/>
          <w:color w:val="495965"/>
          <w:sz w:val="22"/>
          <w:szCs w:val="22"/>
          <w:u w:color="495965"/>
          <w:lang w:val="en-AU" w:eastAsia="en-AU"/>
        </w:rPr>
        <w:t>Complementing our support to NGOs, Australian funding to UN partners (IOM, UNHCR and UNFPA) has enabled Australia to respond to the crisis at scale, support</w:t>
      </w:r>
      <w:r w:rsidRPr="001E0325">
        <w:rPr>
          <w:rFonts w:ascii="Calibri Light" w:eastAsia="Calibri Light" w:hAnsi="Calibri Light" w:cs="Calibri Light"/>
          <w:color w:val="495965"/>
          <w:sz w:val="22"/>
          <w:szCs w:val="22"/>
          <w:u w:color="495965"/>
          <w:lang w:eastAsia="en-AU"/>
        </w:rPr>
        <w:t xml:space="preserve"> coordination and engage the Government of Bangladesh on strategic policy issues, including on monsoon preparedness and relocation. UN response efforts in a complex emergency ha</w:t>
      </w:r>
      <w:r w:rsidR="0037642C">
        <w:rPr>
          <w:rFonts w:ascii="Calibri Light" w:eastAsia="Calibri Light" w:hAnsi="Calibri Light" w:cs="Calibri Light"/>
          <w:color w:val="495965"/>
          <w:sz w:val="22"/>
          <w:szCs w:val="22"/>
          <w:u w:color="495965"/>
          <w:lang w:eastAsia="en-AU"/>
        </w:rPr>
        <w:t>ve</w:t>
      </w:r>
      <w:r w:rsidRPr="001E0325">
        <w:rPr>
          <w:rFonts w:ascii="Calibri Light" w:eastAsia="Calibri Light" w:hAnsi="Calibri Light" w:cs="Calibri Light"/>
          <w:color w:val="495965"/>
          <w:sz w:val="22"/>
          <w:szCs w:val="22"/>
          <w:u w:color="495965"/>
          <w:lang w:eastAsia="en-AU"/>
        </w:rPr>
        <w:t xml:space="preserve"> been impressive. IOM’s activities in the construction of critical infrastructure projects in camps has helped mitigate the effects of monsoon rains. UNFPA has delivered good results focused on strengthening life-saving sexual and reproductive health services, and have significantly scaled-up operations to meet the needs of women and girls from the refugee and host community. The establishment of women friendly spaces </w:t>
      </w:r>
      <w:r>
        <w:rPr>
          <w:rFonts w:ascii="Calibri Light" w:eastAsia="Calibri Light" w:hAnsi="Calibri Light" w:cs="Calibri Light"/>
          <w:color w:val="495965"/>
          <w:sz w:val="22"/>
          <w:szCs w:val="22"/>
          <w:u w:color="495965"/>
          <w:lang w:eastAsia="en-AU"/>
        </w:rPr>
        <w:t xml:space="preserve">has provided much needed dedicated </w:t>
      </w:r>
      <w:r w:rsidRPr="001E0325">
        <w:rPr>
          <w:rFonts w:ascii="Calibri Light" w:eastAsia="Calibri Light" w:hAnsi="Calibri Light" w:cs="Calibri Light"/>
          <w:color w:val="495965"/>
          <w:sz w:val="22"/>
          <w:szCs w:val="22"/>
          <w:u w:color="495965"/>
          <w:lang w:eastAsia="en-AU"/>
        </w:rPr>
        <w:t xml:space="preserve">spaces </w:t>
      </w:r>
      <w:r>
        <w:rPr>
          <w:rFonts w:ascii="Calibri Light" w:eastAsia="Calibri Light" w:hAnsi="Calibri Light" w:cs="Calibri Light"/>
          <w:color w:val="495965"/>
          <w:sz w:val="22"/>
          <w:szCs w:val="22"/>
          <w:u w:color="495965"/>
          <w:lang w:eastAsia="en-AU"/>
        </w:rPr>
        <w:t>for providing</w:t>
      </w:r>
      <w:r w:rsidRPr="001E0325">
        <w:rPr>
          <w:rFonts w:ascii="Calibri Light" w:eastAsia="Calibri Light" w:hAnsi="Calibri Light" w:cs="Calibri Light"/>
          <w:color w:val="495965"/>
          <w:sz w:val="22"/>
          <w:szCs w:val="22"/>
          <w:u w:color="495965"/>
          <w:lang w:eastAsia="en-AU"/>
        </w:rPr>
        <w:t xml:space="preserve"> respite, social connection and referral pathways for health and counselling services for women and teenage girls. </w:t>
      </w:r>
    </w:p>
    <w:p w14:paraId="25127848" w14:textId="77777777" w:rsidR="00A34400" w:rsidRDefault="00A34400" w:rsidP="00A34400">
      <w:pPr>
        <w:pStyle w:val="BodyA"/>
        <w:rPr>
          <w:rStyle w:val="None"/>
          <w:b/>
          <w:bCs/>
        </w:rPr>
      </w:pPr>
      <w:r>
        <w:rPr>
          <w:b/>
          <w:bCs/>
        </w:rPr>
        <w:t>DFID</w:t>
      </w:r>
    </w:p>
    <w:p w14:paraId="509D37F3" w14:textId="43CC6108" w:rsidR="00A34400" w:rsidRDefault="00A34400" w:rsidP="00A34400">
      <w:pPr>
        <w:pStyle w:val="BodyA"/>
        <w:rPr>
          <w:rFonts w:cs="Times New Roman"/>
          <w:bdr w:val="none" w:sz="0" w:space="0" w:color="auto"/>
          <w:lang w:val="en-GB" w:eastAsia="en-US"/>
        </w:rPr>
      </w:pPr>
      <w:r w:rsidRPr="00BD32AD">
        <w:rPr>
          <w:rFonts w:cs="Times New Roman"/>
          <w:bdr w:val="none" w:sz="0" w:space="0" w:color="auto"/>
          <w:lang w:val="en-GB" w:eastAsia="en-US"/>
        </w:rPr>
        <w:t xml:space="preserve">Australia and the UK have a strong complementarity of development interests in Bangladesh, including prioritising </w:t>
      </w:r>
      <w:r>
        <w:rPr>
          <w:rFonts w:cs="Times New Roman"/>
          <w:bdr w:val="none" w:sz="0" w:space="0" w:color="auto"/>
          <w:lang w:val="en-GB" w:eastAsia="en-US"/>
        </w:rPr>
        <w:t xml:space="preserve">social protection, disability inclusive development, </w:t>
      </w:r>
      <w:r w:rsidRPr="00BD32AD">
        <w:rPr>
          <w:rFonts w:cs="Times New Roman"/>
          <w:bdr w:val="none" w:sz="0" w:space="0" w:color="auto"/>
          <w:lang w:val="en-GB" w:eastAsia="en-US"/>
        </w:rPr>
        <w:t>gender equality and women’s empowerment in their programs.</w:t>
      </w:r>
      <w:r>
        <w:rPr>
          <w:rFonts w:cs="Times New Roman"/>
          <w:bdr w:val="none" w:sz="0" w:space="0" w:color="auto"/>
          <w:lang w:val="en-GB" w:eastAsia="en-US"/>
        </w:rPr>
        <w:t xml:space="preserve"> A</w:t>
      </w:r>
      <w:r w:rsidRPr="00A96FCE">
        <w:rPr>
          <w:rFonts w:cs="Times New Roman"/>
          <w:bdr w:val="none" w:sz="0" w:space="0" w:color="auto"/>
          <w:lang w:val="en-GB" w:eastAsia="en-US"/>
        </w:rPr>
        <w:t>ustralia is a partner with DFID in the BRAC SPA, has a delegated cooperation agreement for SGSP</w:t>
      </w:r>
      <w:r>
        <w:rPr>
          <w:rFonts w:cs="Times New Roman"/>
          <w:bdr w:val="none" w:sz="0" w:space="0" w:color="auto"/>
          <w:lang w:val="en-GB" w:eastAsia="en-US"/>
        </w:rPr>
        <w:t xml:space="preserve">, and is </w:t>
      </w:r>
      <w:r w:rsidR="0037642C">
        <w:rPr>
          <w:rFonts w:cs="Times New Roman"/>
          <w:bdr w:val="none" w:sz="0" w:space="0" w:color="auto"/>
          <w:lang w:val="en-GB" w:eastAsia="en-US"/>
        </w:rPr>
        <w:t xml:space="preserve">a </w:t>
      </w:r>
      <w:r>
        <w:rPr>
          <w:rFonts w:cs="Times New Roman"/>
          <w:bdr w:val="none" w:sz="0" w:space="0" w:color="auto"/>
          <w:lang w:val="en-GB" w:eastAsia="en-US"/>
        </w:rPr>
        <w:t xml:space="preserve">co-participant in support for primary education and humanitarian response in Cox’s Bazar. </w:t>
      </w:r>
    </w:p>
    <w:p w14:paraId="3A783E4B" w14:textId="77777777" w:rsidR="00A34400" w:rsidRDefault="00A34400" w:rsidP="00A34400">
      <w:pPr>
        <w:pStyle w:val="BodyA"/>
        <w:rPr>
          <w:rFonts w:cs="Times New Roman"/>
          <w:bdr w:val="none" w:sz="0" w:space="0" w:color="auto"/>
          <w:lang w:val="en-GB" w:eastAsia="en-US"/>
        </w:rPr>
      </w:pPr>
      <w:r>
        <w:rPr>
          <w:rFonts w:cs="Times New Roman"/>
          <w:bdr w:val="none" w:sz="0" w:space="0" w:color="auto"/>
          <w:lang w:val="en-GB" w:eastAsia="en-US"/>
        </w:rPr>
        <w:t xml:space="preserve">Australia’s approach, working through DFID in SGSP to leverage our financial and human resource contribution, remained appropriate given DFAT’s modest funding ($3 million). Our partnership with DFID on SGSP enabled Australia to establish institutional relationships across key stakeholders in social protection, including across Government and implementing agencies, to enhance our technical capacity in social protection reform, to safeguard our investment, and to capitalise on further opportunities with the conclusion of SGSP in June 2018. </w:t>
      </w:r>
    </w:p>
    <w:p w14:paraId="31FA94FE" w14:textId="77777777" w:rsidR="00A34400" w:rsidRPr="00E20F8B" w:rsidRDefault="00A34400" w:rsidP="00A34400">
      <w:pPr>
        <w:pStyle w:val="BodyA"/>
        <w:rPr>
          <w:rStyle w:val="None"/>
          <w:rFonts w:cs="Times New Roman"/>
          <w:bdr w:val="none" w:sz="0" w:space="0" w:color="auto"/>
          <w:lang w:val="en-GB" w:eastAsia="en-US"/>
        </w:rPr>
      </w:pPr>
      <w:r>
        <w:rPr>
          <w:rFonts w:cs="Times New Roman"/>
          <w:bdr w:val="none" w:sz="0" w:space="0" w:color="auto"/>
          <w:lang w:val="en-GB" w:eastAsia="en-US"/>
        </w:rPr>
        <w:t xml:space="preserve">Australia will continue to explore opportunities to leverage DIFD’s capacity in monitoring and evaluation (demonstrated in the BRAC SPA), and share our partnership expertise, and learn from DFID’s own experiences.  </w:t>
      </w:r>
    </w:p>
    <w:p w14:paraId="7532B4A1" w14:textId="77777777" w:rsidR="00A34400" w:rsidRDefault="00A34400" w:rsidP="00A34400">
      <w:pPr>
        <w:pStyle w:val="Heading2"/>
        <w:rPr>
          <w:rStyle w:val="None"/>
          <w:lang w:val="da-DK"/>
        </w:rPr>
      </w:pPr>
    </w:p>
    <w:p w14:paraId="354874F5" w14:textId="77777777" w:rsidR="00A34400" w:rsidRDefault="00A34400" w:rsidP="00A34400">
      <w:pPr>
        <w:pStyle w:val="Heading2"/>
        <w:rPr>
          <w:rStyle w:val="None"/>
          <w:lang w:val="da-DK"/>
        </w:rPr>
      </w:pPr>
      <w:r>
        <w:rPr>
          <w:rStyle w:val="None"/>
          <w:lang w:val="da-DK"/>
        </w:rPr>
        <w:br w:type="page"/>
      </w:r>
    </w:p>
    <w:p w14:paraId="37BBA735" w14:textId="77777777" w:rsidR="00A34400" w:rsidRDefault="00A34400" w:rsidP="00A34400">
      <w:pPr>
        <w:pStyle w:val="Heading2"/>
        <w:rPr>
          <w:rStyle w:val="None"/>
          <w:lang w:val="da-DK"/>
        </w:rPr>
      </w:pPr>
      <w:r>
        <w:rPr>
          <w:rStyle w:val="None"/>
          <w:lang w:val="da-DK"/>
        </w:rPr>
        <w:lastRenderedPageBreak/>
        <w:t>Risks</w:t>
      </w:r>
    </w:p>
    <w:p w14:paraId="350A6BAE" w14:textId="77777777" w:rsidR="00A34400" w:rsidRDefault="00A34400" w:rsidP="00A34400">
      <w:pPr>
        <w:pStyle w:val="BodyA"/>
        <w:rPr>
          <w:rStyle w:val="None"/>
          <w:b/>
          <w:bCs/>
          <w:sz w:val="24"/>
          <w:szCs w:val="24"/>
        </w:rPr>
      </w:pPr>
      <w:r>
        <w:rPr>
          <w:rStyle w:val="None"/>
          <w:b/>
          <w:bCs/>
          <w:sz w:val="24"/>
          <w:szCs w:val="24"/>
        </w:rPr>
        <w:t>Table 3: Management of Key Risks to Achieving Objectives</w:t>
      </w:r>
    </w:p>
    <w:tbl>
      <w:tblPr>
        <w:tblW w:w="4977"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2210"/>
        <w:gridCol w:w="3041"/>
        <w:gridCol w:w="2613"/>
        <w:gridCol w:w="1519"/>
        <w:gridCol w:w="1049"/>
      </w:tblGrid>
      <w:tr w:rsidR="00A34400" w:rsidRPr="00782E69" w14:paraId="06985B87" w14:textId="77777777" w:rsidTr="003C61D9">
        <w:tc>
          <w:tcPr>
            <w:tcW w:w="2270" w:type="dxa"/>
            <w:shd w:val="clear" w:color="auto" w:fill="F2F2F2" w:themeFill="background1" w:themeFillShade="F2"/>
            <w:hideMark/>
          </w:tcPr>
          <w:p w14:paraId="6BD1BA5D"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Key risks</w:t>
            </w:r>
          </w:p>
        </w:tc>
        <w:tc>
          <w:tcPr>
            <w:tcW w:w="3126" w:type="dxa"/>
            <w:shd w:val="clear" w:color="auto" w:fill="F2F2F2" w:themeFill="background1" w:themeFillShade="F2"/>
          </w:tcPr>
          <w:p w14:paraId="67E77EEA"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What actions were taken to manage the risks over the past year?</w:t>
            </w:r>
          </w:p>
        </w:tc>
        <w:tc>
          <w:tcPr>
            <w:tcW w:w="2685" w:type="dxa"/>
            <w:shd w:val="clear" w:color="auto" w:fill="F2F2F2" w:themeFill="background1" w:themeFillShade="F2"/>
          </w:tcPr>
          <w:p w14:paraId="36FCBE09"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What further actions will be taken to manage the risks in the coming year?</w:t>
            </w:r>
          </w:p>
        </w:tc>
        <w:tc>
          <w:tcPr>
            <w:tcW w:w="1558" w:type="dxa"/>
            <w:shd w:val="clear" w:color="auto" w:fill="F2F2F2" w:themeFill="background1" w:themeFillShade="F2"/>
          </w:tcPr>
          <w:p w14:paraId="19132FBF"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For emerging/</w:t>
            </w:r>
            <w:r>
              <w:rPr>
                <w:b/>
                <w:sz w:val="18"/>
                <w:szCs w:val="18"/>
                <w:lang w:val="en-GB"/>
              </w:rPr>
              <w:t xml:space="preserve"> </w:t>
            </w:r>
            <w:r w:rsidRPr="001A2B10">
              <w:rPr>
                <w:b/>
                <w:sz w:val="18"/>
                <w:szCs w:val="18"/>
                <w:lang w:val="en-GB"/>
              </w:rPr>
              <w:t>ongoing risks provide a Risk Rating (low, medium, high, very high)</w:t>
            </w:r>
          </w:p>
        </w:tc>
        <w:tc>
          <w:tcPr>
            <w:tcW w:w="1074" w:type="dxa"/>
            <w:shd w:val="clear" w:color="auto" w:fill="F2F2F2" w:themeFill="background1" w:themeFillShade="F2"/>
          </w:tcPr>
          <w:p w14:paraId="101B6903" w14:textId="77777777" w:rsidR="00A34400" w:rsidRPr="00C64C4B"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C64C4B">
              <w:rPr>
                <w:b/>
                <w:sz w:val="18"/>
                <w:szCs w:val="18"/>
                <w:lang w:val="en-GB"/>
              </w:rPr>
              <w:t>Are these same risks in Post’s Risk Register (Yes/No)*</w:t>
            </w:r>
          </w:p>
        </w:tc>
      </w:tr>
      <w:tr w:rsidR="00A34400" w:rsidRPr="00782E69" w14:paraId="44B11A4E" w14:textId="77777777" w:rsidTr="003C61D9">
        <w:tc>
          <w:tcPr>
            <w:tcW w:w="2270" w:type="dxa"/>
            <w:hideMark/>
          </w:tcPr>
          <w:p w14:paraId="1DFC0FCE" w14:textId="32D35686" w:rsidR="00A34400" w:rsidRPr="001A2B10" w:rsidRDefault="00D1721C" w:rsidP="001343D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Pr>
                <w:sz w:val="18"/>
                <w:szCs w:val="18"/>
                <w:lang w:val="en-GB"/>
              </w:rPr>
              <w:t>U</w:t>
            </w:r>
            <w:r w:rsidR="00A34400">
              <w:rPr>
                <w:sz w:val="18"/>
                <w:szCs w:val="18"/>
                <w:lang w:val="en-GB"/>
              </w:rPr>
              <w:t xml:space="preserve">pcoming parliamentary elections in Bangladesh </w:t>
            </w:r>
            <w:r>
              <w:rPr>
                <w:sz w:val="18"/>
                <w:szCs w:val="18"/>
                <w:lang w:val="en-GB"/>
              </w:rPr>
              <w:t xml:space="preserve">result in changed </w:t>
            </w:r>
            <w:r w:rsidR="00A34400">
              <w:rPr>
                <w:sz w:val="18"/>
                <w:szCs w:val="18"/>
                <w:lang w:val="en-GB"/>
              </w:rPr>
              <w:t xml:space="preserve">government policy directions, </w:t>
            </w:r>
            <w:r>
              <w:rPr>
                <w:sz w:val="18"/>
                <w:szCs w:val="18"/>
                <w:lang w:val="en-GB"/>
              </w:rPr>
              <w:t xml:space="preserve">and operating </w:t>
            </w:r>
            <w:r w:rsidR="00A34400">
              <w:rPr>
                <w:sz w:val="18"/>
                <w:szCs w:val="18"/>
                <w:lang w:val="en-GB"/>
              </w:rPr>
              <w:t>environment</w:t>
            </w:r>
            <w:r w:rsidR="00A34400" w:rsidRPr="001A2B10">
              <w:rPr>
                <w:sz w:val="18"/>
                <w:szCs w:val="18"/>
                <w:lang w:val="en-GB"/>
              </w:rPr>
              <w:t xml:space="preserve"> </w:t>
            </w:r>
            <w:r w:rsidR="00A34400">
              <w:rPr>
                <w:sz w:val="18"/>
                <w:szCs w:val="18"/>
                <w:lang w:val="en-GB"/>
              </w:rPr>
              <w:t xml:space="preserve">affecting program delivery. </w:t>
            </w:r>
          </w:p>
        </w:tc>
        <w:tc>
          <w:tcPr>
            <w:tcW w:w="3126" w:type="dxa"/>
          </w:tcPr>
          <w:p w14:paraId="69F7096E"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Close contact maintained with development partne</w:t>
            </w:r>
            <w:r>
              <w:rPr>
                <w:sz w:val="18"/>
                <w:szCs w:val="18"/>
                <w:lang w:val="en-GB"/>
              </w:rPr>
              <w:t xml:space="preserve">rs and Government on security impacts </w:t>
            </w:r>
            <w:r w:rsidRPr="001A2B10">
              <w:rPr>
                <w:sz w:val="18"/>
                <w:szCs w:val="18"/>
                <w:lang w:val="en-GB"/>
              </w:rPr>
              <w:t xml:space="preserve">on partnerships. </w:t>
            </w:r>
          </w:p>
        </w:tc>
        <w:tc>
          <w:tcPr>
            <w:tcW w:w="2685" w:type="dxa"/>
          </w:tcPr>
          <w:p w14:paraId="4531B89F" w14:textId="408FF7E1" w:rsidR="00A34400" w:rsidRPr="001A2B10" w:rsidRDefault="00A34400" w:rsidP="001343D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Adjust expectations according to political</w:t>
            </w:r>
            <w:r w:rsidR="00D1721C">
              <w:rPr>
                <w:sz w:val="18"/>
                <w:szCs w:val="18"/>
                <w:lang w:val="en-GB"/>
              </w:rPr>
              <w:t xml:space="preserve">, operating </w:t>
            </w:r>
            <w:r w:rsidRPr="001A2B10">
              <w:rPr>
                <w:sz w:val="18"/>
                <w:szCs w:val="18"/>
                <w:lang w:val="en-GB"/>
              </w:rPr>
              <w:t>and security context and re-align partnerships as required. Maintain mix of support through government and non-government partners</w:t>
            </w:r>
            <w:r>
              <w:rPr>
                <w:sz w:val="18"/>
                <w:szCs w:val="18"/>
                <w:lang w:val="en-GB"/>
              </w:rPr>
              <w:t xml:space="preserve"> (NGOs and multilaterals) that have an established presence and deep understanding of context in Bangladesh.</w:t>
            </w:r>
          </w:p>
        </w:tc>
        <w:tc>
          <w:tcPr>
            <w:tcW w:w="1558" w:type="dxa"/>
          </w:tcPr>
          <w:p w14:paraId="1F8488AD"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Pr>
                <w:sz w:val="18"/>
                <w:szCs w:val="18"/>
                <w:lang w:val="en-GB"/>
              </w:rPr>
              <w:t xml:space="preserve"> Medium</w:t>
            </w:r>
          </w:p>
        </w:tc>
        <w:tc>
          <w:tcPr>
            <w:tcW w:w="1074" w:type="dxa"/>
          </w:tcPr>
          <w:p w14:paraId="3A7C1151"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Yes</w:t>
            </w:r>
          </w:p>
        </w:tc>
      </w:tr>
      <w:tr w:rsidR="00A34400" w:rsidRPr="00782E69" w14:paraId="3BC3369E" w14:textId="77777777" w:rsidTr="003C61D9">
        <w:trPr>
          <w:trHeight w:val="1555"/>
        </w:trPr>
        <w:tc>
          <w:tcPr>
            <w:tcW w:w="2270" w:type="dxa"/>
          </w:tcPr>
          <w:p w14:paraId="594AFFEC"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Bilateral aid funds and resources diverted to humanitarian efforts in Cox’ Bazar. </w:t>
            </w:r>
          </w:p>
        </w:tc>
        <w:tc>
          <w:tcPr>
            <w:tcW w:w="3126" w:type="dxa"/>
          </w:tcPr>
          <w:p w14:paraId="2D48D58E"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Utilised the built-in flexibility in the Aid Investment Plan to respond to emergencies in Bangladesh. </w:t>
            </w:r>
          </w:p>
          <w:p w14:paraId="5E3573BD"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Advocacy for global humanitarian allocations, including through the DFAT managed Emergency Fund. </w:t>
            </w:r>
          </w:p>
          <w:p w14:paraId="43A5FA9E"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Prioritisation of staffing resources.</w:t>
            </w:r>
          </w:p>
        </w:tc>
        <w:tc>
          <w:tcPr>
            <w:tcW w:w="2685" w:type="dxa"/>
            <w:shd w:val="clear" w:color="auto" w:fill="auto"/>
          </w:tcPr>
          <w:p w14:paraId="518C5AE3" w14:textId="3E898931" w:rsidR="00A34400" w:rsidRPr="001C069B"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Jointly with DFAT’s Humanitarian </w:t>
            </w:r>
            <w:r w:rsidR="00D1721C">
              <w:rPr>
                <w:iCs/>
                <w:sz w:val="18"/>
                <w:szCs w:val="18"/>
                <w:lang w:val="en-GB"/>
              </w:rPr>
              <w:t xml:space="preserve">NGOs and </w:t>
            </w:r>
            <w:r>
              <w:rPr>
                <w:iCs/>
                <w:sz w:val="18"/>
                <w:szCs w:val="18"/>
                <w:lang w:val="en-GB"/>
              </w:rPr>
              <w:t>Partnership</w:t>
            </w:r>
            <w:r w:rsidR="00D1721C">
              <w:rPr>
                <w:iCs/>
                <w:sz w:val="18"/>
                <w:szCs w:val="18"/>
                <w:lang w:val="en-GB"/>
              </w:rPr>
              <w:t>s</w:t>
            </w:r>
            <w:r>
              <w:rPr>
                <w:iCs/>
                <w:sz w:val="18"/>
                <w:szCs w:val="18"/>
                <w:lang w:val="en-GB"/>
              </w:rPr>
              <w:t xml:space="preserve"> Division work towards developing a framework to guide Australia’s future response</w:t>
            </w:r>
            <w:r w:rsidRPr="00B36C71">
              <w:rPr>
                <w:iCs/>
                <w:sz w:val="18"/>
                <w:szCs w:val="18"/>
                <w:lang w:val="en-GB"/>
              </w:rPr>
              <w:t xml:space="preserve"> </w:t>
            </w:r>
            <w:r>
              <w:rPr>
                <w:iCs/>
                <w:sz w:val="18"/>
                <w:szCs w:val="18"/>
                <w:lang w:val="en-GB"/>
              </w:rPr>
              <w:t xml:space="preserve">to the protracted </w:t>
            </w:r>
            <w:r w:rsidRPr="00B36C71">
              <w:rPr>
                <w:iCs/>
                <w:sz w:val="18"/>
                <w:szCs w:val="18"/>
                <w:lang w:val="en-GB"/>
              </w:rPr>
              <w:t>humanitarian crisis in Cox’s Bazar.</w:t>
            </w:r>
            <w:r>
              <w:rPr>
                <w:iCs/>
                <w:sz w:val="18"/>
                <w:szCs w:val="18"/>
                <w:lang w:val="en-GB"/>
              </w:rPr>
              <w:t xml:space="preserve"> </w:t>
            </w:r>
          </w:p>
          <w:p w14:paraId="108787FD" w14:textId="77777777" w:rsidR="00A34400" w:rsidRPr="00F850BF"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
                <w:iCs/>
                <w:sz w:val="18"/>
                <w:szCs w:val="18"/>
                <w:lang w:val="en-GB"/>
              </w:rPr>
            </w:pPr>
          </w:p>
        </w:tc>
        <w:tc>
          <w:tcPr>
            <w:tcW w:w="1558" w:type="dxa"/>
          </w:tcPr>
          <w:p w14:paraId="3A78C05D"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Medium</w:t>
            </w:r>
          </w:p>
        </w:tc>
        <w:tc>
          <w:tcPr>
            <w:tcW w:w="1074" w:type="dxa"/>
          </w:tcPr>
          <w:p w14:paraId="45788641"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Yes</w:t>
            </w:r>
          </w:p>
        </w:tc>
      </w:tr>
      <w:tr w:rsidR="00A34400" w:rsidRPr="00782E69" w14:paraId="7D8A71FD" w14:textId="77777777" w:rsidTr="003C61D9">
        <w:trPr>
          <w:trHeight w:val="1555"/>
        </w:trPr>
        <w:tc>
          <w:tcPr>
            <w:tcW w:w="2270" w:type="dxa"/>
          </w:tcPr>
          <w:p w14:paraId="4B131E6B"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Funding gaps prevent the delivery of life saving assistance in Cox’s Bazar.</w:t>
            </w:r>
          </w:p>
        </w:tc>
        <w:tc>
          <w:tcPr>
            <w:tcW w:w="3126" w:type="dxa"/>
          </w:tcPr>
          <w:p w14:paraId="3782D29A"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The Joint Response Plan for the Rohingya humanitarian crisis identified priority needs for 1.3 million people and donors advocated with government to enhance humanitarian access and support coordinated delivery of assistance and funding across sectors.</w:t>
            </w:r>
          </w:p>
        </w:tc>
        <w:tc>
          <w:tcPr>
            <w:tcW w:w="2685" w:type="dxa"/>
          </w:tcPr>
          <w:p w14:paraId="30D62EB8" w14:textId="77777777" w:rsidR="00A34400" w:rsidRPr="00B36C71"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Jointly with DFAT’s Humanitarian Partnership Division work towards developing a framework to guide Australia’s medium term response to the protracted humanitarian</w:t>
            </w:r>
            <w:r w:rsidRPr="00B36C71">
              <w:rPr>
                <w:iCs/>
                <w:sz w:val="18"/>
                <w:szCs w:val="18"/>
                <w:lang w:val="en-GB"/>
              </w:rPr>
              <w:t xml:space="preserve"> crisis in Cox’s Bazar.</w:t>
            </w:r>
            <w:r>
              <w:rPr>
                <w:iCs/>
                <w:sz w:val="18"/>
                <w:szCs w:val="18"/>
                <w:lang w:val="en-GB"/>
              </w:rPr>
              <w:t xml:space="preserve"> </w:t>
            </w:r>
          </w:p>
        </w:tc>
        <w:tc>
          <w:tcPr>
            <w:tcW w:w="1558" w:type="dxa"/>
          </w:tcPr>
          <w:p w14:paraId="23CB1B58"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Medium</w:t>
            </w:r>
          </w:p>
        </w:tc>
        <w:tc>
          <w:tcPr>
            <w:tcW w:w="1074" w:type="dxa"/>
          </w:tcPr>
          <w:p w14:paraId="41E4B1EC"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No</w:t>
            </w:r>
          </w:p>
        </w:tc>
      </w:tr>
      <w:tr w:rsidR="00A34400" w:rsidRPr="00782E69" w14:paraId="4F9AD2FB" w14:textId="77777777" w:rsidTr="003C61D9">
        <w:trPr>
          <w:trHeight w:val="1749"/>
        </w:trPr>
        <w:tc>
          <w:tcPr>
            <w:tcW w:w="2270" w:type="dxa"/>
          </w:tcPr>
          <w:p w14:paraId="4343ED26"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Corruption and fiduciary risks</w:t>
            </w:r>
            <w:r>
              <w:rPr>
                <w:iCs/>
                <w:sz w:val="18"/>
                <w:szCs w:val="18"/>
                <w:lang w:val="en-GB"/>
              </w:rPr>
              <w:t>.</w:t>
            </w:r>
          </w:p>
        </w:tc>
        <w:tc>
          <w:tcPr>
            <w:tcW w:w="3126" w:type="dxa"/>
          </w:tcPr>
          <w:p w14:paraId="1FED968F"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Maintain</w:t>
            </w:r>
            <w:r>
              <w:rPr>
                <w:iCs/>
                <w:sz w:val="18"/>
                <w:szCs w:val="18"/>
                <w:lang w:val="en-GB"/>
              </w:rPr>
              <w:t>ed</w:t>
            </w:r>
            <w:r w:rsidRPr="001A2B10">
              <w:rPr>
                <w:iCs/>
                <w:sz w:val="18"/>
                <w:szCs w:val="18"/>
                <w:lang w:val="en-GB"/>
              </w:rPr>
              <w:t xml:space="preserve"> close liaison with partners to monitor</w:t>
            </w:r>
            <w:r>
              <w:rPr>
                <w:iCs/>
                <w:sz w:val="18"/>
                <w:szCs w:val="18"/>
                <w:lang w:val="en-GB"/>
              </w:rPr>
              <w:t xml:space="preserve"> risks</w:t>
            </w:r>
            <w:r w:rsidRPr="001A2B10">
              <w:rPr>
                <w:iCs/>
                <w:sz w:val="18"/>
                <w:szCs w:val="18"/>
                <w:lang w:val="en-GB"/>
              </w:rPr>
              <w:t>. Support</w:t>
            </w:r>
            <w:r>
              <w:rPr>
                <w:iCs/>
                <w:sz w:val="18"/>
                <w:szCs w:val="18"/>
                <w:lang w:val="en-GB"/>
              </w:rPr>
              <w:t>ed</w:t>
            </w:r>
            <w:r w:rsidRPr="001A2B10">
              <w:rPr>
                <w:iCs/>
                <w:sz w:val="18"/>
                <w:szCs w:val="18"/>
                <w:lang w:val="en-GB"/>
              </w:rPr>
              <w:t xml:space="preserve"> sound implementation of </w:t>
            </w:r>
            <w:r>
              <w:rPr>
                <w:iCs/>
                <w:sz w:val="18"/>
                <w:szCs w:val="18"/>
                <w:lang w:val="en-GB"/>
              </w:rPr>
              <w:t xml:space="preserve">the DFAT </w:t>
            </w:r>
            <w:r w:rsidRPr="001A2B10">
              <w:rPr>
                <w:iCs/>
                <w:sz w:val="18"/>
                <w:szCs w:val="18"/>
                <w:lang w:val="en-GB"/>
              </w:rPr>
              <w:t>Fraud Control and Anti-Corruption Strategy</w:t>
            </w:r>
            <w:r>
              <w:rPr>
                <w:iCs/>
                <w:sz w:val="18"/>
                <w:szCs w:val="18"/>
                <w:lang w:val="en-GB"/>
              </w:rPr>
              <w:t xml:space="preserve"> for Bangladesh</w:t>
            </w:r>
            <w:r w:rsidRPr="001A2B10">
              <w:rPr>
                <w:iCs/>
                <w:sz w:val="18"/>
                <w:szCs w:val="18"/>
                <w:lang w:val="en-GB"/>
              </w:rPr>
              <w:t xml:space="preserve">. </w:t>
            </w:r>
          </w:p>
        </w:tc>
        <w:tc>
          <w:tcPr>
            <w:tcW w:w="2685" w:type="dxa"/>
          </w:tcPr>
          <w:p w14:paraId="78B5B7EC"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Assess fiduciary risks involved in all potential partnerships. </w:t>
            </w:r>
            <w:r w:rsidRPr="001A2B10">
              <w:rPr>
                <w:iCs/>
                <w:sz w:val="18"/>
                <w:szCs w:val="18"/>
                <w:lang w:val="en-GB"/>
              </w:rPr>
              <w:t xml:space="preserve">Continue </w:t>
            </w:r>
            <w:r>
              <w:rPr>
                <w:iCs/>
                <w:sz w:val="18"/>
                <w:szCs w:val="18"/>
                <w:lang w:val="en-GB"/>
              </w:rPr>
              <w:t xml:space="preserve">to </w:t>
            </w:r>
            <w:r w:rsidRPr="001A2B10">
              <w:rPr>
                <w:iCs/>
                <w:sz w:val="18"/>
                <w:szCs w:val="18"/>
                <w:lang w:val="en-GB"/>
              </w:rPr>
              <w:t>report to the Fraud Control Section in DFAT</w:t>
            </w:r>
            <w:r>
              <w:rPr>
                <w:iCs/>
                <w:sz w:val="18"/>
                <w:szCs w:val="18"/>
                <w:lang w:val="en-GB"/>
              </w:rPr>
              <w:t>.</w:t>
            </w:r>
          </w:p>
        </w:tc>
        <w:tc>
          <w:tcPr>
            <w:tcW w:w="1558" w:type="dxa"/>
          </w:tcPr>
          <w:p w14:paraId="6E5DDFFA"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High</w:t>
            </w:r>
          </w:p>
        </w:tc>
        <w:tc>
          <w:tcPr>
            <w:tcW w:w="1074" w:type="dxa"/>
          </w:tcPr>
          <w:p w14:paraId="226674C8"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Yes</w:t>
            </w:r>
          </w:p>
        </w:tc>
      </w:tr>
      <w:tr w:rsidR="00A34400" w:rsidRPr="00782E69" w14:paraId="35AE5527" w14:textId="77777777" w:rsidTr="003C61D9">
        <w:trPr>
          <w:trHeight w:val="552"/>
        </w:trPr>
        <w:tc>
          <w:tcPr>
            <w:tcW w:w="2270" w:type="dxa"/>
          </w:tcPr>
          <w:p w14:paraId="019CB51D"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Partners lose strategic alignment with DFAT’s objectives, impacting on results</w:t>
            </w:r>
          </w:p>
        </w:tc>
        <w:tc>
          <w:tcPr>
            <w:tcW w:w="3126" w:type="dxa"/>
          </w:tcPr>
          <w:p w14:paraId="73DCC969"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Partnership training was provided to DFAT and partner key staff to strengthen shared partnership objectives and understanding of DFAT expectations of performance within the partnership modality.</w:t>
            </w:r>
          </w:p>
          <w:p w14:paraId="7827C3F8"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Evaluation of WFP partnership.</w:t>
            </w:r>
          </w:p>
        </w:tc>
        <w:tc>
          <w:tcPr>
            <w:tcW w:w="2685" w:type="dxa"/>
          </w:tcPr>
          <w:p w14:paraId="2895EC05"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Continue to influence partners’ strategic directions through the access partnerships provide to partners’ strategic decision making mechanisms (</w:t>
            </w:r>
            <w:proofErr w:type="spellStart"/>
            <w:r>
              <w:rPr>
                <w:iCs/>
                <w:sz w:val="18"/>
                <w:szCs w:val="18"/>
                <w:lang w:val="en-GB"/>
              </w:rPr>
              <w:t>eg</w:t>
            </w:r>
            <w:proofErr w:type="spellEnd"/>
            <w:r>
              <w:rPr>
                <w:iCs/>
                <w:sz w:val="18"/>
                <w:szCs w:val="18"/>
                <w:lang w:val="en-GB"/>
              </w:rPr>
              <w:t>. BRAC Board).</w:t>
            </w:r>
          </w:p>
          <w:p w14:paraId="1A8C3716" w14:textId="77777777" w:rsidR="00A34400" w:rsidRPr="009F2B42"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Review of BRAC partnership.</w:t>
            </w:r>
          </w:p>
        </w:tc>
        <w:tc>
          <w:tcPr>
            <w:tcW w:w="1558" w:type="dxa"/>
          </w:tcPr>
          <w:p w14:paraId="102A1479"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Medium</w:t>
            </w:r>
          </w:p>
        </w:tc>
        <w:tc>
          <w:tcPr>
            <w:tcW w:w="1074" w:type="dxa"/>
          </w:tcPr>
          <w:p w14:paraId="39601264" w14:textId="77777777" w:rsidR="00A34400" w:rsidRPr="001A2B1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Yes</w:t>
            </w:r>
          </w:p>
        </w:tc>
      </w:tr>
      <w:tr w:rsidR="00A34400" w:rsidRPr="00782E69" w14:paraId="0220F05A" w14:textId="77777777" w:rsidTr="003C61D9">
        <w:trPr>
          <w:trHeight w:val="1124"/>
        </w:trPr>
        <w:tc>
          <w:tcPr>
            <w:tcW w:w="2270" w:type="dxa"/>
          </w:tcPr>
          <w:p w14:paraId="7C05964D"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Increasing the number and breadth of humanitarian partnerships impacts on partner performance and the </w:t>
            </w:r>
            <w:r>
              <w:rPr>
                <w:iCs/>
                <w:sz w:val="18"/>
                <w:szCs w:val="18"/>
                <w:lang w:val="en-GB"/>
              </w:rPr>
              <w:lastRenderedPageBreak/>
              <w:t>achievement of Australia’s objectives.</w:t>
            </w:r>
          </w:p>
          <w:p w14:paraId="7D63FFB4"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p>
        </w:tc>
        <w:tc>
          <w:tcPr>
            <w:tcW w:w="3126" w:type="dxa"/>
          </w:tcPr>
          <w:p w14:paraId="0055A6CA"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lastRenderedPageBreak/>
              <w:t xml:space="preserve">Established regular communication mechanisms to ensure objectives align (such as the WFP monthly strategic partnerships meeting) and participated in agency-specific review processes (such as </w:t>
            </w:r>
            <w:r>
              <w:rPr>
                <w:iCs/>
                <w:sz w:val="18"/>
                <w:szCs w:val="18"/>
                <w:lang w:val="en-GB"/>
              </w:rPr>
              <w:lastRenderedPageBreak/>
              <w:t>the BRAC After Action Review on the Humanitarian Response)</w:t>
            </w:r>
          </w:p>
        </w:tc>
        <w:tc>
          <w:tcPr>
            <w:tcW w:w="2685" w:type="dxa"/>
          </w:tcPr>
          <w:p w14:paraId="70EC3360"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lastRenderedPageBreak/>
              <w:t xml:space="preserve">Post will conduct an independent evaluation of the collective Australian response to the Rohingya crisis (assessing all humanitarian partnerships) in 2019. </w:t>
            </w:r>
          </w:p>
        </w:tc>
        <w:tc>
          <w:tcPr>
            <w:tcW w:w="1558" w:type="dxa"/>
          </w:tcPr>
          <w:p w14:paraId="307BD939"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Medium </w:t>
            </w:r>
          </w:p>
        </w:tc>
        <w:tc>
          <w:tcPr>
            <w:tcW w:w="1074" w:type="dxa"/>
          </w:tcPr>
          <w:p w14:paraId="1A491E6D" w14:textId="77777777" w:rsidR="00A34400" w:rsidRDefault="00A34400" w:rsidP="003C61D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No</w:t>
            </w:r>
          </w:p>
        </w:tc>
      </w:tr>
    </w:tbl>
    <w:p w14:paraId="44B15B60" w14:textId="1189F265" w:rsidR="00A34400" w:rsidRDefault="00A34400" w:rsidP="00A34400">
      <w:pPr>
        <w:pStyle w:val="BodyA"/>
        <w:rPr>
          <w:lang w:val="da-DK"/>
        </w:rPr>
      </w:pPr>
      <w:r>
        <w:rPr>
          <w:lang w:val="da-DK"/>
        </w:rPr>
        <w:t xml:space="preserve">The operating envionment remained challenging and the associated risk remained medium to high throughout 2017-18. Australia managed risks through maintaining a program level risk register; Dhaka Post’s risk register and fraud and anti-coruption strategy; regular dialogue with implementing partners on emerging risks and mitigation strategies; and contracting public financial manegement expertise to address the risk of working through partner systems. </w:t>
      </w:r>
    </w:p>
    <w:p w14:paraId="7BF196F3" w14:textId="77777777" w:rsidR="00D1721C" w:rsidRPr="00AE3448" w:rsidRDefault="00D1721C" w:rsidP="00A34400">
      <w:pPr>
        <w:pStyle w:val="BodyA"/>
        <w:rPr>
          <w:lang w:val="da-DK"/>
        </w:rPr>
      </w:pPr>
    </w:p>
    <w:p w14:paraId="0849BF52" w14:textId="144CF02B" w:rsidR="00A34400" w:rsidRPr="00D86FB4" w:rsidRDefault="00240959" w:rsidP="00A34400">
      <w:pPr>
        <w:pStyle w:val="Heading2"/>
      </w:pPr>
      <w:r>
        <w:rPr>
          <w:rStyle w:val="None"/>
          <w:lang w:val="fr-FR"/>
        </w:rPr>
        <w:t>Management actions</w:t>
      </w:r>
    </w:p>
    <w:p w14:paraId="103D6F41" w14:textId="77777777" w:rsidR="00A34400" w:rsidRPr="00D86FB4" w:rsidRDefault="00A34400" w:rsidP="00A34400">
      <w:pPr>
        <w:pStyle w:val="BodyA"/>
        <w:rPr>
          <w:rFonts w:cs="Times New Roman"/>
          <w:bdr w:val="none" w:sz="0" w:space="0" w:color="auto"/>
          <w:lang w:val="en-GB" w:eastAsia="en-US"/>
        </w:rPr>
      </w:pPr>
      <w:r w:rsidRPr="00D86FB4">
        <w:rPr>
          <w:rFonts w:cs="Times New Roman"/>
          <w:bdr w:val="none" w:sz="0" w:space="0" w:color="auto"/>
          <w:lang w:val="en-GB" w:eastAsia="en-US"/>
        </w:rPr>
        <w:t>The 2016-17 APPR management respons</w:t>
      </w:r>
      <w:r w:rsidRPr="006B166E">
        <w:rPr>
          <w:rFonts w:cs="Times New Roman"/>
          <w:bdr w:val="none" w:sz="0" w:space="0" w:color="auto"/>
          <w:lang w:val="en-GB" w:eastAsia="en-US"/>
        </w:rPr>
        <w:t>es</w:t>
      </w:r>
      <w:r w:rsidRPr="00D86FB4">
        <w:rPr>
          <w:rFonts w:cs="Times New Roman"/>
          <w:bdr w:val="none" w:sz="0" w:space="0" w:color="auto"/>
          <w:lang w:val="en-GB" w:eastAsia="en-US"/>
        </w:rPr>
        <w:t xml:space="preserve"> were met. A summary of progress on management actions is included in the table in </w:t>
      </w:r>
      <w:r w:rsidRPr="00D86FB4">
        <w:rPr>
          <w:rFonts w:cs="Times New Roman"/>
          <w:b/>
          <w:bdr w:val="none" w:sz="0" w:space="0" w:color="auto"/>
          <w:lang w:val="en-GB" w:eastAsia="en-US"/>
        </w:rPr>
        <w:t>Annex A.</w:t>
      </w:r>
      <w:r w:rsidRPr="00D86FB4">
        <w:rPr>
          <w:rFonts w:cs="Times New Roman"/>
          <w:bdr w:val="none" w:sz="0" w:space="0" w:color="auto"/>
          <w:lang w:val="en-GB" w:eastAsia="en-US"/>
        </w:rPr>
        <w:t xml:space="preserve"> Management response</w:t>
      </w:r>
      <w:r w:rsidRPr="006B166E">
        <w:rPr>
          <w:rFonts w:cs="Times New Roman"/>
          <w:bdr w:val="none" w:sz="0" w:space="0" w:color="auto"/>
          <w:lang w:val="en-GB" w:eastAsia="en-US"/>
        </w:rPr>
        <w:t>s for the</w:t>
      </w:r>
      <w:r>
        <w:rPr>
          <w:rFonts w:cs="Times New Roman"/>
          <w:bdr w:val="none" w:sz="0" w:space="0" w:color="auto"/>
          <w:lang w:val="en-GB" w:eastAsia="en-US"/>
        </w:rPr>
        <w:t xml:space="preserve"> </w:t>
      </w:r>
      <w:r w:rsidRPr="00D86FB4">
        <w:rPr>
          <w:rFonts w:cs="Times New Roman"/>
          <w:bdr w:val="none" w:sz="0" w:space="0" w:color="auto"/>
          <w:lang w:val="en-GB" w:eastAsia="en-US"/>
        </w:rPr>
        <w:t>Bangladesh aid program for 2017-18 are as follows:</w:t>
      </w:r>
    </w:p>
    <w:p w14:paraId="1FE1C883" w14:textId="77777777" w:rsidR="00A34400" w:rsidRPr="00D86FB4" w:rsidRDefault="00A34400" w:rsidP="00A34400">
      <w:pPr>
        <w:pStyle w:val="BodyA"/>
        <w:numPr>
          <w:ilvl w:val="0"/>
          <w:numId w:val="10"/>
        </w:numPr>
        <w:ind w:left="426" w:hanging="426"/>
        <w:rPr>
          <w:lang w:val="en-AU"/>
        </w:rPr>
      </w:pPr>
      <w:r w:rsidRPr="00D86FB4">
        <w:rPr>
          <w:lang w:val="en-AU"/>
        </w:rPr>
        <w:t>DFAT (Dhaka Post) to complete the mid-term review of DFAT’s Strategic Partnership Arrangement (SPA) with BRAC by June 2019. The review will assess progress against the SPA’s objectives and engage partners to identify lessons learned that can inform partnership improvement in the remaining years of the program.</w:t>
      </w:r>
    </w:p>
    <w:p w14:paraId="33D61066" w14:textId="77777777" w:rsidR="00A34400" w:rsidRPr="00D86FB4" w:rsidRDefault="00A34400" w:rsidP="00A34400">
      <w:pPr>
        <w:pStyle w:val="BodyA"/>
        <w:numPr>
          <w:ilvl w:val="0"/>
          <w:numId w:val="10"/>
        </w:numPr>
        <w:ind w:left="426" w:hanging="426"/>
        <w:rPr>
          <w:lang w:val="en-AU"/>
        </w:rPr>
      </w:pPr>
      <w:r w:rsidRPr="00D86FB4">
        <w:rPr>
          <w:lang w:val="en-AU"/>
        </w:rPr>
        <w:t xml:space="preserve">DFAT (South and West Asia Division) in collaboration with Dhaka Post to finalise the next phase of the Bangladesh Aid Investment Plan by June 2019 in alignment with Australia’s Foreign Policy White Paper and Bangladesh’s LDC graduation trajectory and SDG agenda. </w:t>
      </w:r>
    </w:p>
    <w:p w14:paraId="363FE57C" w14:textId="77777777" w:rsidR="00A34400" w:rsidRPr="00D86FB4" w:rsidRDefault="00A34400" w:rsidP="00A34400">
      <w:pPr>
        <w:spacing w:before="120" w:after="60" w:line="230" w:lineRule="atLeast"/>
        <w:rPr>
          <w:rFonts w:ascii="Calibri Light" w:hAnsi="Calibri Light"/>
          <w:color w:val="495965"/>
          <w:sz w:val="22"/>
          <w:szCs w:val="22"/>
          <w:bdr w:val="none" w:sz="0" w:space="0" w:color="auto" w:frame="1"/>
          <w:lang w:val="en-GB"/>
        </w:rPr>
      </w:pPr>
      <w:r w:rsidRPr="00D86FB4">
        <w:rPr>
          <w:rFonts w:ascii="Calibri Light" w:hAnsi="Calibri Light"/>
          <w:b/>
          <w:bCs/>
          <w:color w:val="495965"/>
          <w:lang w:eastAsia="en-AU"/>
        </w:rPr>
        <w:t xml:space="preserve">Objective 1: </w:t>
      </w:r>
      <w:r w:rsidRPr="00D86FB4">
        <w:rPr>
          <w:rFonts w:ascii="Calibri Light" w:hAnsi="Calibri Light"/>
          <w:b/>
          <w:bCs/>
          <w:color w:val="495965"/>
        </w:rPr>
        <w:t xml:space="preserve">Improving education access, equity, </w:t>
      </w:r>
      <w:proofErr w:type="gramStart"/>
      <w:r w:rsidRPr="00D86FB4">
        <w:rPr>
          <w:rFonts w:ascii="Calibri Light" w:hAnsi="Calibri Light"/>
          <w:b/>
          <w:bCs/>
          <w:color w:val="495965"/>
        </w:rPr>
        <w:t>efficiency</w:t>
      </w:r>
      <w:proofErr w:type="gramEnd"/>
      <w:r w:rsidRPr="00D86FB4">
        <w:rPr>
          <w:rFonts w:ascii="Calibri Light" w:hAnsi="Calibri Light"/>
          <w:b/>
          <w:bCs/>
          <w:color w:val="495965"/>
        </w:rPr>
        <w:t xml:space="preserve"> and learning outcomes.</w:t>
      </w:r>
    </w:p>
    <w:p w14:paraId="4C538403" w14:textId="60212B58" w:rsidR="00A34400" w:rsidRPr="00D86FB4" w:rsidRDefault="00A34400" w:rsidP="00A3440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0" w:lineRule="atLeast"/>
        <w:ind w:left="426" w:hanging="426"/>
        <w:rPr>
          <w:rFonts w:ascii="Calibri Light" w:hAnsi="Calibri Light"/>
          <w:color w:val="495965"/>
          <w:bdr w:val="none" w:sz="0" w:space="0" w:color="auto"/>
          <w:lang w:val="en-AU" w:eastAsia="en-AU"/>
        </w:rPr>
      </w:pPr>
      <w:r w:rsidRPr="00D86FB4">
        <w:rPr>
          <w:rFonts w:ascii="Calibri Light" w:hAnsi="Calibri Light"/>
          <w:color w:val="495965"/>
          <w:lang w:eastAsia="en-AU"/>
        </w:rPr>
        <w:t xml:space="preserve">In consultation with DFAT Canberra, Dhaka Post to </w:t>
      </w:r>
      <w:proofErr w:type="spellStart"/>
      <w:r w:rsidRPr="00D86FB4">
        <w:rPr>
          <w:rFonts w:ascii="Calibri Light" w:hAnsi="Calibri Light"/>
          <w:color w:val="495965"/>
          <w:lang w:eastAsia="en-AU"/>
        </w:rPr>
        <w:t>finalise</w:t>
      </w:r>
      <w:proofErr w:type="spellEnd"/>
      <w:r w:rsidRPr="00D86FB4">
        <w:rPr>
          <w:rFonts w:ascii="Calibri Light" w:hAnsi="Calibri Light"/>
          <w:color w:val="495965"/>
          <w:lang w:eastAsia="en-AU"/>
        </w:rPr>
        <w:t xml:space="preserve"> investment decisions aligned with the Aid Investment Plan Bangladesh 2015-16 – 2018-19 </w:t>
      </w:r>
      <w:r w:rsidRPr="004F7962">
        <w:rPr>
          <w:rFonts w:ascii="Calibri Light" w:hAnsi="Calibri Light"/>
          <w:color w:val="495965"/>
          <w:lang w:eastAsia="en-AU"/>
        </w:rPr>
        <w:t>and</w:t>
      </w:r>
      <w:r w:rsidRPr="00D86FB4">
        <w:rPr>
          <w:rFonts w:ascii="Calibri Light" w:hAnsi="Calibri Light"/>
          <w:color w:val="495965"/>
          <w:lang w:eastAsia="en-AU"/>
        </w:rPr>
        <w:t xml:space="preserve"> </w:t>
      </w:r>
      <w:r w:rsidR="00D1721C">
        <w:rPr>
          <w:rFonts w:ascii="Calibri Light" w:hAnsi="Calibri Light"/>
          <w:color w:val="495965"/>
          <w:lang w:eastAsia="en-AU"/>
        </w:rPr>
        <w:t>(</w:t>
      </w:r>
      <w:proofErr w:type="spellStart"/>
      <w:r w:rsidR="00D1721C">
        <w:rPr>
          <w:rFonts w:ascii="Calibri Light" w:hAnsi="Calibri Light"/>
          <w:color w:val="495965"/>
          <w:lang w:eastAsia="en-AU"/>
        </w:rPr>
        <w:t>i</w:t>
      </w:r>
      <w:proofErr w:type="spellEnd"/>
      <w:r w:rsidR="00D1721C">
        <w:rPr>
          <w:rFonts w:ascii="Calibri Light" w:hAnsi="Calibri Light"/>
          <w:color w:val="495965"/>
          <w:lang w:eastAsia="en-AU"/>
        </w:rPr>
        <w:t xml:space="preserve">) </w:t>
      </w:r>
      <w:r w:rsidRPr="00D86FB4">
        <w:rPr>
          <w:rFonts w:ascii="Calibri Light" w:hAnsi="Calibri Light"/>
          <w:color w:val="495965"/>
          <w:lang w:eastAsia="en-AU"/>
        </w:rPr>
        <w:t xml:space="preserve">program unallocated bilateral funds by December 2018 and </w:t>
      </w:r>
      <w:r w:rsidR="00D1721C">
        <w:rPr>
          <w:rFonts w:ascii="Calibri Light" w:hAnsi="Calibri Light"/>
          <w:color w:val="495965"/>
          <w:lang w:eastAsia="en-AU"/>
        </w:rPr>
        <w:t xml:space="preserve">(ii) </w:t>
      </w:r>
      <w:r w:rsidRPr="00D86FB4">
        <w:rPr>
          <w:rFonts w:ascii="Calibri Light" w:hAnsi="Calibri Light"/>
          <w:color w:val="495965"/>
          <w:lang w:eastAsia="en-AU"/>
        </w:rPr>
        <w:t xml:space="preserve">to identify opportunities for continued policy engagement in the education sector. </w:t>
      </w:r>
    </w:p>
    <w:p w14:paraId="3AFC493F" w14:textId="77777777" w:rsidR="00A34400" w:rsidRPr="00D86FB4" w:rsidRDefault="00A34400" w:rsidP="00A34400">
      <w:pPr>
        <w:spacing w:before="120" w:after="60" w:line="230" w:lineRule="atLeast"/>
        <w:rPr>
          <w:rFonts w:ascii="Calibri Light" w:hAnsi="Calibri Light"/>
          <w:color w:val="495965"/>
          <w:lang w:eastAsia="en-AU"/>
        </w:rPr>
      </w:pPr>
      <w:r w:rsidRPr="00D86FB4">
        <w:rPr>
          <w:rFonts w:ascii="Calibri Light" w:hAnsi="Calibri Light"/>
          <w:b/>
          <w:bCs/>
          <w:color w:val="495965"/>
          <w:lang w:eastAsia="en-AU"/>
        </w:rPr>
        <w:t>Objective 2: building economic resilience by reducing vulnerability and improving inclusion in the growing economy</w:t>
      </w:r>
    </w:p>
    <w:p w14:paraId="7B92CDC6" w14:textId="77777777" w:rsidR="00A34400" w:rsidRPr="00D86FB4" w:rsidRDefault="00A34400" w:rsidP="00A3440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0" w:lineRule="atLeast"/>
        <w:ind w:left="426" w:hanging="426"/>
        <w:rPr>
          <w:rFonts w:ascii="Calibri Light" w:hAnsi="Calibri Light"/>
          <w:color w:val="495965"/>
          <w:lang w:eastAsia="en-AU"/>
        </w:rPr>
      </w:pPr>
      <w:r w:rsidRPr="00D86FB4">
        <w:rPr>
          <w:rFonts w:ascii="Calibri Light" w:hAnsi="Calibri Light"/>
          <w:color w:val="495965"/>
          <w:lang w:eastAsia="en-AU"/>
        </w:rPr>
        <w:t xml:space="preserve">DFAT (Dhaka Post) to support the Government of Bangladesh’s review of NSSS implementation, through the Australian funded Social Protection Policy Support Program, to inform the future focus of DFAT’s support to social protection reform by May 2019.   </w:t>
      </w:r>
    </w:p>
    <w:p w14:paraId="49ED279B" w14:textId="578CE565" w:rsidR="00A34400" w:rsidRPr="00D86FB4" w:rsidRDefault="00A34400" w:rsidP="00A3440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0" w:lineRule="atLeast"/>
        <w:ind w:left="426" w:hanging="426"/>
        <w:rPr>
          <w:rFonts w:ascii="Calibri Light" w:hAnsi="Calibri Light"/>
          <w:color w:val="495965"/>
          <w:lang w:eastAsia="en-AU"/>
        </w:rPr>
      </w:pPr>
      <w:r w:rsidRPr="00D86FB4">
        <w:rPr>
          <w:rFonts w:ascii="Calibri Light" w:hAnsi="Calibri Light"/>
          <w:color w:val="495965"/>
          <w:lang w:eastAsia="en-AU"/>
        </w:rPr>
        <w:t xml:space="preserve">In consultation with DFAT’s Disability Section, Dhaka Post to identify actions to enhance our focus on disability inclusive development and support our partners, particularly BRAC and WFP, to improve their systems and results. </w:t>
      </w:r>
    </w:p>
    <w:p w14:paraId="2A1536C2" w14:textId="62344E6D" w:rsidR="00A34400" w:rsidRPr="00A750C8" w:rsidRDefault="00A34400" w:rsidP="00A3440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30" w:lineRule="atLeast"/>
        <w:ind w:left="426" w:hanging="426"/>
        <w:rPr>
          <w:rFonts w:ascii="Calibri Light" w:hAnsi="Calibri Light"/>
          <w:color w:val="495965"/>
          <w:lang w:eastAsia="en-AU"/>
        </w:rPr>
      </w:pPr>
      <w:r w:rsidRPr="00D86FB4">
        <w:rPr>
          <w:rFonts w:ascii="Calibri Light" w:hAnsi="Calibri Light"/>
          <w:color w:val="495965"/>
          <w:lang w:eastAsia="en-AU"/>
        </w:rPr>
        <w:t xml:space="preserve">Jointly with DFAT’s Humanitarian Partnership Division, South and West Asia Division and Dhaka Post to develop </w:t>
      </w:r>
      <w:r w:rsidR="0037642C">
        <w:rPr>
          <w:rFonts w:ascii="Calibri Light" w:hAnsi="Calibri Light"/>
          <w:color w:val="495965"/>
          <w:lang w:eastAsia="en-AU"/>
        </w:rPr>
        <w:t xml:space="preserve">a </w:t>
      </w:r>
      <w:r w:rsidR="00D1721C">
        <w:rPr>
          <w:rFonts w:ascii="Calibri Light" w:hAnsi="Calibri Light"/>
          <w:color w:val="495965"/>
          <w:lang w:eastAsia="en-AU"/>
        </w:rPr>
        <w:t xml:space="preserve">medium term </w:t>
      </w:r>
      <w:r>
        <w:rPr>
          <w:rFonts w:ascii="Calibri Light" w:hAnsi="Calibri Light"/>
          <w:color w:val="495965"/>
          <w:lang w:eastAsia="en-AU"/>
        </w:rPr>
        <w:t xml:space="preserve">framework to guide </w:t>
      </w:r>
      <w:r w:rsidRPr="00D86FB4">
        <w:rPr>
          <w:rFonts w:ascii="Calibri Light" w:hAnsi="Calibri Light"/>
          <w:color w:val="495965"/>
          <w:lang w:eastAsia="en-AU"/>
        </w:rPr>
        <w:t>support</w:t>
      </w:r>
      <w:r w:rsidR="00D1721C">
        <w:rPr>
          <w:rFonts w:ascii="Calibri Light" w:hAnsi="Calibri Light"/>
          <w:color w:val="495965"/>
          <w:lang w:eastAsia="en-AU"/>
        </w:rPr>
        <w:t xml:space="preserve"> for</w:t>
      </w:r>
      <w:r w:rsidRPr="00D86FB4">
        <w:rPr>
          <w:rFonts w:ascii="Calibri Light" w:hAnsi="Calibri Light"/>
          <w:color w:val="495965"/>
          <w:lang w:eastAsia="en-AU"/>
        </w:rPr>
        <w:t xml:space="preserve"> the Rohingya humanitarian crisis in Cox’s Bazar by April 2019.</w:t>
      </w:r>
    </w:p>
    <w:p w14:paraId="552701D9" w14:textId="37799E58" w:rsidR="00A34400" w:rsidRDefault="00A34400">
      <w:pPr>
        <w:pStyle w:val="BodyA"/>
      </w:pPr>
    </w:p>
    <w:p w14:paraId="4FBC635E" w14:textId="77777777" w:rsidR="00A34400" w:rsidRDefault="00A34400">
      <w:pPr>
        <w:pStyle w:val="BodyA"/>
        <w:sectPr w:rsidR="00A34400" w:rsidSect="004B0DE7">
          <w:pgSz w:w="11900" w:h="16840"/>
          <w:pgMar w:top="1276" w:right="701" w:bottom="1276" w:left="709" w:header="709" w:footer="230" w:gutter="0"/>
          <w:cols w:space="720"/>
        </w:sectPr>
      </w:pPr>
    </w:p>
    <w:p w14:paraId="0705C035" w14:textId="77777777" w:rsidR="003B4A93" w:rsidRDefault="001E283F" w:rsidP="00E61CEA">
      <w:pPr>
        <w:pStyle w:val="Subtitle"/>
      </w:pPr>
      <w:r>
        <w:lastRenderedPageBreak/>
        <w:t>Annex A - Progress in Addressing Management actions</w:t>
      </w:r>
    </w:p>
    <w:tbl>
      <w:tblPr>
        <w:tblW w:w="15751" w:type="dxa"/>
        <w:tblInd w:w="-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7939"/>
        <w:gridCol w:w="851"/>
        <w:gridCol w:w="6961"/>
      </w:tblGrid>
      <w:tr w:rsidR="00861559" w14:paraId="230E0C02" w14:textId="77777777" w:rsidTr="003C61D9">
        <w:trPr>
          <w:trHeight w:val="460"/>
        </w:trPr>
        <w:tc>
          <w:tcPr>
            <w:tcW w:w="7939" w:type="dxa"/>
            <w:tcBorders>
              <w:top w:val="nil"/>
              <w:left w:val="nil"/>
              <w:bottom w:val="nil"/>
              <w:right w:val="nil"/>
            </w:tcBorders>
            <w:shd w:val="clear" w:color="auto" w:fill="auto"/>
            <w:tcMar>
              <w:top w:w="80" w:type="dxa"/>
              <w:left w:w="80" w:type="dxa"/>
              <w:bottom w:w="80" w:type="dxa"/>
              <w:right w:w="80" w:type="dxa"/>
            </w:tcMar>
          </w:tcPr>
          <w:p w14:paraId="3E4C4619" w14:textId="77777777" w:rsidR="00861559" w:rsidRPr="0075335A" w:rsidRDefault="00861559" w:rsidP="003C61D9">
            <w:pPr>
              <w:pStyle w:val="BodyA"/>
              <w:keepLines/>
              <w:spacing w:before="80" w:after="80" w:line="200" w:lineRule="atLeast"/>
              <w:rPr>
                <w:sz w:val="20"/>
                <w:szCs w:val="20"/>
              </w:rPr>
            </w:pPr>
            <w:r w:rsidRPr="0075335A">
              <w:rPr>
                <w:rStyle w:val="None"/>
                <w:b/>
                <w:bCs/>
                <w:sz w:val="20"/>
                <w:szCs w:val="20"/>
              </w:rPr>
              <w:t>Management actions identified in 2016-17 APPR</w:t>
            </w:r>
            <w:r w:rsidRPr="0075335A">
              <w:rPr>
                <w:rStyle w:val="None"/>
                <w:b/>
                <w:bCs/>
                <w:sz w:val="20"/>
                <w:szCs w:val="20"/>
              </w:rPr>
              <w:tab/>
            </w:r>
          </w:p>
        </w:tc>
        <w:tc>
          <w:tcPr>
            <w:tcW w:w="851" w:type="dxa"/>
            <w:tcBorders>
              <w:top w:val="nil"/>
              <w:left w:val="nil"/>
              <w:bottom w:val="nil"/>
              <w:right w:val="nil"/>
            </w:tcBorders>
            <w:shd w:val="clear" w:color="auto" w:fill="auto"/>
            <w:tcMar>
              <w:top w:w="80" w:type="dxa"/>
              <w:left w:w="80" w:type="dxa"/>
              <w:bottom w:w="80" w:type="dxa"/>
              <w:right w:w="80" w:type="dxa"/>
            </w:tcMar>
          </w:tcPr>
          <w:p w14:paraId="0F29F697" w14:textId="77777777" w:rsidR="00861559" w:rsidRPr="0075335A" w:rsidRDefault="00861559" w:rsidP="003C61D9">
            <w:pPr>
              <w:pStyle w:val="BodyA"/>
              <w:keepLines/>
              <w:spacing w:before="80" w:after="80" w:line="200" w:lineRule="atLeast"/>
              <w:rPr>
                <w:sz w:val="20"/>
                <w:szCs w:val="20"/>
              </w:rPr>
            </w:pPr>
            <w:r w:rsidRPr="0075335A">
              <w:rPr>
                <w:rStyle w:val="None"/>
                <w:b/>
                <w:bCs/>
                <w:sz w:val="20"/>
                <w:szCs w:val="20"/>
              </w:rPr>
              <w:t>Rating</w:t>
            </w:r>
          </w:p>
        </w:tc>
        <w:tc>
          <w:tcPr>
            <w:tcW w:w="6961" w:type="dxa"/>
            <w:tcBorders>
              <w:top w:val="nil"/>
              <w:left w:val="nil"/>
              <w:bottom w:val="nil"/>
              <w:right w:val="nil"/>
            </w:tcBorders>
            <w:shd w:val="clear" w:color="auto" w:fill="auto"/>
            <w:tcMar>
              <w:top w:w="80" w:type="dxa"/>
              <w:left w:w="80" w:type="dxa"/>
              <w:bottom w:w="80" w:type="dxa"/>
              <w:right w:w="80" w:type="dxa"/>
            </w:tcMar>
          </w:tcPr>
          <w:p w14:paraId="57E5B999" w14:textId="77777777" w:rsidR="00861559" w:rsidRPr="0075335A" w:rsidRDefault="00861559" w:rsidP="003C61D9">
            <w:pPr>
              <w:pStyle w:val="BodyA"/>
              <w:keepLines/>
              <w:spacing w:before="80" w:after="80" w:line="200" w:lineRule="atLeast"/>
              <w:jc w:val="center"/>
              <w:rPr>
                <w:sz w:val="20"/>
                <w:szCs w:val="20"/>
              </w:rPr>
            </w:pPr>
            <w:r w:rsidRPr="0075335A">
              <w:rPr>
                <w:rStyle w:val="None"/>
                <w:b/>
                <w:bCs/>
                <w:sz w:val="20"/>
                <w:szCs w:val="20"/>
              </w:rPr>
              <w:t>Progress made  in 2017-18</w:t>
            </w:r>
          </w:p>
        </w:tc>
      </w:tr>
      <w:tr w:rsidR="00861559" w14:paraId="2D8CDF20" w14:textId="77777777" w:rsidTr="003C61D9">
        <w:trPr>
          <w:trHeight w:val="460"/>
        </w:trPr>
        <w:tc>
          <w:tcPr>
            <w:tcW w:w="7939" w:type="dxa"/>
            <w:tcBorders>
              <w:top w:val="nil"/>
              <w:left w:val="nil"/>
              <w:bottom w:val="nil"/>
              <w:right w:val="nil"/>
            </w:tcBorders>
            <w:shd w:val="clear" w:color="auto" w:fill="auto"/>
            <w:tcMar>
              <w:top w:w="80" w:type="dxa"/>
              <w:left w:w="80" w:type="dxa"/>
              <w:bottom w:w="80" w:type="dxa"/>
              <w:right w:w="80" w:type="dxa"/>
            </w:tcMar>
          </w:tcPr>
          <w:p w14:paraId="6CEF7201" w14:textId="77777777" w:rsidR="00861559" w:rsidRPr="00831090" w:rsidRDefault="00861559" w:rsidP="003C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Determine Australia’s involvement in the next phase of the Bangladesh Government’s Primary Education and Social Protection programs by supporting and engaging in partner design processes</w:t>
            </w:r>
          </w:p>
          <w:p w14:paraId="38F582EE"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Utilise Australian commissioned studies on lessons learned from teaching and learning quality interventions in PEDP3 to support the Government of Bangladesh to include effective quality reform initiatives in the PEDP4 design.</w:t>
            </w:r>
          </w:p>
        </w:tc>
        <w:tc>
          <w:tcPr>
            <w:tcW w:w="851" w:type="dxa"/>
            <w:tcBorders>
              <w:top w:val="nil"/>
              <w:left w:val="nil"/>
              <w:bottom w:val="nil"/>
              <w:right w:val="nil"/>
            </w:tcBorders>
            <w:shd w:val="clear" w:color="auto" w:fill="92D050"/>
            <w:tcMar>
              <w:top w:w="80" w:type="dxa"/>
              <w:left w:w="80" w:type="dxa"/>
              <w:bottom w:w="80" w:type="dxa"/>
              <w:right w:w="80" w:type="dxa"/>
            </w:tcMar>
          </w:tcPr>
          <w:p w14:paraId="3DACB3F6" w14:textId="77777777" w:rsidR="00861559" w:rsidRPr="00A71A2A" w:rsidRDefault="00861559" w:rsidP="003C61D9">
            <w:pPr>
              <w:pStyle w:val="BodyA"/>
              <w:keepLines/>
              <w:spacing w:before="40" w:after="40" w:line="200" w:lineRule="atLeast"/>
              <w:jc w:val="center"/>
              <w:rPr>
                <w:rStyle w:val="None"/>
                <w:color w:val="FFFFFF"/>
                <w:sz w:val="17"/>
                <w:szCs w:val="17"/>
                <w:u w:color="FFFFFF"/>
              </w:rPr>
            </w:pPr>
            <w:r w:rsidRPr="00A71A2A">
              <w:rPr>
                <w:rStyle w:val="None"/>
                <w:color w:val="FFFFFF"/>
                <w:sz w:val="17"/>
                <w:szCs w:val="17"/>
                <w:u w:color="FFFFFF"/>
              </w:rPr>
              <w:t>Achieved</w:t>
            </w:r>
          </w:p>
        </w:tc>
        <w:tc>
          <w:tcPr>
            <w:tcW w:w="6961" w:type="dxa"/>
            <w:tcBorders>
              <w:top w:val="nil"/>
              <w:left w:val="nil"/>
              <w:bottom w:val="nil"/>
              <w:right w:val="nil"/>
            </w:tcBorders>
            <w:shd w:val="clear" w:color="auto" w:fill="auto"/>
            <w:tcMar>
              <w:top w:w="80" w:type="dxa"/>
              <w:left w:w="80" w:type="dxa"/>
              <w:bottom w:w="80" w:type="dxa"/>
              <w:right w:w="80" w:type="dxa"/>
            </w:tcMar>
          </w:tcPr>
          <w:p w14:paraId="2580B37E" w14:textId="77777777" w:rsidR="00861559" w:rsidRDefault="00861559" w:rsidP="003C61D9">
            <w:pPr>
              <w:rPr>
                <w:rFonts w:ascii="Calibri Light" w:eastAsia="Calibri Light" w:hAnsi="Calibri Light"/>
                <w:color w:val="495965"/>
                <w:sz w:val="18"/>
                <w:szCs w:val="18"/>
                <w:bdr w:val="none" w:sz="0" w:space="0" w:color="auto"/>
                <w:lang w:val="en-GB"/>
              </w:rPr>
            </w:pPr>
            <w:r w:rsidRPr="0043388F">
              <w:rPr>
                <w:rFonts w:ascii="Calibri Light" w:eastAsia="Calibri Light" w:hAnsi="Calibri Light"/>
                <w:color w:val="495965"/>
                <w:sz w:val="18"/>
                <w:szCs w:val="18"/>
                <w:bdr w:val="none" w:sz="0" w:space="0" w:color="auto"/>
                <w:lang w:val="en-GB"/>
              </w:rPr>
              <w:t xml:space="preserve">Australian commissioned studies, including in </w:t>
            </w:r>
            <w:r>
              <w:rPr>
                <w:rFonts w:ascii="Calibri Light" w:eastAsia="Calibri Light" w:hAnsi="Calibri Light"/>
                <w:color w:val="495965"/>
                <w:sz w:val="18"/>
                <w:szCs w:val="18"/>
                <w:bdr w:val="none" w:sz="0" w:space="0" w:color="auto"/>
                <w:lang w:val="en-GB"/>
              </w:rPr>
              <w:t>second chance education and in literacy and numeracy</w:t>
            </w:r>
            <w:r w:rsidRPr="0043388F">
              <w:rPr>
                <w:rFonts w:ascii="Calibri Light" w:eastAsia="Calibri Light" w:hAnsi="Calibri Light"/>
                <w:color w:val="495965"/>
                <w:sz w:val="18"/>
                <w:szCs w:val="18"/>
                <w:bdr w:val="none" w:sz="0" w:space="0" w:color="auto"/>
                <w:lang w:val="en-GB"/>
              </w:rPr>
              <w:t xml:space="preserve"> ha</w:t>
            </w:r>
            <w:r>
              <w:rPr>
                <w:rFonts w:ascii="Calibri Light" w:eastAsia="Calibri Light" w:hAnsi="Calibri Light"/>
                <w:color w:val="495965"/>
                <w:sz w:val="18"/>
                <w:szCs w:val="18"/>
                <w:bdr w:val="none" w:sz="0" w:space="0" w:color="auto"/>
                <w:lang w:val="en-GB"/>
              </w:rPr>
              <w:t>ve</w:t>
            </w:r>
            <w:r w:rsidRPr="0043388F">
              <w:rPr>
                <w:rFonts w:ascii="Calibri Light" w:eastAsia="Calibri Light" w:hAnsi="Calibri Light"/>
                <w:color w:val="495965"/>
                <w:sz w:val="18"/>
                <w:szCs w:val="18"/>
                <w:bdr w:val="none" w:sz="0" w:space="0" w:color="auto"/>
                <w:lang w:val="en-GB"/>
              </w:rPr>
              <w:t xml:space="preserve"> informed the design of the next phase of Government of Bangladesh led Primary Education Development Programme. Following consultations with donors and other relevant stakeholders, Australia decided not to fund the next phase of the education investment. This decision was conveyed to </w:t>
            </w:r>
            <w:r>
              <w:rPr>
                <w:rFonts w:ascii="Calibri Light" w:eastAsia="Calibri Light" w:hAnsi="Calibri Light"/>
                <w:color w:val="495965"/>
                <w:sz w:val="18"/>
                <w:szCs w:val="18"/>
                <w:bdr w:val="none" w:sz="0" w:space="0" w:color="auto"/>
                <w:lang w:val="en-GB"/>
              </w:rPr>
              <w:t xml:space="preserve">the </w:t>
            </w:r>
            <w:r w:rsidRPr="0043388F">
              <w:rPr>
                <w:rFonts w:ascii="Calibri Light" w:eastAsia="Calibri Light" w:hAnsi="Calibri Light"/>
                <w:color w:val="495965"/>
                <w:sz w:val="18"/>
                <w:szCs w:val="18"/>
                <w:bdr w:val="none" w:sz="0" w:space="0" w:color="auto"/>
                <w:lang w:val="en-GB"/>
              </w:rPr>
              <w:t>Government of Banglade</w:t>
            </w:r>
            <w:r>
              <w:rPr>
                <w:rFonts w:ascii="Calibri Light" w:eastAsia="Calibri Light" w:hAnsi="Calibri Light"/>
                <w:color w:val="495965"/>
                <w:sz w:val="18"/>
                <w:szCs w:val="18"/>
                <w:bdr w:val="none" w:sz="0" w:space="0" w:color="auto"/>
                <w:lang w:val="en-GB"/>
              </w:rPr>
              <w:t>sh.</w:t>
            </w:r>
            <w:r w:rsidRPr="0043388F">
              <w:rPr>
                <w:rFonts w:ascii="Calibri Light" w:eastAsia="Calibri Light" w:hAnsi="Calibri Light"/>
                <w:color w:val="495965"/>
                <w:sz w:val="18"/>
                <w:szCs w:val="18"/>
                <w:bdr w:val="none" w:sz="0" w:space="0" w:color="auto"/>
                <w:lang w:val="en-GB"/>
              </w:rPr>
              <w:t xml:space="preserve"> </w:t>
            </w:r>
          </w:p>
          <w:p w14:paraId="5572BB6B" w14:textId="3984A73E" w:rsidR="00861559" w:rsidRPr="0043388F" w:rsidRDefault="00861559" w:rsidP="0037642C">
            <w:r>
              <w:rPr>
                <w:rFonts w:ascii="Calibri Light" w:eastAsia="Calibri Light" w:hAnsi="Calibri Light"/>
                <w:color w:val="495965"/>
                <w:sz w:val="18"/>
                <w:szCs w:val="18"/>
                <w:bdr w:val="none" w:sz="0" w:space="0" w:color="auto"/>
                <w:lang w:val="en-GB"/>
              </w:rPr>
              <w:t>The social protection investment (</w:t>
            </w:r>
            <w:r w:rsidRPr="0043388F">
              <w:rPr>
                <w:rFonts w:ascii="Calibri Light" w:eastAsia="Calibri Light" w:hAnsi="Calibri Light"/>
                <w:color w:val="495965"/>
                <w:sz w:val="18"/>
                <w:szCs w:val="18"/>
                <w:bdr w:val="none" w:sz="0" w:space="0" w:color="auto"/>
                <w:lang w:val="en-GB"/>
              </w:rPr>
              <w:t>SGSP</w:t>
            </w:r>
            <w:r>
              <w:rPr>
                <w:rFonts w:ascii="Calibri Light" w:eastAsia="Calibri Light" w:hAnsi="Calibri Light"/>
                <w:color w:val="495965"/>
                <w:sz w:val="18"/>
                <w:szCs w:val="18"/>
                <w:bdr w:val="none" w:sz="0" w:space="0" w:color="auto"/>
                <w:lang w:val="en-GB"/>
              </w:rPr>
              <w:t>)</w:t>
            </w:r>
            <w:r w:rsidRPr="0043388F">
              <w:rPr>
                <w:rFonts w:ascii="Calibri Light" w:eastAsia="Calibri Light" w:hAnsi="Calibri Light"/>
                <w:color w:val="495965"/>
                <w:sz w:val="18"/>
                <w:szCs w:val="18"/>
                <w:bdr w:val="none" w:sz="0" w:space="0" w:color="auto"/>
                <w:lang w:val="en-GB"/>
              </w:rPr>
              <w:t xml:space="preserve"> concluded in June 2018. </w:t>
            </w:r>
            <w:r>
              <w:rPr>
                <w:rFonts w:ascii="Calibri Light" w:eastAsia="Calibri Light" w:hAnsi="Calibri Light"/>
                <w:color w:val="495965"/>
                <w:sz w:val="18"/>
                <w:szCs w:val="18"/>
                <w:bdr w:val="none" w:sz="0" w:space="0" w:color="auto"/>
                <w:lang w:val="en-GB"/>
              </w:rPr>
              <w:t xml:space="preserve">A new initiative, building on </w:t>
            </w:r>
            <w:r w:rsidRPr="0043388F">
              <w:rPr>
                <w:rFonts w:ascii="Calibri Light" w:eastAsia="Calibri Light" w:hAnsi="Calibri Light"/>
                <w:color w:val="495965"/>
                <w:sz w:val="18"/>
                <w:szCs w:val="18"/>
                <w:bdr w:val="none" w:sz="0" w:space="0" w:color="auto"/>
                <w:lang w:val="en-GB"/>
              </w:rPr>
              <w:t>SGSP</w:t>
            </w:r>
            <w:r>
              <w:rPr>
                <w:rFonts w:ascii="Calibri Light" w:eastAsia="Calibri Light" w:hAnsi="Calibri Light"/>
                <w:color w:val="495965"/>
                <w:sz w:val="18"/>
                <w:szCs w:val="18"/>
                <w:bdr w:val="none" w:sz="0" w:space="0" w:color="auto"/>
                <w:lang w:val="en-GB"/>
              </w:rPr>
              <w:t>, and implemented by UNDP – SSPS – commenced in February 2018</w:t>
            </w:r>
            <w:r w:rsidR="0037642C">
              <w:rPr>
                <w:rFonts w:ascii="Calibri Light" w:eastAsia="Calibri Light" w:hAnsi="Calibri Light"/>
                <w:color w:val="495965"/>
                <w:sz w:val="18"/>
                <w:szCs w:val="18"/>
                <w:bdr w:val="none" w:sz="0" w:space="0" w:color="auto"/>
                <w:lang w:val="en-GB"/>
              </w:rPr>
              <w:t>, responding to a Government request for continued assistance.</w:t>
            </w:r>
            <w:r>
              <w:rPr>
                <w:rFonts w:ascii="Calibri Light" w:eastAsia="Calibri Light" w:hAnsi="Calibri Light"/>
                <w:color w:val="495965"/>
                <w:sz w:val="18"/>
                <w:szCs w:val="18"/>
                <w:bdr w:val="none" w:sz="0" w:space="0" w:color="auto"/>
                <w:lang w:val="en-GB"/>
              </w:rPr>
              <w:t xml:space="preserve"> </w:t>
            </w:r>
            <w:r w:rsidRPr="0043388F">
              <w:rPr>
                <w:rFonts w:ascii="Calibri Light" w:eastAsia="Calibri Light" w:hAnsi="Calibri Light"/>
                <w:color w:val="495965"/>
                <w:sz w:val="18"/>
                <w:szCs w:val="18"/>
                <w:bdr w:val="none" w:sz="0" w:space="0" w:color="auto"/>
                <w:lang w:val="en-GB"/>
              </w:rPr>
              <w:t xml:space="preserve"> </w:t>
            </w:r>
          </w:p>
        </w:tc>
      </w:tr>
      <w:tr w:rsidR="00861559" w14:paraId="3CE25556" w14:textId="77777777" w:rsidTr="003C61D9">
        <w:trPr>
          <w:trHeight w:val="1070"/>
        </w:trPr>
        <w:tc>
          <w:tcPr>
            <w:tcW w:w="7939" w:type="dxa"/>
            <w:tcBorders>
              <w:top w:val="nil"/>
              <w:left w:val="nil"/>
              <w:bottom w:val="nil"/>
              <w:right w:val="nil"/>
            </w:tcBorders>
            <w:shd w:val="clear" w:color="auto" w:fill="auto"/>
            <w:tcMar>
              <w:top w:w="80" w:type="dxa"/>
              <w:left w:w="80" w:type="dxa"/>
              <w:bottom w:w="80" w:type="dxa"/>
              <w:right w:w="80" w:type="dxa"/>
            </w:tcMar>
          </w:tcPr>
          <w:p w14:paraId="10588DA5" w14:textId="77777777" w:rsidR="00861559" w:rsidRPr="00831090" w:rsidRDefault="00861559" w:rsidP="003C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 xml:space="preserve">Monitor and assess the Post resource implications of increased DFAT global and regional investments in Bangladesh and, through DFAT’s Senior Management in Canberra, advocate for greater visibility of these investments and a streamlined approach to implementation, including through clearly identified roles and responsibilities. </w:t>
            </w:r>
          </w:p>
        </w:tc>
        <w:tc>
          <w:tcPr>
            <w:tcW w:w="851" w:type="dxa"/>
            <w:tcBorders>
              <w:top w:val="nil"/>
              <w:left w:val="nil"/>
              <w:bottom w:val="nil"/>
              <w:right w:val="nil"/>
            </w:tcBorders>
            <w:shd w:val="clear" w:color="auto" w:fill="92D050"/>
            <w:tcMar>
              <w:top w:w="80" w:type="dxa"/>
              <w:left w:w="80" w:type="dxa"/>
              <w:bottom w:w="80" w:type="dxa"/>
              <w:right w:w="80" w:type="dxa"/>
            </w:tcMar>
          </w:tcPr>
          <w:p w14:paraId="303E9D34" w14:textId="77777777" w:rsidR="00861559" w:rsidRPr="00A71A2A" w:rsidRDefault="00861559" w:rsidP="003C61D9">
            <w:pPr>
              <w:pStyle w:val="BodyA"/>
              <w:keepLines/>
              <w:spacing w:before="40" w:after="40" w:line="200" w:lineRule="atLeast"/>
              <w:jc w:val="center"/>
              <w:rPr>
                <w:rStyle w:val="None"/>
                <w:color w:val="FFFFFF"/>
                <w:sz w:val="17"/>
                <w:szCs w:val="17"/>
                <w:u w:color="FFFFFF"/>
              </w:rPr>
            </w:pPr>
            <w:r w:rsidRPr="00A71A2A">
              <w:rPr>
                <w:rStyle w:val="None"/>
                <w:color w:val="FFFFFF"/>
                <w:sz w:val="17"/>
                <w:szCs w:val="17"/>
                <w:u w:color="FFFFFF"/>
              </w:rPr>
              <w:t>Achieved</w:t>
            </w:r>
          </w:p>
        </w:tc>
        <w:tc>
          <w:tcPr>
            <w:tcW w:w="6961" w:type="dxa"/>
            <w:tcBorders>
              <w:top w:val="nil"/>
              <w:left w:val="nil"/>
              <w:bottom w:val="nil"/>
              <w:right w:val="nil"/>
            </w:tcBorders>
            <w:shd w:val="clear" w:color="auto" w:fill="auto"/>
            <w:tcMar>
              <w:top w:w="80" w:type="dxa"/>
              <w:left w:w="80" w:type="dxa"/>
              <w:bottom w:w="80" w:type="dxa"/>
              <w:right w:w="80" w:type="dxa"/>
            </w:tcMar>
          </w:tcPr>
          <w:p w14:paraId="6D219873" w14:textId="77777777" w:rsidR="00861559" w:rsidRPr="007E14A3" w:rsidRDefault="00861559" w:rsidP="003C61D9">
            <w:pPr>
              <w:rPr>
                <w:rFonts w:ascii="Calibri Light" w:eastAsia="Calibri Light" w:hAnsi="Calibri Light"/>
                <w:color w:val="495965"/>
                <w:sz w:val="18"/>
                <w:szCs w:val="18"/>
                <w:bdr w:val="none" w:sz="0" w:space="0" w:color="auto"/>
                <w:lang w:val="en-GB"/>
              </w:rPr>
            </w:pPr>
            <w:r w:rsidRPr="007E14A3">
              <w:rPr>
                <w:rFonts w:ascii="Calibri Light" w:eastAsia="Calibri Light" w:hAnsi="Calibri Light"/>
                <w:color w:val="495965"/>
                <w:sz w:val="18"/>
                <w:szCs w:val="18"/>
                <w:bdr w:val="none" w:sz="0" w:space="0" w:color="auto"/>
                <w:lang w:val="en-GB"/>
              </w:rPr>
              <w:t xml:space="preserve">During </w:t>
            </w:r>
            <w:r>
              <w:rPr>
                <w:rFonts w:ascii="Calibri Light" w:eastAsia="Calibri Light" w:hAnsi="Calibri Light"/>
                <w:color w:val="495965"/>
                <w:sz w:val="18"/>
                <w:szCs w:val="18"/>
                <w:bdr w:val="none" w:sz="0" w:space="0" w:color="auto"/>
                <w:lang w:val="en-GB"/>
              </w:rPr>
              <w:t>the</w:t>
            </w:r>
            <w:r w:rsidRPr="007E14A3">
              <w:rPr>
                <w:rFonts w:ascii="Calibri Light" w:eastAsia="Calibri Light" w:hAnsi="Calibri Light"/>
                <w:color w:val="495965"/>
                <w:sz w:val="18"/>
                <w:szCs w:val="18"/>
                <w:bdr w:val="none" w:sz="0" w:space="0" w:color="auto"/>
                <w:lang w:val="en-GB"/>
              </w:rPr>
              <w:t xml:space="preserve"> </w:t>
            </w:r>
            <w:r>
              <w:rPr>
                <w:rFonts w:ascii="Calibri Light" w:eastAsia="Calibri Light" w:hAnsi="Calibri Light"/>
                <w:color w:val="495965"/>
                <w:sz w:val="18"/>
                <w:szCs w:val="18"/>
                <w:bdr w:val="none" w:sz="0" w:space="0" w:color="auto"/>
                <w:lang w:val="en-GB"/>
              </w:rPr>
              <w:t xml:space="preserve">reporting period, DFAT Canberra and post had greater visibility of related global and regional investments. To engage strategically, the program prioritised engagement on selected investments (BPP, ANCP, DAP, </w:t>
            </w:r>
            <w:r w:rsidRPr="00F70880">
              <w:rPr>
                <w:rFonts w:ascii="Calibri Light" w:eastAsia="Calibri Light" w:hAnsi="Calibri Light"/>
                <w:color w:val="495965"/>
                <w:sz w:val="18"/>
                <w:szCs w:val="18"/>
                <w:bdr w:val="none" w:sz="0" w:space="0" w:color="auto"/>
                <w:lang w:val="en-GB"/>
              </w:rPr>
              <w:t>G</w:t>
            </w:r>
            <w:r>
              <w:rPr>
                <w:rFonts w:ascii="Calibri Light" w:eastAsia="Calibri Light" w:hAnsi="Calibri Light"/>
                <w:color w:val="495965"/>
                <w:sz w:val="18"/>
                <w:szCs w:val="18"/>
                <w:bdr w:val="none" w:sz="0" w:space="0" w:color="auto"/>
                <w:lang w:val="en-GB"/>
              </w:rPr>
              <w:t>EF), which complemented and enhanced our bilateral interests in Bangladesh. In 2017-18, over 30 regional and global investments were  implemented in Bangladesh</w:t>
            </w:r>
          </w:p>
        </w:tc>
      </w:tr>
      <w:tr w:rsidR="00861559" w14:paraId="4E38D266" w14:textId="77777777" w:rsidTr="002C29B9">
        <w:trPr>
          <w:trHeight w:val="1305"/>
        </w:trPr>
        <w:tc>
          <w:tcPr>
            <w:tcW w:w="7939" w:type="dxa"/>
            <w:tcBorders>
              <w:top w:val="nil"/>
              <w:left w:val="nil"/>
              <w:bottom w:val="nil"/>
              <w:right w:val="nil"/>
            </w:tcBorders>
            <w:shd w:val="clear" w:color="auto" w:fill="auto"/>
            <w:tcMar>
              <w:top w:w="80" w:type="dxa"/>
              <w:left w:w="80" w:type="dxa"/>
              <w:bottom w:w="80" w:type="dxa"/>
              <w:right w:w="80" w:type="dxa"/>
            </w:tcMar>
          </w:tcPr>
          <w:p w14:paraId="51F08AE6" w14:textId="77777777" w:rsidR="00861559" w:rsidRPr="00831090" w:rsidRDefault="00861559" w:rsidP="003C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Continue to build on our understanding of the political, economic, environmental and security context in Bangladesh in order to inform our expectations of partner performance and decisions on new investments</w:t>
            </w:r>
          </w:p>
          <w:p w14:paraId="140D7E69"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 xml:space="preserve">Maintain relevant networks with donors, government and local partners to share information, including on security developments and on political economy analysis. </w:t>
            </w:r>
          </w:p>
          <w:p w14:paraId="64B7485A"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 xml:space="preserve">Consult with aid partners on changes in the context and their impact on the delivery of Australian aid investments.  </w:t>
            </w:r>
          </w:p>
        </w:tc>
        <w:tc>
          <w:tcPr>
            <w:tcW w:w="851" w:type="dxa"/>
            <w:tcBorders>
              <w:top w:val="nil"/>
              <w:left w:val="nil"/>
              <w:bottom w:val="nil"/>
              <w:right w:val="nil"/>
            </w:tcBorders>
            <w:shd w:val="clear" w:color="auto" w:fill="92D050"/>
            <w:tcMar>
              <w:top w:w="80" w:type="dxa"/>
              <w:left w:w="80" w:type="dxa"/>
              <w:bottom w:w="80" w:type="dxa"/>
              <w:right w:w="80" w:type="dxa"/>
            </w:tcMar>
          </w:tcPr>
          <w:p w14:paraId="665F861A" w14:textId="77777777" w:rsidR="00861559" w:rsidRDefault="00861559" w:rsidP="003C61D9">
            <w:pPr>
              <w:pStyle w:val="BodyA"/>
              <w:keepLines/>
              <w:spacing w:before="40" w:after="40" w:line="200" w:lineRule="atLeast"/>
              <w:jc w:val="center"/>
            </w:pPr>
            <w:r>
              <w:rPr>
                <w:rStyle w:val="None"/>
                <w:color w:val="FFFFFF"/>
                <w:sz w:val="17"/>
                <w:szCs w:val="17"/>
                <w:u w:color="FFFFFF"/>
              </w:rPr>
              <w:t>Achieved</w:t>
            </w:r>
          </w:p>
        </w:tc>
        <w:tc>
          <w:tcPr>
            <w:tcW w:w="6961" w:type="dxa"/>
            <w:tcBorders>
              <w:top w:val="nil"/>
              <w:left w:val="nil"/>
              <w:bottom w:val="nil"/>
              <w:right w:val="nil"/>
            </w:tcBorders>
            <w:shd w:val="clear" w:color="auto" w:fill="auto"/>
            <w:tcMar>
              <w:top w:w="80" w:type="dxa"/>
              <w:left w:w="80" w:type="dxa"/>
              <w:bottom w:w="80" w:type="dxa"/>
              <w:right w:w="80" w:type="dxa"/>
            </w:tcMar>
          </w:tcPr>
          <w:p w14:paraId="79A87260" w14:textId="77777777" w:rsidR="00861559" w:rsidRDefault="00861559" w:rsidP="003C61D9">
            <w:r w:rsidRPr="00CF7936">
              <w:rPr>
                <w:rFonts w:ascii="Calibri Light" w:eastAsia="Calibri Light" w:hAnsi="Calibri Light"/>
                <w:color w:val="495965"/>
                <w:sz w:val="18"/>
                <w:szCs w:val="18"/>
                <w:bdr w:val="none" w:sz="0" w:space="0" w:color="auto"/>
                <w:lang w:val="en-GB"/>
              </w:rPr>
              <w:t xml:space="preserve">Australia collaborated with local partners and donors, including through the Local Consultative Groups, </w:t>
            </w:r>
            <w:r>
              <w:rPr>
                <w:rFonts w:ascii="Calibri Light" w:eastAsia="Calibri Light" w:hAnsi="Calibri Light"/>
                <w:color w:val="495965"/>
                <w:sz w:val="18"/>
                <w:szCs w:val="18"/>
                <w:bdr w:val="none" w:sz="0" w:space="0" w:color="auto"/>
                <w:lang w:val="en-GB"/>
              </w:rPr>
              <w:t xml:space="preserve">and UN led Senior Executive Group, </w:t>
            </w:r>
            <w:r w:rsidRPr="00CF7936">
              <w:rPr>
                <w:rFonts w:ascii="Calibri Light" w:eastAsia="Calibri Light" w:hAnsi="Calibri Light"/>
                <w:color w:val="495965"/>
                <w:sz w:val="18"/>
                <w:szCs w:val="18"/>
                <w:bdr w:val="none" w:sz="0" w:space="0" w:color="auto"/>
                <w:lang w:val="en-GB"/>
              </w:rPr>
              <w:t xml:space="preserve">to share security and political assessments. DFAT commissioned a 2-year survey with The Asia Foundation on community attitudes towards democracy and related public institutions </w:t>
            </w:r>
            <w:r>
              <w:rPr>
                <w:rFonts w:ascii="Calibri Light" w:eastAsia="Calibri Light" w:hAnsi="Calibri Light"/>
                <w:color w:val="495965"/>
                <w:sz w:val="18"/>
                <w:szCs w:val="18"/>
                <w:bdr w:val="none" w:sz="0" w:space="0" w:color="auto"/>
                <w:lang w:val="en-GB"/>
              </w:rPr>
              <w:t xml:space="preserve">which </w:t>
            </w:r>
            <w:r w:rsidRPr="00CF7936">
              <w:rPr>
                <w:rFonts w:ascii="Calibri Light" w:eastAsia="Calibri Light" w:hAnsi="Calibri Light"/>
                <w:color w:val="495965"/>
                <w:sz w:val="18"/>
                <w:szCs w:val="18"/>
                <w:bdr w:val="none" w:sz="0" w:space="0" w:color="auto"/>
                <w:lang w:val="en-GB"/>
              </w:rPr>
              <w:t xml:space="preserve">provides useful political analysis. </w:t>
            </w:r>
          </w:p>
        </w:tc>
      </w:tr>
      <w:tr w:rsidR="00861559" w14:paraId="20E16454" w14:textId="77777777" w:rsidTr="0075335A">
        <w:trPr>
          <w:trHeight w:val="2094"/>
        </w:trPr>
        <w:tc>
          <w:tcPr>
            <w:tcW w:w="7939" w:type="dxa"/>
            <w:tcBorders>
              <w:top w:val="nil"/>
              <w:left w:val="nil"/>
              <w:bottom w:val="nil"/>
              <w:right w:val="nil"/>
            </w:tcBorders>
            <w:shd w:val="clear" w:color="auto" w:fill="auto"/>
            <w:tcMar>
              <w:top w:w="80" w:type="dxa"/>
              <w:left w:w="80" w:type="dxa"/>
              <w:bottom w:w="80" w:type="dxa"/>
              <w:right w:w="80" w:type="dxa"/>
            </w:tcMar>
          </w:tcPr>
          <w:p w14:paraId="47093879" w14:textId="77777777" w:rsidR="00861559" w:rsidRPr="00831090" w:rsidRDefault="00861559" w:rsidP="008615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 xml:space="preserve">Review the PAF by March 2018 to confirm it aligns with Australia’s strategic priorities and incorporates </w:t>
            </w:r>
          </w:p>
          <w:p w14:paraId="47C865DB"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The impact of new phases of strategic partnerships in primary education, social protection and humanitarian support.</w:t>
            </w:r>
          </w:p>
          <w:p w14:paraId="6DF84B9C"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 xml:space="preserve">The new BRAC Results Framework, including changed indicators for BRAC’s </w:t>
            </w:r>
            <w:proofErr w:type="gramStart"/>
            <w:r w:rsidRPr="00831090">
              <w:rPr>
                <w:rFonts w:ascii="Calibri Light" w:eastAsia="Calibri Light" w:hAnsi="Calibri Light"/>
                <w:color w:val="495965"/>
                <w:sz w:val="18"/>
                <w:szCs w:val="18"/>
                <w:bdr w:val="none" w:sz="0" w:space="0" w:color="auto"/>
                <w:lang w:val="en-GB"/>
              </w:rPr>
              <w:t>Targeting</w:t>
            </w:r>
            <w:proofErr w:type="gramEnd"/>
            <w:r w:rsidRPr="00831090">
              <w:rPr>
                <w:rFonts w:ascii="Calibri Light" w:eastAsia="Calibri Light" w:hAnsi="Calibri Light"/>
                <w:color w:val="495965"/>
                <w:sz w:val="18"/>
                <w:szCs w:val="18"/>
                <w:bdr w:val="none" w:sz="0" w:space="0" w:color="auto"/>
                <w:lang w:val="en-GB"/>
              </w:rPr>
              <w:t xml:space="preserve"> the Ultra Poor program.</w:t>
            </w:r>
          </w:p>
          <w:p w14:paraId="6979A3B1"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Increased Australian regional programming in Bangladesh and opportunities to accommodate and capitalise on these regional investments.</w:t>
            </w:r>
          </w:p>
          <w:p w14:paraId="7A89BF99" w14:textId="77777777" w:rsidR="00861559" w:rsidRPr="00831090" w:rsidRDefault="00861559" w:rsidP="008615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ind w:left="267" w:hanging="283"/>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Ongoing, strengthened and overt focus on gender results.</w:t>
            </w:r>
          </w:p>
          <w:p w14:paraId="7E11CD9D" w14:textId="11884BEB" w:rsidR="00861559" w:rsidRPr="00C73F36" w:rsidRDefault="00861559" w:rsidP="008615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contextualSpacing/>
              <w:rPr>
                <w:rFonts w:ascii="Calibri Light" w:eastAsia="Calibri Light" w:hAnsi="Calibri Light"/>
                <w:color w:val="495965"/>
                <w:sz w:val="18"/>
                <w:szCs w:val="18"/>
                <w:bdr w:val="none" w:sz="0" w:space="0" w:color="auto"/>
                <w:lang w:val="en-GB"/>
              </w:rPr>
            </w:pPr>
            <w:r w:rsidRPr="00831090">
              <w:rPr>
                <w:rFonts w:ascii="Calibri Light" w:eastAsia="Calibri Light" w:hAnsi="Calibri Light"/>
                <w:color w:val="495965"/>
                <w:sz w:val="18"/>
                <w:szCs w:val="18"/>
                <w:bdr w:val="none" w:sz="0" w:space="0" w:color="auto"/>
                <w:lang w:val="en-GB"/>
              </w:rPr>
              <w:t>Measures of disability inclusive development</w:t>
            </w:r>
          </w:p>
        </w:tc>
        <w:tc>
          <w:tcPr>
            <w:tcW w:w="851" w:type="dxa"/>
            <w:tcBorders>
              <w:top w:val="nil"/>
              <w:left w:val="nil"/>
              <w:bottom w:val="nil"/>
              <w:right w:val="nil"/>
            </w:tcBorders>
            <w:shd w:val="clear" w:color="auto" w:fill="92D050"/>
            <w:tcMar>
              <w:top w:w="80" w:type="dxa"/>
              <w:left w:w="80" w:type="dxa"/>
              <w:bottom w:w="80" w:type="dxa"/>
              <w:right w:w="80" w:type="dxa"/>
            </w:tcMar>
          </w:tcPr>
          <w:p w14:paraId="2C07401C" w14:textId="7362DC7C" w:rsidR="00861559" w:rsidRPr="00831090" w:rsidRDefault="00861559" w:rsidP="002C29B9">
            <w:pPr>
              <w:pStyle w:val="BodyA"/>
              <w:keepLines/>
              <w:spacing w:before="40" w:after="40" w:line="200" w:lineRule="atLeast"/>
              <w:jc w:val="center"/>
            </w:pPr>
            <w:r w:rsidRPr="00C73F36">
              <w:rPr>
                <w:rStyle w:val="None"/>
                <w:color w:val="FFFFFF"/>
                <w:sz w:val="17"/>
                <w:szCs w:val="17"/>
                <w:u w:color="FFFFFF"/>
              </w:rPr>
              <w:t>Achieved</w:t>
            </w:r>
          </w:p>
        </w:tc>
        <w:tc>
          <w:tcPr>
            <w:tcW w:w="6961" w:type="dxa"/>
            <w:tcBorders>
              <w:top w:val="nil"/>
              <w:left w:val="nil"/>
              <w:bottom w:val="nil"/>
              <w:right w:val="nil"/>
            </w:tcBorders>
            <w:shd w:val="clear" w:color="auto" w:fill="auto"/>
            <w:tcMar>
              <w:top w:w="80" w:type="dxa"/>
              <w:left w:w="80" w:type="dxa"/>
              <w:bottom w:w="80" w:type="dxa"/>
              <w:right w:w="80" w:type="dxa"/>
            </w:tcMar>
          </w:tcPr>
          <w:p w14:paraId="2D333768" w14:textId="0701618B" w:rsidR="00861559" w:rsidRPr="00523D5F" w:rsidRDefault="00861559" w:rsidP="00861559">
            <w:pPr>
              <w:rPr>
                <w:rFonts w:ascii="Calibri Light" w:eastAsia="Calibri Light" w:hAnsi="Calibri Light"/>
                <w:color w:val="495965"/>
                <w:sz w:val="18"/>
                <w:szCs w:val="18"/>
                <w:bdr w:val="none" w:sz="0" w:space="0" w:color="auto"/>
                <w:lang w:val="en-GB"/>
              </w:rPr>
            </w:pPr>
            <w:r>
              <w:rPr>
                <w:rFonts w:ascii="Calibri Light" w:eastAsia="Calibri Light" w:hAnsi="Calibri Light"/>
                <w:color w:val="495965"/>
                <w:sz w:val="18"/>
                <w:szCs w:val="18"/>
                <w:bdr w:val="none" w:sz="0" w:space="0" w:color="auto"/>
                <w:lang w:val="en-GB"/>
              </w:rPr>
              <w:t xml:space="preserve">The </w:t>
            </w:r>
            <w:r w:rsidRPr="00523D5F">
              <w:rPr>
                <w:rFonts w:ascii="Calibri Light" w:eastAsia="Calibri Light" w:hAnsi="Calibri Light"/>
                <w:color w:val="495965"/>
                <w:sz w:val="18"/>
                <w:szCs w:val="18"/>
                <w:bdr w:val="none" w:sz="0" w:space="0" w:color="auto"/>
                <w:lang w:val="en-GB"/>
              </w:rPr>
              <w:t xml:space="preserve">PAF </w:t>
            </w:r>
            <w:r>
              <w:rPr>
                <w:rFonts w:ascii="Calibri Light" w:eastAsia="Calibri Light" w:hAnsi="Calibri Light"/>
                <w:color w:val="495965"/>
                <w:sz w:val="18"/>
                <w:szCs w:val="18"/>
                <w:bdr w:val="none" w:sz="0" w:space="0" w:color="auto"/>
                <w:lang w:val="en-GB"/>
              </w:rPr>
              <w:t xml:space="preserve">was updated in June 2018 to reflect the finalised </w:t>
            </w:r>
            <w:r w:rsidRPr="004F7962">
              <w:rPr>
                <w:rFonts w:ascii="Calibri Light" w:eastAsia="Calibri Light" w:hAnsi="Calibri Light"/>
                <w:color w:val="495965"/>
                <w:sz w:val="18"/>
                <w:szCs w:val="18"/>
                <w:bdr w:val="none" w:sz="0" w:space="0" w:color="auto"/>
                <w:lang w:val="en-GB"/>
              </w:rPr>
              <w:t>BRAC</w:t>
            </w:r>
            <w:r>
              <w:rPr>
                <w:rFonts w:ascii="Calibri Light" w:eastAsia="Calibri Light" w:hAnsi="Calibri Light"/>
                <w:color w:val="495965"/>
                <w:sz w:val="18"/>
                <w:szCs w:val="18"/>
                <w:bdr w:val="none" w:sz="0" w:space="0" w:color="auto"/>
                <w:lang w:val="en-GB"/>
              </w:rPr>
              <w:t xml:space="preserve"> SPA Results Framework, and our scaled-up humanitarian response in Cox’s Bazar. An additional outcome and six targets were added to the revised PAF. </w:t>
            </w:r>
          </w:p>
        </w:tc>
      </w:tr>
    </w:tbl>
    <w:p w14:paraId="01D2B24D" w14:textId="77777777" w:rsidR="003B4A93" w:rsidRDefault="001E283F" w:rsidP="000A69C8">
      <w:pPr>
        <w:pStyle w:val="BodyA"/>
        <w:spacing w:before="20" w:after="20" w:line="180" w:lineRule="atLeast"/>
        <w:jc w:val="both"/>
        <w:rPr>
          <w:rStyle w:val="None"/>
          <w:b/>
          <w:bCs/>
          <w:sz w:val="16"/>
          <w:szCs w:val="16"/>
          <w:lang w:val="de-DE"/>
        </w:rPr>
      </w:pPr>
      <w:r>
        <w:rPr>
          <w:rStyle w:val="None"/>
          <w:b/>
          <w:bCs/>
          <w:sz w:val="16"/>
          <w:szCs w:val="16"/>
          <w:lang w:val="de-DE"/>
        </w:rPr>
        <w:t xml:space="preserve">Note: </w:t>
      </w:r>
    </w:p>
    <w:p w14:paraId="0B0EE7E7" w14:textId="77777777" w:rsidR="003B4A93" w:rsidRDefault="001E283F" w:rsidP="000A69C8">
      <w:pPr>
        <w:pStyle w:val="BodyA"/>
        <w:spacing w:before="20" w:after="20" w:line="180" w:lineRule="atLeast"/>
        <w:jc w:val="both"/>
        <w:rPr>
          <w:rStyle w:val="None"/>
          <w:b/>
          <w:bCs/>
          <w:sz w:val="16"/>
          <w:szCs w:val="16"/>
        </w:rPr>
      </w:pPr>
      <w:r>
        <w:rPr>
          <w:rStyle w:val="None"/>
          <w:rFonts w:ascii="Webdings" w:hAnsi="Webdings"/>
          <w:color w:val="72AF2F"/>
          <w:sz w:val="16"/>
          <w:szCs w:val="16"/>
          <w:u w:color="72AF2F"/>
        </w:rPr>
        <w:sym w:font="Webdings" w:char="F067"/>
      </w:r>
      <w:r>
        <w:rPr>
          <w:rStyle w:val="None"/>
          <w:b/>
          <w:bCs/>
          <w:sz w:val="16"/>
          <w:szCs w:val="16"/>
        </w:rPr>
        <w:t xml:space="preserve">  Achieved.  Significant progress has been made in addressing the issue </w:t>
      </w:r>
    </w:p>
    <w:p w14:paraId="55E337AD" w14:textId="77777777" w:rsidR="003B4A93" w:rsidRDefault="001E283F">
      <w:pPr>
        <w:pStyle w:val="BodyA"/>
        <w:spacing w:before="20" w:after="20" w:line="180" w:lineRule="atLeast"/>
        <w:jc w:val="both"/>
        <w:rPr>
          <w:rStyle w:val="None"/>
          <w:b/>
          <w:bCs/>
          <w:sz w:val="16"/>
          <w:szCs w:val="16"/>
        </w:rPr>
      </w:pPr>
      <w:r>
        <w:rPr>
          <w:rStyle w:val="None"/>
          <w:rFonts w:ascii="Webdings" w:hAnsi="Webdings"/>
          <w:color w:val="E36C0A"/>
          <w:sz w:val="16"/>
          <w:szCs w:val="16"/>
          <w:u w:color="E36C0A"/>
        </w:rPr>
        <w:sym w:font="Webdings" w:char="F067"/>
      </w:r>
      <w:r>
        <w:rPr>
          <w:rStyle w:val="None"/>
          <w:b/>
          <w:bCs/>
          <w:sz w:val="16"/>
          <w:szCs w:val="16"/>
        </w:rPr>
        <w:t xml:space="preserve">  Partly achieved.  Some progress has been made in addressing the issue, but the issue has not been resolved </w:t>
      </w:r>
    </w:p>
    <w:p w14:paraId="714E9658" w14:textId="4417B544" w:rsidR="003B4A93" w:rsidRPr="0075335A" w:rsidRDefault="001E283F" w:rsidP="0075335A">
      <w:pPr>
        <w:pStyle w:val="BodyA"/>
        <w:spacing w:before="20" w:after="20" w:line="180" w:lineRule="atLeast"/>
        <w:jc w:val="both"/>
        <w:rPr>
          <w:rStyle w:val="None"/>
          <w:b/>
          <w:bCs/>
          <w:sz w:val="16"/>
          <w:szCs w:val="16"/>
        </w:rPr>
      </w:pPr>
      <w:r>
        <w:rPr>
          <w:rStyle w:val="None"/>
          <w:rFonts w:ascii="Webdings" w:hAnsi="Webdings"/>
          <w:color w:val="FF0000"/>
          <w:sz w:val="16"/>
          <w:szCs w:val="16"/>
          <w:u w:color="FF0000"/>
        </w:rPr>
        <w:sym w:font="Webdings" w:char="F067"/>
      </w:r>
      <w:r>
        <w:rPr>
          <w:rStyle w:val="None"/>
          <w:b/>
          <w:bCs/>
          <w:sz w:val="16"/>
          <w:szCs w:val="16"/>
        </w:rPr>
        <w:t xml:space="preserve">  Not achieved. Progress in addressing the issue has been </w:t>
      </w:r>
      <w:r w:rsidR="0075335A">
        <w:rPr>
          <w:rStyle w:val="None"/>
          <w:b/>
          <w:bCs/>
          <w:sz w:val="16"/>
          <w:szCs w:val="16"/>
        </w:rPr>
        <w:t>significantly below expectatio</w:t>
      </w:r>
      <w:r w:rsidR="002C29B9">
        <w:rPr>
          <w:rStyle w:val="None"/>
          <w:b/>
          <w:bCs/>
          <w:sz w:val="16"/>
          <w:szCs w:val="16"/>
        </w:rPr>
        <w:t>ns</w:t>
      </w:r>
    </w:p>
    <w:p w14:paraId="4F408ADF" w14:textId="3C9958EC" w:rsidR="00861559" w:rsidRDefault="001E283F" w:rsidP="00523D5F">
      <w:pPr>
        <w:pStyle w:val="Subtitle"/>
      </w:pPr>
      <w:r>
        <w:t>A</w:t>
      </w:r>
      <w:r w:rsidR="00861559">
        <w:t>nnex B – PERFORMANCE BENCHMARKS</w:t>
      </w:r>
    </w:p>
    <w:tbl>
      <w:tblPr>
        <w:tblW w:w="1417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65C5B4"/>
        <w:tblLayout w:type="fixed"/>
        <w:tblLook w:val="04A0" w:firstRow="1" w:lastRow="0" w:firstColumn="1" w:lastColumn="0" w:noHBand="0" w:noVBand="1"/>
      </w:tblPr>
      <w:tblGrid>
        <w:gridCol w:w="2211"/>
        <w:gridCol w:w="2960"/>
        <w:gridCol w:w="1134"/>
        <w:gridCol w:w="7868"/>
      </w:tblGrid>
      <w:tr w:rsidR="00861559" w14:paraId="7BE8A811" w14:textId="77777777" w:rsidTr="003C61D9">
        <w:trPr>
          <w:trHeight w:val="485"/>
          <w:tblHeader/>
        </w:trPr>
        <w:tc>
          <w:tcPr>
            <w:tcW w:w="2211" w:type="dxa"/>
            <w:tcBorders>
              <w:top w:val="single" w:sz="12" w:space="0" w:color="000000"/>
              <w:left w:val="nil"/>
              <w:bottom w:val="nil"/>
              <w:right w:val="nil"/>
            </w:tcBorders>
            <w:shd w:val="clear" w:color="auto" w:fill="auto"/>
            <w:tcMar>
              <w:top w:w="80" w:type="dxa"/>
              <w:left w:w="80" w:type="dxa"/>
              <w:bottom w:w="80" w:type="dxa"/>
              <w:right w:w="80" w:type="dxa"/>
            </w:tcMar>
          </w:tcPr>
          <w:p w14:paraId="7A1C6BA5" w14:textId="77777777" w:rsidR="00861559" w:rsidRDefault="00861559" w:rsidP="003C61D9">
            <w:pPr>
              <w:pStyle w:val="BodyA"/>
              <w:keepLines/>
              <w:spacing w:before="80" w:after="80" w:line="200" w:lineRule="atLeast"/>
            </w:pPr>
            <w:r>
              <w:rPr>
                <w:rStyle w:val="None"/>
                <w:b/>
                <w:bCs/>
                <w:sz w:val="17"/>
                <w:szCs w:val="17"/>
              </w:rPr>
              <w:t>Aid objective</w:t>
            </w:r>
          </w:p>
        </w:tc>
        <w:tc>
          <w:tcPr>
            <w:tcW w:w="2960" w:type="dxa"/>
            <w:tcBorders>
              <w:top w:val="single" w:sz="12" w:space="0" w:color="000000"/>
              <w:left w:val="nil"/>
              <w:bottom w:val="nil"/>
              <w:right w:val="nil"/>
            </w:tcBorders>
            <w:shd w:val="clear" w:color="auto" w:fill="auto"/>
            <w:tcMar>
              <w:top w:w="80" w:type="dxa"/>
              <w:left w:w="80" w:type="dxa"/>
              <w:bottom w:w="80" w:type="dxa"/>
              <w:right w:w="80" w:type="dxa"/>
            </w:tcMar>
          </w:tcPr>
          <w:p w14:paraId="2F5A8297" w14:textId="77777777" w:rsidR="00861559" w:rsidRDefault="00861559" w:rsidP="003C61D9">
            <w:pPr>
              <w:pStyle w:val="BodyA"/>
              <w:keepLines/>
              <w:spacing w:before="80" w:after="80" w:line="200" w:lineRule="atLeast"/>
            </w:pPr>
            <w:r>
              <w:rPr>
                <w:rStyle w:val="None"/>
                <w:b/>
                <w:bCs/>
                <w:sz w:val="17"/>
                <w:szCs w:val="17"/>
              </w:rPr>
              <w:t xml:space="preserve">Performance Benchmark </w:t>
            </w:r>
          </w:p>
        </w:tc>
        <w:tc>
          <w:tcPr>
            <w:tcW w:w="1134" w:type="dxa"/>
            <w:tcBorders>
              <w:top w:val="single" w:sz="12" w:space="0" w:color="000000"/>
              <w:left w:val="nil"/>
              <w:bottom w:val="nil"/>
              <w:right w:val="nil"/>
            </w:tcBorders>
            <w:shd w:val="clear" w:color="auto" w:fill="auto"/>
            <w:tcMar>
              <w:top w:w="80" w:type="dxa"/>
              <w:left w:w="80" w:type="dxa"/>
              <w:bottom w:w="80" w:type="dxa"/>
              <w:right w:w="80" w:type="dxa"/>
            </w:tcMar>
          </w:tcPr>
          <w:p w14:paraId="3E50B931" w14:textId="77777777" w:rsidR="00861559" w:rsidRDefault="00861559" w:rsidP="003C61D9">
            <w:pPr>
              <w:pStyle w:val="BodyA"/>
              <w:keepLines/>
              <w:spacing w:before="80" w:after="80" w:line="200" w:lineRule="atLeast"/>
              <w:jc w:val="center"/>
            </w:pPr>
            <w:r>
              <w:rPr>
                <w:rStyle w:val="None"/>
                <w:b/>
                <w:bCs/>
                <w:sz w:val="17"/>
                <w:szCs w:val="17"/>
              </w:rPr>
              <w:t>Rating</w:t>
            </w:r>
          </w:p>
        </w:tc>
        <w:tc>
          <w:tcPr>
            <w:tcW w:w="7868" w:type="dxa"/>
            <w:tcBorders>
              <w:top w:val="single" w:sz="12" w:space="0" w:color="000000"/>
              <w:left w:val="nil"/>
              <w:bottom w:val="nil"/>
              <w:right w:val="nil"/>
            </w:tcBorders>
            <w:shd w:val="clear" w:color="auto" w:fill="auto"/>
            <w:tcMar>
              <w:top w:w="80" w:type="dxa"/>
              <w:left w:w="80" w:type="dxa"/>
              <w:bottom w:w="80" w:type="dxa"/>
              <w:right w:w="80" w:type="dxa"/>
            </w:tcMar>
          </w:tcPr>
          <w:p w14:paraId="39DD5A94" w14:textId="77777777" w:rsidR="00861559" w:rsidRDefault="00861559" w:rsidP="003C61D9">
            <w:pPr>
              <w:pStyle w:val="BodyA"/>
              <w:keepLines/>
              <w:spacing w:before="80" w:after="80" w:line="200" w:lineRule="atLeast"/>
              <w:jc w:val="center"/>
            </w:pPr>
            <w:r>
              <w:rPr>
                <w:rStyle w:val="None"/>
                <w:b/>
                <w:bCs/>
                <w:sz w:val="17"/>
                <w:szCs w:val="17"/>
              </w:rPr>
              <w:t>Progress in 2017-18</w:t>
            </w:r>
          </w:p>
        </w:tc>
      </w:tr>
      <w:tr w:rsidR="00861559" w14:paraId="4CEA743D" w14:textId="77777777" w:rsidTr="003C61D9">
        <w:tblPrEx>
          <w:shd w:val="clear" w:color="auto" w:fill="D1E9E4"/>
        </w:tblPrEx>
        <w:trPr>
          <w:trHeight w:val="460"/>
        </w:trPr>
        <w:tc>
          <w:tcPr>
            <w:tcW w:w="2211" w:type="dxa"/>
            <w:tcBorders>
              <w:top w:val="nil"/>
              <w:left w:val="nil"/>
              <w:bottom w:val="nil"/>
              <w:right w:val="nil"/>
            </w:tcBorders>
            <w:shd w:val="clear" w:color="auto" w:fill="auto"/>
            <w:tcMar>
              <w:top w:w="80" w:type="dxa"/>
              <w:left w:w="80" w:type="dxa"/>
              <w:bottom w:w="80" w:type="dxa"/>
              <w:right w:w="80" w:type="dxa"/>
            </w:tcMar>
          </w:tcPr>
          <w:p w14:paraId="27849F3F" w14:textId="77777777" w:rsidR="00861559" w:rsidRPr="00523D5F" w:rsidRDefault="00861559" w:rsidP="003C61D9">
            <w:pPr>
              <w:pStyle w:val="BodyA"/>
              <w:keepLines/>
              <w:spacing w:before="40" w:after="40" w:line="200" w:lineRule="atLeast"/>
              <w:rPr>
                <w:rStyle w:val="NoneA"/>
                <w:sz w:val="17"/>
                <w:szCs w:val="17"/>
              </w:rPr>
            </w:pPr>
            <w:r w:rsidRPr="00523D5F">
              <w:rPr>
                <w:rStyle w:val="NoneA"/>
                <w:sz w:val="17"/>
                <w:szCs w:val="17"/>
              </w:rPr>
              <w:t>Improving education access, equity, efficiency and learning outcomes</w:t>
            </w:r>
          </w:p>
        </w:tc>
        <w:tc>
          <w:tcPr>
            <w:tcW w:w="2960" w:type="dxa"/>
            <w:tcBorders>
              <w:top w:val="nil"/>
              <w:left w:val="nil"/>
              <w:bottom w:val="nil"/>
              <w:right w:val="nil"/>
            </w:tcBorders>
            <w:shd w:val="clear" w:color="auto" w:fill="auto"/>
            <w:tcMar>
              <w:top w:w="80" w:type="dxa"/>
              <w:left w:w="80" w:type="dxa"/>
              <w:bottom w:w="80" w:type="dxa"/>
              <w:right w:w="80" w:type="dxa"/>
            </w:tcMar>
          </w:tcPr>
          <w:p w14:paraId="25DDEC29" w14:textId="77777777" w:rsidR="00861559" w:rsidRDefault="00861559" w:rsidP="003C61D9">
            <w:pPr>
              <w:pStyle w:val="BodyA"/>
              <w:keepLines/>
              <w:spacing w:before="40" w:after="40" w:line="200" w:lineRule="atLeast"/>
              <w:rPr>
                <w:rStyle w:val="NoneA"/>
                <w:sz w:val="17"/>
                <w:szCs w:val="17"/>
              </w:rPr>
            </w:pPr>
            <w:r w:rsidRPr="00DA620C">
              <w:rPr>
                <w:rStyle w:val="NoneA"/>
                <w:sz w:val="17"/>
                <w:szCs w:val="17"/>
              </w:rPr>
              <w:t>The quality of end of primary cycle examination is improved</w:t>
            </w:r>
            <w:r>
              <w:rPr>
                <w:rStyle w:val="NoneA"/>
                <w:sz w:val="17"/>
                <w:szCs w:val="17"/>
              </w:rPr>
              <w:t>.</w:t>
            </w:r>
          </w:p>
          <w:p w14:paraId="4DB9A42E" w14:textId="77777777" w:rsidR="00861559" w:rsidRPr="00440EB8" w:rsidRDefault="00861559" w:rsidP="003C61D9">
            <w:pPr>
              <w:pStyle w:val="BodyA"/>
              <w:keepLines/>
              <w:spacing w:before="40" w:after="40" w:line="200" w:lineRule="atLeast"/>
              <w:rPr>
                <w:sz w:val="17"/>
                <w:szCs w:val="17"/>
              </w:rPr>
            </w:pPr>
            <w:r>
              <w:rPr>
                <w:rStyle w:val="NoneA"/>
                <w:sz w:val="17"/>
                <w:szCs w:val="17"/>
              </w:rPr>
              <w:t>Target: 65%</w:t>
            </w:r>
          </w:p>
        </w:tc>
        <w:tc>
          <w:tcPr>
            <w:tcW w:w="1134" w:type="dxa"/>
            <w:tcBorders>
              <w:top w:val="nil"/>
              <w:left w:val="nil"/>
              <w:bottom w:val="nil"/>
              <w:right w:val="nil"/>
            </w:tcBorders>
            <w:shd w:val="clear" w:color="auto" w:fill="92D050"/>
            <w:tcMar>
              <w:top w:w="80" w:type="dxa"/>
              <w:left w:w="80" w:type="dxa"/>
              <w:bottom w:w="80" w:type="dxa"/>
              <w:right w:w="80" w:type="dxa"/>
            </w:tcMar>
          </w:tcPr>
          <w:p w14:paraId="65DC56E5" w14:textId="77777777" w:rsidR="00861559" w:rsidRDefault="00861559" w:rsidP="003C61D9">
            <w:pPr>
              <w:pStyle w:val="BodyA"/>
              <w:keepLines/>
              <w:spacing w:before="40" w:after="40" w:line="200" w:lineRule="atLeast"/>
              <w:jc w:val="center"/>
            </w:pPr>
            <w:r>
              <w:rPr>
                <w:rStyle w:val="None"/>
                <w:color w:val="FFFFFF"/>
                <w:sz w:val="17"/>
                <w:szCs w:val="17"/>
                <w:u w:color="FFFFFF"/>
              </w:rPr>
              <w:t>Achieved</w:t>
            </w:r>
          </w:p>
        </w:tc>
        <w:tc>
          <w:tcPr>
            <w:tcW w:w="7868" w:type="dxa"/>
            <w:tcBorders>
              <w:top w:val="nil"/>
              <w:left w:val="nil"/>
              <w:bottom w:val="nil"/>
              <w:right w:val="nil"/>
            </w:tcBorders>
            <w:shd w:val="clear" w:color="auto" w:fill="auto"/>
            <w:tcMar>
              <w:top w:w="80" w:type="dxa"/>
              <w:left w:w="80" w:type="dxa"/>
              <w:bottom w:w="80" w:type="dxa"/>
              <w:right w:w="80" w:type="dxa"/>
            </w:tcMar>
          </w:tcPr>
          <w:p w14:paraId="50FE7565" w14:textId="4B4DBF72" w:rsidR="00861559" w:rsidRDefault="00861559" w:rsidP="00D1721C">
            <w:pPr>
              <w:pStyle w:val="BodyA"/>
              <w:keepLines/>
              <w:spacing w:before="40" w:after="40" w:line="200" w:lineRule="atLeast"/>
            </w:pPr>
            <w:r w:rsidRPr="0027212B">
              <w:rPr>
                <w:rStyle w:val="NoneA"/>
                <w:sz w:val="17"/>
                <w:szCs w:val="17"/>
              </w:rPr>
              <w:t>Australia fund</w:t>
            </w:r>
            <w:r w:rsidR="00D1721C">
              <w:rPr>
                <w:rStyle w:val="NoneA"/>
                <w:sz w:val="17"/>
                <w:szCs w:val="17"/>
              </w:rPr>
              <w:t>ed</w:t>
            </w:r>
            <w:r w:rsidRPr="0027212B">
              <w:rPr>
                <w:rStyle w:val="NoneA"/>
                <w:sz w:val="17"/>
                <w:szCs w:val="17"/>
              </w:rPr>
              <w:t xml:space="preserve"> the Bangladesh </w:t>
            </w:r>
            <w:r w:rsidR="0037642C">
              <w:rPr>
                <w:rStyle w:val="NoneA"/>
                <w:sz w:val="17"/>
                <w:szCs w:val="17"/>
              </w:rPr>
              <w:t xml:space="preserve">Government’s </w:t>
            </w:r>
            <w:r w:rsidRPr="0027212B">
              <w:rPr>
                <w:rStyle w:val="NoneA"/>
                <w:sz w:val="17"/>
                <w:szCs w:val="17"/>
              </w:rPr>
              <w:t>primary education program to increase the proportion of competency based questions in Grade 5 exams, shifting questions based on rote learning and memory to competency based approaches.</w:t>
            </w:r>
            <w:r>
              <w:rPr>
                <w:rStyle w:val="NoneA"/>
                <w:sz w:val="17"/>
                <w:szCs w:val="17"/>
              </w:rPr>
              <w:t xml:space="preserve"> In 2017-18, 65 per cent (the target) of the Grade 5 exam consisted of competency based questions</w:t>
            </w:r>
          </w:p>
        </w:tc>
      </w:tr>
      <w:tr w:rsidR="00861559" w14:paraId="2E52B760" w14:textId="77777777" w:rsidTr="003C61D9">
        <w:tblPrEx>
          <w:shd w:val="clear" w:color="auto" w:fill="D1E9E4"/>
        </w:tblPrEx>
        <w:trPr>
          <w:trHeight w:val="460"/>
        </w:trPr>
        <w:tc>
          <w:tcPr>
            <w:tcW w:w="2211" w:type="dxa"/>
            <w:tcBorders>
              <w:top w:val="nil"/>
              <w:left w:val="nil"/>
              <w:bottom w:val="nil"/>
              <w:right w:val="nil"/>
            </w:tcBorders>
            <w:shd w:val="clear" w:color="auto" w:fill="auto"/>
            <w:tcMar>
              <w:top w:w="80" w:type="dxa"/>
              <w:left w:w="80" w:type="dxa"/>
              <w:bottom w:w="80" w:type="dxa"/>
              <w:right w:w="80" w:type="dxa"/>
            </w:tcMar>
          </w:tcPr>
          <w:p w14:paraId="597A2C1D" w14:textId="77777777" w:rsidR="00861559" w:rsidRPr="00523D5F" w:rsidRDefault="00861559" w:rsidP="003C61D9">
            <w:pPr>
              <w:pStyle w:val="BodyA"/>
              <w:keepLines/>
              <w:spacing w:before="40" w:after="40" w:line="200" w:lineRule="atLeast"/>
              <w:rPr>
                <w:rStyle w:val="NoneA"/>
                <w:sz w:val="17"/>
                <w:szCs w:val="17"/>
              </w:rPr>
            </w:pPr>
          </w:p>
        </w:tc>
        <w:tc>
          <w:tcPr>
            <w:tcW w:w="2960" w:type="dxa"/>
            <w:tcBorders>
              <w:top w:val="nil"/>
              <w:left w:val="nil"/>
              <w:bottom w:val="nil"/>
              <w:right w:val="nil"/>
            </w:tcBorders>
            <w:shd w:val="clear" w:color="auto" w:fill="auto"/>
            <w:tcMar>
              <w:top w:w="80" w:type="dxa"/>
              <w:left w:w="80" w:type="dxa"/>
              <w:bottom w:w="80" w:type="dxa"/>
              <w:right w:w="80" w:type="dxa"/>
            </w:tcMar>
          </w:tcPr>
          <w:p w14:paraId="3EFB3A37" w14:textId="77777777" w:rsidR="00861559" w:rsidRPr="00523D5F" w:rsidRDefault="00861559" w:rsidP="003C61D9">
            <w:pPr>
              <w:keepLines/>
              <w:suppressAutoHyphens/>
              <w:spacing w:before="40" w:after="40" w:line="200" w:lineRule="atLeast"/>
              <w:rPr>
                <w:rFonts w:ascii="Calibri Light" w:eastAsia="Calibri Light" w:hAnsi="Calibri Light" w:cs="Calibri Light"/>
                <w:color w:val="495965"/>
                <w:sz w:val="17"/>
                <w:szCs w:val="17"/>
                <w:u w:color="495965"/>
                <w:lang w:eastAsia="en-AU"/>
              </w:rPr>
            </w:pPr>
            <w:r>
              <w:rPr>
                <w:rFonts w:ascii="Calibri Light" w:eastAsia="Calibri Light" w:hAnsi="Calibri Light" w:cs="Calibri Light"/>
                <w:color w:val="495965"/>
                <w:sz w:val="17"/>
                <w:szCs w:val="17"/>
                <w:u w:color="495965"/>
                <w:lang w:eastAsia="en-AU"/>
              </w:rPr>
              <w:t xml:space="preserve">BRAC meets targets </w:t>
            </w:r>
            <w:r w:rsidRPr="00523D5F">
              <w:rPr>
                <w:rFonts w:ascii="Calibri Light" w:eastAsia="Calibri Light" w:hAnsi="Calibri Light" w:cs="Calibri Light"/>
                <w:color w:val="495965"/>
                <w:sz w:val="17"/>
                <w:szCs w:val="17"/>
                <w:u w:color="495965"/>
                <w:lang w:eastAsia="en-AU"/>
              </w:rPr>
              <w:t>for numbers of children completing a course of primary or pre-primary education</w:t>
            </w:r>
          </w:p>
          <w:p w14:paraId="46F5161D" w14:textId="77777777" w:rsidR="00861559" w:rsidRPr="00DA620C" w:rsidRDefault="00861559" w:rsidP="003C61D9">
            <w:pPr>
              <w:pStyle w:val="BodyA"/>
              <w:keepLines/>
              <w:spacing w:before="40" w:after="40" w:line="200" w:lineRule="atLeast"/>
              <w:rPr>
                <w:rStyle w:val="NoneA"/>
                <w:sz w:val="17"/>
                <w:szCs w:val="17"/>
              </w:rPr>
            </w:pPr>
            <w:r>
              <w:rPr>
                <w:rFonts w:cs="Times New Roman"/>
                <w:i/>
                <w:sz w:val="17"/>
                <w:szCs w:val="17"/>
                <w:bdr w:val="none" w:sz="0" w:space="0" w:color="auto"/>
                <w:lang w:val="en-GB" w:eastAsia="en-US"/>
              </w:rPr>
              <w:t>Target:  539,154</w:t>
            </w:r>
            <w:r w:rsidRPr="00523D5F">
              <w:rPr>
                <w:rFonts w:cs="Times New Roman"/>
                <w:i/>
                <w:sz w:val="17"/>
                <w:szCs w:val="17"/>
                <w:bdr w:val="none" w:sz="0" w:space="0" w:color="auto"/>
                <w:lang w:val="en-GB" w:eastAsia="en-US"/>
              </w:rPr>
              <w:t xml:space="preserve">  </w:t>
            </w:r>
          </w:p>
        </w:tc>
        <w:tc>
          <w:tcPr>
            <w:tcW w:w="1134" w:type="dxa"/>
            <w:tcBorders>
              <w:top w:val="nil"/>
              <w:left w:val="nil"/>
              <w:bottom w:val="nil"/>
              <w:right w:val="nil"/>
            </w:tcBorders>
            <w:shd w:val="clear" w:color="auto" w:fill="92D050"/>
            <w:tcMar>
              <w:top w:w="80" w:type="dxa"/>
              <w:left w:w="80" w:type="dxa"/>
              <w:bottom w:w="80" w:type="dxa"/>
              <w:right w:w="80" w:type="dxa"/>
            </w:tcMar>
          </w:tcPr>
          <w:p w14:paraId="435E30F9" w14:textId="77777777" w:rsidR="00861559" w:rsidRDefault="00861559" w:rsidP="003C61D9">
            <w:pPr>
              <w:pStyle w:val="BodyA"/>
              <w:keepLines/>
              <w:spacing w:before="40" w:after="40" w:line="200" w:lineRule="atLeast"/>
              <w:jc w:val="center"/>
              <w:rPr>
                <w:rStyle w:val="None"/>
                <w:color w:val="FFFFFF"/>
                <w:sz w:val="17"/>
                <w:szCs w:val="17"/>
                <w:u w:color="FFFFFF"/>
              </w:rPr>
            </w:pPr>
            <w:r>
              <w:rPr>
                <w:rStyle w:val="None"/>
                <w:color w:val="FFFFFF"/>
                <w:sz w:val="17"/>
                <w:szCs w:val="17"/>
                <w:u w:color="FFFFFF"/>
              </w:rPr>
              <w:t>Achieved</w:t>
            </w:r>
          </w:p>
        </w:tc>
        <w:tc>
          <w:tcPr>
            <w:tcW w:w="7868" w:type="dxa"/>
            <w:tcBorders>
              <w:top w:val="nil"/>
              <w:left w:val="nil"/>
              <w:bottom w:val="nil"/>
              <w:right w:val="nil"/>
            </w:tcBorders>
            <w:shd w:val="clear" w:color="auto" w:fill="auto"/>
            <w:tcMar>
              <w:top w:w="80" w:type="dxa"/>
              <w:left w:w="80" w:type="dxa"/>
              <w:bottom w:w="80" w:type="dxa"/>
              <w:right w:w="80" w:type="dxa"/>
            </w:tcMar>
          </w:tcPr>
          <w:p w14:paraId="0F89A384" w14:textId="77777777" w:rsidR="00861559" w:rsidRDefault="00861559" w:rsidP="003C61D9">
            <w:pPr>
              <w:pStyle w:val="BodyA"/>
              <w:keepLines/>
              <w:spacing w:before="40" w:after="40" w:line="200" w:lineRule="atLeast"/>
              <w:rPr>
                <w:rStyle w:val="None"/>
                <w:sz w:val="17"/>
                <w:szCs w:val="17"/>
              </w:rPr>
            </w:pPr>
            <w:r>
              <w:rPr>
                <w:rStyle w:val="None"/>
                <w:sz w:val="17"/>
                <w:szCs w:val="17"/>
              </w:rPr>
              <w:t xml:space="preserve">Australia provides non-earmarked funding to BRAC, complementing the investment in the Government’s primary education program. In 2017-18, 547,232 children (including 53% girls) completed pre-primary and primary education, exceeding the benchmarks </w:t>
            </w:r>
            <w:proofErr w:type="gramStart"/>
            <w:r>
              <w:rPr>
                <w:rStyle w:val="None"/>
                <w:sz w:val="17"/>
                <w:szCs w:val="17"/>
              </w:rPr>
              <w:t>of  539,154</w:t>
            </w:r>
            <w:proofErr w:type="gramEnd"/>
            <w:r>
              <w:rPr>
                <w:rStyle w:val="None"/>
                <w:sz w:val="17"/>
                <w:szCs w:val="17"/>
              </w:rPr>
              <w:t xml:space="preserve">. </w:t>
            </w:r>
          </w:p>
        </w:tc>
      </w:tr>
      <w:tr w:rsidR="00861559" w14:paraId="55EF12D5" w14:textId="77777777" w:rsidTr="002C29B9">
        <w:tblPrEx>
          <w:shd w:val="clear" w:color="auto" w:fill="D1E9E4"/>
        </w:tblPrEx>
        <w:trPr>
          <w:trHeight w:val="965"/>
        </w:trPr>
        <w:tc>
          <w:tcPr>
            <w:tcW w:w="2211" w:type="dxa"/>
            <w:tcBorders>
              <w:top w:val="nil"/>
              <w:left w:val="nil"/>
              <w:bottom w:val="nil"/>
              <w:right w:val="nil"/>
            </w:tcBorders>
            <w:shd w:val="clear" w:color="auto" w:fill="auto"/>
            <w:tcMar>
              <w:top w:w="80" w:type="dxa"/>
              <w:left w:w="80" w:type="dxa"/>
              <w:bottom w:w="80" w:type="dxa"/>
              <w:right w:w="80" w:type="dxa"/>
            </w:tcMar>
          </w:tcPr>
          <w:p w14:paraId="3651AF19" w14:textId="77777777" w:rsidR="00861559" w:rsidRPr="00523D5F" w:rsidRDefault="00861559" w:rsidP="003C61D9">
            <w:pPr>
              <w:pStyle w:val="BodyA"/>
              <w:keepLines/>
              <w:spacing w:before="40" w:after="40" w:line="200" w:lineRule="atLeast"/>
              <w:rPr>
                <w:rStyle w:val="NoneA"/>
                <w:sz w:val="17"/>
                <w:szCs w:val="17"/>
              </w:rPr>
            </w:pPr>
          </w:p>
        </w:tc>
        <w:tc>
          <w:tcPr>
            <w:tcW w:w="2960" w:type="dxa"/>
            <w:tcBorders>
              <w:top w:val="nil"/>
              <w:left w:val="nil"/>
              <w:bottom w:val="nil"/>
              <w:right w:val="nil"/>
            </w:tcBorders>
            <w:shd w:val="clear" w:color="auto" w:fill="auto"/>
            <w:tcMar>
              <w:top w:w="80" w:type="dxa"/>
              <w:left w:w="80" w:type="dxa"/>
              <w:bottom w:w="80" w:type="dxa"/>
              <w:right w:w="80" w:type="dxa"/>
            </w:tcMar>
          </w:tcPr>
          <w:p w14:paraId="76B72806" w14:textId="77777777" w:rsidR="00861559" w:rsidRPr="00DA620C" w:rsidRDefault="00861559" w:rsidP="003C61D9">
            <w:pPr>
              <w:pStyle w:val="BodyA"/>
              <w:keepLines/>
              <w:spacing w:before="40" w:after="40" w:line="200" w:lineRule="atLeast"/>
              <w:rPr>
                <w:rStyle w:val="NoneA"/>
                <w:sz w:val="17"/>
                <w:szCs w:val="17"/>
              </w:rPr>
            </w:pPr>
            <w:r w:rsidRPr="00523D5F">
              <w:rPr>
                <w:rFonts w:cs="Times New Roman"/>
                <w:sz w:val="17"/>
                <w:szCs w:val="17"/>
                <w:bdr w:val="none" w:sz="0" w:space="0" w:color="auto"/>
                <w:lang w:val="en-GB" w:eastAsia="en-US"/>
              </w:rPr>
              <w:t>50% of donor fund disbursement for PEDP3 linked to results achieved, with the remaining 50% subject to meeting annual audit requirements</w:t>
            </w:r>
          </w:p>
        </w:tc>
        <w:tc>
          <w:tcPr>
            <w:tcW w:w="1134" w:type="dxa"/>
            <w:tcBorders>
              <w:top w:val="nil"/>
              <w:left w:val="nil"/>
              <w:bottom w:val="nil"/>
              <w:right w:val="nil"/>
            </w:tcBorders>
            <w:shd w:val="clear" w:color="auto" w:fill="92D050"/>
            <w:tcMar>
              <w:top w:w="80" w:type="dxa"/>
              <w:left w:w="80" w:type="dxa"/>
              <w:bottom w:w="80" w:type="dxa"/>
              <w:right w:w="80" w:type="dxa"/>
            </w:tcMar>
          </w:tcPr>
          <w:p w14:paraId="6B875521" w14:textId="77777777" w:rsidR="00861559" w:rsidRDefault="00861559" w:rsidP="003C61D9">
            <w:pPr>
              <w:pStyle w:val="BodyA"/>
              <w:keepLines/>
              <w:spacing w:before="40" w:after="40" w:line="200" w:lineRule="atLeast"/>
              <w:jc w:val="center"/>
              <w:rPr>
                <w:rStyle w:val="None"/>
                <w:color w:val="FFFFFF"/>
                <w:sz w:val="17"/>
                <w:szCs w:val="17"/>
                <w:u w:color="FFFFFF"/>
              </w:rPr>
            </w:pPr>
            <w:r>
              <w:rPr>
                <w:rStyle w:val="None"/>
                <w:color w:val="FFFFFF"/>
                <w:sz w:val="17"/>
                <w:szCs w:val="17"/>
                <w:u w:color="FFFFFF"/>
              </w:rPr>
              <w:t>Achieved</w:t>
            </w:r>
          </w:p>
        </w:tc>
        <w:tc>
          <w:tcPr>
            <w:tcW w:w="7868" w:type="dxa"/>
            <w:tcBorders>
              <w:top w:val="nil"/>
              <w:left w:val="nil"/>
              <w:bottom w:val="nil"/>
              <w:right w:val="nil"/>
            </w:tcBorders>
            <w:shd w:val="clear" w:color="auto" w:fill="auto"/>
            <w:tcMar>
              <w:top w:w="80" w:type="dxa"/>
              <w:left w:w="80" w:type="dxa"/>
              <w:bottom w:w="80" w:type="dxa"/>
              <w:right w:w="80" w:type="dxa"/>
            </w:tcMar>
          </w:tcPr>
          <w:p w14:paraId="5A1AEC7B" w14:textId="79438F76" w:rsidR="00861559" w:rsidRDefault="00861559" w:rsidP="002C29B9">
            <w:pPr>
              <w:pStyle w:val="BodyA"/>
              <w:keepLines/>
              <w:spacing w:before="40" w:after="40" w:line="200" w:lineRule="atLeast"/>
              <w:rPr>
                <w:rStyle w:val="None"/>
                <w:sz w:val="17"/>
                <w:szCs w:val="17"/>
              </w:rPr>
            </w:pPr>
            <w:r>
              <w:rPr>
                <w:rStyle w:val="None"/>
                <w:sz w:val="17"/>
                <w:szCs w:val="17"/>
              </w:rPr>
              <w:t xml:space="preserve">The Government’s primary education program is funded on a performance basis through Disbursement Linked Indicators (DLIs), tied to reform efforts. 50 per cent of our funds were tied to DLIs. Despite some delay </w:t>
            </w:r>
            <w:r w:rsidR="00D1721C">
              <w:rPr>
                <w:rStyle w:val="None"/>
                <w:sz w:val="17"/>
                <w:szCs w:val="17"/>
              </w:rPr>
              <w:t>on</w:t>
            </w:r>
            <w:r>
              <w:rPr>
                <w:rStyle w:val="None"/>
                <w:sz w:val="17"/>
                <w:szCs w:val="17"/>
              </w:rPr>
              <w:t xml:space="preserve"> a few indicators, the Bangladesh Government’s performance in achieving the DLIs ha</w:t>
            </w:r>
            <w:r w:rsidR="00D1721C">
              <w:rPr>
                <w:rStyle w:val="None"/>
                <w:sz w:val="17"/>
                <w:szCs w:val="17"/>
              </w:rPr>
              <w:t>s</w:t>
            </w:r>
            <w:r>
              <w:rPr>
                <w:rStyle w:val="None"/>
                <w:sz w:val="17"/>
                <w:szCs w:val="17"/>
              </w:rPr>
              <w:t xml:space="preserve"> been impressive. By the end of the program 56 of the 59 reform focused DLIs (95%) were met. </w:t>
            </w:r>
          </w:p>
        </w:tc>
      </w:tr>
      <w:tr w:rsidR="00861559" w14:paraId="10557831" w14:textId="77777777" w:rsidTr="003C61D9">
        <w:tblPrEx>
          <w:shd w:val="clear" w:color="auto" w:fill="D1E9E4"/>
        </w:tblPrEx>
        <w:trPr>
          <w:trHeight w:val="460"/>
        </w:trPr>
        <w:tc>
          <w:tcPr>
            <w:tcW w:w="2211" w:type="dxa"/>
            <w:tcBorders>
              <w:top w:val="nil"/>
              <w:left w:val="nil"/>
              <w:bottom w:val="nil"/>
              <w:right w:val="nil"/>
            </w:tcBorders>
            <w:shd w:val="clear" w:color="auto" w:fill="auto"/>
            <w:tcMar>
              <w:top w:w="80" w:type="dxa"/>
              <w:left w:w="80" w:type="dxa"/>
              <w:bottom w:w="80" w:type="dxa"/>
              <w:right w:w="80" w:type="dxa"/>
            </w:tcMar>
          </w:tcPr>
          <w:p w14:paraId="4FB261A6" w14:textId="77777777" w:rsidR="00861559" w:rsidRPr="00523D5F" w:rsidRDefault="00861559" w:rsidP="003C61D9">
            <w:pPr>
              <w:pStyle w:val="BodyA"/>
              <w:keepLines/>
              <w:spacing w:before="40" w:after="40" w:line="200" w:lineRule="atLeast"/>
              <w:rPr>
                <w:rStyle w:val="NoneA"/>
                <w:sz w:val="17"/>
                <w:szCs w:val="17"/>
              </w:rPr>
            </w:pPr>
          </w:p>
        </w:tc>
        <w:tc>
          <w:tcPr>
            <w:tcW w:w="2960" w:type="dxa"/>
            <w:tcBorders>
              <w:top w:val="nil"/>
              <w:left w:val="nil"/>
              <w:bottom w:val="nil"/>
              <w:right w:val="nil"/>
            </w:tcBorders>
            <w:shd w:val="clear" w:color="auto" w:fill="auto"/>
            <w:tcMar>
              <w:top w:w="80" w:type="dxa"/>
              <w:left w:w="80" w:type="dxa"/>
              <w:bottom w:w="80" w:type="dxa"/>
              <w:right w:w="80" w:type="dxa"/>
            </w:tcMar>
          </w:tcPr>
          <w:p w14:paraId="09590935" w14:textId="77777777" w:rsidR="00861559" w:rsidRPr="00523D5F" w:rsidRDefault="00861559" w:rsidP="003C61D9">
            <w:pPr>
              <w:pStyle w:val="BodyA"/>
              <w:keepLines/>
              <w:spacing w:before="40" w:after="40" w:line="200" w:lineRule="atLeast"/>
              <w:rPr>
                <w:rFonts w:cs="Times New Roman"/>
                <w:sz w:val="17"/>
                <w:szCs w:val="17"/>
                <w:bdr w:val="none" w:sz="0" w:space="0" w:color="auto"/>
                <w:lang w:val="en-GB" w:eastAsia="en-US"/>
              </w:rPr>
            </w:pPr>
            <w:r w:rsidRPr="00523D5F">
              <w:rPr>
                <w:rFonts w:cs="Times New Roman"/>
                <w:sz w:val="17"/>
                <w:szCs w:val="17"/>
                <w:bdr w:val="none" w:sz="0" w:space="0" w:color="auto"/>
                <w:lang w:val="en-GB" w:eastAsia="en-US"/>
              </w:rPr>
              <w:t>At least 50% of scholarships in each intake awarded to women</w:t>
            </w:r>
          </w:p>
        </w:tc>
        <w:tc>
          <w:tcPr>
            <w:tcW w:w="1134" w:type="dxa"/>
            <w:tcBorders>
              <w:top w:val="nil"/>
              <w:left w:val="nil"/>
              <w:bottom w:val="nil"/>
              <w:right w:val="nil"/>
            </w:tcBorders>
            <w:shd w:val="clear" w:color="auto" w:fill="92D050"/>
            <w:tcMar>
              <w:top w:w="80" w:type="dxa"/>
              <w:left w:w="80" w:type="dxa"/>
              <w:bottom w:w="80" w:type="dxa"/>
              <w:right w:w="80" w:type="dxa"/>
            </w:tcMar>
          </w:tcPr>
          <w:p w14:paraId="37C2D8F2" w14:textId="77777777" w:rsidR="00861559" w:rsidRDefault="00861559" w:rsidP="003C61D9">
            <w:pPr>
              <w:pStyle w:val="BodyA"/>
              <w:keepLines/>
              <w:spacing w:before="40" w:after="40" w:line="200" w:lineRule="atLeast"/>
              <w:jc w:val="center"/>
              <w:rPr>
                <w:rStyle w:val="None"/>
                <w:color w:val="FFFFFF"/>
                <w:sz w:val="17"/>
                <w:szCs w:val="17"/>
                <w:u w:color="FFFFFF"/>
              </w:rPr>
            </w:pPr>
            <w:r w:rsidRPr="00F70880">
              <w:rPr>
                <w:rStyle w:val="None"/>
                <w:color w:val="FFFFFF"/>
                <w:sz w:val="17"/>
                <w:szCs w:val="17"/>
                <w:u w:color="FFFFFF"/>
              </w:rPr>
              <w:t>Achieved</w:t>
            </w:r>
          </w:p>
        </w:tc>
        <w:tc>
          <w:tcPr>
            <w:tcW w:w="7868" w:type="dxa"/>
            <w:tcBorders>
              <w:top w:val="nil"/>
              <w:left w:val="nil"/>
              <w:bottom w:val="nil"/>
              <w:right w:val="nil"/>
            </w:tcBorders>
            <w:shd w:val="clear" w:color="auto" w:fill="auto"/>
            <w:tcMar>
              <w:top w:w="80" w:type="dxa"/>
              <w:left w:w="80" w:type="dxa"/>
              <w:bottom w:w="80" w:type="dxa"/>
              <w:right w:w="80" w:type="dxa"/>
            </w:tcMar>
          </w:tcPr>
          <w:p w14:paraId="49099993" w14:textId="1B8809C8" w:rsidR="00861559" w:rsidRDefault="00861559" w:rsidP="003C61D9">
            <w:pPr>
              <w:pStyle w:val="BodyA"/>
              <w:keepLines/>
              <w:spacing w:before="40" w:after="40" w:line="200" w:lineRule="atLeast"/>
              <w:rPr>
                <w:rStyle w:val="None"/>
                <w:sz w:val="17"/>
                <w:szCs w:val="17"/>
              </w:rPr>
            </w:pPr>
            <w:r w:rsidRPr="00F70880">
              <w:rPr>
                <w:rStyle w:val="None"/>
                <w:sz w:val="17"/>
                <w:szCs w:val="17"/>
              </w:rPr>
              <w:t>In 2018, 70 Bangladesh students (35 females) were offered graduate scholarships</w:t>
            </w:r>
            <w:r>
              <w:rPr>
                <w:rStyle w:val="None"/>
                <w:sz w:val="17"/>
                <w:szCs w:val="17"/>
              </w:rPr>
              <w:t>, in line with PB/PF target of gender parity</w:t>
            </w:r>
            <w:r w:rsidRPr="00F70880">
              <w:rPr>
                <w:rStyle w:val="None"/>
                <w:sz w:val="17"/>
                <w:szCs w:val="17"/>
              </w:rPr>
              <w:t>. However, one of the recipients (a female) dropped out, bringing the total number to 69 (males = 35 and females=34) Australia Award recipients in 2018</w:t>
            </w:r>
            <w:r w:rsidR="00D1721C">
              <w:rPr>
                <w:rStyle w:val="None"/>
                <w:sz w:val="17"/>
                <w:szCs w:val="17"/>
              </w:rPr>
              <w:t>.</w:t>
            </w:r>
          </w:p>
        </w:tc>
      </w:tr>
      <w:tr w:rsidR="00861559" w14:paraId="0A8F7852" w14:textId="77777777" w:rsidTr="003C61D9">
        <w:tblPrEx>
          <w:shd w:val="clear" w:color="auto" w:fill="D1E9E4"/>
        </w:tblPrEx>
        <w:trPr>
          <w:trHeight w:val="924"/>
        </w:trPr>
        <w:tc>
          <w:tcPr>
            <w:tcW w:w="2211" w:type="dxa"/>
            <w:tcBorders>
              <w:top w:val="nil"/>
              <w:left w:val="nil"/>
              <w:bottom w:val="nil"/>
              <w:right w:val="nil"/>
            </w:tcBorders>
            <w:shd w:val="clear" w:color="auto" w:fill="auto"/>
            <w:tcMar>
              <w:top w:w="80" w:type="dxa"/>
              <w:left w:w="80" w:type="dxa"/>
              <w:bottom w:w="80" w:type="dxa"/>
              <w:right w:w="80" w:type="dxa"/>
            </w:tcMar>
          </w:tcPr>
          <w:p w14:paraId="39F0B6D5" w14:textId="77777777" w:rsidR="00861559" w:rsidRDefault="00861559" w:rsidP="003C61D9">
            <w:pPr>
              <w:pStyle w:val="BodyA"/>
              <w:keepLines/>
              <w:spacing w:before="40" w:after="40" w:line="200" w:lineRule="atLeast"/>
            </w:pPr>
            <w:r w:rsidRPr="00DA620C">
              <w:rPr>
                <w:iCs/>
                <w:sz w:val="17"/>
                <w:szCs w:val="17"/>
                <w:lang w:val="en-AU"/>
              </w:rPr>
              <w:t>Building economic resilience by reducing vulnerability and improving inclusion in the growing economy</w:t>
            </w:r>
          </w:p>
        </w:tc>
        <w:tc>
          <w:tcPr>
            <w:tcW w:w="2960" w:type="dxa"/>
            <w:tcBorders>
              <w:top w:val="nil"/>
              <w:left w:val="nil"/>
              <w:bottom w:val="nil"/>
              <w:right w:val="nil"/>
            </w:tcBorders>
            <w:shd w:val="clear" w:color="auto" w:fill="auto"/>
            <w:tcMar>
              <w:top w:w="80" w:type="dxa"/>
              <w:left w:w="80" w:type="dxa"/>
              <w:bottom w:w="80" w:type="dxa"/>
              <w:right w:w="80" w:type="dxa"/>
            </w:tcMar>
          </w:tcPr>
          <w:p w14:paraId="62A2EAB5" w14:textId="77777777" w:rsidR="00861559" w:rsidRPr="00523D5F" w:rsidRDefault="00861559" w:rsidP="003C61D9">
            <w:pPr>
              <w:keepLines/>
              <w:suppressAutoHyphens/>
              <w:spacing w:before="40" w:after="40" w:line="200" w:lineRule="atLeast"/>
              <w:rPr>
                <w:rFonts w:ascii="Calibri Light" w:eastAsia="Calibri Light" w:hAnsi="Calibri Light" w:cs="Calibri Light"/>
                <w:color w:val="495965"/>
                <w:sz w:val="17"/>
                <w:szCs w:val="17"/>
                <w:u w:color="495965"/>
                <w:lang w:eastAsia="en-AU"/>
              </w:rPr>
            </w:pPr>
            <w:r w:rsidRPr="00523D5F">
              <w:rPr>
                <w:rFonts w:ascii="Calibri Light" w:eastAsia="Calibri Light" w:hAnsi="Calibri Light" w:cs="Calibri Light"/>
                <w:color w:val="495965"/>
                <w:sz w:val="17"/>
                <w:szCs w:val="17"/>
                <w:u w:color="495965"/>
                <w:lang w:eastAsia="en-AU"/>
              </w:rPr>
              <w:t>The number of women and their households graduating from our partners’ livelihood programs</w:t>
            </w:r>
          </w:p>
          <w:p w14:paraId="1F132016" w14:textId="77777777" w:rsidR="00861559" w:rsidRDefault="00861559" w:rsidP="003C61D9">
            <w:pPr>
              <w:pStyle w:val="BodyA"/>
              <w:keepLines/>
              <w:spacing w:before="40" w:after="40" w:line="200" w:lineRule="atLeast"/>
            </w:pPr>
            <w:r>
              <w:rPr>
                <w:rFonts w:cs="Times New Roman"/>
                <w:i/>
                <w:sz w:val="17"/>
                <w:szCs w:val="17"/>
                <w:bdr w:val="none" w:sz="0" w:space="0" w:color="auto"/>
                <w:lang w:val="en-GB" w:eastAsia="en-US"/>
              </w:rPr>
              <w:t>Target: 75,506</w:t>
            </w:r>
          </w:p>
        </w:tc>
        <w:tc>
          <w:tcPr>
            <w:tcW w:w="1134" w:type="dxa"/>
            <w:tcBorders>
              <w:top w:val="nil"/>
              <w:left w:val="nil"/>
              <w:bottom w:val="nil"/>
              <w:right w:val="nil"/>
            </w:tcBorders>
            <w:shd w:val="clear" w:color="auto" w:fill="D2904E"/>
            <w:tcMar>
              <w:top w:w="80" w:type="dxa"/>
              <w:left w:w="80" w:type="dxa"/>
              <w:bottom w:w="80" w:type="dxa"/>
              <w:right w:w="80" w:type="dxa"/>
            </w:tcMar>
          </w:tcPr>
          <w:p w14:paraId="3BC2A8E9" w14:textId="77777777" w:rsidR="00861559" w:rsidRPr="001266F9" w:rsidRDefault="00861559" w:rsidP="003C61D9">
            <w:pPr>
              <w:pStyle w:val="BodyA"/>
              <w:keepLines/>
              <w:spacing w:before="40" w:after="40" w:line="200" w:lineRule="atLeast"/>
              <w:jc w:val="center"/>
              <w:rPr>
                <w:rStyle w:val="None"/>
                <w:color w:val="FFFFFF"/>
                <w:sz w:val="17"/>
                <w:szCs w:val="17"/>
                <w:u w:color="FFFFFF"/>
              </w:rPr>
            </w:pPr>
            <w:r w:rsidRPr="00585439">
              <w:rPr>
                <w:rStyle w:val="None"/>
                <w:color w:val="FFFFFF"/>
                <w:sz w:val="17"/>
                <w:szCs w:val="17"/>
                <w:u w:color="FFFFFF"/>
                <w:shd w:val="clear" w:color="auto" w:fill="D2904E"/>
              </w:rPr>
              <w:t xml:space="preserve"> Partly</w:t>
            </w:r>
            <w:r>
              <w:rPr>
                <w:rStyle w:val="None"/>
                <w:color w:val="FFFFFF"/>
                <w:sz w:val="17"/>
                <w:szCs w:val="17"/>
                <w:u w:color="FFFFFF"/>
                <w:shd w:val="clear" w:color="auto" w:fill="D2904E"/>
              </w:rPr>
              <w:t xml:space="preserve"> Achieved</w:t>
            </w:r>
          </w:p>
        </w:tc>
        <w:tc>
          <w:tcPr>
            <w:tcW w:w="7868" w:type="dxa"/>
            <w:tcBorders>
              <w:top w:val="nil"/>
              <w:left w:val="nil"/>
              <w:bottom w:val="nil"/>
              <w:right w:val="nil"/>
            </w:tcBorders>
            <w:shd w:val="clear" w:color="auto" w:fill="auto"/>
            <w:tcMar>
              <w:top w:w="80" w:type="dxa"/>
              <w:left w:w="80" w:type="dxa"/>
              <w:bottom w:w="80" w:type="dxa"/>
              <w:right w:w="80" w:type="dxa"/>
            </w:tcMar>
          </w:tcPr>
          <w:p w14:paraId="35D6BFF9" w14:textId="49E4ECDC" w:rsidR="00861559" w:rsidRDefault="00861559" w:rsidP="003C61D9">
            <w:pPr>
              <w:spacing w:after="160" w:line="254" w:lineRule="auto"/>
            </w:pPr>
            <w:r w:rsidRPr="00585439">
              <w:rPr>
                <w:rStyle w:val="None"/>
                <w:rFonts w:ascii="Calibri Light" w:eastAsia="Calibri Light" w:hAnsi="Calibri Light" w:cs="Calibri Light"/>
                <w:color w:val="495965"/>
                <w:sz w:val="17"/>
                <w:szCs w:val="17"/>
                <w:u w:color="495965"/>
                <w:lang w:eastAsia="en-AU"/>
              </w:rPr>
              <w:t>In 2017-18, 72,804 households</w:t>
            </w:r>
            <w:r>
              <w:rPr>
                <w:rStyle w:val="None"/>
                <w:rFonts w:ascii="Calibri Light" w:eastAsia="Calibri Light" w:hAnsi="Calibri Light" w:cs="Calibri Light"/>
                <w:color w:val="495965"/>
                <w:sz w:val="17"/>
                <w:szCs w:val="17"/>
                <w:u w:color="495965"/>
                <w:lang w:eastAsia="en-AU"/>
              </w:rPr>
              <w:t xml:space="preserve"> (against a target of 75,506)</w:t>
            </w:r>
            <w:r w:rsidRPr="00585439">
              <w:rPr>
                <w:rStyle w:val="None"/>
                <w:rFonts w:ascii="Calibri Light" w:eastAsia="Calibri Light" w:hAnsi="Calibri Light" w:cs="Calibri Light"/>
                <w:color w:val="495965"/>
                <w:sz w:val="17"/>
                <w:szCs w:val="17"/>
                <w:u w:color="495965"/>
                <w:lang w:eastAsia="en-AU"/>
              </w:rPr>
              <w:t xml:space="preserve"> graduated from extreme poverty, </w:t>
            </w:r>
            <w:r>
              <w:rPr>
                <w:rStyle w:val="None"/>
                <w:rFonts w:ascii="Calibri Light" w:eastAsia="Calibri Light" w:hAnsi="Calibri Light" w:cs="Calibri Light"/>
                <w:color w:val="495965"/>
                <w:sz w:val="17"/>
                <w:szCs w:val="17"/>
                <w:u w:color="495965"/>
                <w:lang w:eastAsia="en-AU"/>
              </w:rPr>
              <w:t xml:space="preserve">marginally falling short of the target </w:t>
            </w:r>
            <w:r w:rsidRPr="00585439">
              <w:rPr>
                <w:rStyle w:val="None"/>
                <w:rFonts w:ascii="Calibri Light" w:eastAsia="Calibri Light" w:hAnsi="Calibri Light" w:cs="Calibri Light"/>
                <w:color w:val="495965"/>
                <w:sz w:val="17"/>
                <w:szCs w:val="17"/>
                <w:u w:color="495965"/>
                <w:lang w:eastAsia="en-AU"/>
              </w:rPr>
              <w:t>(</w:t>
            </w:r>
            <w:r>
              <w:rPr>
                <w:rStyle w:val="None"/>
                <w:rFonts w:ascii="Calibri Light" w:eastAsia="Calibri Light" w:hAnsi="Calibri Light" w:cs="Calibri Light"/>
                <w:color w:val="495965"/>
                <w:sz w:val="17"/>
                <w:szCs w:val="17"/>
                <w:u w:color="495965"/>
                <w:lang w:eastAsia="en-AU"/>
              </w:rPr>
              <w:t>by 4</w:t>
            </w:r>
            <w:r w:rsidRPr="00585439">
              <w:rPr>
                <w:rStyle w:val="None"/>
                <w:rFonts w:ascii="Calibri Light" w:eastAsia="Calibri Light" w:hAnsi="Calibri Light" w:cs="Calibri Light"/>
                <w:color w:val="495965"/>
                <w:sz w:val="17"/>
                <w:szCs w:val="17"/>
                <w:u w:color="495965"/>
                <w:lang w:eastAsia="en-AU"/>
              </w:rPr>
              <w:t xml:space="preserve"> per cent) due to some households </w:t>
            </w:r>
            <w:r w:rsidR="00D1721C">
              <w:rPr>
                <w:rStyle w:val="None"/>
                <w:rFonts w:ascii="Calibri Light" w:eastAsia="Calibri Light" w:hAnsi="Calibri Light" w:cs="Calibri Light"/>
                <w:color w:val="495965"/>
                <w:sz w:val="17"/>
                <w:szCs w:val="17"/>
                <w:u w:color="495965"/>
                <w:lang w:eastAsia="en-AU"/>
              </w:rPr>
              <w:t xml:space="preserve">being </w:t>
            </w:r>
            <w:r w:rsidRPr="00585439">
              <w:rPr>
                <w:rStyle w:val="None"/>
                <w:rFonts w:ascii="Calibri Light" w:eastAsia="Calibri Light" w:hAnsi="Calibri Light" w:cs="Calibri Light"/>
                <w:color w:val="495965"/>
                <w:sz w:val="17"/>
                <w:szCs w:val="17"/>
                <w:u w:color="495965"/>
                <w:lang w:eastAsia="en-AU"/>
              </w:rPr>
              <w:t xml:space="preserve">unable </w:t>
            </w:r>
            <w:r>
              <w:rPr>
                <w:rStyle w:val="None"/>
                <w:rFonts w:ascii="Calibri Light" w:eastAsia="Calibri Light" w:hAnsi="Calibri Light" w:cs="Calibri Light"/>
                <w:color w:val="495965"/>
                <w:sz w:val="17"/>
                <w:szCs w:val="17"/>
                <w:u w:color="495965"/>
                <w:lang w:eastAsia="en-AU"/>
              </w:rPr>
              <w:t xml:space="preserve">to meet the full set of BRAC’s Targeting the Ultra-poor Program </w:t>
            </w:r>
            <w:r w:rsidRPr="00585439">
              <w:rPr>
                <w:rStyle w:val="None"/>
                <w:rFonts w:ascii="Calibri Light" w:eastAsia="Calibri Light" w:hAnsi="Calibri Light" w:cs="Calibri Light"/>
                <w:color w:val="495965"/>
                <w:sz w:val="17"/>
                <w:szCs w:val="17"/>
                <w:u w:color="495965"/>
                <w:lang w:eastAsia="en-AU"/>
              </w:rPr>
              <w:t>criteria for graduation in this multidimensional poverty reduction program.</w:t>
            </w:r>
            <w:r w:rsidRPr="000C4356">
              <w:rPr>
                <w:rFonts w:asciiTheme="minorHAnsi" w:hAnsiTheme="minorHAnsi"/>
                <w:bCs/>
                <w:sz w:val="17"/>
                <w:szCs w:val="17"/>
              </w:rPr>
              <w:t xml:space="preserve"> </w:t>
            </w:r>
          </w:p>
        </w:tc>
      </w:tr>
      <w:tr w:rsidR="00861559" w14:paraId="5F5B69D4" w14:textId="77777777" w:rsidTr="003C61D9">
        <w:tblPrEx>
          <w:shd w:val="clear" w:color="auto" w:fill="D1E9E4"/>
        </w:tblPrEx>
        <w:trPr>
          <w:trHeight w:val="715"/>
        </w:trPr>
        <w:tc>
          <w:tcPr>
            <w:tcW w:w="2211" w:type="dxa"/>
            <w:tcBorders>
              <w:top w:val="nil"/>
              <w:left w:val="nil"/>
              <w:bottom w:val="nil"/>
              <w:right w:val="nil"/>
            </w:tcBorders>
            <w:shd w:val="clear" w:color="auto" w:fill="auto"/>
            <w:tcMar>
              <w:top w:w="80" w:type="dxa"/>
              <w:left w:w="80" w:type="dxa"/>
              <w:bottom w:w="80" w:type="dxa"/>
              <w:right w:w="80" w:type="dxa"/>
            </w:tcMar>
          </w:tcPr>
          <w:p w14:paraId="3D07927E" w14:textId="77777777" w:rsidR="00861559" w:rsidRDefault="00861559" w:rsidP="003C61D9">
            <w:pPr>
              <w:pStyle w:val="BodyA"/>
              <w:keepLines/>
              <w:spacing w:before="40" w:after="40" w:line="200" w:lineRule="atLeast"/>
            </w:pPr>
          </w:p>
        </w:tc>
        <w:tc>
          <w:tcPr>
            <w:tcW w:w="2960" w:type="dxa"/>
            <w:tcBorders>
              <w:top w:val="nil"/>
              <w:left w:val="nil"/>
              <w:bottom w:val="nil"/>
              <w:right w:val="nil"/>
            </w:tcBorders>
            <w:shd w:val="clear" w:color="auto" w:fill="auto"/>
            <w:tcMar>
              <w:top w:w="80" w:type="dxa"/>
              <w:left w:w="80" w:type="dxa"/>
              <w:bottom w:w="80" w:type="dxa"/>
              <w:right w:w="80" w:type="dxa"/>
            </w:tcMar>
          </w:tcPr>
          <w:p w14:paraId="668BC828" w14:textId="77777777" w:rsidR="00861559" w:rsidRPr="00523D5F" w:rsidRDefault="00861559" w:rsidP="003C61D9">
            <w:pPr>
              <w:keepLines/>
              <w:suppressAutoHyphens/>
              <w:spacing w:before="40" w:after="40" w:line="200" w:lineRule="atLeast"/>
              <w:rPr>
                <w:rFonts w:ascii="Calibri Light" w:eastAsia="Calibri Light" w:hAnsi="Calibri Light" w:cs="Calibri Light"/>
                <w:color w:val="495965"/>
                <w:sz w:val="17"/>
                <w:szCs w:val="17"/>
                <w:u w:color="495965"/>
                <w:lang w:eastAsia="en-AU"/>
              </w:rPr>
            </w:pPr>
            <w:r w:rsidRPr="00523D5F">
              <w:rPr>
                <w:rFonts w:ascii="Calibri Light" w:eastAsia="Calibri Light" w:hAnsi="Calibri Light" w:cs="Calibri Light"/>
                <w:color w:val="495965"/>
                <w:sz w:val="17"/>
                <w:szCs w:val="17"/>
                <w:u w:color="495965"/>
                <w:lang w:eastAsia="en-AU"/>
              </w:rPr>
              <w:t>Number of women and their households  able to access social transfers</w:t>
            </w:r>
          </w:p>
          <w:p w14:paraId="1B8AA550" w14:textId="77777777" w:rsidR="00861559" w:rsidRDefault="00861559" w:rsidP="003C61D9">
            <w:pPr>
              <w:pStyle w:val="BodyA"/>
              <w:keepLines/>
              <w:spacing w:before="40" w:after="40" w:line="200" w:lineRule="atLeast"/>
            </w:pPr>
            <w:r w:rsidRPr="001266F9">
              <w:rPr>
                <w:rFonts w:cs="Times New Roman"/>
                <w:i/>
                <w:sz w:val="17"/>
                <w:szCs w:val="17"/>
                <w:bdr w:val="none" w:sz="0" w:space="0" w:color="auto"/>
                <w:lang w:val="en-GB" w:eastAsia="en-US"/>
              </w:rPr>
              <w:t>Target: 54,600</w:t>
            </w:r>
          </w:p>
        </w:tc>
        <w:tc>
          <w:tcPr>
            <w:tcW w:w="1134" w:type="dxa"/>
            <w:tcBorders>
              <w:top w:val="nil"/>
              <w:left w:val="nil"/>
              <w:bottom w:val="nil"/>
              <w:right w:val="nil"/>
            </w:tcBorders>
            <w:shd w:val="clear" w:color="auto" w:fill="92D050"/>
            <w:tcMar>
              <w:top w:w="80" w:type="dxa"/>
              <w:left w:w="80" w:type="dxa"/>
              <w:bottom w:w="80" w:type="dxa"/>
              <w:right w:w="80" w:type="dxa"/>
            </w:tcMar>
          </w:tcPr>
          <w:p w14:paraId="30F4AE6D" w14:textId="77777777" w:rsidR="00861559" w:rsidRPr="001266F9" w:rsidRDefault="00861559" w:rsidP="003C61D9">
            <w:pPr>
              <w:pStyle w:val="BodyA"/>
              <w:keepLines/>
              <w:shd w:val="clear" w:color="auto" w:fill="92D050"/>
              <w:spacing w:before="40" w:after="40" w:line="200" w:lineRule="atLeast"/>
              <w:jc w:val="center"/>
              <w:rPr>
                <w:rStyle w:val="None"/>
                <w:color w:val="FFFFFF"/>
                <w:sz w:val="17"/>
                <w:szCs w:val="17"/>
                <w:u w:color="FFFFFF"/>
              </w:rPr>
            </w:pPr>
            <w:r>
              <w:rPr>
                <w:rStyle w:val="None"/>
                <w:color w:val="FFFFFF"/>
                <w:sz w:val="17"/>
                <w:szCs w:val="17"/>
                <w:u w:color="FFFFFF"/>
              </w:rPr>
              <w:t xml:space="preserve"> </w:t>
            </w:r>
            <w:r w:rsidRPr="001266F9">
              <w:rPr>
                <w:rStyle w:val="None"/>
                <w:color w:val="FFFFFF"/>
                <w:sz w:val="17"/>
                <w:szCs w:val="17"/>
                <w:u w:color="FFFFFF"/>
                <w:shd w:val="clear" w:color="auto" w:fill="92D050"/>
              </w:rPr>
              <w:t>Achieved</w:t>
            </w:r>
            <w:r>
              <w:rPr>
                <w:rStyle w:val="None"/>
                <w:color w:val="FFFFFF"/>
                <w:sz w:val="17"/>
                <w:szCs w:val="17"/>
                <w:u w:color="FFFFFF"/>
              </w:rPr>
              <w:t xml:space="preserve"> </w:t>
            </w:r>
          </w:p>
          <w:p w14:paraId="35D46690" w14:textId="77777777" w:rsidR="00861559" w:rsidRPr="001266F9" w:rsidRDefault="00861559" w:rsidP="003C61D9">
            <w:pPr>
              <w:pStyle w:val="BodyA"/>
              <w:keepLines/>
              <w:shd w:val="clear" w:color="auto" w:fill="92D050"/>
              <w:spacing w:before="40" w:after="40" w:line="200" w:lineRule="atLeast"/>
              <w:jc w:val="center"/>
              <w:rPr>
                <w:rStyle w:val="None"/>
                <w:color w:val="FFFFFF"/>
                <w:sz w:val="17"/>
                <w:szCs w:val="17"/>
                <w:u w:color="FFFFFF"/>
              </w:rPr>
            </w:pPr>
          </w:p>
          <w:p w14:paraId="306F696C" w14:textId="77777777" w:rsidR="00861559" w:rsidRPr="001266F9" w:rsidRDefault="00861559" w:rsidP="003C61D9">
            <w:pPr>
              <w:pStyle w:val="BodyA"/>
              <w:keepLines/>
              <w:shd w:val="clear" w:color="auto" w:fill="92D050"/>
              <w:spacing w:before="40" w:after="40" w:line="200" w:lineRule="atLeast"/>
              <w:jc w:val="center"/>
              <w:rPr>
                <w:rStyle w:val="None"/>
                <w:color w:val="FFFFFF"/>
                <w:sz w:val="17"/>
                <w:szCs w:val="17"/>
                <w:u w:color="FFFFFF"/>
              </w:rPr>
            </w:pPr>
          </w:p>
        </w:tc>
        <w:tc>
          <w:tcPr>
            <w:tcW w:w="7868" w:type="dxa"/>
            <w:tcBorders>
              <w:top w:val="nil"/>
              <w:left w:val="nil"/>
              <w:bottom w:val="nil"/>
              <w:right w:val="nil"/>
            </w:tcBorders>
            <w:shd w:val="clear" w:color="auto" w:fill="auto"/>
            <w:tcMar>
              <w:top w:w="80" w:type="dxa"/>
              <w:left w:w="80" w:type="dxa"/>
              <w:bottom w:w="80" w:type="dxa"/>
              <w:right w:w="80" w:type="dxa"/>
            </w:tcMar>
          </w:tcPr>
          <w:p w14:paraId="3D2C162C" w14:textId="77777777" w:rsidR="00861559" w:rsidRDefault="00861559" w:rsidP="003C61D9">
            <w:pPr>
              <w:pStyle w:val="TableTextEntries"/>
              <w:keepNext/>
              <w:suppressAutoHyphens w:val="0"/>
            </w:pPr>
            <w:r>
              <w:rPr>
                <w:rStyle w:val="None"/>
                <w:rFonts w:ascii="Calibri Light" w:eastAsia="Calibri Light" w:hAnsi="Calibri Light" w:cs="Calibri Light"/>
                <w:color w:val="495965"/>
                <w:u w:color="495965"/>
              </w:rPr>
              <w:t xml:space="preserve">54,789 women headed households were supported to access social transfers through BRAC and WFP. </w:t>
            </w:r>
          </w:p>
        </w:tc>
      </w:tr>
      <w:tr w:rsidR="00861559" w14:paraId="0CBF577F" w14:textId="77777777" w:rsidTr="003C61D9">
        <w:tblPrEx>
          <w:shd w:val="clear" w:color="auto" w:fill="D1E9E4"/>
        </w:tblPrEx>
        <w:trPr>
          <w:trHeight w:val="712"/>
        </w:trPr>
        <w:tc>
          <w:tcPr>
            <w:tcW w:w="2211" w:type="dxa"/>
            <w:tcBorders>
              <w:top w:val="nil"/>
              <w:left w:val="nil"/>
              <w:bottom w:val="single" w:sz="12" w:space="0" w:color="000000"/>
              <w:right w:val="nil"/>
            </w:tcBorders>
            <w:shd w:val="clear" w:color="auto" w:fill="auto"/>
            <w:tcMar>
              <w:top w:w="80" w:type="dxa"/>
              <w:left w:w="80" w:type="dxa"/>
              <w:bottom w:w="80" w:type="dxa"/>
              <w:right w:w="80" w:type="dxa"/>
            </w:tcMar>
          </w:tcPr>
          <w:p w14:paraId="50F7CDAB" w14:textId="77777777" w:rsidR="00861559" w:rsidRDefault="00861559" w:rsidP="003C61D9">
            <w:pPr>
              <w:pStyle w:val="BodyA"/>
              <w:keepLines/>
              <w:spacing w:before="40" w:after="40" w:line="200" w:lineRule="atLeast"/>
            </w:pPr>
            <w:r w:rsidRPr="00CC5A23">
              <w:rPr>
                <w:iCs/>
                <w:sz w:val="17"/>
                <w:szCs w:val="17"/>
                <w:lang w:val="en-AU"/>
              </w:rPr>
              <w:t>Program Management</w:t>
            </w:r>
          </w:p>
        </w:tc>
        <w:tc>
          <w:tcPr>
            <w:tcW w:w="2960" w:type="dxa"/>
            <w:tcBorders>
              <w:top w:val="nil"/>
              <w:left w:val="nil"/>
              <w:bottom w:val="single" w:sz="12" w:space="0" w:color="000000"/>
              <w:right w:val="nil"/>
            </w:tcBorders>
            <w:shd w:val="clear" w:color="auto" w:fill="auto"/>
            <w:tcMar>
              <w:top w:w="80" w:type="dxa"/>
              <w:left w:w="80" w:type="dxa"/>
              <w:bottom w:w="80" w:type="dxa"/>
              <w:right w:w="80" w:type="dxa"/>
            </w:tcMar>
          </w:tcPr>
          <w:p w14:paraId="4D9A094A" w14:textId="77777777" w:rsidR="00861559" w:rsidRPr="00523D5F" w:rsidRDefault="00861559" w:rsidP="003C61D9">
            <w:pPr>
              <w:suppressAutoHyphens/>
              <w:spacing w:before="120" w:after="60" w:line="230" w:lineRule="atLeast"/>
              <w:rPr>
                <w:rFonts w:ascii="Calibri Light" w:eastAsia="Calibri Light" w:hAnsi="Calibri Light" w:cs="Calibri Light"/>
                <w:color w:val="495965"/>
                <w:sz w:val="17"/>
                <w:szCs w:val="17"/>
                <w:u w:color="495965"/>
                <w:lang w:eastAsia="en-AU"/>
              </w:rPr>
            </w:pPr>
            <w:r w:rsidRPr="00523D5F">
              <w:rPr>
                <w:rFonts w:ascii="Calibri Light" w:eastAsia="Calibri Light" w:hAnsi="Calibri Light" w:cs="Calibri Light"/>
                <w:color w:val="495965"/>
                <w:sz w:val="17"/>
                <w:szCs w:val="17"/>
                <w:u w:color="495965"/>
                <w:lang w:eastAsia="en-AU"/>
              </w:rPr>
              <w:t>Reducing the number of investments to deliver  targeted, efficient aid program</w:t>
            </w:r>
            <w:r w:rsidRPr="00523D5F">
              <w:rPr>
                <w:rFonts w:ascii="Calibri Light" w:eastAsia="Calibri Light" w:hAnsi="Calibri Light" w:cs="Calibri Light"/>
                <w:color w:val="495965"/>
                <w:sz w:val="17"/>
                <w:szCs w:val="17"/>
                <w:u w:color="495965"/>
                <w:lang w:eastAsia="en-AU"/>
              </w:rPr>
              <w:tab/>
            </w:r>
          </w:p>
          <w:p w14:paraId="29633280" w14:textId="77777777" w:rsidR="00861559" w:rsidRPr="00523D5F" w:rsidRDefault="00861559" w:rsidP="003C61D9">
            <w:pPr>
              <w:keepLines/>
              <w:suppressAutoHyphens/>
              <w:spacing w:before="40" w:after="40" w:line="200" w:lineRule="atLeast"/>
              <w:rPr>
                <w:rFonts w:ascii="Calibri Light" w:eastAsia="Calibri Light" w:hAnsi="Calibri Light" w:cs="Calibri Light"/>
                <w:color w:val="495965"/>
                <w:sz w:val="17"/>
                <w:szCs w:val="17"/>
                <w:u w:color="495965"/>
                <w:lang w:eastAsia="en-AU"/>
              </w:rPr>
            </w:pPr>
            <w:r w:rsidRPr="00523D5F">
              <w:rPr>
                <w:rFonts w:ascii="Calibri Light" w:eastAsia="Calibri Light" w:hAnsi="Calibri Light"/>
                <w:i/>
                <w:iCs/>
                <w:color w:val="808080"/>
                <w:sz w:val="17"/>
                <w:szCs w:val="17"/>
                <w:u w:color="808080"/>
                <w:bdr w:val="none" w:sz="0" w:space="0" w:color="auto"/>
                <w:lang w:val="en-GB"/>
              </w:rPr>
              <w:t>Target: &lt;9</w:t>
            </w:r>
          </w:p>
        </w:tc>
        <w:tc>
          <w:tcPr>
            <w:tcW w:w="1134" w:type="dxa"/>
            <w:tcBorders>
              <w:top w:val="nil"/>
              <w:left w:val="nil"/>
              <w:bottom w:val="single" w:sz="12" w:space="0" w:color="000000"/>
              <w:right w:val="nil"/>
            </w:tcBorders>
            <w:shd w:val="clear" w:color="auto" w:fill="92D050"/>
            <w:tcMar>
              <w:top w:w="80" w:type="dxa"/>
              <w:left w:w="80" w:type="dxa"/>
              <w:bottom w:w="80" w:type="dxa"/>
              <w:right w:w="80" w:type="dxa"/>
            </w:tcMar>
          </w:tcPr>
          <w:p w14:paraId="5D953170" w14:textId="77777777" w:rsidR="00861559" w:rsidRDefault="00861559" w:rsidP="003C61D9">
            <w:pPr>
              <w:pStyle w:val="BodyA"/>
              <w:keepLines/>
              <w:spacing w:before="40" w:after="40" w:line="200" w:lineRule="atLeast"/>
              <w:jc w:val="center"/>
              <w:rPr>
                <w:rStyle w:val="None"/>
                <w:color w:val="FFFFFF"/>
                <w:sz w:val="17"/>
                <w:szCs w:val="17"/>
                <w:u w:color="FFFFFF"/>
              </w:rPr>
            </w:pPr>
            <w:r>
              <w:rPr>
                <w:rStyle w:val="None"/>
                <w:color w:val="FFFFFF"/>
                <w:sz w:val="17"/>
                <w:szCs w:val="17"/>
                <w:u w:color="FFFFFF"/>
              </w:rPr>
              <w:t>Achieved</w:t>
            </w:r>
          </w:p>
        </w:tc>
        <w:tc>
          <w:tcPr>
            <w:tcW w:w="7868" w:type="dxa"/>
            <w:tcBorders>
              <w:top w:val="nil"/>
              <w:left w:val="nil"/>
              <w:bottom w:val="single" w:sz="12" w:space="0" w:color="000000"/>
              <w:right w:val="nil"/>
            </w:tcBorders>
            <w:shd w:val="clear" w:color="auto" w:fill="auto"/>
            <w:tcMar>
              <w:top w:w="80" w:type="dxa"/>
              <w:left w:w="80" w:type="dxa"/>
              <w:bottom w:w="80" w:type="dxa"/>
              <w:right w:w="80" w:type="dxa"/>
            </w:tcMar>
          </w:tcPr>
          <w:p w14:paraId="3F9686D4" w14:textId="23095781" w:rsidR="00861559" w:rsidRDefault="00861559" w:rsidP="00D1721C">
            <w:pPr>
              <w:pStyle w:val="TableTextEntries"/>
              <w:keepNext/>
              <w:suppressAutoHyphens w:val="0"/>
              <w:rPr>
                <w:rStyle w:val="None"/>
                <w:rFonts w:ascii="Calibri Light" w:eastAsia="Calibri Light" w:hAnsi="Calibri Light" w:cs="Calibri Light"/>
                <w:color w:val="495965"/>
                <w:u w:color="495965"/>
              </w:rPr>
            </w:pPr>
            <w:r>
              <w:rPr>
                <w:rStyle w:val="None"/>
                <w:rFonts w:ascii="Calibri Light" w:eastAsia="Calibri Light" w:hAnsi="Calibri Light" w:cs="Calibri Light"/>
                <w:color w:val="495965"/>
                <w:u w:color="495965"/>
              </w:rPr>
              <w:t xml:space="preserve">This was </w:t>
            </w:r>
            <w:r w:rsidRPr="003E0F08">
              <w:rPr>
                <w:rStyle w:val="None"/>
                <w:rFonts w:ascii="Calibri Light" w:eastAsia="Calibri Light" w:hAnsi="Calibri Light" w:cs="Calibri Light"/>
                <w:color w:val="495965"/>
                <w:u w:color="495965"/>
              </w:rPr>
              <w:t>achieved across th</w:t>
            </w:r>
            <w:r>
              <w:rPr>
                <w:rStyle w:val="None"/>
                <w:rFonts w:ascii="Calibri Light" w:eastAsia="Calibri Light" w:hAnsi="Calibri Light" w:cs="Calibri Light"/>
                <w:color w:val="495965"/>
                <w:u w:color="495965"/>
              </w:rPr>
              <w:t>e development program, but a significant increase in h</w:t>
            </w:r>
            <w:r w:rsidRPr="003E0F08">
              <w:rPr>
                <w:rStyle w:val="None"/>
                <w:rFonts w:ascii="Calibri Light" w:eastAsia="Calibri Light" w:hAnsi="Calibri Light" w:cs="Calibri Light"/>
                <w:color w:val="495965"/>
                <w:u w:color="495965"/>
              </w:rPr>
              <w:t>umanitarian funding required additional pa</w:t>
            </w:r>
            <w:r>
              <w:rPr>
                <w:rStyle w:val="None"/>
                <w:rFonts w:ascii="Calibri Light" w:eastAsia="Calibri Light" w:hAnsi="Calibri Light" w:cs="Calibri Light"/>
                <w:color w:val="495965"/>
                <w:u w:color="495965"/>
              </w:rPr>
              <w:t xml:space="preserve">rtners to scale up Australia’s humanitarian response to the Rohingya crisis, which was unexpected. The number of active investments increased from 8 to 9 (two related to humanitarian funding). </w:t>
            </w:r>
          </w:p>
        </w:tc>
      </w:tr>
    </w:tbl>
    <w:p w14:paraId="5625D8C4" w14:textId="77777777" w:rsidR="00861559" w:rsidRDefault="00861559" w:rsidP="00861559">
      <w:pPr>
        <w:pStyle w:val="BodyA"/>
        <w:spacing w:before="20" w:after="20" w:line="180" w:lineRule="atLeast"/>
        <w:jc w:val="both"/>
        <w:rPr>
          <w:rStyle w:val="None"/>
          <w:b/>
          <w:bCs/>
          <w:sz w:val="16"/>
          <w:szCs w:val="16"/>
        </w:rPr>
      </w:pPr>
      <w:r>
        <w:rPr>
          <w:rStyle w:val="None"/>
          <w:b/>
          <w:bCs/>
          <w:sz w:val="16"/>
          <w:szCs w:val="16"/>
          <w:lang w:val="de-DE"/>
        </w:rPr>
        <w:lastRenderedPageBreak/>
        <w:t xml:space="preserve">Note: </w:t>
      </w:r>
      <w:r>
        <w:rPr>
          <w:rStyle w:val="None"/>
          <w:rFonts w:ascii="Webdings" w:hAnsi="Webdings"/>
          <w:color w:val="72AF2F"/>
          <w:sz w:val="16"/>
          <w:szCs w:val="16"/>
          <w:u w:color="72AF2F"/>
        </w:rPr>
        <w:sym w:font="Webdings" w:char="F067"/>
      </w:r>
      <w:r>
        <w:rPr>
          <w:rStyle w:val="None"/>
          <w:b/>
          <w:bCs/>
          <w:sz w:val="16"/>
          <w:szCs w:val="16"/>
        </w:rPr>
        <w:t xml:space="preserve">  Achieved.  Significant progress has been made and the performance benchmark was achieved </w:t>
      </w:r>
      <w:r>
        <w:rPr>
          <w:rStyle w:val="None"/>
          <w:rFonts w:ascii="Webdings" w:hAnsi="Webdings"/>
          <w:color w:val="E36C0A"/>
          <w:sz w:val="16"/>
          <w:szCs w:val="16"/>
          <w:u w:color="E36C0A"/>
        </w:rPr>
        <w:sym w:font="Webdings" w:char="F067"/>
      </w:r>
      <w:r>
        <w:rPr>
          <w:rStyle w:val="None"/>
          <w:b/>
          <w:bCs/>
          <w:sz w:val="16"/>
          <w:szCs w:val="16"/>
        </w:rPr>
        <w:t xml:space="preserve">  </w:t>
      </w:r>
      <w:proofErr w:type="gramStart"/>
      <w:r>
        <w:rPr>
          <w:rStyle w:val="None"/>
          <w:b/>
          <w:bCs/>
          <w:sz w:val="16"/>
          <w:szCs w:val="16"/>
        </w:rPr>
        <w:t>Partly</w:t>
      </w:r>
      <w:proofErr w:type="gramEnd"/>
      <w:r>
        <w:rPr>
          <w:rStyle w:val="None"/>
          <w:b/>
          <w:bCs/>
          <w:sz w:val="16"/>
          <w:szCs w:val="16"/>
        </w:rPr>
        <w:t xml:space="preserve"> achieved.  Some progress has been made in addressing the issue, but the issue has not been resolved </w:t>
      </w:r>
    </w:p>
    <w:p w14:paraId="7DD2569C" w14:textId="5EF8B83B" w:rsidR="00ED064F" w:rsidRDefault="00ED064F">
      <w:pPr>
        <w:pStyle w:val="BodyA"/>
        <w:rPr>
          <w:rStyle w:val="None"/>
          <w:rFonts w:ascii="Franklin Gothic Book" w:eastAsia="Franklin Gothic Book" w:hAnsi="Franklin Gothic Book" w:cs="Franklin Gothic Book"/>
          <w:b/>
          <w:bCs/>
          <w:sz w:val="24"/>
          <w:szCs w:val="24"/>
        </w:rPr>
      </w:pPr>
    </w:p>
    <w:p w14:paraId="61E53EA7" w14:textId="03533DF4" w:rsidR="00B96F04" w:rsidRDefault="001E283F">
      <w:pPr>
        <w:pStyle w:val="BodyA"/>
        <w:rPr>
          <w:rStyle w:val="None"/>
          <w:rFonts w:ascii="Franklin Gothic Book" w:eastAsia="Franklin Gothic Book" w:hAnsi="Franklin Gothic Book" w:cs="Franklin Gothic Book"/>
          <w:b/>
          <w:bCs/>
          <w:sz w:val="24"/>
          <w:szCs w:val="24"/>
        </w:rPr>
      </w:pPr>
      <w:r>
        <w:rPr>
          <w:rStyle w:val="None"/>
          <w:rFonts w:ascii="Franklin Gothic Book" w:eastAsia="Franklin Gothic Book" w:hAnsi="Franklin Gothic Book" w:cs="Franklin Gothic Book"/>
          <w:b/>
          <w:bCs/>
          <w:sz w:val="24"/>
          <w:szCs w:val="24"/>
        </w:rPr>
        <w:t xml:space="preserve">Performance Benchmarks for remainder of Aid Investment Plan   </w:t>
      </w:r>
    </w:p>
    <w:p w14:paraId="2B7C7B6E" w14:textId="77777777" w:rsidR="00706DBE" w:rsidRDefault="00706DBE">
      <w:pPr>
        <w:pStyle w:val="BodyA"/>
        <w:rPr>
          <w:rStyle w:val="None"/>
          <w:rFonts w:ascii="Franklin Gothic Book" w:eastAsia="Franklin Gothic Book" w:hAnsi="Franklin Gothic Book" w:cs="Franklin Gothic Book"/>
          <w:b/>
          <w:bCs/>
          <w:sz w:val="24"/>
          <w:szCs w:val="24"/>
        </w:rPr>
      </w:pPr>
    </w:p>
    <w:tbl>
      <w:tblPr>
        <w:tblW w:w="14244" w:type="dxa"/>
        <w:tblInd w:w="216" w:type="dxa"/>
        <w:shd w:val="clear" w:color="auto" w:fill="D1E9E4"/>
        <w:tblLayout w:type="fixed"/>
        <w:tblLook w:val="04A0" w:firstRow="1" w:lastRow="0" w:firstColumn="1" w:lastColumn="0" w:noHBand="0" w:noVBand="1"/>
      </w:tblPr>
      <w:tblGrid>
        <w:gridCol w:w="2614"/>
        <w:gridCol w:w="5534"/>
        <w:gridCol w:w="1565"/>
        <w:gridCol w:w="4531"/>
      </w:tblGrid>
      <w:tr w:rsidR="00ED064F" w14:paraId="21FCBED7" w14:textId="77777777" w:rsidTr="00ED064F">
        <w:trPr>
          <w:trHeight w:val="505"/>
        </w:trPr>
        <w:tc>
          <w:tcPr>
            <w:tcW w:w="2614" w:type="dxa"/>
            <w:tcBorders>
              <w:top w:val="single" w:sz="4" w:space="0" w:color="auto"/>
            </w:tcBorders>
            <w:shd w:val="clear" w:color="auto" w:fill="auto"/>
            <w:tcMar>
              <w:top w:w="80" w:type="dxa"/>
              <w:left w:w="364" w:type="dxa"/>
              <w:bottom w:w="80" w:type="dxa"/>
              <w:right w:w="80" w:type="dxa"/>
            </w:tcMar>
          </w:tcPr>
          <w:p w14:paraId="32A16AEE" w14:textId="77777777" w:rsidR="00ED064F" w:rsidRDefault="00ED064F" w:rsidP="007A2D3F">
            <w:pPr>
              <w:pStyle w:val="NormalIndented"/>
            </w:pPr>
            <w:r>
              <w:rPr>
                <w:rStyle w:val="None"/>
                <w:b/>
                <w:bCs/>
                <w:sz w:val="17"/>
                <w:szCs w:val="17"/>
              </w:rPr>
              <w:t>Aid objective</w:t>
            </w:r>
          </w:p>
        </w:tc>
        <w:tc>
          <w:tcPr>
            <w:tcW w:w="5534" w:type="dxa"/>
            <w:tcBorders>
              <w:top w:val="single" w:sz="4" w:space="0" w:color="auto"/>
            </w:tcBorders>
            <w:shd w:val="clear" w:color="auto" w:fill="auto"/>
            <w:tcMar>
              <w:top w:w="80" w:type="dxa"/>
              <w:left w:w="364" w:type="dxa"/>
              <w:bottom w:w="80" w:type="dxa"/>
              <w:right w:w="80" w:type="dxa"/>
            </w:tcMar>
          </w:tcPr>
          <w:p w14:paraId="758FF344" w14:textId="77777777" w:rsidR="00ED064F" w:rsidRDefault="00ED064F" w:rsidP="00ED064F">
            <w:pPr>
              <w:pStyle w:val="NormalIndented"/>
              <w:ind w:right="-81"/>
            </w:pPr>
            <w:r>
              <w:rPr>
                <w:rStyle w:val="None"/>
                <w:b/>
                <w:bCs/>
                <w:sz w:val="17"/>
                <w:szCs w:val="17"/>
              </w:rPr>
              <w:t xml:space="preserve">Performance Benchmark </w:t>
            </w:r>
          </w:p>
        </w:tc>
        <w:tc>
          <w:tcPr>
            <w:tcW w:w="1565" w:type="dxa"/>
            <w:tcBorders>
              <w:top w:val="single" w:sz="4" w:space="0" w:color="auto"/>
            </w:tcBorders>
            <w:shd w:val="clear" w:color="auto" w:fill="auto"/>
            <w:tcMar>
              <w:top w:w="80" w:type="dxa"/>
              <w:left w:w="80" w:type="dxa"/>
              <w:bottom w:w="80" w:type="dxa"/>
              <w:right w:w="80" w:type="dxa"/>
            </w:tcMar>
          </w:tcPr>
          <w:p w14:paraId="2E746A7F" w14:textId="77777777" w:rsidR="00ED064F" w:rsidRDefault="00ED064F" w:rsidP="00ED064F">
            <w:pPr>
              <w:pStyle w:val="NormalIndented"/>
              <w:ind w:left="0" w:right="-81" w:firstLine="60"/>
              <w:jc w:val="center"/>
            </w:pPr>
            <w:r>
              <w:rPr>
                <w:rStyle w:val="None"/>
                <w:b/>
                <w:bCs/>
                <w:sz w:val="17"/>
                <w:szCs w:val="17"/>
              </w:rPr>
              <w:t>2017-18</w:t>
            </w:r>
          </w:p>
        </w:tc>
        <w:tc>
          <w:tcPr>
            <w:tcW w:w="4531" w:type="dxa"/>
            <w:tcBorders>
              <w:top w:val="single" w:sz="4" w:space="0" w:color="auto"/>
            </w:tcBorders>
            <w:shd w:val="clear" w:color="auto" w:fill="auto"/>
            <w:tcMar>
              <w:top w:w="80" w:type="dxa"/>
              <w:left w:w="113" w:type="dxa"/>
              <w:bottom w:w="80" w:type="dxa"/>
              <w:right w:w="80" w:type="dxa"/>
            </w:tcMar>
          </w:tcPr>
          <w:p w14:paraId="4326481A" w14:textId="77777777" w:rsidR="00ED064F" w:rsidRDefault="00ED064F" w:rsidP="007A2D3F">
            <w:pPr>
              <w:pStyle w:val="NormalIndented"/>
              <w:ind w:left="33"/>
              <w:jc w:val="center"/>
            </w:pPr>
            <w:r>
              <w:rPr>
                <w:rStyle w:val="None"/>
                <w:b/>
                <w:bCs/>
                <w:sz w:val="17"/>
                <w:szCs w:val="17"/>
              </w:rPr>
              <w:t>2018-19</w:t>
            </w:r>
          </w:p>
        </w:tc>
      </w:tr>
      <w:tr w:rsidR="00ED064F" w14:paraId="31C8B7CE" w14:textId="77777777" w:rsidTr="00ED064F">
        <w:trPr>
          <w:trHeight w:val="505"/>
        </w:trPr>
        <w:tc>
          <w:tcPr>
            <w:tcW w:w="2614" w:type="dxa"/>
            <w:shd w:val="clear" w:color="auto" w:fill="auto"/>
            <w:tcMar>
              <w:top w:w="80" w:type="dxa"/>
              <w:left w:w="364" w:type="dxa"/>
              <w:bottom w:w="80" w:type="dxa"/>
              <w:right w:w="80" w:type="dxa"/>
            </w:tcMar>
          </w:tcPr>
          <w:p w14:paraId="7831F40D" w14:textId="77777777" w:rsidR="00ED064F" w:rsidRDefault="00ED064F" w:rsidP="007A2D3F">
            <w:pPr>
              <w:pStyle w:val="NormalIndented"/>
              <w:rPr>
                <w:rStyle w:val="None"/>
                <w:b/>
                <w:bCs/>
                <w:sz w:val="17"/>
                <w:szCs w:val="17"/>
              </w:rPr>
            </w:pPr>
            <w:r w:rsidRPr="00B760AF">
              <w:rPr>
                <w:rFonts w:asciiTheme="minorHAnsi" w:eastAsia="Times New Roman" w:hAnsiTheme="minorHAnsi"/>
                <w:i/>
                <w:iCs/>
                <w:sz w:val="18"/>
                <w:szCs w:val="18"/>
                <w:lang w:eastAsia="en-US"/>
              </w:rPr>
              <w:t>Improve education access and learning outcomes</w:t>
            </w:r>
          </w:p>
        </w:tc>
        <w:tc>
          <w:tcPr>
            <w:tcW w:w="5534" w:type="dxa"/>
            <w:shd w:val="clear" w:color="auto" w:fill="auto"/>
            <w:tcMar>
              <w:top w:w="80" w:type="dxa"/>
              <w:left w:w="364" w:type="dxa"/>
              <w:bottom w:w="80" w:type="dxa"/>
              <w:right w:w="80" w:type="dxa"/>
            </w:tcMar>
          </w:tcPr>
          <w:p w14:paraId="2F6C8E89" w14:textId="77777777" w:rsidR="00ED064F" w:rsidRPr="00A37B0E" w:rsidRDefault="00ED064F" w:rsidP="00A37B0E">
            <w:pPr>
              <w:pStyle w:val="NormalIndented"/>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heme="minorHAnsi" w:eastAsia="Times New Roman" w:hAnsiTheme="minorHAnsi"/>
                <w:iCs/>
                <w:sz w:val="18"/>
                <w:szCs w:val="18"/>
                <w:lang w:eastAsia="en-US"/>
              </w:rPr>
            </w:pPr>
            <w:r w:rsidRPr="00B760AF">
              <w:rPr>
                <w:rFonts w:asciiTheme="minorHAnsi" w:eastAsia="Times New Roman" w:hAnsiTheme="minorHAnsi"/>
                <w:iCs/>
                <w:sz w:val="18"/>
                <w:szCs w:val="18"/>
                <w:lang w:eastAsia="en-US"/>
              </w:rPr>
              <w:t>The quality of end of primary cycle examination is improved</w:t>
            </w:r>
          </w:p>
        </w:tc>
        <w:tc>
          <w:tcPr>
            <w:tcW w:w="1565" w:type="dxa"/>
            <w:shd w:val="clear" w:color="auto" w:fill="auto"/>
            <w:tcMar>
              <w:top w:w="80" w:type="dxa"/>
              <w:left w:w="80" w:type="dxa"/>
              <w:bottom w:w="80" w:type="dxa"/>
              <w:right w:w="80" w:type="dxa"/>
            </w:tcMar>
          </w:tcPr>
          <w:p w14:paraId="72A4E253" w14:textId="77777777" w:rsidR="00ED064F" w:rsidRPr="00A37B0E" w:rsidRDefault="00ED064F" w:rsidP="007A2D3F">
            <w:pPr>
              <w:pStyle w:val="NormalIndented"/>
              <w:ind w:left="0"/>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65%</w:t>
            </w:r>
          </w:p>
        </w:tc>
        <w:tc>
          <w:tcPr>
            <w:tcW w:w="4531" w:type="dxa"/>
            <w:shd w:val="clear" w:color="auto" w:fill="auto"/>
            <w:tcMar>
              <w:top w:w="80" w:type="dxa"/>
              <w:left w:w="113" w:type="dxa"/>
              <w:bottom w:w="80" w:type="dxa"/>
              <w:right w:w="80" w:type="dxa"/>
            </w:tcMar>
          </w:tcPr>
          <w:p w14:paraId="3A8B9213" w14:textId="77777777" w:rsidR="00ED064F" w:rsidRPr="00A37B0E" w:rsidRDefault="00ED064F" w:rsidP="007A2D3F">
            <w:pPr>
              <w:pStyle w:val="NormalIndented"/>
              <w:ind w:left="33"/>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N/A</w:t>
            </w:r>
          </w:p>
        </w:tc>
      </w:tr>
      <w:tr w:rsidR="00ED064F" w14:paraId="7EAC5EAC" w14:textId="77777777" w:rsidTr="00ED064F">
        <w:trPr>
          <w:trHeight w:val="505"/>
        </w:trPr>
        <w:tc>
          <w:tcPr>
            <w:tcW w:w="2614" w:type="dxa"/>
            <w:shd w:val="clear" w:color="auto" w:fill="auto"/>
            <w:tcMar>
              <w:top w:w="80" w:type="dxa"/>
              <w:left w:w="364" w:type="dxa"/>
              <w:bottom w:w="80" w:type="dxa"/>
              <w:right w:w="80" w:type="dxa"/>
            </w:tcMar>
          </w:tcPr>
          <w:p w14:paraId="7C40200A" w14:textId="77777777" w:rsidR="00ED064F" w:rsidRDefault="00ED064F" w:rsidP="007A2D3F">
            <w:pPr>
              <w:pStyle w:val="NormalIndented"/>
              <w:rPr>
                <w:rStyle w:val="None"/>
                <w:b/>
                <w:bCs/>
                <w:sz w:val="17"/>
                <w:szCs w:val="17"/>
              </w:rPr>
            </w:pPr>
          </w:p>
        </w:tc>
        <w:tc>
          <w:tcPr>
            <w:tcW w:w="5534" w:type="dxa"/>
            <w:shd w:val="clear" w:color="auto" w:fill="auto"/>
            <w:tcMar>
              <w:top w:w="80" w:type="dxa"/>
              <w:left w:w="364" w:type="dxa"/>
              <w:bottom w:w="80" w:type="dxa"/>
              <w:right w:w="80" w:type="dxa"/>
            </w:tcMar>
          </w:tcPr>
          <w:p w14:paraId="431A2767" w14:textId="77777777" w:rsidR="00ED064F" w:rsidRPr="00A37B0E" w:rsidRDefault="00ED064F" w:rsidP="00A37B0E">
            <w:pPr>
              <w:pStyle w:val="NormalIndented"/>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heme="minorHAnsi" w:eastAsia="Times New Roman" w:hAnsiTheme="minorHAnsi"/>
                <w:iCs/>
                <w:sz w:val="18"/>
                <w:szCs w:val="18"/>
                <w:lang w:eastAsia="en-US"/>
              </w:rPr>
            </w:pPr>
            <w:r w:rsidRPr="00B760AF">
              <w:rPr>
                <w:rFonts w:asciiTheme="minorHAnsi" w:eastAsia="Times New Roman" w:hAnsiTheme="minorHAnsi"/>
                <w:iCs/>
                <w:sz w:val="18"/>
                <w:szCs w:val="18"/>
                <w:lang w:eastAsia="en-US"/>
              </w:rPr>
              <w:t xml:space="preserve">BRAC meets targets for numbers of children completing a course of primary or pre-primary education, of which </w:t>
            </w:r>
            <w:r>
              <w:rPr>
                <w:rFonts w:asciiTheme="minorHAnsi" w:eastAsia="Times New Roman" w:hAnsiTheme="minorHAnsi"/>
                <w:iCs/>
                <w:sz w:val="18"/>
                <w:szCs w:val="18"/>
                <w:lang w:eastAsia="en-US"/>
              </w:rPr>
              <w:t>50</w:t>
            </w:r>
            <w:r w:rsidRPr="00B760AF">
              <w:rPr>
                <w:rFonts w:asciiTheme="minorHAnsi" w:eastAsia="Times New Roman" w:hAnsiTheme="minorHAnsi"/>
                <w:iCs/>
                <w:sz w:val="18"/>
                <w:szCs w:val="18"/>
                <w:lang w:eastAsia="en-US"/>
              </w:rPr>
              <w:t xml:space="preserve">% are girls. </w:t>
            </w:r>
          </w:p>
        </w:tc>
        <w:tc>
          <w:tcPr>
            <w:tcW w:w="1565" w:type="dxa"/>
            <w:shd w:val="clear" w:color="auto" w:fill="auto"/>
            <w:tcMar>
              <w:top w:w="80" w:type="dxa"/>
              <w:left w:w="80" w:type="dxa"/>
              <w:bottom w:w="80" w:type="dxa"/>
              <w:right w:w="80" w:type="dxa"/>
            </w:tcMar>
          </w:tcPr>
          <w:p w14:paraId="5D66795A" w14:textId="738AA6B9" w:rsidR="00ED064F" w:rsidRPr="00A37B0E" w:rsidRDefault="0037642C" w:rsidP="0037642C">
            <w:pPr>
              <w:pStyle w:val="NormalIndented"/>
              <w:ind w:left="0"/>
              <w:jc w:val="center"/>
              <w:rPr>
                <w:rFonts w:asciiTheme="minorHAnsi" w:eastAsia="Times New Roman" w:hAnsiTheme="minorHAnsi"/>
                <w:i/>
                <w:iCs/>
                <w:sz w:val="18"/>
                <w:szCs w:val="18"/>
                <w:lang w:eastAsia="en-US"/>
              </w:rPr>
            </w:pPr>
            <w:r>
              <w:rPr>
                <w:rFonts w:asciiTheme="minorHAnsi" w:eastAsia="Times New Roman" w:hAnsiTheme="minorHAnsi"/>
                <w:i/>
                <w:iCs/>
                <w:sz w:val="18"/>
                <w:szCs w:val="18"/>
                <w:lang w:eastAsia="en-US"/>
              </w:rPr>
              <w:t xml:space="preserve"> 539,154</w:t>
            </w:r>
          </w:p>
        </w:tc>
        <w:tc>
          <w:tcPr>
            <w:tcW w:w="4531" w:type="dxa"/>
            <w:shd w:val="clear" w:color="auto" w:fill="auto"/>
            <w:tcMar>
              <w:top w:w="80" w:type="dxa"/>
              <w:left w:w="113" w:type="dxa"/>
              <w:bottom w:w="80" w:type="dxa"/>
              <w:right w:w="80" w:type="dxa"/>
            </w:tcMar>
          </w:tcPr>
          <w:p w14:paraId="3F4A50DB" w14:textId="3D5E7839" w:rsidR="00ED064F" w:rsidRPr="00A37B0E" w:rsidRDefault="0037642C" w:rsidP="0037642C">
            <w:pPr>
              <w:pStyle w:val="NormalIndented"/>
              <w:ind w:left="33"/>
              <w:jc w:val="center"/>
              <w:rPr>
                <w:rFonts w:asciiTheme="minorHAnsi" w:eastAsia="Times New Roman" w:hAnsiTheme="minorHAnsi"/>
                <w:i/>
                <w:iCs/>
                <w:sz w:val="18"/>
                <w:szCs w:val="18"/>
                <w:lang w:eastAsia="en-US"/>
              </w:rPr>
            </w:pPr>
            <w:r>
              <w:rPr>
                <w:rFonts w:asciiTheme="minorHAnsi" w:eastAsia="Times New Roman" w:hAnsiTheme="minorHAnsi"/>
                <w:i/>
                <w:iCs/>
                <w:sz w:val="18"/>
                <w:szCs w:val="18"/>
                <w:lang w:eastAsia="en-US"/>
              </w:rPr>
              <w:t xml:space="preserve"> 597,984</w:t>
            </w:r>
          </w:p>
        </w:tc>
      </w:tr>
      <w:tr w:rsidR="00ED064F" w14:paraId="0D85709A" w14:textId="77777777" w:rsidTr="00ED064F">
        <w:trPr>
          <w:trHeight w:val="505"/>
        </w:trPr>
        <w:tc>
          <w:tcPr>
            <w:tcW w:w="2614" w:type="dxa"/>
            <w:shd w:val="clear" w:color="auto" w:fill="auto"/>
            <w:tcMar>
              <w:top w:w="80" w:type="dxa"/>
              <w:left w:w="364" w:type="dxa"/>
              <w:bottom w:w="80" w:type="dxa"/>
              <w:right w:w="80" w:type="dxa"/>
            </w:tcMar>
          </w:tcPr>
          <w:p w14:paraId="35B8FBAC" w14:textId="77777777" w:rsidR="00ED064F" w:rsidRDefault="00ED064F" w:rsidP="007A2D3F">
            <w:pPr>
              <w:pStyle w:val="NormalIndented"/>
              <w:rPr>
                <w:rStyle w:val="None"/>
                <w:b/>
                <w:bCs/>
                <w:sz w:val="17"/>
                <w:szCs w:val="17"/>
              </w:rPr>
            </w:pPr>
          </w:p>
        </w:tc>
        <w:tc>
          <w:tcPr>
            <w:tcW w:w="5534" w:type="dxa"/>
            <w:shd w:val="clear" w:color="auto" w:fill="auto"/>
            <w:tcMar>
              <w:top w:w="80" w:type="dxa"/>
              <w:left w:w="364" w:type="dxa"/>
              <w:bottom w:w="80" w:type="dxa"/>
              <w:right w:w="80" w:type="dxa"/>
            </w:tcMar>
          </w:tcPr>
          <w:p w14:paraId="149BD3D2" w14:textId="77777777" w:rsidR="00ED064F" w:rsidRPr="00A37B0E" w:rsidRDefault="00ED064F" w:rsidP="00A37B0E">
            <w:pPr>
              <w:pStyle w:val="NormalIndented"/>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heme="minorHAnsi" w:eastAsia="Times New Roman" w:hAnsiTheme="minorHAnsi"/>
                <w:iCs/>
                <w:sz w:val="18"/>
                <w:szCs w:val="18"/>
                <w:lang w:eastAsia="en-US"/>
              </w:rPr>
            </w:pPr>
            <w:r w:rsidRPr="00B760AF">
              <w:rPr>
                <w:rFonts w:asciiTheme="minorHAnsi" w:eastAsia="Times New Roman" w:hAnsiTheme="minorHAnsi"/>
                <w:iCs/>
                <w:sz w:val="18"/>
                <w:szCs w:val="18"/>
                <w:lang w:eastAsia="en-US"/>
              </w:rPr>
              <w:t>50% of donor fund disbursement for PEDP3 linked to results achieved, with the remaining 50% subject to meeting annual audit requirements.</w:t>
            </w:r>
          </w:p>
        </w:tc>
        <w:tc>
          <w:tcPr>
            <w:tcW w:w="1565" w:type="dxa"/>
            <w:shd w:val="clear" w:color="auto" w:fill="auto"/>
            <w:tcMar>
              <w:top w:w="80" w:type="dxa"/>
              <w:left w:w="80" w:type="dxa"/>
              <w:bottom w:w="80" w:type="dxa"/>
              <w:right w:w="80" w:type="dxa"/>
            </w:tcMar>
          </w:tcPr>
          <w:p w14:paraId="3919ED11" w14:textId="77777777" w:rsidR="00ED064F" w:rsidRPr="00A37B0E" w:rsidRDefault="00ED064F" w:rsidP="007A2D3F">
            <w:pPr>
              <w:pStyle w:val="NormalIndented"/>
              <w:ind w:left="0"/>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50%</w:t>
            </w:r>
          </w:p>
        </w:tc>
        <w:tc>
          <w:tcPr>
            <w:tcW w:w="4531" w:type="dxa"/>
            <w:shd w:val="clear" w:color="auto" w:fill="auto"/>
            <w:tcMar>
              <w:top w:w="80" w:type="dxa"/>
              <w:left w:w="113" w:type="dxa"/>
              <w:bottom w:w="80" w:type="dxa"/>
              <w:right w:w="80" w:type="dxa"/>
            </w:tcMar>
          </w:tcPr>
          <w:p w14:paraId="32A86D7C" w14:textId="77777777" w:rsidR="00ED064F" w:rsidRPr="00A37B0E" w:rsidRDefault="00ED064F" w:rsidP="007A2D3F">
            <w:pPr>
              <w:pStyle w:val="NormalIndented"/>
              <w:ind w:left="33"/>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N/A</w:t>
            </w:r>
          </w:p>
        </w:tc>
      </w:tr>
      <w:tr w:rsidR="00ED064F" w14:paraId="35D0A992" w14:textId="77777777" w:rsidTr="00ED064F">
        <w:trPr>
          <w:trHeight w:val="505"/>
        </w:trPr>
        <w:tc>
          <w:tcPr>
            <w:tcW w:w="2614" w:type="dxa"/>
            <w:shd w:val="clear" w:color="auto" w:fill="auto"/>
            <w:tcMar>
              <w:top w:w="80" w:type="dxa"/>
              <w:left w:w="364" w:type="dxa"/>
              <w:bottom w:w="80" w:type="dxa"/>
              <w:right w:w="80" w:type="dxa"/>
            </w:tcMar>
          </w:tcPr>
          <w:p w14:paraId="533D873B" w14:textId="77777777" w:rsidR="00ED064F" w:rsidRPr="00A37B0E" w:rsidRDefault="00ED064F" w:rsidP="007A2D3F">
            <w:pPr>
              <w:pStyle w:val="NormalIndented"/>
              <w:rPr>
                <w:rStyle w:val="None"/>
                <w:b/>
                <w:bCs/>
                <w:i/>
                <w:sz w:val="17"/>
                <w:szCs w:val="17"/>
              </w:rPr>
            </w:pPr>
            <w:r w:rsidRPr="00A37B0E">
              <w:rPr>
                <w:rFonts w:asciiTheme="minorHAnsi" w:eastAsia="Times New Roman" w:hAnsiTheme="minorHAnsi"/>
                <w:i/>
                <w:iCs/>
                <w:sz w:val="18"/>
                <w:szCs w:val="18"/>
                <w:lang w:eastAsia="en-US"/>
              </w:rPr>
              <w:t>Build resilience by reducing vulnerability and improving inclusion in the growing economy AIP Strategic Objective</w:t>
            </w:r>
          </w:p>
        </w:tc>
        <w:tc>
          <w:tcPr>
            <w:tcW w:w="5534" w:type="dxa"/>
            <w:shd w:val="clear" w:color="auto" w:fill="auto"/>
            <w:tcMar>
              <w:top w:w="80" w:type="dxa"/>
              <w:left w:w="364" w:type="dxa"/>
              <w:bottom w:w="80" w:type="dxa"/>
              <w:right w:w="80" w:type="dxa"/>
            </w:tcMar>
          </w:tcPr>
          <w:p w14:paraId="7A79D79E" w14:textId="77777777" w:rsidR="00ED064F" w:rsidRDefault="00ED064F" w:rsidP="007A2D3F">
            <w:pPr>
              <w:pStyle w:val="NormalIndented"/>
              <w:rPr>
                <w:rStyle w:val="None"/>
                <w:b/>
                <w:bCs/>
                <w:sz w:val="17"/>
                <w:szCs w:val="17"/>
              </w:rPr>
            </w:pPr>
            <w:r w:rsidRPr="00B760AF">
              <w:rPr>
                <w:rFonts w:asciiTheme="minorHAnsi" w:eastAsia="Times New Roman" w:hAnsiTheme="minorHAnsi"/>
                <w:iCs/>
                <w:sz w:val="18"/>
                <w:szCs w:val="18"/>
                <w:lang w:eastAsia="en-US"/>
              </w:rPr>
              <w:t>The number of women and their households graduating from our partners’ livelihood programs</w:t>
            </w:r>
          </w:p>
        </w:tc>
        <w:tc>
          <w:tcPr>
            <w:tcW w:w="1565" w:type="dxa"/>
            <w:shd w:val="clear" w:color="auto" w:fill="auto"/>
            <w:tcMar>
              <w:top w:w="80" w:type="dxa"/>
              <w:left w:w="80" w:type="dxa"/>
              <w:bottom w:w="80" w:type="dxa"/>
              <w:right w:w="80" w:type="dxa"/>
            </w:tcMar>
          </w:tcPr>
          <w:p w14:paraId="2F51CBE6" w14:textId="77777777" w:rsidR="00ED064F" w:rsidRPr="00A37B0E" w:rsidRDefault="00ED064F" w:rsidP="007A2D3F">
            <w:pPr>
              <w:pStyle w:val="NormalIndented"/>
              <w:ind w:left="0"/>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75,506</w:t>
            </w:r>
          </w:p>
        </w:tc>
        <w:tc>
          <w:tcPr>
            <w:tcW w:w="4531" w:type="dxa"/>
            <w:shd w:val="clear" w:color="auto" w:fill="auto"/>
            <w:tcMar>
              <w:top w:w="80" w:type="dxa"/>
              <w:left w:w="113" w:type="dxa"/>
              <w:bottom w:w="80" w:type="dxa"/>
              <w:right w:w="80" w:type="dxa"/>
            </w:tcMar>
          </w:tcPr>
          <w:p w14:paraId="70080800" w14:textId="77777777" w:rsidR="00ED064F" w:rsidRPr="00A37B0E" w:rsidRDefault="00ED064F" w:rsidP="007A2D3F">
            <w:pPr>
              <w:pStyle w:val="NormalIndented"/>
              <w:ind w:left="33"/>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40,500</w:t>
            </w:r>
          </w:p>
        </w:tc>
      </w:tr>
      <w:tr w:rsidR="00ED064F" w14:paraId="386CFE1A" w14:textId="77777777" w:rsidTr="00ED064F">
        <w:trPr>
          <w:trHeight w:val="505"/>
        </w:trPr>
        <w:tc>
          <w:tcPr>
            <w:tcW w:w="2614" w:type="dxa"/>
            <w:shd w:val="clear" w:color="auto" w:fill="auto"/>
            <w:tcMar>
              <w:top w:w="80" w:type="dxa"/>
              <w:left w:w="364" w:type="dxa"/>
              <w:bottom w:w="80" w:type="dxa"/>
              <w:right w:w="80" w:type="dxa"/>
            </w:tcMar>
          </w:tcPr>
          <w:p w14:paraId="21061EAE" w14:textId="77777777" w:rsidR="00ED064F" w:rsidRPr="00A37B0E" w:rsidRDefault="00ED064F" w:rsidP="007A2D3F">
            <w:pPr>
              <w:pStyle w:val="NormalIndented"/>
              <w:rPr>
                <w:rStyle w:val="None"/>
                <w:b/>
                <w:bCs/>
                <w:i/>
                <w:sz w:val="17"/>
                <w:szCs w:val="17"/>
              </w:rPr>
            </w:pPr>
          </w:p>
        </w:tc>
        <w:tc>
          <w:tcPr>
            <w:tcW w:w="5534" w:type="dxa"/>
            <w:shd w:val="clear" w:color="auto" w:fill="auto"/>
            <w:tcMar>
              <w:top w:w="80" w:type="dxa"/>
              <w:left w:w="364" w:type="dxa"/>
              <w:bottom w:w="80" w:type="dxa"/>
              <w:right w:w="80" w:type="dxa"/>
            </w:tcMar>
          </w:tcPr>
          <w:p w14:paraId="02D3CE7C" w14:textId="77777777" w:rsidR="00ED064F" w:rsidRDefault="00ED064F" w:rsidP="007A2D3F">
            <w:pPr>
              <w:pStyle w:val="NormalIndented"/>
              <w:rPr>
                <w:rStyle w:val="None"/>
                <w:b/>
                <w:bCs/>
                <w:sz w:val="17"/>
                <w:szCs w:val="17"/>
              </w:rPr>
            </w:pPr>
            <w:r w:rsidRPr="00B760AF">
              <w:rPr>
                <w:rFonts w:asciiTheme="minorHAnsi" w:eastAsia="Times New Roman" w:hAnsiTheme="minorHAnsi"/>
                <w:iCs/>
                <w:sz w:val="18"/>
                <w:szCs w:val="18"/>
                <w:lang w:eastAsia="en-US"/>
              </w:rPr>
              <w:t>Number of women and their households  able to access social transfers</w:t>
            </w:r>
          </w:p>
        </w:tc>
        <w:tc>
          <w:tcPr>
            <w:tcW w:w="1565" w:type="dxa"/>
            <w:shd w:val="clear" w:color="auto" w:fill="auto"/>
            <w:tcMar>
              <w:top w:w="80" w:type="dxa"/>
              <w:left w:w="80" w:type="dxa"/>
              <w:bottom w:w="80" w:type="dxa"/>
              <w:right w:w="80" w:type="dxa"/>
            </w:tcMar>
          </w:tcPr>
          <w:p w14:paraId="12A51349" w14:textId="77777777" w:rsidR="00ED064F" w:rsidRPr="00A37B0E" w:rsidRDefault="00ED064F" w:rsidP="007A2D3F">
            <w:pPr>
              <w:pStyle w:val="NormalIndented"/>
              <w:ind w:left="0"/>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54,600</w:t>
            </w:r>
          </w:p>
        </w:tc>
        <w:tc>
          <w:tcPr>
            <w:tcW w:w="4531" w:type="dxa"/>
            <w:shd w:val="clear" w:color="auto" w:fill="auto"/>
            <w:tcMar>
              <w:top w:w="80" w:type="dxa"/>
              <w:left w:w="113" w:type="dxa"/>
              <w:bottom w:w="80" w:type="dxa"/>
              <w:right w:w="80" w:type="dxa"/>
            </w:tcMar>
          </w:tcPr>
          <w:p w14:paraId="61E19FC0" w14:textId="77777777" w:rsidR="00ED064F" w:rsidRPr="00A37B0E" w:rsidRDefault="00ED064F" w:rsidP="007A2D3F">
            <w:pPr>
              <w:pStyle w:val="NormalIndented"/>
              <w:ind w:left="33"/>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140,000</w:t>
            </w:r>
          </w:p>
        </w:tc>
      </w:tr>
      <w:tr w:rsidR="00ED064F" w14:paraId="6C29E202" w14:textId="77777777" w:rsidTr="00ED064F">
        <w:trPr>
          <w:trHeight w:val="505"/>
        </w:trPr>
        <w:tc>
          <w:tcPr>
            <w:tcW w:w="2614" w:type="dxa"/>
            <w:shd w:val="clear" w:color="auto" w:fill="auto"/>
            <w:tcMar>
              <w:top w:w="80" w:type="dxa"/>
              <w:left w:w="364" w:type="dxa"/>
              <w:bottom w:w="80" w:type="dxa"/>
              <w:right w:w="80" w:type="dxa"/>
            </w:tcMar>
          </w:tcPr>
          <w:p w14:paraId="4BF4BEA7" w14:textId="77777777" w:rsidR="00ED064F" w:rsidRPr="00A37B0E" w:rsidRDefault="00ED064F" w:rsidP="007A2D3F">
            <w:pPr>
              <w:pStyle w:val="NormalIndented"/>
              <w:rPr>
                <w:rStyle w:val="None"/>
                <w:b/>
                <w:bCs/>
                <w:i/>
                <w:sz w:val="17"/>
                <w:szCs w:val="17"/>
              </w:rPr>
            </w:pPr>
          </w:p>
        </w:tc>
        <w:tc>
          <w:tcPr>
            <w:tcW w:w="5534" w:type="dxa"/>
            <w:shd w:val="clear" w:color="auto" w:fill="auto"/>
            <w:tcMar>
              <w:top w:w="80" w:type="dxa"/>
              <w:left w:w="364" w:type="dxa"/>
              <w:bottom w:w="80" w:type="dxa"/>
              <w:right w:w="80" w:type="dxa"/>
            </w:tcMar>
          </w:tcPr>
          <w:p w14:paraId="0742F6FF" w14:textId="40A45AB7" w:rsidR="00ED064F" w:rsidRPr="00B760AF" w:rsidRDefault="00ED064F" w:rsidP="007A2D3F">
            <w:pPr>
              <w:pStyle w:val="NormalIndented"/>
              <w:rPr>
                <w:rFonts w:asciiTheme="minorHAnsi" w:eastAsia="Times New Roman" w:hAnsiTheme="minorHAnsi"/>
                <w:iCs/>
                <w:sz w:val="18"/>
                <w:szCs w:val="18"/>
                <w:lang w:eastAsia="en-US"/>
              </w:rPr>
            </w:pPr>
            <w:r>
              <w:rPr>
                <w:rFonts w:asciiTheme="minorHAnsi" w:eastAsia="Times New Roman" w:hAnsiTheme="minorHAnsi"/>
                <w:iCs/>
                <w:sz w:val="18"/>
                <w:szCs w:val="18"/>
                <w:lang w:eastAsia="en-US"/>
              </w:rPr>
              <w:t>Eligible people received food, health and shelter services in Cox’s Bazar</w:t>
            </w:r>
          </w:p>
        </w:tc>
        <w:tc>
          <w:tcPr>
            <w:tcW w:w="1565" w:type="dxa"/>
            <w:shd w:val="clear" w:color="auto" w:fill="auto"/>
            <w:tcMar>
              <w:top w:w="80" w:type="dxa"/>
              <w:left w:w="80" w:type="dxa"/>
              <w:bottom w:w="80" w:type="dxa"/>
              <w:right w:w="80" w:type="dxa"/>
            </w:tcMar>
          </w:tcPr>
          <w:p w14:paraId="2F0A3E73" w14:textId="079D896A" w:rsidR="00ED064F" w:rsidRPr="00A37B0E" w:rsidRDefault="00ED064F" w:rsidP="007A2D3F">
            <w:pPr>
              <w:pStyle w:val="NormalIndented"/>
              <w:ind w:left="0"/>
              <w:jc w:val="center"/>
              <w:rPr>
                <w:rFonts w:asciiTheme="minorHAnsi" w:eastAsia="Times New Roman" w:hAnsiTheme="minorHAnsi"/>
                <w:i/>
                <w:iCs/>
                <w:sz w:val="18"/>
                <w:szCs w:val="18"/>
                <w:lang w:eastAsia="en-US"/>
              </w:rPr>
            </w:pPr>
            <w:r>
              <w:rPr>
                <w:rFonts w:asciiTheme="minorHAnsi" w:eastAsia="Times New Roman" w:hAnsiTheme="minorHAnsi"/>
                <w:i/>
                <w:iCs/>
                <w:sz w:val="18"/>
                <w:szCs w:val="18"/>
                <w:lang w:eastAsia="en-US"/>
              </w:rPr>
              <w:t>N/A</w:t>
            </w:r>
          </w:p>
        </w:tc>
        <w:tc>
          <w:tcPr>
            <w:tcW w:w="4531" w:type="dxa"/>
            <w:shd w:val="clear" w:color="auto" w:fill="auto"/>
            <w:tcMar>
              <w:top w:w="80" w:type="dxa"/>
              <w:left w:w="113" w:type="dxa"/>
              <w:bottom w:w="80" w:type="dxa"/>
              <w:right w:w="80" w:type="dxa"/>
            </w:tcMar>
          </w:tcPr>
          <w:p w14:paraId="370A82E4" w14:textId="0DD1C474" w:rsidR="00ED064F" w:rsidRPr="00A37B0E" w:rsidRDefault="00ED064F" w:rsidP="007A2D3F">
            <w:pPr>
              <w:pStyle w:val="NormalIndented"/>
              <w:ind w:left="33"/>
              <w:jc w:val="center"/>
              <w:rPr>
                <w:rFonts w:asciiTheme="minorHAnsi" w:eastAsia="Times New Roman" w:hAnsiTheme="minorHAnsi"/>
                <w:i/>
                <w:iCs/>
                <w:sz w:val="18"/>
                <w:szCs w:val="18"/>
                <w:lang w:eastAsia="en-US"/>
              </w:rPr>
            </w:pPr>
            <w:r>
              <w:rPr>
                <w:rFonts w:asciiTheme="minorHAnsi" w:eastAsia="Times New Roman" w:hAnsiTheme="minorHAnsi"/>
                <w:i/>
                <w:iCs/>
                <w:sz w:val="18"/>
                <w:szCs w:val="18"/>
                <w:lang w:eastAsia="en-US"/>
              </w:rPr>
              <w:t>979,000</w:t>
            </w:r>
          </w:p>
        </w:tc>
      </w:tr>
      <w:tr w:rsidR="00ED064F" w14:paraId="67376ECF" w14:textId="77777777" w:rsidTr="00ED064F">
        <w:trPr>
          <w:trHeight w:val="505"/>
        </w:trPr>
        <w:tc>
          <w:tcPr>
            <w:tcW w:w="2614" w:type="dxa"/>
            <w:tcBorders>
              <w:bottom w:val="single" w:sz="4" w:space="0" w:color="auto"/>
            </w:tcBorders>
            <w:shd w:val="clear" w:color="auto" w:fill="auto"/>
            <w:tcMar>
              <w:top w:w="80" w:type="dxa"/>
              <w:left w:w="364" w:type="dxa"/>
              <w:bottom w:w="80" w:type="dxa"/>
              <w:right w:w="80" w:type="dxa"/>
            </w:tcMar>
          </w:tcPr>
          <w:p w14:paraId="485CEF2E" w14:textId="77777777" w:rsidR="00ED064F" w:rsidRPr="00A37B0E" w:rsidRDefault="00ED064F" w:rsidP="00A37B0E">
            <w:pPr>
              <w:pStyle w:val="NormalIndented"/>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Program Management</w:t>
            </w:r>
          </w:p>
          <w:p w14:paraId="30509958" w14:textId="77777777" w:rsidR="00ED064F" w:rsidRPr="00A37B0E" w:rsidRDefault="00ED064F" w:rsidP="007A2D3F">
            <w:pPr>
              <w:pStyle w:val="NormalIndented"/>
              <w:rPr>
                <w:rStyle w:val="None"/>
                <w:b/>
                <w:bCs/>
                <w:i/>
                <w:sz w:val="17"/>
                <w:szCs w:val="17"/>
              </w:rPr>
            </w:pPr>
          </w:p>
        </w:tc>
        <w:tc>
          <w:tcPr>
            <w:tcW w:w="5534" w:type="dxa"/>
            <w:tcBorders>
              <w:bottom w:val="single" w:sz="4" w:space="0" w:color="auto"/>
            </w:tcBorders>
            <w:shd w:val="clear" w:color="auto" w:fill="auto"/>
            <w:tcMar>
              <w:top w:w="80" w:type="dxa"/>
              <w:left w:w="364" w:type="dxa"/>
              <w:bottom w:w="80" w:type="dxa"/>
              <w:right w:w="80" w:type="dxa"/>
            </w:tcMar>
          </w:tcPr>
          <w:p w14:paraId="1F179272" w14:textId="77777777" w:rsidR="00ED064F" w:rsidRDefault="00ED064F" w:rsidP="007A2D3F">
            <w:pPr>
              <w:pStyle w:val="NormalIndented"/>
              <w:rPr>
                <w:rStyle w:val="None"/>
                <w:b/>
                <w:bCs/>
                <w:sz w:val="17"/>
                <w:szCs w:val="17"/>
              </w:rPr>
            </w:pPr>
            <w:r w:rsidRPr="00B760AF">
              <w:rPr>
                <w:rFonts w:asciiTheme="minorHAnsi" w:eastAsia="Times New Roman" w:hAnsiTheme="minorHAnsi"/>
                <w:iCs/>
                <w:sz w:val="18"/>
                <w:szCs w:val="18"/>
                <w:lang w:eastAsia="en-US"/>
              </w:rPr>
              <w:t>Reducing the number of investments to deliver a targeted, efficient aid program</w:t>
            </w:r>
          </w:p>
        </w:tc>
        <w:tc>
          <w:tcPr>
            <w:tcW w:w="1565" w:type="dxa"/>
            <w:tcBorders>
              <w:bottom w:val="single" w:sz="4" w:space="0" w:color="auto"/>
            </w:tcBorders>
            <w:shd w:val="clear" w:color="auto" w:fill="auto"/>
            <w:tcMar>
              <w:top w:w="80" w:type="dxa"/>
              <w:left w:w="80" w:type="dxa"/>
              <w:bottom w:w="80" w:type="dxa"/>
              <w:right w:w="80" w:type="dxa"/>
            </w:tcMar>
          </w:tcPr>
          <w:p w14:paraId="6659F235" w14:textId="77777777" w:rsidR="00ED064F" w:rsidRPr="00A37B0E" w:rsidRDefault="00ED064F" w:rsidP="007A2D3F">
            <w:pPr>
              <w:pStyle w:val="NormalIndented"/>
              <w:ind w:left="0"/>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&lt;9</w:t>
            </w:r>
          </w:p>
        </w:tc>
        <w:tc>
          <w:tcPr>
            <w:tcW w:w="4531" w:type="dxa"/>
            <w:tcBorders>
              <w:bottom w:val="single" w:sz="4" w:space="0" w:color="auto"/>
            </w:tcBorders>
            <w:shd w:val="clear" w:color="auto" w:fill="auto"/>
            <w:tcMar>
              <w:top w:w="80" w:type="dxa"/>
              <w:left w:w="113" w:type="dxa"/>
              <w:bottom w:w="80" w:type="dxa"/>
              <w:right w:w="80" w:type="dxa"/>
            </w:tcMar>
          </w:tcPr>
          <w:p w14:paraId="23ADD072" w14:textId="77777777" w:rsidR="00ED064F" w:rsidRPr="00A37B0E" w:rsidRDefault="00ED064F" w:rsidP="007A2D3F">
            <w:pPr>
              <w:pStyle w:val="NormalIndented"/>
              <w:ind w:left="33"/>
              <w:jc w:val="center"/>
              <w:rPr>
                <w:rFonts w:asciiTheme="minorHAnsi" w:eastAsia="Times New Roman" w:hAnsiTheme="minorHAnsi"/>
                <w:i/>
                <w:iCs/>
                <w:sz w:val="18"/>
                <w:szCs w:val="18"/>
                <w:lang w:eastAsia="en-US"/>
              </w:rPr>
            </w:pPr>
            <w:r w:rsidRPr="00A37B0E">
              <w:rPr>
                <w:rFonts w:asciiTheme="minorHAnsi" w:eastAsia="Times New Roman" w:hAnsiTheme="minorHAnsi"/>
                <w:i/>
                <w:iCs/>
                <w:sz w:val="18"/>
                <w:szCs w:val="18"/>
                <w:lang w:eastAsia="en-US"/>
              </w:rPr>
              <w:t>&lt;9</w:t>
            </w:r>
          </w:p>
        </w:tc>
      </w:tr>
    </w:tbl>
    <w:p w14:paraId="54A2DF14" w14:textId="77777777" w:rsidR="00B96F04" w:rsidRDefault="00B96F04">
      <w:pPr>
        <w:pStyle w:val="BodyA"/>
        <w:rPr>
          <w:rStyle w:val="None"/>
          <w:rFonts w:ascii="Franklin Gothic Book" w:eastAsia="Franklin Gothic Book" w:hAnsi="Franklin Gothic Book" w:cs="Franklin Gothic Book"/>
          <w:b/>
          <w:bCs/>
          <w:sz w:val="24"/>
          <w:szCs w:val="24"/>
        </w:rPr>
      </w:pPr>
    </w:p>
    <w:p w14:paraId="0754E0FB" w14:textId="77777777" w:rsidR="00B96F04" w:rsidRDefault="00B96F04">
      <w:pPr>
        <w:rPr>
          <w:rStyle w:val="None"/>
          <w:rFonts w:ascii="Franklin Gothic Book" w:eastAsia="Franklin Gothic Book" w:hAnsi="Franklin Gothic Book" w:cs="Franklin Gothic Book"/>
          <w:b/>
          <w:bCs/>
          <w:color w:val="495965"/>
          <w:u w:color="495965"/>
          <w:lang w:eastAsia="en-AU"/>
        </w:rPr>
      </w:pPr>
    </w:p>
    <w:p w14:paraId="485C9E16" w14:textId="77777777" w:rsidR="0038038A" w:rsidRDefault="0038038A">
      <w:pPr>
        <w:pStyle w:val="Subtitle"/>
      </w:pPr>
    </w:p>
    <w:p w14:paraId="5E47A113" w14:textId="03074131" w:rsidR="003B4A93" w:rsidRDefault="001E283F">
      <w:pPr>
        <w:pStyle w:val="Subtitle"/>
      </w:pPr>
      <w:r>
        <w:t>Annex C - Evaluation Planning</w:t>
      </w:r>
    </w:p>
    <w:p w14:paraId="7CFB2FF6" w14:textId="77777777" w:rsidR="003B4A93" w:rsidRDefault="001E283F">
      <w:pPr>
        <w:pStyle w:val="BodyA"/>
        <w:rPr>
          <w:rStyle w:val="None"/>
          <w:b/>
          <w:bCs/>
          <w:sz w:val="24"/>
          <w:szCs w:val="24"/>
        </w:rPr>
      </w:pPr>
      <w:r>
        <w:rPr>
          <w:rStyle w:val="None"/>
          <w:b/>
          <w:bCs/>
          <w:sz w:val="24"/>
          <w:szCs w:val="24"/>
        </w:rPr>
        <w:t xml:space="preserve">List of evaluations completed in the reporting period </w:t>
      </w:r>
    </w:p>
    <w:tbl>
      <w:tblPr>
        <w:tblW w:w="144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3106"/>
        <w:gridCol w:w="4685"/>
        <w:gridCol w:w="1425"/>
        <w:gridCol w:w="1981"/>
        <w:gridCol w:w="1699"/>
        <w:gridCol w:w="1556"/>
      </w:tblGrid>
      <w:tr w:rsidR="003B4A93" w14:paraId="57858C77" w14:textId="77777777" w:rsidTr="0056021A">
        <w:trPr>
          <w:trHeight w:val="953"/>
        </w:trPr>
        <w:tc>
          <w:tcPr>
            <w:tcW w:w="3106" w:type="dxa"/>
            <w:tcBorders>
              <w:top w:val="nil"/>
              <w:left w:val="nil"/>
              <w:bottom w:val="nil"/>
              <w:right w:val="nil"/>
            </w:tcBorders>
            <w:shd w:val="clear" w:color="auto" w:fill="auto"/>
            <w:tcMar>
              <w:top w:w="80" w:type="dxa"/>
              <w:left w:w="80" w:type="dxa"/>
              <w:bottom w:w="80" w:type="dxa"/>
              <w:right w:w="80" w:type="dxa"/>
            </w:tcMar>
          </w:tcPr>
          <w:p w14:paraId="4B6BFD4F" w14:textId="77777777" w:rsidR="003B4A93" w:rsidRPr="00AE3448" w:rsidRDefault="001E283F">
            <w:pPr>
              <w:pStyle w:val="BodyA"/>
              <w:keepLines/>
              <w:spacing w:line="200" w:lineRule="atLeast"/>
              <w:rPr>
                <w:rStyle w:val="None"/>
                <w:b/>
                <w:bCs/>
                <w:sz w:val="20"/>
                <w:szCs w:val="20"/>
              </w:rPr>
            </w:pPr>
            <w:r w:rsidRPr="00AE3448">
              <w:rPr>
                <w:rStyle w:val="None"/>
                <w:b/>
                <w:bCs/>
                <w:sz w:val="20"/>
                <w:szCs w:val="20"/>
              </w:rPr>
              <w:t xml:space="preserve">Investment number and name </w:t>
            </w:r>
          </w:p>
          <w:p w14:paraId="08E18CCE" w14:textId="02C77E0D" w:rsidR="00AE3448" w:rsidRPr="00AE3448" w:rsidRDefault="001E283F">
            <w:pPr>
              <w:pStyle w:val="BodyA"/>
              <w:keepLines/>
              <w:spacing w:line="200" w:lineRule="atLeast"/>
              <w:rPr>
                <w:sz w:val="20"/>
                <w:szCs w:val="20"/>
              </w:rPr>
            </w:pPr>
            <w:r w:rsidRPr="00AE3448">
              <w:rPr>
                <w:rStyle w:val="None"/>
                <w:b/>
                <w:bCs/>
                <w:sz w:val="20"/>
                <w:szCs w:val="20"/>
              </w:rPr>
              <w:t xml:space="preserve">(if applicable) </w:t>
            </w:r>
          </w:p>
          <w:p w14:paraId="79382BEF" w14:textId="3D999D7A" w:rsidR="003B4A93" w:rsidRPr="00AE3448" w:rsidRDefault="003B4A93" w:rsidP="00AE3448">
            <w:pPr>
              <w:rPr>
                <w:sz w:val="20"/>
                <w:szCs w:val="20"/>
                <w:lang w:eastAsia="en-AU"/>
              </w:rPr>
            </w:pPr>
          </w:p>
        </w:tc>
        <w:tc>
          <w:tcPr>
            <w:tcW w:w="4685" w:type="dxa"/>
            <w:tcBorders>
              <w:top w:val="nil"/>
              <w:left w:val="nil"/>
              <w:bottom w:val="nil"/>
              <w:right w:val="nil"/>
            </w:tcBorders>
            <w:shd w:val="clear" w:color="auto" w:fill="auto"/>
            <w:tcMar>
              <w:top w:w="80" w:type="dxa"/>
              <w:left w:w="80" w:type="dxa"/>
              <w:bottom w:w="80" w:type="dxa"/>
              <w:right w:w="80" w:type="dxa"/>
            </w:tcMar>
          </w:tcPr>
          <w:p w14:paraId="4FE36ACA" w14:textId="77777777" w:rsidR="003B4A93" w:rsidRPr="00AE3448" w:rsidRDefault="001E283F">
            <w:pPr>
              <w:pStyle w:val="BodyA"/>
              <w:keepLines/>
              <w:spacing w:line="200" w:lineRule="atLeast"/>
              <w:rPr>
                <w:sz w:val="20"/>
                <w:szCs w:val="20"/>
              </w:rPr>
            </w:pPr>
            <w:r w:rsidRPr="00AE3448">
              <w:rPr>
                <w:rStyle w:val="None"/>
                <w:b/>
                <w:bCs/>
                <w:sz w:val="20"/>
                <w:szCs w:val="20"/>
              </w:rPr>
              <w:t>Name of evaluation</w:t>
            </w:r>
          </w:p>
        </w:tc>
        <w:tc>
          <w:tcPr>
            <w:tcW w:w="1425" w:type="dxa"/>
            <w:tcBorders>
              <w:top w:val="nil"/>
              <w:left w:val="nil"/>
              <w:bottom w:val="nil"/>
              <w:right w:val="nil"/>
            </w:tcBorders>
            <w:shd w:val="clear" w:color="auto" w:fill="auto"/>
            <w:tcMar>
              <w:top w:w="80" w:type="dxa"/>
              <w:left w:w="80" w:type="dxa"/>
              <w:bottom w:w="80" w:type="dxa"/>
              <w:right w:w="80" w:type="dxa"/>
            </w:tcMar>
          </w:tcPr>
          <w:p w14:paraId="6284AAD0" w14:textId="77777777" w:rsidR="003B4A93" w:rsidRPr="00AE3448" w:rsidRDefault="001E283F">
            <w:pPr>
              <w:pStyle w:val="BodyA"/>
              <w:keepLines/>
              <w:spacing w:line="200" w:lineRule="atLeast"/>
              <w:rPr>
                <w:sz w:val="20"/>
                <w:szCs w:val="20"/>
              </w:rPr>
            </w:pPr>
            <w:r w:rsidRPr="00AE3448">
              <w:rPr>
                <w:rStyle w:val="None"/>
                <w:b/>
                <w:bCs/>
                <w:sz w:val="20"/>
                <w:szCs w:val="20"/>
              </w:rPr>
              <w:t>Date completed</w:t>
            </w:r>
          </w:p>
        </w:tc>
        <w:tc>
          <w:tcPr>
            <w:tcW w:w="1981" w:type="dxa"/>
            <w:tcBorders>
              <w:top w:val="nil"/>
              <w:left w:val="nil"/>
              <w:bottom w:val="nil"/>
              <w:right w:val="nil"/>
            </w:tcBorders>
            <w:shd w:val="clear" w:color="auto" w:fill="auto"/>
            <w:tcMar>
              <w:top w:w="80" w:type="dxa"/>
              <w:left w:w="80" w:type="dxa"/>
              <w:bottom w:w="80" w:type="dxa"/>
              <w:right w:w="80" w:type="dxa"/>
            </w:tcMar>
          </w:tcPr>
          <w:p w14:paraId="1699C8D4" w14:textId="77777777" w:rsidR="003B4A93" w:rsidRPr="00AE3448" w:rsidRDefault="001E283F">
            <w:pPr>
              <w:pStyle w:val="BodyA"/>
              <w:keepLines/>
              <w:spacing w:line="200" w:lineRule="atLeast"/>
              <w:rPr>
                <w:sz w:val="20"/>
                <w:szCs w:val="20"/>
              </w:rPr>
            </w:pPr>
            <w:r w:rsidRPr="00AE3448">
              <w:rPr>
                <w:rStyle w:val="None"/>
                <w:b/>
                <w:bCs/>
                <w:sz w:val="20"/>
                <w:szCs w:val="20"/>
              </w:rPr>
              <w:t xml:space="preserve">Date Evaluation report Uploaded into </w:t>
            </w:r>
            <w:proofErr w:type="spellStart"/>
            <w:r w:rsidRPr="00AE3448">
              <w:rPr>
                <w:rStyle w:val="None"/>
                <w:b/>
                <w:bCs/>
                <w:sz w:val="20"/>
                <w:szCs w:val="20"/>
              </w:rPr>
              <w:t>AidWorks</w:t>
            </w:r>
            <w:proofErr w:type="spellEnd"/>
          </w:p>
        </w:tc>
        <w:tc>
          <w:tcPr>
            <w:tcW w:w="1699" w:type="dxa"/>
            <w:tcBorders>
              <w:top w:val="nil"/>
              <w:left w:val="nil"/>
              <w:bottom w:val="nil"/>
              <w:right w:val="nil"/>
            </w:tcBorders>
            <w:shd w:val="clear" w:color="auto" w:fill="auto"/>
            <w:tcMar>
              <w:top w:w="80" w:type="dxa"/>
              <w:left w:w="80" w:type="dxa"/>
              <w:bottom w:w="80" w:type="dxa"/>
              <w:right w:w="80" w:type="dxa"/>
            </w:tcMar>
          </w:tcPr>
          <w:p w14:paraId="24BA29A2" w14:textId="77777777" w:rsidR="003B4A93" w:rsidRPr="00AE3448" w:rsidRDefault="001E283F">
            <w:pPr>
              <w:pStyle w:val="BodyA"/>
              <w:keepLines/>
              <w:spacing w:line="200" w:lineRule="atLeast"/>
              <w:rPr>
                <w:sz w:val="20"/>
                <w:szCs w:val="20"/>
              </w:rPr>
            </w:pPr>
            <w:r w:rsidRPr="00AE3448">
              <w:rPr>
                <w:rStyle w:val="None"/>
                <w:b/>
                <w:bCs/>
                <w:sz w:val="20"/>
                <w:szCs w:val="20"/>
              </w:rPr>
              <w:t xml:space="preserve">Date Management response uploaded into </w:t>
            </w:r>
            <w:proofErr w:type="spellStart"/>
            <w:r w:rsidRPr="00AE3448">
              <w:rPr>
                <w:rStyle w:val="None"/>
                <w:b/>
                <w:bCs/>
                <w:sz w:val="20"/>
                <w:szCs w:val="20"/>
              </w:rPr>
              <w:t>AidWorks</w:t>
            </w:r>
            <w:proofErr w:type="spellEnd"/>
          </w:p>
        </w:tc>
        <w:tc>
          <w:tcPr>
            <w:tcW w:w="1556" w:type="dxa"/>
            <w:tcBorders>
              <w:top w:val="nil"/>
              <w:left w:val="nil"/>
              <w:bottom w:val="nil"/>
              <w:right w:val="nil"/>
            </w:tcBorders>
            <w:shd w:val="clear" w:color="auto" w:fill="auto"/>
            <w:tcMar>
              <w:top w:w="80" w:type="dxa"/>
              <w:left w:w="80" w:type="dxa"/>
              <w:bottom w:w="80" w:type="dxa"/>
              <w:right w:w="80" w:type="dxa"/>
            </w:tcMar>
          </w:tcPr>
          <w:p w14:paraId="14DC03AC" w14:textId="77777777" w:rsidR="003B4A93" w:rsidRPr="00AE3448" w:rsidRDefault="001E283F">
            <w:pPr>
              <w:pStyle w:val="BodyA"/>
              <w:keepLines/>
              <w:spacing w:line="200" w:lineRule="atLeast"/>
              <w:rPr>
                <w:sz w:val="20"/>
                <w:szCs w:val="20"/>
              </w:rPr>
            </w:pPr>
            <w:r w:rsidRPr="00AE3448">
              <w:rPr>
                <w:rStyle w:val="None"/>
                <w:b/>
                <w:bCs/>
                <w:sz w:val="20"/>
                <w:szCs w:val="20"/>
              </w:rPr>
              <w:t>Published on website</w:t>
            </w:r>
          </w:p>
        </w:tc>
      </w:tr>
      <w:tr w:rsidR="003B4A93" w14:paraId="08FA3405" w14:textId="77777777" w:rsidTr="0038038A">
        <w:trPr>
          <w:trHeight w:val="922"/>
        </w:trPr>
        <w:tc>
          <w:tcPr>
            <w:tcW w:w="3106" w:type="dxa"/>
            <w:tcBorders>
              <w:top w:val="nil"/>
              <w:left w:val="nil"/>
              <w:bottom w:val="nil"/>
              <w:right w:val="nil"/>
            </w:tcBorders>
            <w:shd w:val="clear" w:color="auto" w:fill="auto"/>
            <w:tcMar>
              <w:top w:w="80" w:type="dxa"/>
              <w:left w:w="80" w:type="dxa"/>
              <w:bottom w:w="80" w:type="dxa"/>
              <w:right w:w="80" w:type="dxa"/>
            </w:tcMar>
          </w:tcPr>
          <w:p w14:paraId="396A86CD" w14:textId="465150D6" w:rsidR="003B4A93" w:rsidRDefault="001E283F" w:rsidP="005743C9">
            <w:pPr>
              <w:pStyle w:val="BodyA"/>
              <w:keepLines/>
              <w:spacing w:before="40" w:after="40" w:line="200" w:lineRule="atLeast"/>
            </w:pPr>
            <w:r>
              <w:rPr>
                <w:rStyle w:val="None"/>
                <w:sz w:val="17"/>
                <w:szCs w:val="17"/>
              </w:rPr>
              <w:t>INK</w:t>
            </w:r>
            <w:r w:rsidR="00C62978">
              <w:rPr>
                <w:rStyle w:val="None"/>
                <w:sz w:val="17"/>
                <w:szCs w:val="17"/>
              </w:rPr>
              <w:t>969</w:t>
            </w:r>
            <w:r>
              <w:rPr>
                <w:rStyle w:val="None"/>
                <w:sz w:val="17"/>
                <w:szCs w:val="17"/>
              </w:rPr>
              <w:t xml:space="preserve"> </w:t>
            </w:r>
            <w:r w:rsidR="00C62978">
              <w:rPr>
                <w:rStyle w:val="None"/>
                <w:sz w:val="17"/>
                <w:szCs w:val="17"/>
              </w:rPr>
              <w:t>Support Vulnerable Communities in Cox’s Bazaar</w:t>
            </w:r>
          </w:p>
        </w:tc>
        <w:tc>
          <w:tcPr>
            <w:tcW w:w="4685" w:type="dxa"/>
            <w:tcBorders>
              <w:top w:val="nil"/>
              <w:left w:val="nil"/>
              <w:bottom w:val="nil"/>
              <w:right w:val="nil"/>
            </w:tcBorders>
            <w:shd w:val="clear" w:color="auto" w:fill="auto"/>
            <w:tcMar>
              <w:top w:w="80" w:type="dxa"/>
              <w:left w:w="80" w:type="dxa"/>
              <w:bottom w:w="80" w:type="dxa"/>
              <w:right w:w="80" w:type="dxa"/>
            </w:tcMar>
          </w:tcPr>
          <w:p w14:paraId="46C22A95" w14:textId="138ED12F" w:rsidR="003B4A93" w:rsidRPr="00805C0D" w:rsidRDefault="006B091F" w:rsidP="00480F39">
            <w:pPr>
              <w:pStyle w:val="BodyA"/>
              <w:keepLines/>
              <w:spacing w:before="40" w:after="40" w:line="200" w:lineRule="atLeast"/>
              <w:rPr>
                <w:sz w:val="17"/>
                <w:szCs w:val="17"/>
              </w:rPr>
            </w:pPr>
            <w:r w:rsidRPr="006B091F">
              <w:rPr>
                <w:rStyle w:val="None"/>
                <w:sz w:val="17"/>
                <w:szCs w:val="17"/>
              </w:rPr>
              <w:t xml:space="preserve">Independent Evaluation of DFAT’s Investment to the World Food </w:t>
            </w:r>
            <w:proofErr w:type="spellStart"/>
            <w:r w:rsidRPr="006B091F">
              <w:rPr>
                <w:rStyle w:val="None"/>
                <w:sz w:val="17"/>
                <w:szCs w:val="17"/>
              </w:rPr>
              <w:t>Programme</w:t>
            </w:r>
            <w:proofErr w:type="spellEnd"/>
            <w:r w:rsidRPr="006B091F">
              <w:rPr>
                <w:rStyle w:val="None"/>
                <w:sz w:val="17"/>
                <w:szCs w:val="17"/>
              </w:rPr>
              <w:t xml:space="preserve"> for Supporting Vulner</w:t>
            </w:r>
            <w:r w:rsidR="005743C9">
              <w:rPr>
                <w:rStyle w:val="None"/>
                <w:sz w:val="17"/>
                <w:szCs w:val="17"/>
              </w:rPr>
              <w:t>able Communities in Cox’s Bazar</w:t>
            </w:r>
            <w:r w:rsidR="00176F1E" w:rsidDel="006B091F">
              <w:rPr>
                <w:rStyle w:val="None"/>
                <w:sz w:val="17"/>
                <w:szCs w:val="17"/>
              </w:rPr>
              <w:t xml:space="preserve"> </w:t>
            </w:r>
          </w:p>
        </w:tc>
        <w:tc>
          <w:tcPr>
            <w:tcW w:w="1425" w:type="dxa"/>
            <w:tcBorders>
              <w:top w:val="nil"/>
              <w:left w:val="nil"/>
              <w:bottom w:val="nil"/>
              <w:right w:val="nil"/>
            </w:tcBorders>
            <w:shd w:val="clear" w:color="auto" w:fill="auto"/>
            <w:tcMar>
              <w:top w:w="80" w:type="dxa"/>
              <w:left w:w="80" w:type="dxa"/>
              <w:bottom w:w="80" w:type="dxa"/>
              <w:right w:w="80" w:type="dxa"/>
            </w:tcMar>
          </w:tcPr>
          <w:p w14:paraId="21E8743E" w14:textId="68FBAACC" w:rsidR="003B4A93" w:rsidRDefault="00176F1E">
            <w:pPr>
              <w:pStyle w:val="BodyA"/>
              <w:keepLines/>
              <w:spacing w:before="40" w:after="40" w:line="200" w:lineRule="atLeast"/>
            </w:pPr>
            <w:r>
              <w:rPr>
                <w:rStyle w:val="None"/>
                <w:sz w:val="17"/>
                <w:szCs w:val="17"/>
              </w:rPr>
              <w:t>July 2018</w:t>
            </w:r>
          </w:p>
        </w:tc>
        <w:tc>
          <w:tcPr>
            <w:tcW w:w="1981" w:type="dxa"/>
            <w:tcBorders>
              <w:top w:val="nil"/>
              <w:left w:val="nil"/>
              <w:bottom w:val="nil"/>
              <w:right w:val="nil"/>
            </w:tcBorders>
            <w:shd w:val="clear" w:color="auto" w:fill="auto"/>
            <w:tcMar>
              <w:top w:w="80" w:type="dxa"/>
              <w:left w:w="80" w:type="dxa"/>
              <w:bottom w:w="80" w:type="dxa"/>
              <w:right w:w="80" w:type="dxa"/>
            </w:tcMar>
          </w:tcPr>
          <w:p w14:paraId="6DC02764" w14:textId="19D45331" w:rsidR="003B4A93" w:rsidRDefault="00176F1E">
            <w:pPr>
              <w:pStyle w:val="BodyA"/>
              <w:keepLines/>
              <w:spacing w:before="40" w:after="40" w:line="200" w:lineRule="atLeast"/>
            </w:pPr>
            <w:r>
              <w:rPr>
                <w:rStyle w:val="None"/>
                <w:sz w:val="17"/>
                <w:szCs w:val="17"/>
              </w:rPr>
              <w:t>July 2018</w:t>
            </w:r>
            <w:r w:rsidR="001E283F">
              <w:rPr>
                <w:rStyle w:val="None"/>
                <w:sz w:val="17"/>
                <w:szCs w:val="17"/>
              </w:rPr>
              <w:t xml:space="preserve"> </w:t>
            </w:r>
          </w:p>
        </w:tc>
        <w:tc>
          <w:tcPr>
            <w:tcW w:w="1699" w:type="dxa"/>
            <w:tcBorders>
              <w:top w:val="nil"/>
              <w:left w:val="nil"/>
              <w:bottom w:val="nil"/>
              <w:right w:val="nil"/>
            </w:tcBorders>
            <w:shd w:val="clear" w:color="auto" w:fill="auto"/>
            <w:tcMar>
              <w:top w:w="80" w:type="dxa"/>
              <w:left w:w="80" w:type="dxa"/>
              <w:bottom w:w="80" w:type="dxa"/>
              <w:right w:w="80" w:type="dxa"/>
            </w:tcMar>
          </w:tcPr>
          <w:p w14:paraId="7FB4225B" w14:textId="018834AE" w:rsidR="003B4A93" w:rsidRDefault="00176F1E">
            <w:pPr>
              <w:pStyle w:val="BodyA"/>
              <w:keepLines/>
              <w:spacing w:before="40" w:after="40" w:line="200" w:lineRule="atLeast"/>
            </w:pPr>
            <w:r>
              <w:rPr>
                <w:rStyle w:val="None"/>
                <w:sz w:val="17"/>
                <w:szCs w:val="17"/>
              </w:rPr>
              <w:t>July 2018</w:t>
            </w:r>
          </w:p>
        </w:tc>
        <w:tc>
          <w:tcPr>
            <w:tcW w:w="1556" w:type="dxa"/>
            <w:tcBorders>
              <w:top w:val="nil"/>
              <w:left w:val="nil"/>
              <w:bottom w:val="nil"/>
              <w:right w:val="nil"/>
            </w:tcBorders>
            <w:shd w:val="clear" w:color="auto" w:fill="auto"/>
            <w:tcMar>
              <w:top w:w="80" w:type="dxa"/>
              <w:left w:w="80" w:type="dxa"/>
              <w:bottom w:w="80" w:type="dxa"/>
              <w:right w:w="80" w:type="dxa"/>
            </w:tcMar>
          </w:tcPr>
          <w:p w14:paraId="40AD5A3C" w14:textId="45A8AE1F" w:rsidR="003B4A93" w:rsidRDefault="00176F1E">
            <w:pPr>
              <w:pStyle w:val="BodyA"/>
              <w:keepLines/>
              <w:spacing w:before="40" w:after="40" w:line="200" w:lineRule="atLeast"/>
              <w:rPr>
                <w:rStyle w:val="None"/>
                <w:sz w:val="17"/>
                <w:szCs w:val="17"/>
              </w:rPr>
            </w:pPr>
            <w:r>
              <w:rPr>
                <w:rStyle w:val="None"/>
                <w:sz w:val="17"/>
                <w:szCs w:val="17"/>
              </w:rPr>
              <w:t>July 2018</w:t>
            </w:r>
          </w:p>
          <w:p w14:paraId="3C970727" w14:textId="553DD8A7" w:rsidR="00176F1E" w:rsidRDefault="00176F1E">
            <w:pPr>
              <w:pStyle w:val="BodyA"/>
              <w:keepLines/>
              <w:spacing w:before="40" w:after="40" w:line="200" w:lineRule="atLeast"/>
            </w:pPr>
          </w:p>
        </w:tc>
      </w:tr>
      <w:tr w:rsidR="009B76C9" w14:paraId="75396013" w14:textId="77777777" w:rsidTr="0038038A">
        <w:trPr>
          <w:trHeight w:val="914"/>
        </w:trPr>
        <w:tc>
          <w:tcPr>
            <w:tcW w:w="3106" w:type="dxa"/>
            <w:tcBorders>
              <w:top w:val="nil"/>
              <w:left w:val="nil"/>
              <w:bottom w:val="single" w:sz="4" w:space="0" w:color="auto"/>
              <w:right w:val="nil"/>
            </w:tcBorders>
            <w:shd w:val="clear" w:color="auto" w:fill="auto"/>
            <w:tcMar>
              <w:top w:w="80" w:type="dxa"/>
              <w:left w:w="80" w:type="dxa"/>
              <w:bottom w:w="80" w:type="dxa"/>
              <w:right w:w="80" w:type="dxa"/>
            </w:tcMar>
          </w:tcPr>
          <w:p w14:paraId="76E732B5" w14:textId="77777777" w:rsidR="009B76C9" w:rsidRDefault="00D45E24" w:rsidP="00480F39">
            <w:pPr>
              <w:pStyle w:val="BodyA"/>
              <w:keepLines/>
              <w:spacing w:before="40" w:after="40" w:line="200" w:lineRule="atLeast"/>
              <w:rPr>
                <w:rStyle w:val="None"/>
                <w:sz w:val="17"/>
                <w:szCs w:val="17"/>
              </w:rPr>
            </w:pPr>
            <w:r>
              <w:rPr>
                <w:rStyle w:val="None"/>
                <w:sz w:val="17"/>
                <w:szCs w:val="17"/>
              </w:rPr>
              <w:t>INL234 Social P</w:t>
            </w:r>
            <w:r w:rsidR="009B76C9">
              <w:rPr>
                <w:rStyle w:val="None"/>
                <w:sz w:val="17"/>
                <w:szCs w:val="17"/>
              </w:rPr>
              <w:t xml:space="preserve">rotection and </w:t>
            </w:r>
            <w:r>
              <w:rPr>
                <w:rStyle w:val="None"/>
                <w:sz w:val="17"/>
                <w:szCs w:val="17"/>
              </w:rPr>
              <w:t>E</w:t>
            </w:r>
            <w:r w:rsidR="009B76C9">
              <w:rPr>
                <w:rStyle w:val="None"/>
                <w:sz w:val="17"/>
                <w:szCs w:val="17"/>
              </w:rPr>
              <w:t xml:space="preserve">xtreme </w:t>
            </w:r>
            <w:r>
              <w:rPr>
                <w:rStyle w:val="None"/>
                <w:sz w:val="17"/>
                <w:szCs w:val="17"/>
              </w:rPr>
              <w:t>Poverty R</w:t>
            </w:r>
            <w:r w:rsidR="009B76C9">
              <w:rPr>
                <w:rStyle w:val="None"/>
                <w:sz w:val="17"/>
                <w:szCs w:val="17"/>
              </w:rPr>
              <w:t>eduction</w:t>
            </w:r>
          </w:p>
          <w:p w14:paraId="7A077DA4" w14:textId="77777777" w:rsidR="005348B6" w:rsidRDefault="005348B6" w:rsidP="00480F39">
            <w:pPr>
              <w:pStyle w:val="BodyA"/>
              <w:keepLines/>
              <w:spacing w:before="40" w:after="40" w:line="200" w:lineRule="atLeast"/>
              <w:rPr>
                <w:rStyle w:val="None"/>
                <w:sz w:val="17"/>
                <w:szCs w:val="17"/>
              </w:rPr>
            </w:pPr>
          </w:p>
          <w:p w14:paraId="1F0A06DE" w14:textId="4DC0D711" w:rsidR="005348B6" w:rsidRDefault="005348B6" w:rsidP="00480F39">
            <w:pPr>
              <w:pStyle w:val="BodyA"/>
              <w:keepLines/>
              <w:spacing w:before="40" w:after="40" w:line="200" w:lineRule="atLeast"/>
              <w:rPr>
                <w:rStyle w:val="None"/>
                <w:sz w:val="17"/>
                <w:szCs w:val="17"/>
              </w:rPr>
            </w:pPr>
          </w:p>
        </w:tc>
        <w:tc>
          <w:tcPr>
            <w:tcW w:w="4685" w:type="dxa"/>
            <w:tcBorders>
              <w:top w:val="nil"/>
              <w:left w:val="nil"/>
              <w:bottom w:val="single" w:sz="4" w:space="0" w:color="auto"/>
              <w:right w:val="nil"/>
            </w:tcBorders>
            <w:shd w:val="clear" w:color="auto" w:fill="auto"/>
            <w:tcMar>
              <w:top w:w="80" w:type="dxa"/>
              <w:left w:w="80" w:type="dxa"/>
              <w:bottom w:w="80" w:type="dxa"/>
              <w:right w:w="80" w:type="dxa"/>
            </w:tcMar>
          </w:tcPr>
          <w:p w14:paraId="382F504E" w14:textId="77777777" w:rsidR="009B76C9" w:rsidRDefault="007709E4" w:rsidP="00805C0D">
            <w:pPr>
              <w:pStyle w:val="BodyA"/>
              <w:keepLines/>
              <w:spacing w:before="40" w:after="40" w:line="200" w:lineRule="atLeast"/>
              <w:rPr>
                <w:rStyle w:val="None"/>
                <w:sz w:val="17"/>
                <w:szCs w:val="17"/>
              </w:rPr>
            </w:pPr>
            <w:r>
              <w:rPr>
                <w:rStyle w:val="None"/>
                <w:sz w:val="17"/>
                <w:szCs w:val="17"/>
              </w:rPr>
              <w:t>Annual</w:t>
            </w:r>
            <w:r w:rsidR="00805C0D">
              <w:rPr>
                <w:rStyle w:val="None"/>
                <w:sz w:val="17"/>
                <w:szCs w:val="17"/>
              </w:rPr>
              <w:t xml:space="preserve"> </w:t>
            </w:r>
            <w:r w:rsidR="009B76C9" w:rsidRPr="009B76C9">
              <w:rPr>
                <w:rStyle w:val="None"/>
                <w:sz w:val="17"/>
                <w:szCs w:val="17"/>
              </w:rPr>
              <w:t xml:space="preserve">Review 2017 for the Strengthening Governments Social </w:t>
            </w:r>
            <w:r w:rsidR="009B76C9">
              <w:rPr>
                <w:rStyle w:val="None"/>
                <w:sz w:val="17"/>
                <w:szCs w:val="17"/>
              </w:rPr>
              <w:t>Protection Program (SGSP)</w:t>
            </w:r>
          </w:p>
          <w:p w14:paraId="4B469062" w14:textId="77777777" w:rsidR="005348B6" w:rsidRDefault="005348B6" w:rsidP="00805C0D">
            <w:pPr>
              <w:pStyle w:val="BodyA"/>
              <w:keepLines/>
              <w:spacing w:before="40" w:after="40" w:line="200" w:lineRule="atLeast"/>
              <w:rPr>
                <w:rStyle w:val="None"/>
                <w:sz w:val="17"/>
                <w:szCs w:val="17"/>
              </w:rPr>
            </w:pPr>
          </w:p>
          <w:p w14:paraId="5EB635C8" w14:textId="0A7916E6" w:rsidR="005348B6" w:rsidRPr="006B091F" w:rsidRDefault="005348B6" w:rsidP="00805C0D">
            <w:pPr>
              <w:pStyle w:val="BodyA"/>
              <w:keepLines/>
              <w:spacing w:before="40" w:after="40" w:line="200" w:lineRule="atLeast"/>
              <w:rPr>
                <w:rStyle w:val="None"/>
                <w:sz w:val="17"/>
                <w:szCs w:val="17"/>
              </w:rPr>
            </w:pPr>
          </w:p>
        </w:tc>
        <w:tc>
          <w:tcPr>
            <w:tcW w:w="1425" w:type="dxa"/>
            <w:tcBorders>
              <w:top w:val="nil"/>
              <w:left w:val="nil"/>
              <w:bottom w:val="single" w:sz="4" w:space="0" w:color="auto"/>
              <w:right w:val="nil"/>
            </w:tcBorders>
            <w:shd w:val="clear" w:color="auto" w:fill="auto"/>
            <w:tcMar>
              <w:top w:w="80" w:type="dxa"/>
              <w:left w:w="80" w:type="dxa"/>
              <w:bottom w:w="80" w:type="dxa"/>
              <w:right w:w="80" w:type="dxa"/>
            </w:tcMar>
          </w:tcPr>
          <w:p w14:paraId="0F3A3045" w14:textId="14C3A0DB" w:rsidR="005348B6" w:rsidRDefault="009B76C9">
            <w:pPr>
              <w:pStyle w:val="BodyA"/>
              <w:keepLines/>
              <w:spacing w:before="40" w:after="40" w:line="200" w:lineRule="atLeast"/>
              <w:rPr>
                <w:rStyle w:val="None"/>
                <w:sz w:val="17"/>
                <w:szCs w:val="17"/>
              </w:rPr>
            </w:pPr>
            <w:r>
              <w:rPr>
                <w:rStyle w:val="None"/>
                <w:sz w:val="17"/>
                <w:szCs w:val="17"/>
              </w:rPr>
              <w:t>September 2017</w:t>
            </w:r>
          </w:p>
          <w:p w14:paraId="4CC44E00" w14:textId="77777777" w:rsidR="005348B6" w:rsidRPr="005348B6" w:rsidRDefault="005348B6" w:rsidP="005348B6">
            <w:pPr>
              <w:rPr>
                <w:lang w:eastAsia="en-AU"/>
              </w:rPr>
            </w:pPr>
          </w:p>
          <w:p w14:paraId="1F8E4DCE" w14:textId="2DB059DD" w:rsidR="000D78A9" w:rsidRDefault="000D78A9" w:rsidP="005348B6">
            <w:pPr>
              <w:rPr>
                <w:lang w:eastAsia="en-AU"/>
              </w:rPr>
            </w:pPr>
          </w:p>
          <w:p w14:paraId="757CA2EE" w14:textId="2A489834" w:rsidR="009B76C9" w:rsidRPr="005348B6" w:rsidRDefault="009B76C9" w:rsidP="005348B6">
            <w:pPr>
              <w:pStyle w:val="BodyA"/>
              <w:keepLines/>
              <w:spacing w:before="40" w:after="40" w:line="200" w:lineRule="atLeast"/>
            </w:pPr>
          </w:p>
        </w:tc>
        <w:tc>
          <w:tcPr>
            <w:tcW w:w="1981" w:type="dxa"/>
            <w:tcBorders>
              <w:top w:val="nil"/>
              <w:left w:val="nil"/>
              <w:bottom w:val="single" w:sz="4" w:space="0" w:color="auto"/>
              <w:right w:val="nil"/>
            </w:tcBorders>
            <w:shd w:val="clear" w:color="auto" w:fill="auto"/>
            <w:tcMar>
              <w:top w:w="80" w:type="dxa"/>
              <w:left w:w="80" w:type="dxa"/>
              <w:bottom w:w="80" w:type="dxa"/>
              <w:right w:w="80" w:type="dxa"/>
            </w:tcMar>
          </w:tcPr>
          <w:p w14:paraId="465A8F26" w14:textId="5243C15F" w:rsidR="009B76C9" w:rsidRDefault="009B76C9">
            <w:pPr>
              <w:pStyle w:val="BodyA"/>
              <w:keepLines/>
              <w:spacing w:before="40" w:after="40" w:line="200" w:lineRule="atLeast"/>
              <w:rPr>
                <w:rStyle w:val="None"/>
                <w:sz w:val="17"/>
                <w:szCs w:val="17"/>
              </w:rPr>
            </w:pPr>
            <w:r>
              <w:rPr>
                <w:rStyle w:val="None"/>
                <w:sz w:val="17"/>
                <w:szCs w:val="17"/>
              </w:rPr>
              <w:t>March 2018</w:t>
            </w:r>
          </w:p>
        </w:tc>
        <w:tc>
          <w:tcPr>
            <w:tcW w:w="1699" w:type="dxa"/>
            <w:tcBorders>
              <w:top w:val="nil"/>
              <w:left w:val="nil"/>
              <w:bottom w:val="single" w:sz="4" w:space="0" w:color="auto"/>
              <w:right w:val="nil"/>
            </w:tcBorders>
            <w:shd w:val="clear" w:color="auto" w:fill="auto"/>
            <w:tcMar>
              <w:top w:w="80" w:type="dxa"/>
              <w:left w:w="80" w:type="dxa"/>
              <w:bottom w:w="80" w:type="dxa"/>
              <w:right w:w="80" w:type="dxa"/>
            </w:tcMar>
          </w:tcPr>
          <w:p w14:paraId="1B32749B" w14:textId="05986F78" w:rsidR="009B76C9" w:rsidRDefault="00A50C5E">
            <w:pPr>
              <w:pStyle w:val="BodyA"/>
              <w:keepLines/>
              <w:spacing w:before="40" w:after="40" w:line="200" w:lineRule="atLeast"/>
              <w:rPr>
                <w:rStyle w:val="None"/>
                <w:sz w:val="17"/>
                <w:szCs w:val="17"/>
              </w:rPr>
            </w:pPr>
            <w:r>
              <w:rPr>
                <w:rStyle w:val="None"/>
                <w:sz w:val="17"/>
                <w:szCs w:val="17"/>
              </w:rPr>
              <w:t>N/A</w:t>
            </w:r>
          </w:p>
        </w:tc>
        <w:tc>
          <w:tcPr>
            <w:tcW w:w="1556" w:type="dxa"/>
            <w:tcBorders>
              <w:top w:val="nil"/>
              <w:left w:val="nil"/>
              <w:bottom w:val="single" w:sz="4" w:space="0" w:color="auto"/>
              <w:right w:val="nil"/>
            </w:tcBorders>
            <w:shd w:val="clear" w:color="auto" w:fill="auto"/>
            <w:tcMar>
              <w:top w:w="80" w:type="dxa"/>
              <w:left w:w="80" w:type="dxa"/>
              <w:bottom w:w="80" w:type="dxa"/>
              <w:right w:w="80" w:type="dxa"/>
            </w:tcMar>
          </w:tcPr>
          <w:p w14:paraId="79B022F1" w14:textId="63BFDB5B" w:rsidR="009B76C9" w:rsidRDefault="00A50C5E">
            <w:pPr>
              <w:pStyle w:val="BodyA"/>
              <w:keepLines/>
              <w:spacing w:before="40" w:after="40" w:line="200" w:lineRule="atLeast"/>
              <w:rPr>
                <w:rStyle w:val="None"/>
                <w:sz w:val="17"/>
                <w:szCs w:val="17"/>
              </w:rPr>
            </w:pPr>
            <w:r>
              <w:rPr>
                <w:rStyle w:val="None"/>
                <w:sz w:val="17"/>
                <w:szCs w:val="17"/>
              </w:rPr>
              <w:t>TBA</w:t>
            </w:r>
          </w:p>
        </w:tc>
      </w:tr>
    </w:tbl>
    <w:p w14:paraId="01AA56EC" w14:textId="7E506634" w:rsidR="003B4A93" w:rsidRDefault="003B4A93">
      <w:pPr>
        <w:pStyle w:val="BodyA"/>
        <w:widowControl w:val="0"/>
        <w:spacing w:line="240" w:lineRule="auto"/>
        <w:ind w:left="108" w:hanging="108"/>
        <w:rPr>
          <w:rStyle w:val="None"/>
          <w:rFonts w:ascii="Times New Roman" w:eastAsia="Arial Unicode MS" w:hAnsi="Times New Roman" w:cs="Times New Roman"/>
          <w:b/>
          <w:bCs/>
          <w:color w:val="auto"/>
          <w:sz w:val="24"/>
          <w:szCs w:val="24"/>
          <w:lang w:eastAsia="en-US"/>
        </w:rPr>
      </w:pPr>
    </w:p>
    <w:p w14:paraId="6D6DD784" w14:textId="77777777" w:rsidR="003C61D9" w:rsidRDefault="003C61D9">
      <w:pPr>
        <w:pStyle w:val="BodyA"/>
        <w:widowControl w:val="0"/>
        <w:spacing w:line="240" w:lineRule="auto"/>
        <w:ind w:left="108" w:hanging="108"/>
        <w:rPr>
          <w:rStyle w:val="None"/>
          <w:rFonts w:ascii="Times New Roman" w:eastAsia="Arial Unicode MS" w:hAnsi="Times New Roman" w:cs="Times New Roman"/>
          <w:b/>
          <w:bCs/>
          <w:color w:val="auto"/>
          <w:sz w:val="24"/>
          <w:szCs w:val="24"/>
          <w:lang w:eastAsia="en-US"/>
        </w:rPr>
      </w:pPr>
    </w:p>
    <w:p w14:paraId="7ED54A90" w14:textId="77777777" w:rsidR="003B4A93" w:rsidRDefault="003B4A93">
      <w:pPr>
        <w:pStyle w:val="BodyA"/>
        <w:widowControl w:val="0"/>
        <w:spacing w:line="240" w:lineRule="auto"/>
        <w:rPr>
          <w:rStyle w:val="None"/>
          <w:b/>
          <w:bCs/>
          <w:sz w:val="24"/>
          <w:szCs w:val="24"/>
        </w:rPr>
      </w:pPr>
    </w:p>
    <w:p w14:paraId="579A644F" w14:textId="60D17EB7" w:rsidR="00474078" w:rsidRDefault="00474078">
      <w:pPr>
        <w:pStyle w:val="BodyA"/>
        <w:rPr>
          <w:rStyle w:val="None"/>
          <w:b/>
          <w:bCs/>
          <w:sz w:val="24"/>
          <w:szCs w:val="24"/>
        </w:rPr>
      </w:pPr>
    </w:p>
    <w:p w14:paraId="5FF70F51" w14:textId="65E8A1B2" w:rsidR="00AF77B2" w:rsidRDefault="00AF77B2">
      <w:pPr>
        <w:pStyle w:val="BodyA"/>
        <w:rPr>
          <w:rStyle w:val="None"/>
          <w:b/>
          <w:bCs/>
          <w:sz w:val="24"/>
          <w:szCs w:val="24"/>
        </w:rPr>
      </w:pPr>
    </w:p>
    <w:p w14:paraId="084D9EC5" w14:textId="4D6AA227" w:rsidR="00176F1E" w:rsidRDefault="00176F1E">
      <w:pPr>
        <w:pStyle w:val="BodyA"/>
        <w:rPr>
          <w:rStyle w:val="None"/>
          <w:b/>
          <w:bCs/>
          <w:sz w:val="24"/>
          <w:szCs w:val="24"/>
        </w:rPr>
      </w:pPr>
    </w:p>
    <w:p w14:paraId="75168348" w14:textId="1E42B807" w:rsidR="003C61D9" w:rsidRDefault="003C61D9">
      <w:pPr>
        <w:pStyle w:val="BodyA"/>
        <w:rPr>
          <w:rStyle w:val="None"/>
          <w:b/>
          <w:bCs/>
          <w:sz w:val="24"/>
          <w:szCs w:val="24"/>
        </w:rPr>
      </w:pPr>
    </w:p>
    <w:p w14:paraId="009AB1F3" w14:textId="5314A4AB" w:rsidR="003C61D9" w:rsidRDefault="003C61D9">
      <w:pPr>
        <w:pStyle w:val="BodyA"/>
        <w:rPr>
          <w:rStyle w:val="None"/>
          <w:b/>
          <w:bCs/>
          <w:sz w:val="24"/>
          <w:szCs w:val="24"/>
        </w:rPr>
      </w:pPr>
    </w:p>
    <w:p w14:paraId="59FE1501" w14:textId="46BA85D7" w:rsidR="003C61D9" w:rsidRDefault="003C61D9">
      <w:pPr>
        <w:pStyle w:val="BodyA"/>
        <w:rPr>
          <w:rStyle w:val="None"/>
          <w:b/>
          <w:bCs/>
          <w:sz w:val="24"/>
          <w:szCs w:val="24"/>
        </w:rPr>
      </w:pPr>
    </w:p>
    <w:p w14:paraId="7CAD62A4" w14:textId="4809A8AC" w:rsidR="003C61D9" w:rsidRDefault="003C61D9">
      <w:pPr>
        <w:pStyle w:val="BodyA"/>
        <w:rPr>
          <w:rStyle w:val="None"/>
          <w:b/>
          <w:bCs/>
          <w:sz w:val="24"/>
          <w:szCs w:val="24"/>
        </w:rPr>
      </w:pPr>
    </w:p>
    <w:p w14:paraId="59070297" w14:textId="71055839" w:rsidR="003B4A93" w:rsidRDefault="001E283F">
      <w:pPr>
        <w:pStyle w:val="BodyA"/>
        <w:rPr>
          <w:rStyle w:val="None"/>
          <w:b/>
          <w:bCs/>
          <w:sz w:val="24"/>
          <w:szCs w:val="24"/>
        </w:rPr>
      </w:pPr>
      <w:r>
        <w:rPr>
          <w:rStyle w:val="None"/>
          <w:b/>
          <w:bCs/>
          <w:sz w:val="24"/>
          <w:szCs w:val="24"/>
        </w:rPr>
        <w:t xml:space="preserve">List of program </w:t>
      </w:r>
      <w:proofErr w:type="spellStart"/>
      <w:r>
        <w:rPr>
          <w:rStyle w:val="None"/>
          <w:b/>
          <w:bCs/>
          <w:sz w:val="24"/>
          <w:szCs w:val="24"/>
        </w:rPr>
        <w:t>prioritised</w:t>
      </w:r>
      <w:proofErr w:type="spellEnd"/>
      <w:r>
        <w:rPr>
          <w:rStyle w:val="None"/>
          <w:b/>
          <w:bCs/>
          <w:sz w:val="24"/>
          <w:szCs w:val="24"/>
        </w:rPr>
        <w:t xml:space="preserve"> evaluations planned for the next 12 months </w:t>
      </w:r>
    </w:p>
    <w:tbl>
      <w:tblPr>
        <w:tblW w:w="144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2462"/>
        <w:gridCol w:w="644"/>
        <w:gridCol w:w="1716"/>
        <w:gridCol w:w="2447"/>
        <w:gridCol w:w="522"/>
        <w:gridCol w:w="1425"/>
        <w:gridCol w:w="269"/>
        <w:gridCol w:w="1712"/>
        <w:gridCol w:w="620"/>
        <w:gridCol w:w="1079"/>
        <w:gridCol w:w="1276"/>
        <w:gridCol w:w="280"/>
      </w:tblGrid>
      <w:tr w:rsidR="003B4A93" w14:paraId="74803DDF" w14:textId="77777777" w:rsidTr="003C61D9">
        <w:trPr>
          <w:gridAfter w:val="1"/>
          <w:wAfter w:w="280" w:type="dxa"/>
          <w:trHeight w:val="925"/>
        </w:trPr>
        <w:tc>
          <w:tcPr>
            <w:tcW w:w="2462" w:type="dxa"/>
            <w:tcBorders>
              <w:top w:val="single" w:sz="12" w:space="0" w:color="000000"/>
              <w:left w:val="nil"/>
              <w:bottom w:val="nil"/>
              <w:right w:val="nil"/>
            </w:tcBorders>
            <w:shd w:val="clear" w:color="auto" w:fill="auto"/>
            <w:tcMar>
              <w:top w:w="80" w:type="dxa"/>
              <w:left w:w="80" w:type="dxa"/>
              <w:bottom w:w="80" w:type="dxa"/>
              <w:right w:w="80" w:type="dxa"/>
            </w:tcMar>
          </w:tcPr>
          <w:p w14:paraId="7CFB372A" w14:textId="77777777" w:rsidR="003B4A93" w:rsidRDefault="001E283F">
            <w:pPr>
              <w:pStyle w:val="BodyA"/>
              <w:keepLines/>
              <w:spacing w:before="80" w:after="80" w:line="200" w:lineRule="atLeast"/>
            </w:pPr>
            <w:r>
              <w:rPr>
                <w:rStyle w:val="None"/>
                <w:b/>
                <w:bCs/>
                <w:sz w:val="17"/>
                <w:szCs w:val="17"/>
              </w:rPr>
              <w:t>Evaluation title</w:t>
            </w:r>
          </w:p>
        </w:tc>
        <w:tc>
          <w:tcPr>
            <w:tcW w:w="2360" w:type="dxa"/>
            <w:gridSpan w:val="2"/>
            <w:tcBorders>
              <w:top w:val="single" w:sz="12" w:space="0" w:color="000000"/>
              <w:left w:val="nil"/>
              <w:bottom w:val="nil"/>
              <w:right w:val="nil"/>
            </w:tcBorders>
            <w:shd w:val="clear" w:color="auto" w:fill="auto"/>
            <w:tcMar>
              <w:top w:w="80" w:type="dxa"/>
              <w:left w:w="80" w:type="dxa"/>
              <w:bottom w:w="80" w:type="dxa"/>
              <w:right w:w="80" w:type="dxa"/>
            </w:tcMar>
          </w:tcPr>
          <w:p w14:paraId="4C803E11" w14:textId="77777777" w:rsidR="003B4A93" w:rsidRDefault="001E283F">
            <w:pPr>
              <w:pStyle w:val="BodyA"/>
              <w:keepLines/>
              <w:spacing w:before="80" w:after="80" w:line="200" w:lineRule="atLeast"/>
            </w:pPr>
            <w:r>
              <w:rPr>
                <w:rStyle w:val="None"/>
                <w:b/>
                <w:bCs/>
                <w:sz w:val="17"/>
                <w:szCs w:val="17"/>
              </w:rPr>
              <w:t xml:space="preserve">Investment number and name (if applicable) </w:t>
            </w:r>
          </w:p>
        </w:tc>
        <w:tc>
          <w:tcPr>
            <w:tcW w:w="2447" w:type="dxa"/>
            <w:tcBorders>
              <w:top w:val="single" w:sz="12" w:space="0" w:color="000000"/>
              <w:left w:val="nil"/>
              <w:bottom w:val="nil"/>
              <w:right w:val="nil"/>
            </w:tcBorders>
            <w:shd w:val="clear" w:color="auto" w:fill="auto"/>
            <w:tcMar>
              <w:top w:w="80" w:type="dxa"/>
              <w:left w:w="80" w:type="dxa"/>
              <w:bottom w:w="80" w:type="dxa"/>
              <w:right w:w="80" w:type="dxa"/>
            </w:tcMar>
          </w:tcPr>
          <w:p w14:paraId="6ED9FD19" w14:textId="77777777" w:rsidR="003B4A93" w:rsidRDefault="001E283F">
            <w:pPr>
              <w:pStyle w:val="BodyA"/>
              <w:keepLines/>
              <w:spacing w:before="80" w:after="80" w:line="200" w:lineRule="atLeast"/>
            </w:pPr>
            <w:r>
              <w:rPr>
                <w:rStyle w:val="None"/>
                <w:b/>
                <w:bCs/>
                <w:sz w:val="17"/>
                <w:szCs w:val="17"/>
              </w:rPr>
              <w:t>Date – planned commencement (month/year)</w:t>
            </w:r>
          </w:p>
        </w:tc>
        <w:tc>
          <w:tcPr>
            <w:tcW w:w="2216" w:type="dxa"/>
            <w:gridSpan w:val="3"/>
            <w:tcBorders>
              <w:top w:val="single" w:sz="12" w:space="0" w:color="000000"/>
              <w:left w:val="nil"/>
              <w:bottom w:val="nil"/>
              <w:right w:val="nil"/>
            </w:tcBorders>
            <w:shd w:val="clear" w:color="auto" w:fill="auto"/>
            <w:tcMar>
              <w:top w:w="80" w:type="dxa"/>
              <w:left w:w="80" w:type="dxa"/>
              <w:bottom w:w="80" w:type="dxa"/>
              <w:right w:w="80" w:type="dxa"/>
            </w:tcMar>
          </w:tcPr>
          <w:p w14:paraId="3BCF89A4" w14:textId="77777777" w:rsidR="003B4A93" w:rsidRDefault="001E283F">
            <w:pPr>
              <w:pStyle w:val="BodyA"/>
              <w:keepLines/>
              <w:spacing w:before="80" w:after="80" w:line="200" w:lineRule="atLeast"/>
            </w:pPr>
            <w:r>
              <w:rPr>
                <w:rStyle w:val="None"/>
                <w:b/>
                <w:bCs/>
                <w:sz w:val="17"/>
                <w:szCs w:val="17"/>
              </w:rPr>
              <w:t>Date – planned completion (month/year)</w:t>
            </w:r>
          </w:p>
        </w:tc>
        <w:tc>
          <w:tcPr>
            <w:tcW w:w="2332" w:type="dxa"/>
            <w:gridSpan w:val="2"/>
            <w:tcBorders>
              <w:top w:val="single" w:sz="12" w:space="0" w:color="000000"/>
              <w:left w:val="nil"/>
              <w:bottom w:val="nil"/>
              <w:right w:val="nil"/>
            </w:tcBorders>
            <w:shd w:val="clear" w:color="auto" w:fill="auto"/>
            <w:tcMar>
              <w:top w:w="80" w:type="dxa"/>
              <w:left w:w="80" w:type="dxa"/>
              <w:bottom w:w="80" w:type="dxa"/>
              <w:right w:w="80" w:type="dxa"/>
            </w:tcMar>
          </w:tcPr>
          <w:p w14:paraId="23E01F3D" w14:textId="77777777" w:rsidR="003B4A93" w:rsidRDefault="001E283F">
            <w:pPr>
              <w:pStyle w:val="BodyA"/>
              <w:keepLines/>
              <w:spacing w:before="80" w:after="80" w:line="200" w:lineRule="atLeast"/>
            </w:pPr>
            <w:r>
              <w:rPr>
                <w:rStyle w:val="None"/>
                <w:b/>
                <w:bCs/>
                <w:sz w:val="17"/>
                <w:szCs w:val="17"/>
              </w:rPr>
              <w:t>Purpose of evaluation</w:t>
            </w:r>
          </w:p>
        </w:tc>
        <w:tc>
          <w:tcPr>
            <w:tcW w:w="2355" w:type="dxa"/>
            <w:gridSpan w:val="2"/>
            <w:tcBorders>
              <w:top w:val="single" w:sz="12" w:space="0" w:color="000000"/>
              <w:left w:val="nil"/>
              <w:bottom w:val="nil"/>
              <w:right w:val="nil"/>
            </w:tcBorders>
            <w:shd w:val="clear" w:color="auto" w:fill="auto"/>
            <w:tcMar>
              <w:top w:w="80" w:type="dxa"/>
              <w:left w:w="80" w:type="dxa"/>
              <w:bottom w:w="80" w:type="dxa"/>
              <w:right w:w="80" w:type="dxa"/>
            </w:tcMar>
          </w:tcPr>
          <w:p w14:paraId="681B25A6" w14:textId="77777777" w:rsidR="003B4A93" w:rsidRDefault="001E283F">
            <w:pPr>
              <w:pStyle w:val="BodyA"/>
              <w:keepLines/>
              <w:spacing w:before="80" w:after="80" w:line="200" w:lineRule="atLeast"/>
            </w:pPr>
            <w:r>
              <w:rPr>
                <w:rStyle w:val="None"/>
                <w:b/>
                <w:bCs/>
                <w:sz w:val="17"/>
                <w:szCs w:val="17"/>
              </w:rPr>
              <w:t>Evaluation type</w:t>
            </w:r>
          </w:p>
        </w:tc>
      </w:tr>
      <w:tr w:rsidR="003B4A93" w14:paraId="4DB29482" w14:textId="77777777" w:rsidTr="003C61D9">
        <w:trPr>
          <w:gridAfter w:val="1"/>
          <w:wAfter w:w="280" w:type="dxa"/>
          <w:trHeight w:val="2331"/>
        </w:trPr>
        <w:tc>
          <w:tcPr>
            <w:tcW w:w="2462" w:type="dxa"/>
            <w:tcBorders>
              <w:top w:val="nil"/>
              <w:left w:val="nil"/>
              <w:bottom w:val="nil"/>
              <w:right w:val="nil"/>
            </w:tcBorders>
            <w:shd w:val="clear" w:color="auto" w:fill="auto"/>
            <w:tcMar>
              <w:top w:w="80" w:type="dxa"/>
              <w:left w:w="80" w:type="dxa"/>
              <w:bottom w:w="80" w:type="dxa"/>
              <w:right w:w="80" w:type="dxa"/>
            </w:tcMar>
          </w:tcPr>
          <w:p w14:paraId="76D29BC7" w14:textId="3F9F5D1D" w:rsidR="003C61D9" w:rsidRDefault="00853C73">
            <w:pPr>
              <w:pStyle w:val="BodyA"/>
              <w:keepLines/>
              <w:spacing w:before="40" w:after="40" w:line="200" w:lineRule="atLeast"/>
            </w:pPr>
            <w:r w:rsidRPr="00853C73">
              <w:rPr>
                <w:rStyle w:val="None"/>
                <w:sz w:val="17"/>
                <w:szCs w:val="17"/>
              </w:rPr>
              <w:t>Mid-term Review of the Strategic Partnership Arrangement with BRAC, Phase 2</w:t>
            </w:r>
          </w:p>
          <w:p w14:paraId="5324A72C" w14:textId="77777777" w:rsidR="003C61D9" w:rsidRPr="003C61D9" w:rsidRDefault="003C61D9" w:rsidP="003C61D9">
            <w:pPr>
              <w:rPr>
                <w:lang w:eastAsia="en-AU"/>
              </w:rPr>
            </w:pPr>
          </w:p>
          <w:p w14:paraId="43682415" w14:textId="77777777" w:rsidR="003C61D9" w:rsidRPr="003C61D9" w:rsidRDefault="003C61D9" w:rsidP="003C61D9">
            <w:pPr>
              <w:rPr>
                <w:lang w:eastAsia="en-AU"/>
              </w:rPr>
            </w:pPr>
          </w:p>
          <w:p w14:paraId="7D9ED78D" w14:textId="77777777" w:rsidR="003C61D9" w:rsidRPr="003C61D9" w:rsidRDefault="003C61D9" w:rsidP="003C61D9">
            <w:pPr>
              <w:rPr>
                <w:lang w:eastAsia="en-AU"/>
              </w:rPr>
            </w:pPr>
          </w:p>
          <w:p w14:paraId="57A9EA08" w14:textId="77777777" w:rsidR="003C61D9" w:rsidRPr="003C61D9" w:rsidRDefault="003C61D9" w:rsidP="003C61D9">
            <w:pPr>
              <w:rPr>
                <w:lang w:eastAsia="en-AU"/>
              </w:rPr>
            </w:pPr>
          </w:p>
          <w:p w14:paraId="5FC3FCCC" w14:textId="7F8ECCEA" w:rsidR="003C61D9" w:rsidRDefault="003C61D9" w:rsidP="003C61D9">
            <w:pPr>
              <w:rPr>
                <w:lang w:eastAsia="en-AU"/>
              </w:rPr>
            </w:pPr>
          </w:p>
          <w:p w14:paraId="245827F8" w14:textId="6F9003EA" w:rsidR="003C61D9" w:rsidRDefault="003C61D9" w:rsidP="003C61D9">
            <w:pPr>
              <w:rPr>
                <w:lang w:eastAsia="en-AU"/>
              </w:rPr>
            </w:pPr>
          </w:p>
          <w:p w14:paraId="02F30A9E" w14:textId="77777777" w:rsidR="003B4A93" w:rsidRPr="003C61D9" w:rsidRDefault="003B4A93" w:rsidP="003C61D9">
            <w:pPr>
              <w:jc w:val="center"/>
              <w:rPr>
                <w:lang w:eastAsia="en-AU"/>
              </w:rPr>
            </w:pPr>
          </w:p>
        </w:tc>
        <w:tc>
          <w:tcPr>
            <w:tcW w:w="2360" w:type="dxa"/>
            <w:gridSpan w:val="2"/>
            <w:tcBorders>
              <w:top w:val="nil"/>
              <w:left w:val="nil"/>
              <w:bottom w:val="nil"/>
              <w:right w:val="nil"/>
            </w:tcBorders>
            <w:shd w:val="clear" w:color="auto" w:fill="auto"/>
            <w:tcMar>
              <w:top w:w="80" w:type="dxa"/>
              <w:left w:w="80" w:type="dxa"/>
              <w:bottom w:w="80" w:type="dxa"/>
              <w:right w:w="80" w:type="dxa"/>
            </w:tcMar>
          </w:tcPr>
          <w:p w14:paraId="42684E17" w14:textId="047E48FD" w:rsidR="003B4A93" w:rsidRDefault="00853C73">
            <w:pPr>
              <w:pStyle w:val="BodyA"/>
              <w:keepLines/>
              <w:spacing w:before="40" w:after="40" w:line="200" w:lineRule="atLeast"/>
            </w:pPr>
            <w:r w:rsidRPr="00853C73">
              <w:rPr>
                <w:rStyle w:val="None"/>
                <w:sz w:val="17"/>
                <w:szCs w:val="17"/>
              </w:rPr>
              <w:t>INJ579 The Strategic Partnership Arrangement with BRAC</w:t>
            </w:r>
          </w:p>
        </w:tc>
        <w:tc>
          <w:tcPr>
            <w:tcW w:w="2447" w:type="dxa"/>
            <w:tcBorders>
              <w:top w:val="nil"/>
              <w:left w:val="nil"/>
              <w:bottom w:val="nil"/>
              <w:right w:val="nil"/>
            </w:tcBorders>
            <w:shd w:val="clear" w:color="auto" w:fill="auto"/>
            <w:tcMar>
              <w:top w:w="80" w:type="dxa"/>
              <w:left w:w="80" w:type="dxa"/>
              <w:bottom w:w="80" w:type="dxa"/>
              <w:right w:w="80" w:type="dxa"/>
            </w:tcMar>
          </w:tcPr>
          <w:p w14:paraId="36889D06" w14:textId="7BC2D20C" w:rsidR="003B4A93" w:rsidRDefault="00853C73">
            <w:pPr>
              <w:pStyle w:val="BodyA"/>
              <w:keepLines/>
              <w:spacing w:before="40" w:after="40" w:line="200" w:lineRule="atLeast"/>
            </w:pPr>
            <w:r w:rsidRPr="00853C73">
              <w:rPr>
                <w:rStyle w:val="None"/>
                <w:sz w:val="17"/>
                <w:szCs w:val="17"/>
              </w:rPr>
              <w:t>June 2018</w:t>
            </w:r>
          </w:p>
        </w:tc>
        <w:tc>
          <w:tcPr>
            <w:tcW w:w="2216" w:type="dxa"/>
            <w:gridSpan w:val="3"/>
            <w:tcBorders>
              <w:top w:val="nil"/>
              <w:left w:val="nil"/>
              <w:bottom w:val="nil"/>
              <w:right w:val="nil"/>
            </w:tcBorders>
            <w:shd w:val="clear" w:color="auto" w:fill="auto"/>
            <w:tcMar>
              <w:top w:w="80" w:type="dxa"/>
              <w:left w:w="80" w:type="dxa"/>
              <w:bottom w:w="80" w:type="dxa"/>
              <w:right w:w="80" w:type="dxa"/>
            </w:tcMar>
          </w:tcPr>
          <w:p w14:paraId="31FCD2C3" w14:textId="1B9F07A3" w:rsidR="003B4A93" w:rsidRPr="00805C0D" w:rsidRDefault="00563382">
            <w:pPr>
              <w:pStyle w:val="BodyA"/>
              <w:keepLines/>
              <w:spacing w:before="40" w:after="40" w:line="200" w:lineRule="atLeast"/>
              <w:rPr>
                <w:highlight w:val="yellow"/>
              </w:rPr>
            </w:pPr>
            <w:r w:rsidRPr="00563382">
              <w:rPr>
                <w:rStyle w:val="None"/>
                <w:sz w:val="17"/>
                <w:szCs w:val="17"/>
              </w:rPr>
              <w:t>December</w:t>
            </w:r>
            <w:r w:rsidR="00853C73" w:rsidRPr="00563382">
              <w:rPr>
                <w:rStyle w:val="None"/>
                <w:sz w:val="17"/>
                <w:szCs w:val="17"/>
              </w:rPr>
              <w:t xml:space="preserve"> 2018</w:t>
            </w:r>
          </w:p>
        </w:tc>
        <w:tc>
          <w:tcPr>
            <w:tcW w:w="2332" w:type="dxa"/>
            <w:gridSpan w:val="2"/>
            <w:tcBorders>
              <w:top w:val="nil"/>
              <w:left w:val="nil"/>
              <w:bottom w:val="nil"/>
              <w:right w:val="nil"/>
            </w:tcBorders>
            <w:shd w:val="clear" w:color="auto" w:fill="auto"/>
            <w:tcMar>
              <w:top w:w="80" w:type="dxa"/>
              <w:left w:w="80" w:type="dxa"/>
              <w:bottom w:w="80" w:type="dxa"/>
              <w:right w:w="80" w:type="dxa"/>
            </w:tcMar>
          </w:tcPr>
          <w:p w14:paraId="2978FFE4" w14:textId="100411DD" w:rsidR="003B4A93" w:rsidRDefault="00C615D1" w:rsidP="0037642C">
            <w:pPr>
              <w:pStyle w:val="BodyA"/>
              <w:keepLines/>
              <w:spacing w:before="40" w:after="40" w:line="200" w:lineRule="atLeast"/>
            </w:pPr>
            <w:r>
              <w:rPr>
                <w:rStyle w:val="None"/>
                <w:sz w:val="17"/>
                <w:szCs w:val="17"/>
              </w:rPr>
              <w:t>The mid-term review will assess the effectiveness of an innovative partnership arrangement between Australia (DFAT), the United Kingdom (DFID) and BRAC in delivering results in education</w:t>
            </w:r>
            <w:r w:rsidR="0037642C">
              <w:rPr>
                <w:rStyle w:val="None"/>
                <w:sz w:val="17"/>
                <w:szCs w:val="17"/>
              </w:rPr>
              <w:t xml:space="preserve">, skills development, </w:t>
            </w:r>
            <w:r>
              <w:rPr>
                <w:rStyle w:val="None"/>
                <w:sz w:val="17"/>
                <w:szCs w:val="17"/>
              </w:rPr>
              <w:t>and livelihoods program in Bangladesh.</w:t>
            </w:r>
          </w:p>
        </w:tc>
        <w:tc>
          <w:tcPr>
            <w:tcW w:w="2355" w:type="dxa"/>
            <w:gridSpan w:val="2"/>
            <w:tcBorders>
              <w:top w:val="nil"/>
              <w:left w:val="nil"/>
              <w:bottom w:val="nil"/>
              <w:right w:val="nil"/>
            </w:tcBorders>
            <w:shd w:val="clear" w:color="auto" w:fill="auto"/>
            <w:tcMar>
              <w:top w:w="80" w:type="dxa"/>
              <w:left w:w="80" w:type="dxa"/>
              <w:bottom w:w="80" w:type="dxa"/>
              <w:right w:w="80" w:type="dxa"/>
            </w:tcMar>
          </w:tcPr>
          <w:p w14:paraId="17F14102" w14:textId="3A33FAE8" w:rsidR="003B4A93" w:rsidRDefault="00D927E7">
            <w:pPr>
              <w:pStyle w:val="BodyA"/>
              <w:keepLines/>
              <w:spacing w:before="40" w:after="40" w:line="200" w:lineRule="atLeast"/>
              <w:rPr>
                <w:rStyle w:val="None"/>
                <w:sz w:val="17"/>
                <w:szCs w:val="17"/>
              </w:rPr>
            </w:pPr>
            <w:r>
              <w:rPr>
                <w:rStyle w:val="None"/>
                <w:sz w:val="17"/>
                <w:szCs w:val="17"/>
              </w:rPr>
              <w:t>DAFT Led Evaluation</w:t>
            </w:r>
          </w:p>
          <w:p w14:paraId="01D46EFD" w14:textId="226BA6DF" w:rsidR="003B4A93" w:rsidRDefault="003B4A93" w:rsidP="00480F39">
            <w:pPr>
              <w:pStyle w:val="BodyA"/>
              <w:keepLines/>
              <w:spacing w:before="40" w:after="40" w:line="200" w:lineRule="atLeast"/>
            </w:pPr>
          </w:p>
        </w:tc>
      </w:tr>
      <w:tr w:rsidR="003C61D9" w:rsidRPr="000D78A9" w14:paraId="1BBFFC06" w14:textId="77777777" w:rsidTr="003C61D9">
        <w:trPr>
          <w:trHeight w:val="891"/>
        </w:trPr>
        <w:tc>
          <w:tcPr>
            <w:tcW w:w="3106" w:type="dxa"/>
            <w:gridSpan w:val="2"/>
            <w:tcBorders>
              <w:top w:val="nil"/>
              <w:left w:val="nil"/>
              <w:bottom w:val="nil"/>
              <w:right w:val="nil"/>
            </w:tcBorders>
            <w:shd w:val="clear" w:color="auto" w:fill="auto"/>
            <w:tcMar>
              <w:top w:w="80" w:type="dxa"/>
              <w:left w:w="80" w:type="dxa"/>
              <w:bottom w:w="80" w:type="dxa"/>
              <w:right w:w="80" w:type="dxa"/>
            </w:tcMar>
          </w:tcPr>
          <w:p w14:paraId="287E5E47"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 xml:space="preserve">INM406 Humanitarian Response to the Rohingya Crisis </w:t>
            </w:r>
          </w:p>
        </w:tc>
        <w:tc>
          <w:tcPr>
            <w:tcW w:w="4685" w:type="dxa"/>
            <w:gridSpan w:val="3"/>
            <w:tcBorders>
              <w:top w:val="nil"/>
              <w:left w:val="nil"/>
              <w:bottom w:val="nil"/>
              <w:right w:val="nil"/>
            </w:tcBorders>
            <w:shd w:val="clear" w:color="auto" w:fill="auto"/>
            <w:tcMar>
              <w:top w:w="80" w:type="dxa"/>
              <w:left w:w="80" w:type="dxa"/>
              <w:bottom w:w="80" w:type="dxa"/>
              <w:right w:w="80" w:type="dxa"/>
            </w:tcMar>
          </w:tcPr>
          <w:p w14:paraId="12F38F7B"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 xml:space="preserve">Independent Evaluation of Australia’s response to the Rohingya crisis </w:t>
            </w:r>
          </w:p>
        </w:tc>
        <w:tc>
          <w:tcPr>
            <w:tcW w:w="1425" w:type="dxa"/>
            <w:tcBorders>
              <w:top w:val="nil"/>
              <w:left w:val="nil"/>
              <w:bottom w:val="nil"/>
              <w:right w:val="nil"/>
            </w:tcBorders>
            <w:shd w:val="clear" w:color="auto" w:fill="auto"/>
            <w:tcMar>
              <w:top w:w="80" w:type="dxa"/>
              <w:left w:w="80" w:type="dxa"/>
              <w:bottom w:w="80" w:type="dxa"/>
              <w:right w:w="80" w:type="dxa"/>
            </w:tcMar>
          </w:tcPr>
          <w:p w14:paraId="24D41250"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c>
          <w:tcPr>
            <w:tcW w:w="1981" w:type="dxa"/>
            <w:gridSpan w:val="2"/>
            <w:tcBorders>
              <w:top w:val="nil"/>
              <w:left w:val="nil"/>
              <w:bottom w:val="nil"/>
              <w:right w:val="nil"/>
            </w:tcBorders>
            <w:shd w:val="clear" w:color="auto" w:fill="auto"/>
            <w:tcMar>
              <w:top w:w="80" w:type="dxa"/>
              <w:left w:w="80" w:type="dxa"/>
              <w:bottom w:w="80" w:type="dxa"/>
              <w:right w:w="80" w:type="dxa"/>
            </w:tcMar>
          </w:tcPr>
          <w:p w14:paraId="76CF5C7A"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c>
          <w:tcPr>
            <w:tcW w:w="1699" w:type="dxa"/>
            <w:gridSpan w:val="2"/>
            <w:tcBorders>
              <w:top w:val="nil"/>
              <w:left w:val="nil"/>
              <w:bottom w:val="nil"/>
              <w:right w:val="nil"/>
            </w:tcBorders>
            <w:shd w:val="clear" w:color="auto" w:fill="auto"/>
            <w:tcMar>
              <w:top w:w="80" w:type="dxa"/>
              <w:left w:w="80" w:type="dxa"/>
              <w:bottom w:w="80" w:type="dxa"/>
              <w:right w:w="80" w:type="dxa"/>
            </w:tcMar>
          </w:tcPr>
          <w:p w14:paraId="0C1BB739"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c>
          <w:tcPr>
            <w:tcW w:w="1556" w:type="dxa"/>
            <w:gridSpan w:val="2"/>
            <w:tcBorders>
              <w:top w:val="nil"/>
              <w:left w:val="nil"/>
              <w:bottom w:val="nil"/>
              <w:right w:val="nil"/>
            </w:tcBorders>
            <w:shd w:val="clear" w:color="auto" w:fill="auto"/>
            <w:tcMar>
              <w:top w:w="80" w:type="dxa"/>
              <w:left w:w="80" w:type="dxa"/>
              <w:bottom w:w="80" w:type="dxa"/>
              <w:right w:w="80" w:type="dxa"/>
            </w:tcMar>
          </w:tcPr>
          <w:p w14:paraId="1E50C5C6"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r>
      <w:tr w:rsidR="003C61D9" w:rsidRPr="000D78A9" w14:paraId="2DA90139" w14:textId="77777777" w:rsidTr="003C61D9">
        <w:trPr>
          <w:trHeight w:val="891"/>
        </w:trPr>
        <w:tc>
          <w:tcPr>
            <w:tcW w:w="3106"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2F342369"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INM406 Humanitarian Response to the Rohingya Crisis</w:t>
            </w:r>
          </w:p>
        </w:tc>
        <w:tc>
          <w:tcPr>
            <w:tcW w:w="4685" w:type="dxa"/>
            <w:gridSpan w:val="3"/>
            <w:tcBorders>
              <w:top w:val="nil"/>
              <w:left w:val="nil"/>
              <w:bottom w:val="single" w:sz="4" w:space="0" w:color="auto"/>
              <w:right w:val="nil"/>
            </w:tcBorders>
            <w:shd w:val="clear" w:color="auto" w:fill="auto"/>
            <w:tcMar>
              <w:top w:w="80" w:type="dxa"/>
              <w:left w:w="80" w:type="dxa"/>
              <w:bottom w:w="80" w:type="dxa"/>
              <w:right w:w="80" w:type="dxa"/>
            </w:tcMar>
          </w:tcPr>
          <w:p w14:paraId="7E3F3394"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Australian Humanitarian Partnership Evaluation (Save the Children, Oxfam and Care)</w:t>
            </w:r>
          </w:p>
        </w:tc>
        <w:tc>
          <w:tcPr>
            <w:tcW w:w="1425" w:type="dxa"/>
            <w:tcBorders>
              <w:top w:val="nil"/>
              <w:left w:val="nil"/>
              <w:bottom w:val="single" w:sz="4" w:space="0" w:color="auto"/>
              <w:right w:val="nil"/>
            </w:tcBorders>
            <w:shd w:val="clear" w:color="auto" w:fill="auto"/>
            <w:tcMar>
              <w:top w:w="80" w:type="dxa"/>
              <w:left w:w="80" w:type="dxa"/>
              <w:bottom w:w="80" w:type="dxa"/>
              <w:right w:w="80" w:type="dxa"/>
            </w:tcMar>
          </w:tcPr>
          <w:p w14:paraId="59AABD0F"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October 2018</w:t>
            </w:r>
          </w:p>
        </w:tc>
        <w:tc>
          <w:tcPr>
            <w:tcW w:w="1981"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0623D1E1"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c>
          <w:tcPr>
            <w:tcW w:w="1699"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273747A8"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c>
          <w:tcPr>
            <w:tcW w:w="1556"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0EC4C43D" w14:textId="77777777" w:rsidR="003C61D9" w:rsidRPr="003C61D9" w:rsidRDefault="003C61D9" w:rsidP="003C61D9">
            <w:pPr>
              <w:pStyle w:val="BodyA"/>
              <w:keepLines/>
              <w:spacing w:before="40" w:after="40" w:line="200" w:lineRule="atLeast"/>
              <w:rPr>
                <w:rStyle w:val="None"/>
                <w:sz w:val="17"/>
                <w:szCs w:val="17"/>
              </w:rPr>
            </w:pPr>
            <w:r w:rsidRPr="003C61D9">
              <w:rPr>
                <w:rStyle w:val="None"/>
                <w:sz w:val="17"/>
                <w:szCs w:val="17"/>
              </w:rPr>
              <w:t>TBA</w:t>
            </w:r>
          </w:p>
        </w:tc>
      </w:tr>
    </w:tbl>
    <w:p w14:paraId="3976C405" w14:textId="77777777" w:rsidR="003B4A93" w:rsidRDefault="003B4A93">
      <w:pPr>
        <w:pStyle w:val="BodyA"/>
        <w:widowControl w:val="0"/>
        <w:spacing w:line="240" w:lineRule="auto"/>
        <w:ind w:left="108" w:hanging="108"/>
        <w:rPr>
          <w:rStyle w:val="None"/>
          <w:b/>
          <w:bCs/>
          <w:sz w:val="24"/>
          <w:szCs w:val="24"/>
        </w:rPr>
      </w:pPr>
    </w:p>
    <w:p w14:paraId="1C4AB84E" w14:textId="77777777" w:rsidR="003B4A93" w:rsidRDefault="003B4A93">
      <w:pPr>
        <w:pStyle w:val="BodyA"/>
        <w:widowControl w:val="0"/>
        <w:spacing w:line="240" w:lineRule="auto"/>
        <w:rPr>
          <w:rStyle w:val="None"/>
          <w:b/>
          <w:bCs/>
          <w:sz w:val="24"/>
          <w:szCs w:val="24"/>
        </w:rPr>
      </w:pPr>
    </w:p>
    <w:p w14:paraId="798D3C8F" w14:textId="77777777" w:rsidR="003B4A93" w:rsidRDefault="003B4A93">
      <w:pPr>
        <w:pStyle w:val="BodyA"/>
        <w:sectPr w:rsidR="003B4A93" w:rsidSect="003C61D9">
          <w:headerReference w:type="default" r:id="rId28"/>
          <w:footerReference w:type="default" r:id="rId29"/>
          <w:headerReference w:type="first" r:id="rId30"/>
          <w:footerReference w:type="first" r:id="rId31"/>
          <w:pgSz w:w="16840" w:h="11900" w:orient="landscape"/>
          <w:pgMar w:top="851" w:right="822" w:bottom="1702" w:left="851" w:header="709" w:footer="230" w:gutter="0"/>
          <w:cols w:space="720"/>
          <w:titlePg/>
          <w:docGrid w:linePitch="326"/>
        </w:sectPr>
      </w:pPr>
    </w:p>
    <w:p w14:paraId="3A592AF1" w14:textId="77777777" w:rsidR="003B4A93" w:rsidRDefault="001E283F">
      <w:pPr>
        <w:pStyle w:val="BodyA"/>
        <w:keepNext/>
        <w:tabs>
          <w:tab w:val="left" w:pos="1560"/>
        </w:tabs>
        <w:spacing w:before="360" w:after="120"/>
        <w:outlineLvl w:val="1"/>
        <w:rPr>
          <w:rStyle w:val="None"/>
          <w:caps/>
          <w:spacing w:val="-10"/>
          <w:kern w:val="28"/>
          <w:sz w:val="38"/>
          <w:szCs w:val="38"/>
        </w:rPr>
      </w:pPr>
      <w:r>
        <w:rPr>
          <w:rStyle w:val="None"/>
          <w:caps/>
          <w:spacing w:val="-10"/>
          <w:kern w:val="28"/>
          <w:sz w:val="38"/>
          <w:szCs w:val="38"/>
        </w:rPr>
        <w:lastRenderedPageBreak/>
        <w:t>Annex D - Aid Quality Check ratings</w:t>
      </w:r>
    </w:p>
    <w:p w14:paraId="09D13619" w14:textId="77777777" w:rsidR="003B4A93" w:rsidRPr="00563382" w:rsidRDefault="001E283F">
      <w:pPr>
        <w:pStyle w:val="BodyA"/>
        <w:keepNext/>
        <w:spacing w:before="240" w:after="120"/>
        <w:outlineLvl w:val="2"/>
        <w:rPr>
          <w:rStyle w:val="None"/>
          <w:rFonts w:asciiTheme="minorHAnsi" w:eastAsia="Calibri" w:hAnsiTheme="minorHAnsi" w:cs="Calibri"/>
          <w:caps/>
          <w:sz w:val="38"/>
          <w:szCs w:val="38"/>
        </w:rPr>
      </w:pPr>
      <w:r w:rsidRPr="00563382">
        <w:rPr>
          <w:rStyle w:val="None"/>
          <w:rFonts w:asciiTheme="minorHAnsi" w:eastAsia="Calibri" w:hAnsiTheme="minorHAnsi" w:cs="Calibri"/>
          <w:caps/>
          <w:sz w:val="38"/>
          <w:szCs w:val="38"/>
        </w:rPr>
        <w:t>AQC ratings</w:t>
      </w:r>
    </w:p>
    <w:p w14:paraId="3A1508B1" w14:textId="77777777" w:rsidR="003B4A93" w:rsidRDefault="001E283F">
      <w:pPr>
        <w:pStyle w:val="BodyA"/>
      </w:pPr>
      <w:r>
        <w:rPr>
          <w:rStyle w:val="Hyperlink0"/>
        </w:rPr>
        <w:t>AQC investment performance over the previous 12 months and where available last year</w:t>
      </w:r>
      <w:r>
        <w:rPr>
          <w:rStyle w:val="None"/>
        </w:rPr>
        <w:t>’</w:t>
      </w:r>
      <w:r>
        <w:rPr>
          <w:rStyle w:val="Hyperlink0"/>
        </w:rPr>
        <w:t>s AQC ratings are included.</w:t>
      </w:r>
    </w:p>
    <w:tbl>
      <w:tblPr>
        <w:tblW w:w="144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2666"/>
        <w:gridCol w:w="1935"/>
        <w:gridCol w:w="1232"/>
        <w:gridCol w:w="1237"/>
        <w:gridCol w:w="1228"/>
        <w:gridCol w:w="1237"/>
        <w:gridCol w:w="1228"/>
        <w:gridCol w:w="1235"/>
        <w:gridCol w:w="1228"/>
        <w:gridCol w:w="1234"/>
      </w:tblGrid>
      <w:tr w:rsidR="003B4A93" w14:paraId="0DB079C1" w14:textId="77777777" w:rsidTr="00370349">
        <w:trPr>
          <w:trHeight w:val="1253"/>
        </w:trPr>
        <w:tc>
          <w:tcPr>
            <w:tcW w:w="2666" w:type="dxa"/>
            <w:tcBorders>
              <w:top w:val="nil"/>
              <w:left w:val="nil"/>
              <w:bottom w:val="nil"/>
              <w:right w:val="nil"/>
            </w:tcBorders>
            <w:shd w:val="clear" w:color="auto" w:fill="auto"/>
            <w:tcMar>
              <w:top w:w="80" w:type="dxa"/>
              <w:left w:w="80" w:type="dxa"/>
              <w:bottom w:w="80" w:type="dxa"/>
              <w:right w:w="80" w:type="dxa"/>
            </w:tcMar>
          </w:tcPr>
          <w:p w14:paraId="53FB3D33" w14:textId="77777777" w:rsidR="003B4A93" w:rsidRDefault="001E283F">
            <w:pPr>
              <w:pStyle w:val="BodyA"/>
              <w:keepLines/>
              <w:spacing w:before="80" w:after="80" w:line="200" w:lineRule="atLeast"/>
            </w:pPr>
            <w:r>
              <w:rPr>
                <w:rStyle w:val="None"/>
                <w:b/>
                <w:bCs/>
                <w:sz w:val="17"/>
                <w:szCs w:val="17"/>
              </w:rPr>
              <w:t>Investment name</w:t>
            </w:r>
          </w:p>
        </w:tc>
        <w:tc>
          <w:tcPr>
            <w:tcW w:w="1935" w:type="dxa"/>
            <w:tcBorders>
              <w:top w:val="nil"/>
              <w:left w:val="nil"/>
              <w:bottom w:val="nil"/>
              <w:right w:val="nil"/>
            </w:tcBorders>
            <w:shd w:val="clear" w:color="auto" w:fill="auto"/>
            <w:tcMar>
              <w:top w:w="80" w:type="dxa"/>
              <w:left w:w="80" w:type="dxa"/>
              <w:bottom w:w="80" w:type="dxa"/>
              <w:right w:w="80" w:type="dxa"/>
            </w:tcMar>
          </w:tcPr>
          <w:p w14:paraId="6867B1A1" w14:textId="77777777" w:rsidR="003B4A93" w:rsidRDefault="001E283F">
            <w:pPr>
              <w:pStyle w:val="BodyA"/>
              <w:keepLines/>
              <w:spacing w:before="80" w:after="80" w:line="200" w:lineRule="atLeast"/>
            </w:pPr>
            <w:r>
              <w:rPr>
                <w:rStyle w:val="None"/>
                <w:b/>
                <w:bCs/>
                <w:sz w:val="17"/>
                <w:szCs w:val="17"/>
              </w:rPr>
              <w:t>Approved budget and duration</w:t>
            </w:r>
          </w:p>
        </w:tc>
        <w:tc>
          <w:tcPr>
            <w:tcW w:w="1232" w:type="dxa"/>
            <w:tcBorders>
              <w:top w:val="nil"/>
              <w:left w:val="nil"/>
              <w:bottom w:val="nil"/>
              <w:right w:val="nil"/>
            </w:tcBorders>
            <w:shd w:val="clear" w:color="auto" w:fill="auto"/>
            <w:tcMar>
              <w:top w:w="80" w:type="dxa"/>
              <w:left w:w="80" w:type="dxa"/>
              <w:bottom w:w="80" w:type="dxa"/>
              <w:right w:w="80" w:type="dxa"/>
            </w:tcMar>
          </w:tcPr>
          <w:p w14:paraId="6D16611A" w14:textId="77777777" w:rsidR="003B4A93" w:rsidRDefault="001E283F">
            <w:pPr>
              <w:pStyle w:val="BodyA"/>
              <w:keepLines/>
              <w:spacing w:before="80" w:after="80" w:line="200" w:lineRule="atLeast"/>
            </w:pPr>
            <w:r>
              <w:rPr>
                <w:rStyle w:val="None"/>
                <w:b/>
                <w:bCs/>
                <w:sz w:val="17"/>
                <w:szCs w:val="17"/>
              </w:rPr>
              <w:t>year on year</w:t>
            </w:r>
          </w:p>
        </w:tc>
        <w:tc>
          <w:tcPr>
            <w:tcW w:w="1237" w:type="dxa"/>
            <w:tcBorders>
              <w:top w:val="nil"/>
              <w:left w:val="nil"/>
              <w:bottom w:val="nil"/>
              <w:right w:val="nil"/>
            </w:tcBorders>
            <w:shd w:val="clear" w:color="auto" w:fill="auto"/>
            <w:tcMar>
              <w:top w:w="80" w:type="dxa"/>
              <w:left w:w="80" w:type="dxa"/>
              <w:bottom w:w="80" w:type="dxa"/>
              <w:right w:w="80" w:type="dxa"/>
            </w:tcMar>
          </w:tcPr>
          <w:p w14:paraId="0E9806B4" w14:textId="77777777" w:rsidR="003B4A93" w:rsidRDefault="001E283F">
            <w:pPr>
              <w:pStyle w:val="BodyA"/>
              <w:keepLines/>
              <w:spacing w:before="80" w:after="80" w:line="200" w:lineRule="atLeast"/>
            </w:pPr>
            <w:r>
              <w:rPr>
                <w:rStyle w:val="None"/>
                <w:b/>
                <w:bCs/>
                <w:sz w:val="17"/>
                <w:szCs w:val="17"/>
              </w:rPr>
              <w:t>Relevance</w:t>
            </w:r>
          </w:p>
        </w:tc>
        <w:tc>
          <w:tcPr>
            <w:tcW w:w="1228" w:type="dxa"/>
            <w:tcBorders>
              <w:top w:val="nil"/>
              <w:left w:val="nil"/>
              <w:bottom w:val="nil"/>
              <w:right w:val="nil"/>
            </w:tcBorders>
            <w:shd w:val="clear" w:color="auto" w:fill="auto"/>
            <w:tcMar>
              <w:top w:w="80" w:type="dxa"/>
              <w:left w:w="80" w:type="dxa"/>
              <w:bottom w:w="80" w:type="dxa"/>
              <w:right w:w="80" w:type="dxa"/>
            </w:tcMar>
          </w:tcPr>
          <w:p w14:paraId="7945DC5D" w14:textId="77777777" w:rsidR="003B4A93" w:rsidRDefault="001E283F">
            <w:pPr>
              <w:pStyle w:val="BodyA"/>
              <w:keepLines/>
              <w:spacing w:before="80" w:after="80" w:line="200" w:lineRule="atLeast"/>
            </w:pPr>
            <w:r>
              <w:rPr>
                <w:rStyle w:val="None"/>
                <w:b/>
                <w:bCs/>
                <w:sz w:val="17"/>
                <w:szCs w:val="17"/>
              </w:rPr>
              <w:t>Effectiveness</w:t>
            </w:r>
          </w:p>
        </w:tc>
        <w:tc>
          <w:tcPr>
            <w:tcW w:w="1237" w:type="dxa"/>
            <w:tcBorders>
              <w:top w:val="nil"/>
              <w:left w:val="nil"/>
              <w:bottom w:val="nil"/>
              <w:right w:val="nil"/>
            </w:tcBorders>
            <w:shd w:val="clear" w:color="auto" w:fill="auto"/>
            <w:tcMar>
              <w:top w:w="80" w:type="dxa"/>
              <w:left w:w="80" w:type="dxa"/>
              <w:bottom w:w="80" w:type="dxa"/>
              <w:right w:w="80" w:type="dxa"/>
            </w:tcMar>
          </w:tcPr>
          <w:p w14:paraId="0823C5BD" w14:textId="77777777" w:rsidR="003B4A93" w:rsidRDefault="001E283F">
            <w:pPr>
              <w:pStyle w:val="BodyA"/>
              <w:keepLines/>
              <w:spacing w:before="80" w:after="80" w:line="200" w:lineRule="atLeast"/>
            </w:pPr>
            <w:r>
              <w:rPr>
                <w:rStyle w:val="None"/>
                <w:b/>
                <w:bCs/>
                <w:sz w:val="17"/>
                <w:szCs w:val="17"/>
              </w:rPr>
              <w:t>Efficiency</w:t>
            </w:r>
          </w:p>
        </w:tc>
        <w:tc>
          <w:tcPr>
            <w:tcW w:w="1228" w:type="dxa"/>
            <w:tcBorders>
              <w:top w:val="nil"/>
              <w:left w:val="nil"/>
              <w:bottom w:val="nil"/>
              <w:right w:val="nil"/>
            </w:tcBorders>
            <w:shd w:val="clear" w:color="auto" w:fill="auto"/>
            <w:tcMar>
              <w:top w:w="80" w:type="dxa"/>
              <w:left w:w="80" w:type="dxa"/>
              <w:bottom w:w="80" w:type="dxa"/>
              <w:right w:w="80" w:type="dxa"/>
            </w:tcMar>
          </w:tcPr>
          <w:p w14:paraId="5F659124" w14:textId="77777777" w:rsidR="003B4A93" w:rsidRDefault="001E283F">
            <w:pPr>
              <w:pStyle w:val="BodyA"/>
              <w:keepLines/>
              <w:spacing w:before="80" w:after="80" w:line="200" w:lineRule="atLeast"/>
            </w:pPr>
            <w:r>
              <w:rPr>
                <w:rStyle w:val="None"/>
                <w:b/>
                <w:bCs/>
                <w:sz w:val="17"/>
                <w:szCs w:val="17"/>
              </w:rPr>
              <w:t>Monitoring and Evaluation</w:t>
            </w:r>
          </w:p>
        </w:tc>
        <w:tc>
          <w:tcPr>
            <w:tcW w:w="1235" w:type="dxa"/>
            <w:tcBorders>
              <w:top w:val="nil"/>
              <w:left w:val="nil"/>
              <w:bottom w:val="nil"/>
              <w:right w:val="nil"/>
            </w:tcBorders>
            <w:shd w:val="clear" w:color="auto" w:fill="auto"/>
            <w:tcMar>
              <w:top w:w="80" w:type="dxa"/>
              <w:left w:w="80" w:type="dxa"/>
              <w:bottom w:w="80" w:type="dxa"/>
              <w:right w:w="80" w:type="dxa"/>
            </w:tcMar>
          </w:tcPr>
          <w:p w14:paraId="567DF5BB" w14:textId="77777777" w:rsidR="003B4A93" w:rsidRDefault="001E283F">
            <w:pPr>
              <w:pStyle w:val="BodyA"/>
              <w:keepLines/>
              <w:spacing w:before="80" w:after="80" w:line="200" w:lineRule="atLeast"/>
            </w:pPr>
            <w:r>
              <w:rPr>
                <w:rStyle w:val="None"/>
                <w:b/>
                <w:bCs/>
                <w:sz w:val="17"/>
                <w:szCs w:val="17"/>
              </w:rPr>
              <w:t>Sustainability</w:t>
            </w:r>
          </w:p>
        </w:tc>
        <w:tc>
          <w:tcPr>
            <w:tcW w:w="1228" w:type="dxa"/>
            <w:tcBorders>
              <w:top w:val="nil"/>
              <w:left w:val="nil"/>
              <w:bottom w:val="nil"/>
              <w:right w:val="nil"/>
            </w:tcBorders>
            <w:shd w:val="clear" w:color="auto" w:fill="auto"/>
            <w:tcMar>
              <w:top w:w="80" w:type="dxa"/>
              <w:left w:w="80" w:type="dxa"/>
              <w:bottom w:w="80" w:type="dxa"/>
              <w:right w:w="80" w:type="dxa"/>
            </w:tcMar>
          </w:tcPr>
          <w:p w14:paraId="3948F71A" w14:textId="77777777" w:rsidR="003B4A93" w:rsidRDefault="001E283F">
            <w:pPr>
              <w:pStyle w:val="BodyA"/>
              <w:keepLines/>
              <w:spacing w:before="80" w:after="80" w:line="200" w:lineRule="atLeast"/>
            </w:pPr>
            <w:r>
              <w:rPr>
                <w:rStyle w:val="None"/>
                <w:b/>
                <w:bCs/>
                <w:sz w:val="17"/>
                <w:szCs w:val="17"/>
              </w:rPr>
              <w:t>Gender equality</w:t>
            </w:r>
          </w:p>
        </w:tc>
        <w:tc>
          <w:tcPr>
            <w:tcW w:w="1234" w:type="dxa"/>
            <w:tcBorders>
              <w:top w:val="nil"/>
              <w:left w:val="nil"/>
              <w:bottom w:val="nil"/>
              <w:right w:val="nil"/>
            </w:tcBorders>
            <w:shd w:val="clear" w:color="auto" w:fill="auto"/>
            <w:tcMar>
              <w:top w:w="80" w:type="dxa"/>
              <w:left w:w="80" w:type="dxa"/>
              <w:bottom w:w="80" w:type="dxa"/>
              <w:right w:w="80" w:type="dxa"/>
            </w:tcMar>
          </w:tcPr>
          <w:p w14:paraId="3F3C7710" w14:textId="77777777" w:rsidR="003B4A93" w:rsidRDefault="001E283F">
            <w:pPr>
              <w:pStyle w:val="BodyA"/>
              <w:keepLines/>
              <w:spacing w:before="80" w:after="80" w:line="200" w:lineRule="atLeast"/>
            </w:pPr>
            <w:r>
              <w:rPr>
                <w:rStyle w:val="None"/>
                <w:b/>
                <w:bCs/>
                <w:sz w:val="17"/>
                <w:szCs w:val="17"/>
              </w:rPr>
              <w:t>Risks  and Safeguards</w:t>
            </w:r>
          </w:p>
        </w:tc>
      </w:tr>
      <w:tr w:rsidR="003B4A93" w14:paraId="284AEC0D" w14:textId="77777777" w:rsidTr="00370349">
        <w:trPr>
          <w:trHeight w:val="450"/>
        </w:trPr>
        <w:tc>
          <w:tcPr>
            <w:tcW w:w="2666"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14:paraId="463BABE4" w14:textId="77777777" w:rsidR="003B4A93" w:rsidRDefault="00B760AF">
            <w:pPr>
              <w:pStyle w:val="BodyA"/>
              <w:keepLines/>
              <w:spacing w:before="40" w:after="40" w:line="200" w:lineRule="atLeast"/>
            </w:pPr>
            <w:r>
              <w:rPr>
                <w:rStyle w:val="None"/>
                <w:sz w:val="17"/>
                <w:szCs w:val="17"/>
              </w:rPr>
              <w:t>The Strategic Partnership Arrangement with BRAC</w:t>
            </w:r>
          </w:p>
        </w:tc>
        <w:tc>
          <w:tcPr>
            <w:tcW w:w="1935"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14:paraId="7A3E2E4E" w14:textId="77777777" w:rsidR="003B4A93" w:rsidRDefault="00B760AF">
            <w:pPr>
              <w:pStyle w:val="BodyA"/>
              <w:rPr>
                <w:rStyle w:val="None"/>
                <w:color w:val="000000"/>
                <w:sz w:val="17"/>
                <w:szCs w:val="17"/>
                <w:u w:color="000000"/>
              </w:rPr>
            </w:pPr>
            <w:r>
              <w:rPr>
                <w:rStyle w:val="None"/>
                <w:color w:val="000000"/>
                <w:sz w:val="17"/>
                <w:szCs w:val="17"/>
                <w:u w:color="000000"/>
              </w:rPr>
              <w:t>$275</w:t>
            </w:r>
            <w:r w:rsidR="001E283F">
              <w:rPr>
                <w:rStyle w:val="None"/>
                <w:color w:val="000000"/>
                <w:sz w:val="17"/>
                <w:szCs w:val="17"/>
                <w:u w:color="000000"/>
              </w:rPr>
              <w:t xml:space="preserve">m </w:t>
            </w:r>
          </w:p>
          <w:p w14:paraId="3E83566E" w14:textId="77777777" w:rsidR="003B4A93" w:rsidRDefault="00B760AF">
            <w:pPr>
              <w:pStyle w:val="BodyA"/>
              <w:keepLines/>
              <w:spacing w:before="40" w:after="40" w:line="200" w:lineRule="atLeast"/>
            </w:pPr>
            <w:r>
              <w:rPr>
                <w:rStyle w:val="None"/>
                <w:sz w:val="17"/>
                <w:szCs w:val="17"/>
              </w:rPr>
              <w:t>2011-2020</w:t>
            </w:r>
            <w:r w:rsidR="001E283F">
              <w:rPr>
                <w:rStyle w:val="None"/>
                <w:sz w:val="17"/>
                <w:szCs w:val="17"/>
              </w:rPr>
              <w:t xml:space="preserve"> </w:t>
            </w:r>
          </w:p>
        </w:tc>
        <w:tc>
          <w:tcPr>
            <w:tcW w:w="1232" w:type="dxa"/>
            <w:tcBorders>
              <w:top w:val="nil"/>
              <w:left w:val="nil"/>
              <w:bottom w:val="nil"/>
              <w:right w:val="nil"/>
            </w:tcBorders>
            <w:shd w:val="clear" w:color="auto" w:fill="auto"/>
            <w:tcMar>
              <w:top w:w="80" w:type="dxa"/>
              <w:left w:w="80" w:type="dxa"/>
              <w:bottom w:w="80" w:type="dxa"/>
              <w:right w:w="80" w:type="dxa"/>
            </w:tcMar>
          </w:tcPr>
          <w:p w14:paraId="4F97899C" w14:textId="77777777" w:rsidR="003B4A93" w:rsidRDefault="00B760AF">
            <w:pPr>
              <w:pStyle w:val="BodyA"/>
              <w:keepLines/>
              <w:spacing w:before="40" w:after="40" w:line="200" w:lineRule="atLeast"/>
            </w:pPr>
            <w:r>
              <w:rPr>
                <w:rStyle w:val="None"/>
                <w:sz w:val="17"/>
                <w:szCs w:val="17"/>
              </w:rPr>
              <w:t>2018</w:t>
            </w:r>
            <w:r w:rsidR="001E283F">
              <w:rPr>
                <w:rStyle w:val="None"/>
                <w:sz w:val="17"/>
                <w:szCs w:val="17"/>
              </w:rPr>
              <w:t xml:space="preserve"> AQC</w:t>
            </w:r>
          </w:p>
        </w:tc>
        <w:tc>
          <w:tcPr>
            <w:tcW w:w="1237" w:type="dxa"/>
            <w:tcBorders>
              <w:top w:val="nil"/>
              <w:left w:val="nil"/>
              <w:bottom w:val="nil"/>
              <w:right w:val="nil"/>
            </w:tcBorders>
            <w:shd w:val="clear" w:color="auto" w:fill="92D050"/>
            <w:tcMar>
              <w:top w:w="80" w:type="dxa"/>
              <w:left w:w="80" w:type="dxa"/>
              <w:bottom w:w="80" w:type="dxa"/>
              <w:right w:w="80" w:type="dxa"/>
            </w:tcMar>
          </w:tcPr>
          <w:p w14:paraId="038702BD" w14:textId="77777777" w:rsidR="003B4A93" w:rsidRDefault="001E283F">
            <w:pPr>
              <w:pStyle w:val="BodyA"/>
              <w:keepLines/>
              <w:spacing w:before="40" w:after="40" w:line="200" w:lineRule="atLeast"/>
              <w:jc w:val="center"/>
            </w:pPr>
            <w:r>
              <w:rPr>
                <w:rStyle w:val="None"/>
                <w:sz w:val="17"/>
                <w:szCs w:val="17"/>
              </w:rPr>
              <w:t>5</w:t>
            </w:r>
          </w:p>
        </w:tc>
        <w:tc>
          <w:tcPr>
            <w:tcW w:w="1228" w:type="dxa"/>
            <w:tcBorders>
              <w:top w:val="nil"/>
              <w:left w:val="nil"/>
              <w:bottom w:val="nil"/>
              <w:right w:val="nil"/>
            </w:tcBorders>
            <w:shd w:val="clear" w:color="auto" w:fill="92D050"/>
            <w:tcMar>
              <w:top w:w="80" w:type="dxa"/>
              <w:left w:w="80" w:type="dxa"/>
              <w:bottom w:w="80" w:type="dxa"/>
              <w:right w:w="80" w:type="dxa"/>
            </w:tcMar>
          </w:tcPr>
          <w:p w14:paraId="6D80B0B3" w14:textId="77777777" w:rsidR="003B4A93" w:rsidRDefault="00B760AF">
            <w:pPr>
              <w:pStyle w:val="BodyA"/>
              <w:keepLines/>
              <w:spacing w:before="40" w:after="40" w:line="200" w:lineRule="atLeast"/>
              <w:jc w:val="center"/>
            </w:pPr>
            <w:r>
              <w:rPr>
                <w:rStyle w:val="None"/>
                <w:sz w:val="17"/>
                <w:szCs w:val="17"/>
              </w:rPr>
              <w:t>5</w:t>
            </w:r>
          </w:p>
        </w:tc>
        <w:tc>
          <w:tcPr>
            <w:tcW w:w="1237" w:type="dxa"/>
            <w:tcBorders>
              <w:top w:val="nil"/>
              <w:left w:val="nil"/>
              <w:bottom w:val="nil"/>
              <w:right w:val="nil"/>
            </w:tcBorders>
            <w:shd w:val="clear" w:color="auto" w:fill="92D050"/>
            <w:tcMar>
              <w:top w:w="80" w:type="dxa"/>
              <w:left w:w="80" w:type="dxa"/>
              <w:bottom w:w="80" w:type="dxa"/>
              <w:right w:w="80" w:type="dxa"/>
            </w:tcMar>
          </w:tcPr>
          <w:p w14:paraId="7D07AB06" w14:textId="77777777" w:rsidR="003B4A93" w:rsidRDefault="00B760AF">
            <w:pPr>
              <w:pStyle w:val="BodyA"/>
              <w:keepLines/>
              <w:spacing w:before="40" w:after="40" w:line="200" w:lineRule="atLeast"/>
              <w:jc w:val="center"/>
            </w:pPr>
            <w:r>
              <w:rPr>
                <w:rStyle w:val="None"/>
                <w:sz w:val="17"/>
                <w:szCs w:val="17"/>
              </w:rPr>
              <w:t>6</w:t>
            </w:r>
          </w:p>
        </w:tc>
        <w:tc>
          <w:tcPr>
            <w:tcW w:w="1228" w:type="dxa"/>
            <w:tcBorders>
              <w:top w:val="nil"/>
              <w:left w:val="nil"/>
              <w:bottom w:val="nil"/>
              <w:right w:val="nil"/>
            </w:tcBorders>
            <w:shd w:val="clear" w:color="auto" w:fill="FFFF00"/>
            <w:tcMar>
              <w:top w:w="80" w:type="dxa"/>
              <w:left w:w="80" w:type="dxa"/>
              <w:bottom w:w="80" w:type="dxa"/>
              <w:right w:w="80" w:type="dxa"/>
            </w:tcMar>
          </w:tcPr>
          <w:p w14:paraId="2A3909E1" w14:textId="77777777" w:rsidR="003B4A93" w:rsidRDefault="00B760AF">
            <w:pPr>
              <w:pStyle w:val="BodyA"/>
              <w:keepLines/>
              <w:spacing w:before="40" w:after="40" w:line="200" w:lineRule="atLeast"/>
              <w:jc w:val="center"/>
            </w:pPr>
            <w:r>
              <w:rPr>
                <w:rStyle w:val="None"/>
                <w:sz w:val="17"/>
                <w:szCs w:val="17"/>
              </w:rPr>
              <w:t>4</w:t>
            </w:r>
          </w:p>
        </w:tc>
        <w:tc>
          <w:tcPr>
            <w:tcW w:w="1235" w:type="dxa"/>
            <w:tcBorders>
              <w:top w:val="nil"/>
              <w:left w:val="nil"/>
              <w:bottom w:val="nil"/>
              <w:right w:val="nil"/>
            </w:tcBorders>
            <w:shd w:val="clear" w:color="auto" w:fill="92D050"/>
            <w:tcMar>
              <w:top w:w="80" w:type="dxa"/>
              <w:left w:w="80" w:type="dxa"/>
              <w:bottom w:w="80" w:type="dxa"/>
              <w:right w:w="80" w:type="dxa"/>
            </w:tcMar>
          </w:tcPr>
          <w:p w14:paraId="693CCA96" w14:textId="77777777" w:rsidR="003B4A93" w:rsidRDefault="00B760AF">
            <w:pPr>
              <w:pStyle w:val="BodyA"/>
              <w:keepLines/>
              <w:spacing w:before="40" w:after="40" w:line="200" w:lineRule="atLeast"/>
              <w:jc w:val="center"/>
            </w:pPr>
            <w:r>
              <w:rPr>
                <w:rStyle w:val="None"/>
                <w:sz w:val="17"/>
                <w:szCs w:val="17"/>
              </w:rPr>
              <w:t>5</w:t>
            </w:r>
          </w:p>
        </w:tc>
        <w:tc>
          <w:tcPr>
            <w:tcW w:w="1228" w:type="dxa"/>
            <w:tcBorders>
              <w:top w:val="nil"/>
              <w:left w:val="nil"/>
              <w:bottom w:val="nil"/>
              <w:right w:val="nil"/>
            </w:tcBorders>
            <w:shd w:val="clear" w:color="auto" w:fill="92D050"/>
            <w:tcMar>
              <w:top w:w="80" w:type="dxa"/>
              <w:left w:w="80" w:type="dxa"/>
              <w:bottom w:w="80" w:type="dxa"/>
              <w:right w:w="80" w:type="dxa"/>
            </w:tcMar>
          </w:tcPr>
          <w:p w14:paraId="5C34D221" w14:textId="77777777" w:rsidR="003B4A93" w:rsidRDefault="00B760AF">
            <w:pPr>
              <w:pStyle w:val="BodyA"/>
              <w:keepLines/>
              <w:spacing w:before="40" w:after="40" w:line="200" w:lineRule="atLeast"/>
              <w:jc w:val="center"/>
            </w:pPr>
            <w:r>
              <w:rPr>
                <w:rStyle w:val="None"/>
                <w:sz w:val="17"/>
                <w:szCs w:val="17"/>
              </w:rPr>
              <w:t>5</w:t>
            </w:r>
          </w:p>
        </w:tc>
        <w:tc>
          <w:tcPr>
            <w:tcW w:w="1234" w:type="dxa"/>
            <w:tcBorders>
              <w:top w:val="nil"/>
              <w:left w:val="nil"/>
              <w:bottom w:val="nil"/>
              <w:right w:val="nil"/>
            </w:tcBorders>
            <w:shd w:val="clear" w:color="auto" w:fill="auto"/>
            <w:tcMar>
              <w:top w:w="80" w:type="dxa"/>
              <w:left w:w="80" w:type="dxa"/>
              <w:bottom w:w="80" w:type="dxa"/>
              <w:right w:w="80" w:type="dxa"/>
            </w:tcMar>
          </w:tcPr>
          <w:p w14:paraId="716E1C91" w14:textId="77777777" w:rsidR="003B4A93" w:rsidRDefault="003B4A93">
            <w:pPr>
              <w:pStyle w:val="BodyA"/>
              <w:keepLines/>
              <w:spacing w:before="40" w:after="40" w:line="200" w:lineRule="atLeast"/>
              <w:jc w:val="center"/>
            </w:pPr>
          </w:p>
        </w:tc>
      </w:tr>
      <w:tr w:rsidR="003B4A93" w14:paraId="692CFFC2" w14:textId="77777777" w:rsidTr="00370349">
        <w:trPr>
          <w:trHeight w:val="445"/>
        </w:trPr>
        <w:tc>
          <w:tcPr>
            <w:tcW w:w="2666" w:type="dxa"/>
            <w:vMerge/>
            <w:tcBorders>
              <w:top w:val="nil"/>
              <w:left w:val="nil"/>
              <w:bottom w:val="single" w:sz="4" w:space="0" w:color="000000"/>
              <w:right w:val="nil"/>
            </w:tcBorders>
            <w:shd w:val="clear" w:color="auto" w:fill="auto"/>
          </w:tcPr>
          <w:p w14:paraId="5D4E6E7C" w14:textId="77777777" w:rsidR="003B4A93" w:rsidRDefault="003B4A93"/>
        </w:tc>
        <w:tc>
          <w:tcPr>
            <w:tcW w:w="1935" w:type="dxa"/>
            <w:vMerge/>
            <w:tcBorders>
              <w:top w:val="nil"/>
              <w:left w:val="nil"/>
              <w:bottom w:val="single" w:sz="4" w:space="0" w:color="000000"/>
              <w:right w:val="nil"/>
            </w:tcBorders>
            <w:shd w:val="clear" w:color="auto" w:fill="auto"/>
          </w:tcPr>
          <w:p w14:paraId="24F17AFE" w14:textId="77777777" w:rsidR="003B4A93" w:rsidRDefault="003B4A93"/>
        </w:tc>
        <w:tc>
          <w:tcPr>
            <w:tcW w:w="1232" w:type="dxa"/>
            <w:tcBorders>
              <w:top w:val="nil"/>
              <w:left w:val="nil"/>
              <w:bottom w:val="single" w:sz="4" w:space="0" w:color="000000"/>
              <w:right w:val="nil"/>
            </w:tcBorders>
            <w:shd w:val="clear" w:color="auto" w:fill="auto"/>
            <w:tcMar>
              <w:top w:w="80" w:type="dxa"/>
              <w:left w:w="80" w:type="dxa"/>
              <w:bottom w:w="80" w:type="dxa"/>
              <w:right w:w="80" w:type="dxa"/>
            </w:tcMar>
          </w:tcPr>
          <w:p w14:paraId="5F0823FC" w14:textId="77777777" w:rsidR="003B4A93" w:rsidRDefault="00B760AF">
            <w:pPr>
              <w:pStyle w:val="BodyA"/>
              <w:keepLines/>
              <w:spacing w:before="40" w:after="40" w:line="200" w:lineRule="atLeast"/>
            </w:pPr>
            <w:r>
              <w:rPr>
                <w:rStyle w:val="None"/>
                <w:sz w:val="17"/>
                <w:szCs w:val="17"/>
              </w:rPr>
              <w:t>2017</w:t>
            </w:r>
            <w:r w:rsidR="001E283F">
              <w:rPr>
                <w:rStyle w:val="None"/>
                <w:sz w:val="17"/>
                <w:szCs w:val="17"/>
              </w:rPr>
              <w:t xml:space="preserve"> AQC</w:t>
            </w:r>
          </w:p>
        </w:tc>
        <w:tc>
          <w:tcPr>
            <w:tcW w:w="1237" w:type="dxa"/>
            <w:tcBorders>
              <w:top w:val="nil"/>
              <w:left w:val="nil"/>
              <w:bottom w:val="single" w:sz="4" w:space="0" w:color="000000"/>
              <w:right w:val="nil"/>
            </w:tcBorders>
            <w:shd w:val="clear" w:color="auto" w:fill="92D050"/>
            <w:tcMar>
              <w:top w:w="80" w:type="dxa"/>
              <w:left w:w="80" w:type="dxa"/>
              <w:bottom w:w="80" w:type="dxa"/>
              <w:right w:w="80" w:type="dxa"/>
            </w:tcMar>
          </w:tcPr>
          <w:p w14:paraId="56595FD9" w14:textId="77777777" w:rsidR="003B4A93" w:rsidRDefault="00B760AF">
            <w:pPr>
              <w:pStyle w:val="BodyA"/>
              <w:keepLines/>
              <w:spacing w:before="40" w:after="40" w:line="200" w:lineRule="atLeast"/>
              <w:jc w:val="center"/>
            </w:pPr>
            <w:r>
              <w:rPr>
                <w:rStyle w:val="None"/>
                <w:sz w:val="17"/>
                <w:szCs w:val="17"/>
              </w:rPr>
              <w:t>6</w:t>
            </w:r>
          </w:p>
        </w:tc>
        <w:tc>
          <w:tcPr>
            <w:tcW w:w="1228" w:type="dxa"/>
            <w:tcBorders>
              <w:top w:val="nil"/>
              <w:left w:val="nil"/>
              <w:bottom w:val="single" w:sz="4" w:space="0" w:color="000000"/>
              <w:right w:val="nil"/>
            </w:tcBorders>
            <w:shd w:val="clear" w:color="auto" w:fill="92D050"/>
            <w:tcMar>
              <w:top w:w="80" w:type="dxa"/>
              <w:left w:w="80" w:type="dxa"/>
              <w:bottom w:w="80" w:type="dxa"/>
              <w:right w:w="80" w:type="dxa"/>
            </w:tcMar>
          </w:tcPr>
          <w:p w14:paraId="3DBEF7DA" w14:textId="77777777" w:rsidR="003B4A93" w:rsidRDefault="00B760AF">
            <w:pPr>
              <w:pStyle w:val="BodyA"/>
              <w:keepLines/>
              <w:spacing w:before="40" w:after="40" w:line="200" w:lineRule="atLeast"/>
              <w:jc w:val="center"/>
            </w:pPr>
            <w:r>
              <w:rPr>
                <w:rStyle w:val="None"/>
                <w:sz w:val="17"/>
                <w:szCs w:val="17"/>
              </w:rPr>
              <w:t>5</w:t>
            </w:r>
          </w:p>
        </w:tc>
        <w:tc>
          <w:tcPr>
            <w:tcW w:w="1237" w:type="dxa"/>
            <w:tcBorders>
              <w:top w:val="nil"/>
              <w:left w:val="nil"/>
              <w:bottom w:val="single" w:sz="4" w:space="0" w:color="000000"/>
              <w:right w:val="nil"/>
            </w:tcBorders>
            <w:shd w:val="clear" w:color="auto" w:fill="92D050"/>
            <w:tcMar>
              <w:top w:w="80" w:type="dxa"/>
              <w:left w:w="80" w:type="dxa"/>
              <w:bottom w:w="80" w:type="dxa"/>
              <w:right w:w="80" w:type="dxa"/>
            </w:tcMar>
          </w:tcPr>
          <w:p w14:paraId="62372EE0" w14:textId="77777777" w:rsidR="003B4A93" w:rsidRDefault="00B760AF">
            <w:pPr>
              <w:pStyle w:val="BodyA"/>
              <w:keepLines/>
              <w:spacing w:before="40" w:after="40" w:line="200" w:lineRule="atLeast"/>
              <w:jc w:val="center"/>
            </w:pPr>
            <w:r>
              <w:rPr>
                <w:rStyle w:val="None"/>
                <w:sz w:val="17"/>
                <w:szCs w:val="17"/>
              </w:rPr>
              <w:t>5</w:t>
            </w:r>
          </w:p>
        </w:tc>
        <w:tc>
          <w:tcPr>
            <w:tcW w:w="1228" w:type="dxa"/>
            <w:tcBorders>
              <w:top w:val="nil"/>
              <w:left w:val="nil"/>
              <w:bottom w:val="single" w:sz="4" w:space="0" w:color="000000"/>
              <w:right w:val="nil"/>
            </w:tcBorders>
            <w:shd w:val="clear" w:color="auto" w:fill="92D050"/>
            <w:tcMar>
              <w:top w:w="80" w:type="dxa"/>
              <w:left w:w="80" w:type="dxa"/>
              <w:bottom w:w="80" w:type="dxa"/>
              <w:right w:w="80" w:type="dxa"/>
            </w:tcMar>
          </w:tcPr>
          <w:p w14:paraId="7A0E288E" w14:textId="77777777" w:rsidR="003B4A93" w:rsidRDefault="00B760AF">
            <w:pPr>
              <w:pStyle w:val="BodyA"/>
              <w:keepLines/>
              <w:spacing w:before="40" w:after="40" w:line="200" w:lineRule="atLeast"/>
              <w:jc w:val="center"/>
            </w:pPr>
            <w:r>
              <w:rPr>
                <w:rStyle w:val="None"/>
                <w:sz w:val="17"/>
                <w:szCs w:val="17"/>
              </w:rPr>
              <w:t>5</w:t>
            </w:r>
          </w:p>
        </w:tc>
        <w:tc>
          <w:tcPr>
            <w:tcW w:w="1235" w:type="dxa"/>
            <w:tcBorders>
              <w:top w:val="nil"/>
              <w:left w:val="nil"/>
              <w:bottom w:val="single" w:sz="4" w:space="0" w:color="000000"/>
              <w:right w:val="nil"/>
            </w:tcBorders>
            <w:shd w:val="clear" w:color="auto" w:fill="92D050"/>
            <w:tcMar>
              <w:top w:w="80" w:type="dxa"/>
              <w:left w:w="80" w:type="dxa"/>
              <w:bottom w:w="80" w:type="dxa"/>
              <w:right w:w="80" w:type="dxa"/>
            </w:tcMar>
          </w:tcPr>
          <w:p w14:paraId="0C36BFFB" w14:textId="77777777" w:rsidR="003B4A93" w:rsidRDefault="00B760AF">
            <w:pPr>
              <w:pStyle w:val="BodyA"/>
              <w:keepLines/>
              <w:spacing w:before="40" w:after="40" w:line="200" w:lineRule="atLeast"/>
              <w:jc w:val="center"/>
            </w:pPr>
            <w:r>
              <w:rPr>
                <w:rStyle w:val="None"/>
                <w:sz w:val="17"/>
                <w:szCs w:val="17"/>
              </w:rPr>
              <w:t>6</w:t>
            </w:r>
          </w:p>
        </w:tc>
        <w:tc>
          <w:tcPr>
            <w:tcW w:w="1228" w:type="dxa"/>
            <w:tcBorders>
              <w:top w:val="nil"/>
              <w:left w:val="nil"/>
              <w:bottom w:val="single" w:sz="4" w:space="0" w:color="000000"/>
              <w:right w:val="nil"/>
            </w:tcBorders>
            <w:shd w:val="clear" w:color="auto" w:fill="92D050"/>
            <w:tcMar>
              <w:top w:w="80" w:type="dxa"/>
              <w:left w:w="80" w:type="dxa"/>
              <w:bottom w:w="80" w:type="dxa"/>
              <w:right w:w="80" w:type="dxa"/>
            </w:tcMar>
          </w:tcPr>
          <w:p w14:paraId="2B6FC558" w14:textId="77777777" w:rsidR="003B4A93" w:rsidRDefault="00B760AF">
            <w:pPr>
              <w:pStyle w:val="BodyA"/>
              <w:keepLines/>
              <w:spacing w:before="40" w:after="40" w:line="200" w:lineRule="atLeast"/>
              <w:jc w:val="center"/>
            </w:pPr>
            <w:r>
              <w:rPr>
                <w:rStyle w:val="None"/>
                <w:sz w:val="17"/>
                <w:szCs w:val="17"/>
              </w:rPr>
              <w:t>5</w:t>
            </w:r>
          </w:p>
        </w:tc>
        <w:tc>
          <w:tcPr>
            <w:tcW w:w="1234" w:type="dxa"/>
            <w:tcBorders>
              <w:top w:val="nil"/>
              <w:left w:val="nil"/>
              <w:bottom w:val="single" w:sz="4" w:space="0" w:color="000000"/>
              <w:right w:val="nil"/>
            </w:tcBorders>
            <w:shd w:val="clear" w:color="auto" w:fill="auto"/>
            <w:tcMar>
              <w:top w:w="80" w:type="dxa"/>
              <w:left w:w="80" w:type="dxa"/>
              <w:bottom w:w="80" w:type="dxa"/>
              <w:right w:w="80" w:type="dxa"/>
            </w:tcMar>
          </w:tcPr>
          <w:p w14:paraId="79F28D8B" w14:textId="77777777" w:rsidR="003B4A93" w:rsidRDefault="003B4A93">
            <w:pPr>
              <w:pStyle w:val="BodyA"/>
              <w:keepLines/>
              <w:spacing w:before="40" w:after="40" w:line="200" w:lineRule="atLeast"/>
              <w:jc w:val="center"/>
            </w:pPr>
          </w:p>
        </w:tc>
      </w:tr>
      <w:tr w:rsidR="003B4A93" w14:paraId="71843D2C" w14:textId="77777777" w:rsidTr="00370349">
        <w:trPr>
          <w:trHeight w:val="455"/>
        </w:trPr>
        <w:tc>
          <w:tcPr>
            <w:tcW w:w="2666"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5CB5D3" w14:textId="77777777" w:rsidR="003B4A93" w:rsidRDefault="00581FC5">
            <w:pPr>
              <w:pStyle w:val="BodyA"/>
              <w:keepLines/>
              <w:spacing w:before="40" w:after="40" w:line="200" w:lineRule="atLeast"/>
            </w:pPr>
            <w:r w:rsidRPr="00581FC5">
              <w:rPr>
                <w:rStyle w:val="None"/>
                <w:sz w:val="17"/>
                <w:szCs w:val="17"/>
              </w:rPr>
              <w:t>Australian Development Scholarships (Regional Program)</w:t>
            </w:r>
          </w:p>
        </w:tc>
        <w:tc>
          <w:tcPr>
            <w:tcW w:w="193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B865A0" w14:textId="77777777" w:rsidR="003B4A93" w:rsidRDefault="001E283F">
            <w:pPr>
              <w:pStyle w:val="BodyA"/>
              <w:rPr>
                <w:rStyle w:val="None"/>
                <w:color w:val="000000"/>
                <w:sz w:val="17"/>
                <w:szCs w:val="17"/>
                <w:u w:color="000000"/>
              </w:rPr>
            </w:pPr>
            <w:r>
              <w:rPr>
                <w:rStyle w:val="None"/>
                <w:color w:val="000000"/>
                <w:sz w:val="17"/>
                <w:szCs w:val="17"/>
                <w:u w:color="000000"/>
              </w:rPr>
              <w:t>$17</w:t>
            </w:r>
            <w:r w:rsidR="00370349">
              <w:rPr>
                <w:rStyle w:val="None"/>
                <w:color w:val="000000"/>
                <w:sz w:val="17"/>
                <w:szCs w:val="17"/>
                <w:u w:color="000000"/>
              </w:rPr>
              <w:t>.8</w:t>
            </w:r>
            <w:r>
              <w:rPr>
                <w:rStyle w:val="None"/>
                <w:color w:val="000000"/>
                <w:sz w:val="17"/>
                <w:szCs w:val="17"/>
                <w:u w:color="000000"/>
              </w:rPr>
              <w:t xml:space="preserve">m </w:t>
            </w:r>
          </w:p>
          <w:p w14:paraId="4E1F7C46" w14:textId="77777777" w:rsidR="003B4A93" w:rsidRDefault="001E283F">
            <w:pPr>
              <w:pStyle w:val="BodyA"/>
              <w:keepLines/>
              <w:spacing w:before="40" w:after="40" w:line="200" w:lineRule="atLeast"/>
            </w:pPr>
            <w:r>
              <w:rPr>
                <w:rStyle w:val="None"/>
                <w:sz w:val="17"/>
                <w:szCs w:val="17"/>
              </w:rPr>
              <w:t xml:space="preserve">2016-19 </w:t>
            </w:r>
          </w:p>
        </w:tc>
        <w:tc>
          <w:tcPr>
            <w:tcW w:w="1232" w:type="dxa"/>
            <w:tcBorders>
              <w:top w:val="single" w:sz="4" w:space="0" w:color="000000"/>
              <w:left w:val="nil"/>
              <w:bottom w:val="nil"/>
              <w:right w:val="nil"/>
            </w:tcBorders>
            <w:shd w:val="clear" w:color="auto" w:fill="auto"/>
            <w:tcMar>
              <w:top w:w="80" w:type="dxa"/>
              <w:left w:w="80" w:type="dxa"/>
              <w:bottom w:w="80" w:type="dxa"/>
              <w:right w:w="80" w:type="dxa"/>
            </w:tcMar>
          </w:tcPr>
          <w:p w14:paraId="28EF5868" w14:textId="77777777" w:rsidR="003B4A93" w:rsidRDefault="00370349">
            <w:pPr>
              <w:pStyle w:val="BodyA"/>
              <w:keepLines/>
              <w:spacing w:before="40" w:after="40" w:line="200" w:lineRule="atLeast"/>
            </w:pPr>
            <w:r>
              <w:rPr>
                <w:rStyle w:val="None"/>
                <w:sz w:val="17"/>
                <w:szCs w:val="17"/>
              </w:rPr>
              <w:t>2018</w:t>
            </w:r>
            <w:r w:rsidR="001E283F">
              <w:rPr>
                <w:rStyle w:val="None"/>
                <w:sz w:val="17"/>
                <w:szCs w:val="17"/>
              </w:rPr>
              <w:t xml:space="preserve"> AQC</w:t>
            </w:r>
          </w:p>
        </w:tc>
        <w:tc>
          <w:tcPr>
            <w:tcW w:w="1237" w:type="dxa"/>
            <w:tcBorders>
              <w:top w:val="single" w:sz="4" w:space="0" w:color="000000"/>
              <w:left w:val="nil"/>
              <w:bottom w:val="nil"/>
              <w:right w:val="nil"/>
            </w:tcBorders>
            <w:shd w:val="clear" w:color="auto" w:fill="92D050"/>
            <w:tcMar>
              <w:top w:w="80" w:type="dxa"/>
              <w:left w:w="80" w:type="dxa"/>
              <w:bottom w:w="80" w:type="dxa"/>
              <w:right w:w="80" w:type="dxa"/>
            </w:tcMar>
          </w:tcPr>
          <w:p w14:paraId="011F527F" w14:textId="77777777" w:rsidR="003B4A93" w:rsidRDefault="001E283F">
            <w:pPr>
              <w:pStyle w:val="BodyA"/>
              <w:keepLines/>
              <w:spacing w:before="40" w:after="40" w:line="200" w:lineRule="atLeast"/>
              <w:jc w:val="center"/>
            </w:pPr>
            <w:r>
              <w:rPr>
                <w:rStyle w:val="None"/>
                <w:sz w:val="17"/>
                <w:szCs w:val="17"/>
              </w:rPr>
              <w:t>5</w:t>
            </w:r>
          </w:p>
        </w:tc>
        <w:tc>
          <w:tcPr>
            <w:tcW w:w="1228" w:type="dxa"/>
            <w:tcBorders>
              <w:top w:val="single" w:sz="4" w:space="0" w:color="000000"/>
              <w:left w:val="nil"/>
              <w:bottom w:val="nil"/>
              <w:right w:val="nil"/>
            </w:tcBorders>
            <w:shd w:val="clear" w:color="auto" w:fill="92D050"/>
            <w:tcMar>
              <w:top w:w="80" w:type="dxa"/>
              <w:left w:w="80" w:type="dxa"/>
              <w:bottom w:w="80" w:type="dxa"/>
              <w:right w:w="80" w:type="dxa"/>
            </w:tcMar>
          </w:tcPr>
          <w:p w14:paraId="29AC74E8" w14:textId="77777777" w:rsidR="003B4A93" w:rsidRDefault="001E283F">
            <w:pPr>
              <w:pStyle w:val="BodyA"/>
              <w:keepLines/>
              <w:spacing w:before="40" w:after="40" w:line="200" w:lineRule="atLeast"/>
              <w:jc w:val="center"/>
            </w:pPr>
            <w:r>
              <w:rPr>
                <w:rStyle w:val="None"/>
                <w:sz w:val="17"/>
                <w:szCs w:val="17"/>
              </w:rPr>
              <w:t>5</w:t>
            </w:r>
          </w:p>
        </w:tc>
        <w:tc>
          <w:tcPr>
            <w:tcW w:w="1237" w:type="dxa"/>
            <w:tcBorders>
              <w:top w:val="single" w:sz="4" w:space="0" w:color="000000"/>
              <w:left w:val="nil"/>
              <w:bottom w:val="nil"/>
              <w:right w:val="nil"/>
            </w:tcBorders>
            <w:shd w:val="clear" w:color="auto" w:fill="FFFF00"/>
            <w:tcMar>
              <w:top w:w="80" w:type="dxa"/>
              <w:left w:w="80" w:type="dxa"/>
              <w:bottom w:w="80" w:type="dxa"/>
              <w:right w:w="80" w:type="dxa"/>
            </w:tcMar>
          </w:tcPr>
          <w:p w14:paraId="580DA68C" w14:textId="77777777" w:rsidR="003B4A93" w:rsidRDefault="001E283F">
            <w:pPr>
              <w:pStyle w:val="BodyA"/>
              <w:keepLines/>
              <w:spacing w:before="40" w:after="40" w:line="200" w:lineRule="atLeast"/>
              <w:jc w:val="center"/>
            </w:pPr>
            <w:r>
              <w:rPr>
                <w:rStyle w:val="None"/>
                <w:sz w:val="17"/>
                <w:szCs w:val="17"/>
              </w:rPr>
              <w:t>4</w:t>
            </w:r>
          </w:p>
        </w:tc>
        <w:tc>
          <w:tcPr>
            <w:tcW w:w="1228" w:type="dxa"/>
            <w:tcBorders>
              <w:top w:val="single" w:sz="4" w:space="0" w:color="000000"/>
              <w:left w:val="nil"/>
              <w:bottom w:val="nil"/>
              <w:right w:val="nil"/>
            </w:tcBorders>
            <w:shd w:val="clear" w:color="auto" w:fill="92D050"/>
            <w:tcMar>
              <w:top w:w="80" w:type="dxa"/>
              <w:left w:w="80" w:type="dxa"/>
              <w:bottom w:w="80" w:type="dxa"/>
              <w:right w:w="80" w:type="dxa"/>
            </w:tcMar>
          </w:tcPr>
          <w:p w14:paraId="1EBB2C08" w14:textId="77777777" w:rsidR="003B4A93" w:rsidRDefault="001E283F">
            <w:pPr>
              <w:pStyle w:val="BodyA"/>
              <w:keepLines/>
              <w:spacing w:before="40" w:after="40" w:line="200" w:lineRule="atLeast"/>
              <w:jc w:val="center"/>
            </w:pPr>
            <w:r>
              <w:rPr>
                <w:rStyle w:val="None"/>
                <w:sz w:val="17"/>
                <w:szCs w:val="17"/>
              </w:rPr>
              <w:t>5</w:t>
            </w:r>
          </w:p>
        </w:tc>
        <w:tc>
          <w:tcPr>
            <w:tcW w:w="1235" w:type="dxa"/>
            <w:tcBorders>
              <w:top w:val="single" w:sz="4" w:space="0" w:color="000000"/>
              <w:left w:val="nil"/>
              <w:bottom w:val="nil"/>
              <w:right w:val="nil"/>
            </w:tcBorders>
            <w:shd w:val="clear" w:color="auto" w:fill="92D050"/>
            <w:tcMar>
              <w:top w:w="80" w:type="dxa"/>
              <w:left w:w="80" w:type="dxa"/>
              <w:bottom w:w="80" w:type="dxa"/>
              <w:right w:w="80" w:type="dxa"/>
            </w:tcMar>
          </w:tcPr>
          <w:p w14:paraId="0D94DE90" w14:textId="77777777" w:rsidR="003B4A93" w:rsidRDefault="00370349">
            <w:pPr>
              <w:pStyle w:val="BodyA"/>
              <w:keepLines/>
              <w:spacing w:before="40" w:after="40" w:line="200" w:lineRule="atLeast"/>
              <w:jc w:val="center"/>
            </w:pPr>
            <w:r>
              <w:rPr>
                <w:rStyle w:val="None"/>
                <w:sz w:val="17"/>
                <w:szCs w:val="17"/>
              </w:rPr>
              <w:t>5</w:t>
            </w:r>
          </w:p>
        </w:tc>
        <w:tc>
          <w:tcPr>
            <w:tcW w:w="1228" w:type="dxa"/>
            <w:tcBorders>
              <w:top w:val="single" w:sz="4" w:space="0" w:color="000000"/>
              <w:left w:val="nil"/>
              <w:bottom w:val="nil"/>
              <w:right w:val="nil"/>
            </w:tcBorders>
            <w:shd w:val="clear" w:color="auto" w:fill="92D050"/>
            <w:tcMar>
              <w:top w:w="80" w:type="dxa"/>
              <w:left w:w="80" w:type="dxa"/>
              <w:bottom w:w="80" w:type="dxa"/>
              <w:right w:w="80" w:type="dxa"/>
            </w:tcMar>
          </w:tcPr>
          <w:p w14:paraId="232B01DF" w14:textId="77777777" w:rsidR="003B4A93" w:rsidRDefault="001E283F">
            <w:pPr>
              <w:pStyle w:val="BodyA"/>
              <w:keepLines/>
              <w:spacing w:before="40" w:after="40" w:line="200" w:lineRule="atLeast"/>
              <w:jc w:val="center"/>
            </w:pPr>
            <w:r>
              <w:rPr>
                <w:rStyle w:val="None"/>
                <w:sz w:val="17"/>
                <w:szCs w:val="17"/>
              </w:rPr>
              <w:t>5</w:t>
            </w:r>
          </w:p>
        </w:tc>
        <w:tc>
          <w:tcPr>
            <w:tcW w:w="1234" w:type="dxa"/>
            <w:tcBorders>
              <w:top w:val="single" w:sz="4" w:space="0" w:color="000000"/>
              <w:left w:val="nil"/>
              <w:bottom w:val="nil"/>
              <w:right w:val="nil"/>
            </w:tcBorders>
            <w:shd w:val="clear" w:color="auto" w:fill="auto"/>
            <w:tcMar>
              <w:top w:w="80" w:type="dxa"/>
              <w:left w:w="80" w:type="dxa"/>
              <w:bottom w:w="80" w:type="dxa"/>
              <w:right w:w="80" w:type="dxa"/>
            </w:tcMar>
          </w:tcPr>
          <w:p w14:paraId="43F38D65" w14:textId="77777777" w:rsidR="003B4A93" w:rsidRDefault="003B4A93">
            <w:pPr>
              <w:pStyle w:val="BodyA"/>
              <w:keepLines/>
              <w:spacing w:before="40" w:after="40" w:line="200" w:lineRule="atLeast"/>
              <w:jc w:val="center"/>
            </w:pPr>
          </w:p>
        </w:tc>
      </w:tr>
      <w:tr w:rsidR="003B4A93" w14:paraId="51FBA7D1" w14:textId="77777777" w:rsidTr="00370349">
        <w:trPr>
          <w:trHeight w:val="455"/>
        </w:trPr>
        <w:tc>
          <w:tcPr>
            <w:tcW w:w="2666" w:type="dxa"/>
            <w:vMerge/>
            <w:tcBorders>
              <w:top w:val="single" w:sz="4" w:space="0" w:color="000000"/>
              <w:left w:val="nil"/>
              <w:bottom w:val="single" w:sz="4" w:space="0" w:color="000000"/>
              <w:right w:val="nil"/>
            </w:tcBorders>
            <w:shd w:val="clear" w:color="auto" w:fill="auto"/>
          </w:tcPr>
          <w:p w14:paraId="792BA6E2" w14:textId="77777777" w:rsidR="003B4A93" w:rsidRDefault="003B4A93"/>
        </w:tc>
        <w:tc>
          <w:tcPr>
            <w:tcW w:w="1935" w:type="dxa"/>
            <w:vMerge/>
            <w:tcBorders>
              <w:top w:val="single" w:sz="4" w:space="0" w:color="000000"/>
              <w:left w:val="nil"/>
              <w:bottom w:val="single" w:sz="4" w:space="0" w:color="000000"/>
              <w:right w:val="nil"/>
            </w:tcBorders>
            <w:shd w:val="clear" w:color="auto" w:fill="auto"/>
          </w:tcPr>
          <w:p w14:paraId="1AAE2D81" w14:textId="77777777" w:rsidR="003B4A93" w:rsidRDefault="003B4A93"/>
        </w:tc>
        <w:tc>
          <w:tcPr>
            <w:tcW w:w="1232" w:type="dxa"/>
            <w:tcBorders>
              <w:top w:val="nil"/>
              <w:left w:val="nil"/>
              <w:bottom w:val="single" w:sz="4" w:space="0" w:color="000000"/>
              <w:right w:val="nil"/>
            </w:tcBorders>
            <w:shd w:val="clear" w:color="auto" w:fill="auto"/>
            <w:tcMar>
              <w:top w:w="80" w:type="dxa"/>
              <w:left w:w="80" w:type="dxa"/>
              <w:bottom w:w="80" w:type="dxa"/>
              <w:right w:w="80" w:type="dxa"/>
            </w:tcMar>
          </w:tcPr>
          <w:p w14:paraId="27147C04" w14:textId="77777777" w:rsidR="003B4A93" w:rsidRDefault="00370349">
            <w:pPr>
              <w:pStyle w:val="BodyA"/>
              <w:keepLines/>
              <w:spacing w:before="40" w:after="40" w:line="200" w:lineRule="atLeast"/>
            </w:pPr>
            <w:r>
              <w:rPr>
                <w:rStyle w:val="None"/>
                <w:sz w:val="17"/>
                <w:szCs w:val="17"/>
              </w:rPr>
              <w:t>2017</w:t>
            </w:r>
            <w:r w:rsidR="001E283F">
              <w:rPr>
                <w:rStyle w:val="None"/>
                <w:sz w:val="17"/>
                <w:szCs w:val="17"/>
              </w:rPr>
              <w:t xml:space="preserve"> AQC</w:t>
            </w:r>
          </w:p>
        </w:tc>
        <w:tc>
          <w:tcPr>
            <w:tcW w:w="1237" w:type="dxa"/>
            <w:tcBorders>
              <w:top w:val="nil"/>
              <w:left w:val="nil"/>
              <w:bottom w:val="single" w:sz="4" w:space="0" w:color="000000"/>
              <w:right w:val="nil"/>
            </w:tcBorders>
            <w:shd w:val="clear" w:color="auto" w:fill="92D050"/>
            <w:tcMar>
              <w:top w:w="80" w:type="dxa"/>
              <w:left w:w="80" w:type="dxa"/>
              <w:bottom w:w="80" w:type="dxa"/>
              <w:right w:w="80" w:type="dxa"/>
            </w:tcMar>
          </w:tcPr>
          <w:p w14:paraId="57E66A3C" w14:textId="77777777" w:rsidR="003B4A93" w:rsidRDefault="00370349">
            <w:pPr>
              <w:pStyle w:val="BodyA"/>
              <w:keepLines/>
              <w:spacing w:before="40" w:after="40" w:line="200" w:lineRule="atLeast"/>
              <w:jc w:val="center"/>
            </w:pPr>
            <w:r>
              <w:rPr>
                <w:rStyle w:val="None"/>
                <w:sz w:val="17"/>
                <w:szCs w:val="17"/>
              </w:rPr>
              <w:t>5</w:t>
            </w:r>
          </w:p>
        </w:tc>
        <w:tc>
          <w:tcPr>
            <w:tcW w:w="1228" w:type="dxa"/>
            <w:tcBorders>
              <w:top w:val="nil"/>
              <w:left w:val="nil"/>
              <w:bottom w:val="single" w:sz="4" w:space="0" w:color="000000"/>
              <w:right w:val="nil"/>
            </w:tcBorders>
            <w:shd w:val="clear" w:color="auto" w:fill="92D050"/>
            <w:tcMar>
              <w:top w:w="80" w:type="dxa"/>
              <w:left w:w="80" w:type="dxa"/>
              <w:bottom w:w="80" w:type="dxa"/>
              <w:right w:w="80" w:type="dxa"/>
            </w:tcMar>
          </w:tcPr>
          <w:p w14:paraId="3D867642" w14:textId="77777777" w:rsidR="003B4A93" w:rsidRDefault="00370349">
            <w:pPr>
              <w:pStyle w:val="BodyA"/>
              <w:keepLines/>
              <w:spacing w:before="40" w:after="40" w:line="200" w:lineRule="atLeast"/>
              <w:jc w:val="center"/>
            </w:pPr>
            <w:r>
              <w:rPr>
                <w:rStyle w:val="None"/>
                <w:sz w:val="17"/>
                <w:szCs w:val="17"/>
              </w:rPr>
              <w:t>5</w:t>
            </w:r>
          </w:p>
        </w:tc>
        <w:tc>
          <w:tcPr>
            <w:tcW w:w="1237" w:type="dxa"/>
            <w:tcBorders>
              <w:top w:val="nil"/>
              <w:left w:val="nil"/>
              <w:bottom w:val="single" w:sz="4" w:space="0" w:color="000000"/>
              <w:right w:val="nil"/>
            </w:tcBorders>
            <w:shd w:val="clear" w:color="auto" w:fill="FFFF00"/>
            <w:tcMar>
              <w:top w:w="80" w:type="dxa"/>
              <w:left w:w="80" w:type="dxa"/>
              <w:bottom w:w="80" w:type="dxa"/>
              <w:right w:w="80" w:type="dxa"/>
            </w:tcMar>
          </w:tcPr>
          <w:p w14:paraId="6A73A27B" w14:textId="77777777" w:rsidR="003B4A93" w:rsidRDefault="00370349" w:rsidP="00370349">
            <w:pPr>
              <w:pStyle w:val="BodyA"/>
              <w:keepLines/>
              <w:shd w:val="clear" w:color="auto" w:fill="FFFF00"/>
              <w:spacing w:before="40" w:after="40" w:line="200" w:lineRule="atLeast"/>
              <w:jc w:val="center"/>
            </w:pPr>
            <w:r>
              <w:rPr>
                <w:rStyle w:val="None"/>
                <w:sz w:val="17"/>
                <w:szCs w:val="17"/>
              </w:rPr>
              <w:t>4</w:t>
            </w:r>
          </w:p>
        </w:tc>
        <w:tc>
          <w:tcPr>
            <w:tcW w:w="1228" w:type="dxa"/>
            <w:tcBorders>
              <w:top w:val="nil"/>
              <w:left w:val="nil"/>
              <w:bottom w:val="single" w:sz="4" w:space="0" w:color="000000"/>
              <w:right w:val="nil"/>
            </w:tcBorders>
            <w:shd w:val="clear" w:color="auto" w:fill="92D050"/>
            <w:tcMar>
              <w:top w:w="80" w:type="dxa"/>
              <w:left w:w="80" w:type="dxa"/>
              <w:bottom w:w="80" w:type="dxa"/>
              <w:right w:w="80" w:type="dxa"/>
            </w:tcMar>
          </w:tcPr>
          <w:p w14:paraId="712D4716" w14:textId="77777777" w:rsidR="003B4A93" w:rsidRPr="00370349" w:rsidRDefault="00370349">
            <w:pPr>
              <w:pStyle w:val="BodyA"/>
              <w:keepLines/>
              <w:spacing w:before="40" w:after="40" w:line="200" w:lineRule="atLeast"/>
              <w:jc w:val="center"/>
              <w:rPr>
                <w:rStyle w:val="None"/>
                <w:sz w:val="17"/>
                <w:szCs w:val="17"/>
              </w:rPr>
            </w:pPr>
            <w:r>
              <w:rPr>
                <w:rStyle w:val="None"/>
                <w:sz w:val="17"/>
                <w:szCs w:val="17"/>
              </w:rPr>
              <w:t>5</w:t>
            </w:r>
          </w:p>
        </w:tc>
        <w:tc>
          <w:tcPr>
            <w:tcW w:w="1235" w:type="dxa"/>
            <w:tcBorders>
              <w:top w:val="nil"/>
              <w:left w:val="nil"/>
              <w:bottom w:val="single" w:sz="4" w:space="0" w:color="000000"/>
              <w:right w:val="nil"/>
            </w:tcBorders>
            <w:shd w:val="clear" w:color="auto" w:fill="92D050"/>
            <w:tcMar>
              <w:top w:w="80" w:type="dxa"/>
              <w:left w:w="80" w:type="dxa"/>
              <w:bottom w:w="80" w:type="dxa"/>
              <w:right w:w="80" w:type="dxa"/>
            </w:tcMar>
          </w:tcPr>
          <w:p w14:paraId="710D013D" w14:textId="77777777" w:rsidR="003B4A93" w:rsidRPr="00370349" w:rsidRDefault="00370349" w:rsidP="00370349">
            <w:pPr>
              <w:pStyle w:val="BodyA"/>
              <w:keepLines/>
              <w:spacing w:before="40" w:after="40" w:line="200" w:lineRule="atLeast"/>
              <w:jc w:val="center"/>
              <w:rPr>
                <w:rStyle w:val="None"/>
                <w:sz w:val="17"/>
                <w:szCs w:val="17"/>
              </w:rPr>
            </w:pPr>
            <w:r w:rsidRPr="00370349">
              <w:rPr>
                <w:rStyle w:val="None"/>
                <w:sz w:val="17"/>
                <w:szCs w:val="17"/>
              </w:rPr>
              <w:t>5</w:t>
            </w:r>
          </w:p>
        </w:tc>
        <w:tc>
          <w:tcPr>
            <w:tcW w:w="1228" w:type="dxa"/>
            <w:tcBorders>
              <w:top w:val="nil"/>
              <w:left w:val="nil"/>
              <w:bottom w:val="single" w:sz="4" w:space="0" w:color="000000"/>
              <w:right w:val="nil"/>
            </w:tcBorders>
            <w:shd w:val="clear" w:color="auto" w:fill="92D050"/>
            <w:tcMar>
              <w:top w:w="80" w:type="dxa"/>
              <w:left w:w="80" w:type="dxa"/>
              <w:bottom w:w="80" w:type="dxa"/>
              <w:right w:w="80" w:type="dxa"/>
            </w:tcMar>
          </w:tcPr>
          <w:p w14:paraId="1AF570E1" w14:textId="77777777" w:rsidR="003B4A93" w:rsidRPr="00370349" w:rsidRDefault="00370349">
            <w:pPr>
              <w:pStyle w:val="BodyA"/>
              <w:keepLines/>
              <w:spacing w:before="40" w:after="40" w:line="200" w:lineRule="atLeast"/>
              <w:jc w:val="center"/>
              <w:rPr>
                <w:rStyle w:val="None"/>
                <w:sz w:val="17"/>
                <w:szCs w:val="17"/>
              </w:rPr>
            </w:pPr>
            <w:r>
              <w:rPr>
                <w:rStyle w:val="None"/>
                <w:sz w:val="17"/>
                <w:szCs w:val="17"/>
              </w:rPr>
              <w:t>5</w:t>
            </w:r>
          </w:p>
        </w:tc>
        <w:tc>
          <w:tcPr>
            <w:tcW w:w="1234" w:type="dxa"/>
            <w:tcBorders>
              <w:top w:val="nil"/>
              <w:left w:val="nil"/>
              <w:bottom w:val="single" w:sz="4" w:space="0" w:color="000000"/>
              <w:right w:val="nil"/>
            </w:tcBorders>
            <w:shd w:val="clear" w:color="auto" w:fill="auto"/>
            <w:tcMar>
              <w:top w:w="80" w:type="dxa"/>
              <w:left w:w="80" w:type="dxa"/>
              <w:bottom w:w="80" w:type="dxa"/>
              <w:right w:w="80" w:type="dxa"/>
            </w:tcMar>
          </w:tcPr>
          <w:p w14:paraId="54F83AFC" w14:textId="62C70D77" w:rsidR="003B4A93" w:rsidRDefault="003B4A93">
            <w:pPr>
              <w:pStyle w:val="BodyA"/>
              <w:keepLines/>
              <w:spacing w:before="40" w:after="40" w:line="200" w:lineRule="atLeast"/>
              <w:jc w:val="center"/>
            </w:pPr>
          </w:p>
        </w:tc>
      </w:tr>
    </w:tbl>
    <w:p w14:paraId="3E61E7B3" w14:textId="77777777" w:rsidR="003B4A93" w:rsidRDefault="003B4A93">
      <w:pPr>
        <w:pStyle w:val="BodyA"/>
        <w:widowControl w:val="0"/>
        <w:spacing w:line="240" w:lineRule="auto"/>
        <w:ind w:left="108" w:hanging="108"/>
      </w:pPr>
    </w:p>
    <w:p w14:paraId="4D0291A6" w14:textId="77777777" w:rsidR="003B4A93" w:rsidRDefault="003B4A93">
      <w:pPr>
        <w:pStyle w:val="BodyA"/>
        <w:keepNext/>
        <w:spacing w:before="240" w:after="120"/>
        <w:outlineLvl w:val="2"/>
        <w:rPr>
          <w:rStyle w:val="None"/>
          <w:rFonts w:ascii="Helvetica" w:eastAsia="Helvetica" w:hAnsi="Helvetica" w:cs="Helvetica"/>
          <w:b/>
          <w:bCs/>
          <w:color w:val="124486"/>
          <w:kern w:val="28"/>
          <w:u w:color="124486"/>
        </w:rPr>
      </w:pPr>
    </w:p>
    <w:p w14:paraId="769A5C0D" w14:textId="77777777" w:rsidR="003B4A93" w:rsidRDefault="003B4A93">
      <w:pPr>
        <w:pStyle w:val="BodyA"/>
        <w:keepNext/>
        <w:spacing w:before="240" w:after="120"/>
        <w:outlineLvl w:val="2"/>
        <w:rPr>
          <w:rStyle w:val="None"/>
          <w:rFonts w:ascii="Helvetica" w:eastAsia="Helvetica" w:hAnsi="Helvetica" w:cs="Helvetica"/>
          <w:b/>
          <w:bCs/>
          <w:color w:val="124486"/>
          <w:kern w:val="28"/>
          <w:u w:color="124486"/>
        </w:rPr>
      </w:pPr>
    </w:p>
    <w:p w14:paraId="1ACA5B42" w14:textId="77777777" w:rsidR="003B4A93" w:rsidRDefault="003B4A93">
      <w:pPr>
        <w:pStyle w:val="BodyA"/>
        <w:keepNext/>
        <w:spacing w:before="240" w:after="120"/>
        <w:outlineLvl w:val="2"/>
        <w:rPr>
          <w:rStyle w:val="None"/>
          <w:rFonts w:ascii="Helvetica" w:eastAsia="Helvetica" w:hAnsi="Helvetica" w:cs="Helvetica"/>
          <w:b/>
          <w:bCs/>
          <w:color w:val="124486"/>
          <w:kern w:val="28"/>
          <w:u w:color="124486"/>
        </w:rPr>
      </w:pPr>
    </w:p>
    <w:p w14:paraId="601BA241" w14:textId="77777777" w:rsidR="003B4A93" w:rsidRDefault="003B4A93">
      <w:pPr>
        <w:pStyle w:val="BodyA"/>
      </w:pPr>
    </w:p>
    <w:p w14:paraId="1F2C890F" w14:textId="77777777" w:rsidR="003B4A93" w:rsidRDefault="001E283F" w:rsidP="00474078">
      <w:pPr>
        <w:pStyle w:val="BodyA"/>
        <w:suppressAutoHyphens w:val="0"/>
        <w:spacing w:before="0" w:after="120" w:line="440" w:lineRule="atLeast"/>
        <w:rPr>
          <w:rStyle w:val="None"/>
          <w:rFonts w:ascii="Helvetica" w:eastAsia="Helvetica" w:hAnsi="Helvetica" w:cs="Helvetica"/>
          <w:b/>
          <w:bCs/>
          <w:color w:val="124486"/>
          <w:kern w:val="28"/>
          <w:u w:color="124486"/>
        </w:rPr>
      </w:pPr>
      <w:r>
        <w:br w:type="page"/>
      </w:r>
      <w:r>
        <w:rPr>
          <w:rStyle w:val="None"/>
          <w:rFonts w:ascii="Calibri" w:eastAsia="Calibri" w:hAnsi="Calibri" w:cs="Calibri"/>
          <w:caps/>
          <w:sz w:val="38"/>
          <w:szCs w:val="38"/>
        </w:rPr>
        <w:lastRenderedPageBreak/>
        <w:t>FAQC ratings</w:t>
      </w:r>
      <w:r>
        <w:rPr>
          <w:rStyle w:val="None"/>
          <w:rFonts w:ascii="Helvetica" w:hAnsi="Helvetica"/>
          <w:b/>
          <w:bCs/>
          <w:color w:val="124486"/>
          <w:kern w:val="28"/>
          <w:u w:color="124486"/>
        </w:rPr>
        <w:t xml:space="preserve"> </w:t>
      </w:r>
    </w:p>
    <w:p w14:paraId="0A92B814" w14:textId="77777777" w:rsidR="003B4A93" w:rsidRDefault="001E283F">
      <w:pPr>
        <w:pStyle w:val="BodyA"/>
      </w:pPr>
      <w:r>
        <w:rPr>
          <w:rStyle w:val="Hyperlink0"/>
        </w:rPr>
        <w:t>Final AQCs assess performance over the lifetime of the investment (ratings are not compared to previous</w:t>
      </w:r>
      <w:r w:rsidR="00CC5A23">
        <w:rPr>
          <w:rStyle w:val="Hyperlink0"/>
        </w:rPr>
        <w:t xml:space="preserve"> </w:t>
      </w:r>
      <w:r>
        <w:rPr>
          <w:rStyle w:val="Hyperlink0"/>
        </w:rPr>
        <w:t>years).</w:t>
      </w:r>
    </w:p>
    <w:tbl>
      <w:tblPr>
        <w:tblW w:w="14460" w:type="dxa"/>
        <w:tblInd w:w="216" w:type="dxa"/>
        <w:shd w:val="clear" w:color="auto" w:fill="D1E9E4"/>
        <w:tblLayout w:type="fixed"/>
        <w:tblLook w:val="04A0" w:firstRow="1" w:lastRow="0" w:firstColumn="1" w:lastColumn="0" w:noHBand="0" w:noVBand="1"/>
      </w:tblPr>
      <w:tblGrid>
        <w:gridCol w:w="2661"/>
        <w:gridCol w:w="1934"/>
        <w:gridCol w:w="1235"/>
        <w:gridCol w:w="1232"/>
        <w:gridCol w:w="1234"/>
        <w:gridCol w:w="1231"/>
        <w:gridCol w:w="1234"/>
        <w:gridCol w:w="1231"/>
        <w:gridCol w:w="1234"/>
        <w:gridCol w:w="1234"/>
      </w:tblGrid>
      <w:tr w:rsidR="003B4A93" w14:paraId="4B843968" w14:textId="77777777" w:rsidTr="000A074C">
        <w:trPr>
          <w:trHeight w:val="781"/>
        </w:trPr>
        <w:tc>
          <w:tcPr>
            <w:tcW w:w="2661" w:type="dxa"/>
            <w:shd w:val="clear" w:color="auto" w:fill="auto"/>
            <w:tcMar>
              <w:top w:w="80" w:type="dxa"/>
              <w:left w:w="80" w:type="dxa"/>
              <w:bottom w:w="80" w:type="dxa"/>
              <w:right w:w="80" w:type="dxa"/>
            </w:tcMar>
          </w:tcPr>
          <w:p w14:paraId="39AC9083" w14:textId="77777777" w:rsidR="003B4A93" w:rsidRDefault="001E283F">
            <w:pPr>
              <w:pStyle w:val="BodyA"/>
              <w:keepLines/>
              <w:spacing w:before="80" w:after="80" w:line="200" w:lineRule="atLeast"/>
            </w:pPr>
            <w:r>
              <w:rPr>
                <w:rStyle w:val="None"/>
                <w:b/>
                <w:bCs/>
                <w:sz w:val="17"/>
                <w:szCs w:val="17"/>
              </w:rPr>
              <w:t>Investment name</w:t>
            </w:r>
          </w:p>
        </w:tc>
        <w:tc>
          <w:tcPr>
            <w:tcW w:w="1934" w:type="dxa"/>
            <w:shd w:val="clear" w:color="auto" w:fill="auto"/>
            <w:tcMar>
              <w:top w:w="80" w:type="dxa"/>
              <w:left w:w="80" w:type="dxa"/>
              <w:bottom w:w="80" w:type="dxa"/>
              <w:right w:w="80" w:type="dxa"/>
            </w:tcMar>
          </w:tcPr>
          <w:p w14:paraId="2C30C2BD" w14:textId="77777777" w:rsidR="003B4A93" w:rsidRDefault="001E283F">
            <w:pPr>
              <w:pStyle w:val="BodyA"/>
              <w:keepLines/>
              <w:spacing w:before="80" w:after="80" w:line="200" w:lineRule="atLeast"/>
            </w:pPr>
            <w:r>
              <w:rPr>
                <w:rStyle w:val="None"/>
                <w:b/>
                <w:bCs/>
                <w:sz w:val="17"/>
                <w:szCs w:val="17"/>
              </w:rPr>
              <w:t>Approved budget and duration</w:t>
            </w:r>
          </w:p>
        </w:tc>
        <w:tc>
          <w:tcPr>
            <w:tcW w:w="1235" w:type="dxa"/>
            <w:shd w:val="clear" w:color="auto" w:fill="auto"/>
            <w:tcMar>
              <w:top w:w="80" w:type="dxa"/>
              <w:left w:w="80" w:type="dxa"/>
              <w:bottom w:w="80" w:type="dxa"/>
              <w:right w:w="80" w:type="dxa"/>
            </w:tcMar>
          </w:tcPr>
          <w:p w14:paraId="65AB9BA2" w14:textId="77777777" w:rsidR="003B4A93" w:rsidRDefault="001E283F">
            <w:pPr>
              <w:pStyle w:val="BodyA"/>
              <w:keepLines/>
              <w:spacing w:before="80" w:after="80" w:line="200" w:lineRule="atLeast"/>
            </w:pPr>
            <w:r>
              <w:rPr>
                <w:rStyle w:val="None"/>
                <w:b/>
                <w:bCs/>
                <w:sz w:val="17"/>
                <w:szCs w:val="17"/>
              </w:rPr>
              <w:t>Overall rating</w:t>
            </w:r>
          </w:p>
        </w:tc>
        <w:tc>
          <w:tcPr>
            <w:tcW w:w="1232" w:type="dxa"/>
            <w:shd w:val="clear" w:color="auto" w:fill="auto"/>
            <w:tcMar>
              <w:top w:w="80" w:type="dxa"/>
              <w:left w:w="80" w:type="dxa"/>
              <w:bottom w:w="80" w:type="dxa"/>
              <w:right w:w="80" w:type="dxa"/>
            </w:tcMar>
          </w:tcPr>
          <w:p w14:paraId="037E80EE" w14:textId="77777777" w:rsidR="003B4A93" w:rsidRDefault="001E283F">
            <w:pPr>
              <w:pStyle w:val="BodyA"/>
              <w:keepLines/>
              <w:spacing w:before="80" w:after="80" w:line="200" w:lineRule="atLeast"/>
            </w:pPr>
            <w:r>
              <w:rPr>
                <w:rStyle w:val="None"/>
                <w:b/>
                <w:bCs/>
                <w:sz w:val="17"/>
                <w:szCs w:val="17"/>
              </w:rPr>
              <w:t>Relevance</w:t>
            </w:r>
          </w:p>
        </w:tc>
        <w:tc>
          <w:tcPr>
            <w:tcW w:w="1234" w:type="dxa"/>
            <w:shd w:val="clear" w:color="auto" w:fill="auto"/>
            <w:tcMar>
              <w:top w:w="80" w:type="dxa"/>
              <w:left w:w="80" w:type="dxa"/>
              <w:bottom w:w="80" w:type="dxa"/>
              <w:right w:w="80" w:type="dxa"/>
            </w:tcMar>
          </w:tcPr>
          <w:p w14:paraId="2724CD3B" w14:textId="77777777" w:rsidR="003B4A93" w:rsidRDefault="001E283F">
            <w:pPr>
              <w:pStyle w:val="BodyA"/>
              <w:keepLines/>
              <w:spacing w:before="80" w:after="80" w:line="200" w:lineRule="atLeast"/>
            </w:pPr>
            <w:r>
              <w:rPr>
                <w:rStyle w:val="None"/>
                <w:b/>
                <w:bCs/>
                <w:sz w:val="17"/>
                <w:szCs w:val="17"/>
              </w:rPr>
              <w:t>Effectiveness</w:t>
            </w:r>
          </w:p>
        </w:tc>
        <w:tc>
          <w:tcPr>
            <w:tcW w:w="1231" w:type="dxa"/>
            <w:shd w:val="clear" w:color="auto" w:fill="auto"/>
            <w:tcMar>
              <w:top w:w="80" w:type="dxa"/>
              <w:left w:w="80" w:type="dxa"/>
              <w:bottom w:w="80" w:type="dxa"/>
              <w:right w:w="80" w:type="dxa"/>
            </w:tcMar>
          </w:tcPr>
          <w:p w14:paraId="49E20EB3" w14:textId="77777777" w:rsidR="003B4A93" w:rsidRDefault="001E283F">
            <w:pPr>
              <w:pStyle w:val="BodyA"/>
              <w:keepLines/>
              <w:spacing w:before="80" w:after="80" w:line="200" w:lineRule="atLeast"/>
            </w:pPr>
            <w:r>
              <w:rPr>
                <w:rStyle w:val="None"/>
                <w:b/>
                <w:bCs/>
                <w:sz w:val="17"/>
                <w:szCs w:val="17"/>
              </w:rPr>
              <w:t>Efficiency</w:t>
            </w:r>
          </w:p>
        </w:tc>
        <w:tc>
          <w:tcPr>
            <w:tcW w:w="1234" w:type="dxa"/>
            <w:shd w:val="clear" w:color="auto" w:fill="auto"/>
            <w:tcMar>
              <w:top w:w="80" w:type="dxa"/>
              <w:left w:w="80" w:type="dxa"/>
              <w:bottom w:w="80" w:type="dxa"/>
              <w:right w:w="80" w:type="dxa"/>
            </w:tcMar>
          </w:tcPr>
          <w:p w14:paraId="005AC0B3" w14:textId="77777777" w:rsidR="003B4A93" w:rsidRDefault="001E283F">
            <w:pPr>
              <w:pStyle w:val="BodyA"/>
              <w:keepLines/>
              <w:spacing w:before="80" w:after="80" w:line="200" w:lineRule="atLeast"/>
            </w:pPr>
            <w:r>
              <w:rPr>
                <w:rStyle w:val="None"/>
                <w:b/>
                <w:bCs/>
                <w:sz w:val="17"/>
                <w:szCs w:val="17"/>
              </w:rPr>
              <w:t>Monitoring and Evaluation</w:t>
            </w:r>
          </w:p>
        </w:tc>
        <w:tc>
          <w:tcPr>
            <w:tcW w:w="1231" w:type="dxa"/>
            <w:shd w:val="clear" w:color="auto" w:fill="auto"/>
            <w:tcMar>
              <w:top w:w="80" w:type="dxa"/>
              <w:left w:w="80" w:type="dxa"/>
              <w:bottom w:w="80" w:type="dxa"/>
              <w:right w:w="80" w:type="dxa"/>
            </w:tcMar>
          </w:tcPr>
          <w:p w14:paraId="349F3412" w14:textId="77777777" w:rsidR="003B4A93" w:rsidRDefault="001E283F">
            <w:pPr>
              <w:pStyle w:val="BodyA"/>
              <w:keepLines/>
              <w:spacing w:before="80" w:after="80" w:line="200" w:lineRule="atLeast"/>
            </w:pPr>
            <w:r>
              <w:rPr>
                <w:rStyle w:val="None"/>
                <w:b/>
                <w:bCs/>
                <w:sz w:val="17"/>
                <w:szCs w:val="17"/>
              </w:rPr>
              <w:t>Sustainability</w:t>
            </w:r>
          </w:p>
        </w:tc>
        <w:tc>
          <w:tcPr>
            <w:tcW w:w="1234" w:type="dxa"/>
            <w:shd w:val="clear" w:color="auto" w:fill="auto"/>
            <w:tcMar>
              <w:top w:w="80" w:type="dxa"/>
              <w:left w:w="80" w:type="dxa"/>
              <w:bottom w:w="80" w:type="dxa"/>
              <w:right w:w="80" w:type="dxa"/>
            </w:tcMar>
          </w:tcPr>
          <w:p w14:paraId="5A9D7459" w14:textId="77777777" w:rsidR="003B4A93" w:rsidRDefault="001E283F">
            <w:pPr>
              <w:pStyle w:val="BodyA"/>
              <w:keepLines/>
              <w:spacing w:before="80" w:after="80" w:line="200" w:lineRule="atLeast"/>
            </w:pPr>
            <w:r>
              <w:rPr>
                <w:rStyle w:val="None"/>
                <w:b/>
                <w:bCs/>
                <w:sz w:val="17"/>
                <w:szCs w:val="17"/>
              </w:rPr>
              <w:t>Gender equality</w:t>
            </w:r>
          </w:p>
        </w:tc>
        <w:tc>
          <w:tcPr>
            <w:tcW w:w="1234" w:type="dxa"/>
            <w:shd w:val="clear" w:color="auto" w:fill="auto"/>
            <w:tcMar>
              <w:top w:w="80" w:type="dxa"/>
              <w:left w:w="80" w:type="dxa"/>
              <w:bottom w:w="80" w:type="dxa"/>
              <w:right w:w="80" w:type="dxa"/>
            </w:tcMar>
          </w:tcPr>
          <w:p w14:paraId="65857271" w14:textId="77777777" w:rsidR="003B4A93" w:rsidRDefault="001E283F">
            <w:pPr>
              <w:pStyle w:val="BodyA"/>
              <w:keepLines/>
              <w:spacing w:before="80" w:after="80" w:line="200" w:lineRule="atLeast"/>
            </w:pPr>
            <w:r>
              <w:rPr>
                <w:rStyle w:val="None"/>
                <w:b/>
                <w:bCs/>
                <w:sz w:val="17"/>
                <w:szCs w:val="17"/>
              </w:rPr>
              <w:t>Risks  and Safeguards</w:t>
            </w:r>
          </w:p>
        </w:tc>
      </w:tr>
      <w:tr w:rsidR="003B4A93" w14:paraId="57446925" w14:textId="77777777" w:rsidTr="00775A5D">
        <w:trPr>
          <w:trHeight w:val="530"/>
        </w:trPr>
        <w:tc>
          <w:tcPr>
            <w:tcW w:w="2661" w:type="dxa"/>
            <w:tcBorders>
              <w:bottom w:val="single" w:sz="4" w:space="0" w:color="auto"/>
            </w:tcBorders>
            <w:shd w:val="clear" w:color="auto" w:fill="auto"/>
            <w:tcMar>
              <w:top w:w="80" w:type="dxa"/>
              <w:left w:w="80" w:type="dxa"/>
              <w:bottom w:w="80" w:type="dxa"/>
              <w:right w:w="80" w:type="dxa"/>
            </w:tcMar>
          </w:tcPr>
          <w:p w14:paraId="2A9B3B40" w14:textId="77777777" w:rsidR="003B4A93" w:rsidRDefault="00370349">
            <w:pPr>
              <w:pStyle w:val="BodyA"/>
              <w:keepLines/>
              <w:spacing w:before="40" w:after="40" w:line="200" w:lineRule="atLeast"/>
            </w:pPr>
            <w:r>
              <w:rPr>
                <w:rStyle w:val="None"/>
                <w:sz w:val="17"/>
                <w:szCs w:val="17"/>
              </w:rPr>
              <w:t>Primary Education Development Program III</w:t>
            </w:r>
          </w:p>
        </w:tc>
        <w:tc>
          <w:tcPr>
            <w:tcW w:w="1934" w:type="dxa"/>
            <w:tcBorders>
              <w:bottom w:val="single" w:sz="4" w:space="0" w:color="auto"/>
            </w:tcBorders>
            <w:shd w:val="clear" w:color="auto" w:fill="auto"/>
            <w:tcMar>
              <w:top w:w="80" w:type="dxa"/>
              <w:left w:w="80" w:type="dxa"/>
              <w:bottom w:w="80" w:type="dxa"/>
              <w:right w:w="80" w:type="dxa"/>
            </w:tcMar>
          </w:tcPr>
          <w:p w14:paraId="203CD261" w14:textId="77777777" w:rsidR="003B4A93" w:rsidRDefault="00370349">
            <w:pPr>
              <w:pStyle w:val="BodyA"/>
              <w:rPr>
                <w:rStyle w:val="None"/>
                <w:color w:val="000000"/>
                <w:sz w:val="17"/>
                <w:szCs w:val="17"/>
                <w:u w:color="000000"/>
              </w:rPr>
            </w:pPr>
            <w:r>
              <w:rPr>
                <w:rStyle w:val="None"/>
                <w:color w:val="000000"/>
                <w:sz w:val="17"/>
                <w:szCs w:val="17"/>
                <w:u w:color="000000"/>
              </w:rPr>
              <w:t>$49</w:t>
            </w:r>
            <w:r w:rsidR="001E283F">
              <w:rPr>
                <w:rStyle w:val="None"/>
                <w:color w:val="000000"/>
                <w:sz w:val="17"/>
                <w:szCs w:val="17"/>
                <w:u w:color="000000"/>
              </w:rPr>
              <w:t xml:space="preserve">m </w:t>
            </w:r>
          </w:p>
          <w:p w14:paraId="585F9BB1" w14:textId="77777777" w:rsidR="003B4A93" w:rsidRDefault="00370349">
            <w:pPr>
              <w:pStyle w:val="BodyA"/>
              <w:keepLines/>
              <w:spacing w:before="40" w:after="40" w:line="200" w:lineRule="atLeast"/>
            </w:pPr>
            <w:r>
              <w:rPr>
                <w:rStyle w:val="None"/>
                <w:sz w:val="17"/>
                <w:szCs w:val="17"/>
              </w:rPr>
              <w:t>2011-2017</w:t>
            </w:r>
            <w:r w:rsidR="001E283F">
              <w:rPr>
                <w:rStyle w:val="None"/>
                <w:sz w:val="17"/>
                <w:szCs w:val="17"/>
              </w:rPr>
              <w:t xml:space="preserve"> </w:t>
            </w:r>
          </w:p>
        </w:tc>
        <w:tc>
          <w:tcPr>
            <w:tcW w:w="1235" w:type="dxa"/>
            <w:tcBorders>
              <w:bottom w:val="single" w:sz="4" w:space="0" w:color="auto"/>
            </w:tcBorders>
            <w:shd w:val="clear" w:color="auto" w:fill="92D050"/>
            <w:tcMar>
              <w:top w:w="80" w:type="dxa"/>
              <w:left w:w="80" w:type="dxa"/>
              <w:bottom w:w="80" w:type="dxa"/>
              <w:right w:w="80" w:type="dxa"/>
            </w:tcMar>
          </w:tcPr>
          <w:p w14:paraId="66E4C7F0" w14:textId="77777777" w:rsidR="003B4A93" w:rsidRDefault="00CC5A23">
            <w:pPr>
              <w:pStyle w:val="BodyA"/>
              <w:keepLines/>
              <w:spacing w:before="40" w:after="40" w:line="200" w:lineRule="atLeast"/>
              <w:jc w:val="center"/>
            </w:pPr>
            <w:r>
              <w:rPr>
                <w:rStyle w:val="None"/>
                <w:sz w:val="17"/>
                <w:szCs w:val="17"/>
              </w:rPr>
              <w:t>5</w:t>
            </w:r>
          </w:p>
        </w:tc>
        <w:tc>
          <w:tcPr>
            <w:tcW w:w="1232" w:type="dxa"/>
            <w:tcBorders>
              <w:bottom w:val="single" w:sz="4" w:space="0" w:color="auto"/>
            </w:tcBorders>
            <w:shd w:val="clear" w:color="auto" w:fill="92D050"/>
            <w:tcMar>
              <w:top w:w="80" w:type="dxa"/>
              <w:left w:w="80" w:type="dxa"/>
              <w:bottom w:w="80" w:type="dxa"/>
              <w:right w:w="80" w:type="dxa"/>
            </w:tcMar>
          </w:tcPr>
          <w:p w14:paraId="71D73EF1" w14:textId="77777777" w:rsidR="003B4A93" w:rsidRDefault="00CC5A23">
            <w:pPr>
              <w:pStyle w:val="BodyA"/>
              <w:keepLines/>
              <w:spacing w:before="40" w:after="40" w:line="200" w:lineRule="atLeast"/>
              <w:jc w:val="center"/>
            </w:pPr>
            <w:r>
              <w:rPr>
                <w:rStyle w:val="None"/>
                <w:sz w:val="17"/>
                <w:szCs w:val="17"/>
              </w:rPr>
              <w:t>6</w:t>
            </w:r>
          </w:p>
        </w:tc>
        <w:tc>
          <w:tcPr>
            <w:tcW w:w="1234" w:type="dxa"/>
            <w:tcBorders>
              <w:bottom w:val="single" w:sz="4" w:space="0" w:color="auto"/>
            </w:tcBorders>
            <w:shd w:val="clear" w:color="auto" w:fill="92D050"/>
            <w:tcMar>
              <w:top w:w="80" w:type="dxa"/>
              <w:left w:w="80" w:type="dxa"/>
              <w:bottom w:w="80" w:type="dxa"/>
              <w:right w:w="80" w:type="dxa"/>
            </w:tcMar>
          </w:tcPr>
          <w:p w14:paraId="69968DF2" w14:textId="77777777" w:rsidR="003B4A93" w:rsidRDefault="00CC5A23">
            <w:pPr>
              <w:pStyle w:val="BodyA"/>
              <w:keepLines/>
              <w:spacing w:before="40" w:after="40" w:line="200" w:lineRule="atLeast"/>
              <w:jc w:val="center"/>
            </w:pPr>
            <w:r>
              <w:t>5</w:t>
            </w:r>
          </w:p>
        </w:tc>
        <w:tc>
          <w:tcPr>
            <w:tcW w:w="1231" w:type="dxa"/>
            <w:tcBorders>
              <w:bottom w:val="single" w:sz="4" w:space="0" w:color="auto"/>
            </w:tcBorders>
            <w:shd w:val="clear" w:color="auto" w:fill="92D050"/>
            <w:tcMar>
              <w:top w:w="80" w:type="dxa"/>
              <w:left w:w="80" w:type="dxa"/>
              <w:bottom w:w="80" w:type="dxa"/>
              <w:right w:w="80" w:type="dxa"/>
            </w:tcMar>
          </w:tcPr>
          <w:p w14:paraId="4FD07A6B" w14:textId="77777777" w:rsidR="003B4A93" w:rsidRDefault="00CC5A23">
            <w:pPr>
              <w:pStyle w:val="BodyA"/>
              <w:keepLines/>
              <w:spacing w:before="40" w:after="40" w:line="200" w:lineRule="atLeast"/>
              <w:jc w:val="center"/>
            </w:pPr>
            <w:r>
              <w:rPr>
                <w:rStyle w:val="None"/>
                <w:sz w:val="17"/>
                <w:szCs w:val="17"/>
              </w:rPr>
              <w:t>5</w:t>
            </w:r>
          </w:p>
        </w:tc>
        <w:tc>
          <w:tcPr>
            <w:tcW w:w="1234" w:type="dxa"/>
            <w:tcBorders>
              <w:bottom w:val="single" w:sz="4" w:space="0" w:color="auto"/>
            </w:tcBorders>
            <w:shd w:val="clear" w:color="auto" w:fill="92D050"/>
            <w:tcMar>
              <w:top w:w="80" w:type="dxa"/>
              <w:left w:w="80" w:type="dxa"/>
              <w:bottom w:w="80" w:type="dxa"/>
              <w:right w:w="80" w:type="dxa"/>
            </w:tcMar>
          </w:tcPr>
          <w:p w14:paraId="0BF53E3B" w14:textId="77777777" w:rsidR="003B4A93" w:rsidRDefault="00CC5A23">
            <w:pPr>
              <w:pStyle w:val="BodyA"/>
              <w:keepLines/>
              <w:spacing w:before="40" w:after="40" w:line="200" w:lineRule="atLeast"/>
              <w:jc w:val="center"/>
            </w:pPr>
            <w:r>
              <w:rPr>
                <w:rStyle w:val="None"/>
                <w:sz w:val="17"/>
                <w:szCs w:val="17"/>
              </w:rPr>
              <w:t>5</w:t>
            </w:r>
          </w:p>
        </w:tc>
        <w:tc>
          <w:tcPr>
            <w:tcW w:w="1231" w:type="dxa"/>
            <w:tcBorders>
              <w:bottom w:val="single" w:sz="4" w:space="0" w:color="auto"/>
            </w:tcBorders>
            <w:shd w:val="clear" w:color="auto" w:fill="92D050"/>
            <w:tcMar>
              <w:top w:w="80" w:type="dxa"/>
              <w:left w:w="80" w:type="dxa"/>
              <w:bottom w:w="80" w:type="dxa"/>
              <w:right w:w="80" w:type="dxa"/>
            </w:tcMar>
          </w:tcPr>
          <w:p w14:paraId="5A610B5D" w14:textId="77777777" w:rsidR="003B4A93" w:rsidRDefault="00CC5A23">
            <w:pPr>
              <w:pStyle w:val="BodyA"/>
              <w:keepLines/>
              <w:spacing w:before="40" w:after="40" w:line="200" w:lineRule="atLeast"/>
              <w:jc w:val="center"/>
            </w:pPr>
            <w:r>
              <w:rPr>
                <w:rStyle w:val="None"/>
                <w:sz w:val="17"/>
                <w:szCs w:val="17"/>
              </w:rPr>
              <w:t>6</w:t>
            </w:r>
          </w:p>
        </w:tc>
        <w:tc>
          <w:tcPr>
            <w:tcW w:w="1234" w:type="dxa"/>
            <w:tcBorders>
              <w:bottom w:val="single" w:sz="4" w:space="0" w:color="auto"/>
            </w:tcBorders>
            <w:shd w:val="clear" w:color="auto" w:fill="FFFF00"/>
            <w:tcMar>
              <w:top w:w="80" w:type="dxa"/>
              <w:left w:w="80" w:type="dxa"/>
              <w:bottom w:w="80" w:type="dxa"/>
              <w:right w:w="80" w:type="dxa"/>
            </w:tcMar>
          </w:tcPr>
          <w:p w14:paraId="57FDD5E3" w14:textId="77777777" w:rsidR="003B4A93" w:rsidRDefault="001E283F">
            <w:pPr>
              <w:pStyle w:val="BodyA"/>
              <w:keepLines/>
              <w:spacing w:before="40" w:after="40" w:line="200" w:lineRule="atLeast"/>
              <w:jc w:val="center"/>
            </w:pPr>
            <w:r>
              <w:rPr>
                <w:rStyle w:val="None"/>
                <w:sz w:val="17"/>
                <w:szCs w:val="17"/>
              </w:rPr>
              <w:t>4</w:t>
            </w:r>
          </w:p>
        </w:tc>
        <w:tc>
          <w:tcPr>
            <w:tcW w:w="1234" w:type="dxa"/>
            <w:shd w:val="clear" w:color="auto" w:fill="auto"/>
            <w:tcMar>
              <w:top w:w="80" w:type="dxa"/>
              <w:left w:w="80" w:type="dxa"/>
              <w:bottom w:w="80" w:type="dxa"/>
              <w:right w:w="80" w:type="dxa"/>
            </w:tcMar>
          </w:tcPr>
          <w:p w14:paraId="40033CE8" w14:textId="77777777" w:rsidR="003B4A93" w:rsidRDefault="003B4A93">
            <w:pPr>
              <w:pStyle w:val="BodyA"/>
              <w:keepLines/>
              <w:spacing w:before="40" w:after="40" w:line="200" w:lineRule="atLeast"/>
              <w:jc w:val="center"/>
            </w:pPr>
          </w:p>
        </w:tc>
      </w:tr>
      <w:tr w:rsidR="00370349" w14:paraId="00FBD0D1" w14:textId="77777777" w:rsidTr="00775A5D">
        <w:trPr>
          <w:trHeight w:val="530"/>
        </w:trPr>
        <w:tc>
          <w:tcPr>
            <w:tcW w:w="2661" w:type="dxa"/>
            <w:tcBorders>
              <w:top w:val="single" w:sz="4" w:space="0" w:color="auto"/>
              <w:bottom w:val="single" w:sz="4" w:space="0" w:color="auto"/>
            </w:tcBorders>
            <w:shd w:val="clear" w:color="auto" w:fill="auto"/>
            <w:tcMar>
              <w:top w:w="80" w:type="dxa"/>
              <w:left w:w="80" w:type="dxa"/>
              <w:bottom w:w="80" w:type="dxa"/>
              <w:right w:w="80" w:type="dxa"/>
            </w:tcMar>
          </w:tcPr>
          <w:p w14:paraId="76829A9D" w14:textId="77777777" w:rsidR="00370349" w:rsidRDefault="00370349">
            <w:pPr>
              <w:pStyle w:val="BodyA"/>
              <w:keepLines/>
              <w:spacing w:before="40" w:after="40" w:line="200" w:lineRule="atLeast"/>
              <w:rPr>
                <w:rStyle w:val="None"/>
                <w:sz w:val="17"/>
                <w:szCs w:val="17"/>
              </w:rPr>
            </w:pPr>
            <w:r>
              <w:rPr>
                <w:rStyle w:val="None"/>
                <w:sz w:val="17"/>
                <w:szCs w:val="17"/>
              </w:rPr>
              <w:t xml:space="preserve">Social Protection and Extreme Poverty Reduction </w:t>
            </w:r>
          </w:p>
        </w:tc>
        <w:tc>
          <w:tcPr>
            <w:tcW w:w="1934" w:type="dxa"/>
            <w:tcBorders>
              <w:top w:val="single" w:sz="4" w:space="0" w:color="auto"/>
              <w:bottom w:val="single" w:sz="4" w:space="0" w:color="auto"/>
            </w:tcBorders>
            <w:shd w:val="clear" w:color="auto" w:fill="auto"/>
            <w:tcMar>
              <w:top w:w="80" w:type="dxa"/>
              <w:left w:w="80" w:type="dxa"/>
              <w:bottom w:w="80" w:type="dxa"/>
              <w:right w:w="80" w:type="dxa"/>
            </w:tcMar>
          </w:tcPr>
          <w:p w14:paraId="0B7261A3" w14:textId="77777777" w:rsidR="00370349" w:rsidRDefault="00370349">
            <w:pPr>
              <w:pStyle w:val="BodyA"/>
              <w:rPr>
                <w:rStyle w:val="None"/>
                <w:color w:val="000000"/>
                <w:sz w:val="17"/>
                <w:szCs w:val="17"/>
                <w:u w:color="000000"/>
              </w:rPr>
            </w:pPr>
            <w:r>
              <w:rPr>
                <w:rStyle w:val="None"/>
                <w:color w:val="000000"/>
                <w:sz w:val="17"/>
                <w:szCs w:val="17"/>
                <w:u w:color="000000"/>
              </w:rPr>
              <w:t>$9.1m</w:t>
            </w:r>
          </w:p>
          <w:p w14:paraId="3E187392" w14:textId="77777777" w:rsidR="00370349" w:rsidRDefault="00370349">
            <w:pPr>
              <w:pStyle w:val="BodyA"/>
              <w:rPr>
                <w:rStyle w:val="None"/>
                <w:color w:val="000000"/>
                <w:sz w:val="17"/>
                <w:szCs w:val="17"/>
                <w:u w:color="000000"/>
              </w:rPr>
            </w:pPr>
            <w:r>
              <w:rPr>
                <w:rStyle w:val="None"/>
                <w:color w:val="000000"/>
                <w:sz w:val="17"/>
                <w:szCs w:val="17"/>
                <w:u w:color="000000"/>
              </w:rPr>
              <w:t>2014-2017</w:t>
            </w:r>
          </w:p>
        </w:tc>
        <w:tc>
          <w:tcPr>
            <w:tcW w:w="1235" w:type="dxa"/>
            <w:tcBorders>
              <w:top w:val="single" w:sz="4" w:space="0" w:color="auto"/>
              <w:bottom w:val="single" w:sz="4" w:space="0" w:color="auto"/>
            </w:tcBorders>
            <w:shd w:val="clear" w:color="auto" w:fill="92D050"/>
            <w:tcMar>
              <w:top w:w="80" w:type="dxa"/>
              <w:left w:w="80" w:type="dxa"/>
              <w:bottom w:w="80" w:type="dxa"/>
              <w:right w:w="80" w:type="dxa"/>
            </w:tcMar>
          </w:tcPr>
          <w:p w14:paraId="4B167B36"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2" w:type="dxa"/>
            <w:tcBorders>
              <w:top w:val="single" w:sz="4" w:space="0" w:color="auto"/>
              <w:bottom w:val="single" w:sz="4" w:space="0" w:color="auto"/>
            </w:tcBorders>
            <w:shd w:val="clear" w:color="auto" w:fill="92D050"/>
            <w:tcMar>
              <w:top w:w="80" w:type="dxa"/>
              <w:left w:w="80" w:type="dxa"/>
              <w:bottom w:w="80" w:type="dxa"/>
              <w:right w:w="80" w:type="dxa"/>
            </w:tcMar>
          </w:tcPr>
          <w:p w14:paraId="388191EC" w14:textId="77777777" w:rsidR="00370349" w:rsidRDefault="00CC5A23">
            <w:pPr>
              <w:pStyle w:val="BodyA"/>
              <w:keepLines/>
              <w:spacing w:before="40" w:after="40" w:line="200" w:lineRule="atLeast"/>
              <w:jc w:val="center"/>
              <w:rPr>
                <w:rStyle w:val="None"/>
                <w:sz w:val="17"/>
                <w:szCs w:val="17"/>
              </w:rPr>
            </w:pPr>
            <w:r>
              <w:rPr>
                <w:rStyle w:val="None"/>
                <w:sz w:val="17"/>
                <w:szCs w:val="17"/>
              </w:rPr>
              <w:t>6</w:t>
            </w:r>
          </w:p>
        </w:tc>
        <w:tc>
          <w:tcPr>
            <w:tcW w:w="1234" w:type="dxa"/>
            <w:tcBorders>
              <w:top w:val="single" w:sz="4" w:space="0" w:color="auto"/>
              <w:bottom w:val="single" w:sz="4" w:space="0" w:color="auto"/>
            </w:tcBorders>
            <w:shd w:val="clear" w:color="auto" w:fill="92D050"/>
            <w:tcMar>
              <w:top w:w="80" w:type="dxa"/>
              <w:left w:w="80" w:type="dxa"/>
              <w:bottom w:w="80" w:type="dxa"/>
              <w:right w:w="80" w:type="dxa"/>
            </w:tcMar>
          </w:tcPr>
          <w:p w14:paraId="5DC7D343"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1" w:type="dxa"/>
            <w:tcBorders>
              <w:top w:val="single" w:sz="4" w:space="0" w:color="auto"/>
              <w:bottom w:val="single" w:sz="4" w:space="0" w:color="auto"/>
            </w:tcBorders>
            <w:shd w:val="clear" w:color="auto" w:fill="92D050"/>
            <w:tcMar>
              <w:top w:w="80" w:type="dxa"/>
              <w:left w:w="80" w:type="dxa"/>
              <w:bottom w:w="80" w:type="dxa"/>
              <w:right w:w="80" w:type="dxa"/>
            </w:tcMar>
          </w:tcPr>
          <w:p w14:paraId="5600AAF3"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4" w:type="dxa"/>
            <w:tcBorders>
              <w:top w:val="single" w:sz="4" w:space="0" w:color="auto"/>
              <w:bottom w:val="single" w:sz="4" w:space="0" w:color="auto"/>
            </w:tcBorders>
            <w:shd w:val="clear" w:color="auto" w:fill="92D050"/>
            <w:tcMar>
              <w:top w:w="80" w:type="dxa"/>
              <w:left w:w="80" w:type="dxa"/>
              <w:bottom w:w="80" w:type="dxa"/>
              <w:right w:w="80" w:type="dxa"/>
            </w:tcMar>
          </w:tcPr>
          <w:p w14:paraId="72AAFE8C"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1" w:type="dxa"/>
            <w:tcBorders>
              <w:top w:val="single" w:sz="4" w:space="0" w:color="auto"/>
              <w:bottom w:val="single" w:sz="4" w:space="0" w:color="auto"/>
            </w:tcBorders>
            <w:shd w:val="clear" w:color="auto" w:fill="92D050"/>
            <w:tcMar>
              <w:top w:w="80" w:type="dxa"/>
              <w:left w:w="80" w:type="dxa"/>
              <w:bottom w:w="80" w:type="dxa"/>
              <w:right w:w="80" w:type="dxa"/>
            </w:tcMar>
          </w:tcPr>
          <w:p w14:paraId="24F42BA2"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4" w:type="dxa"/>
            <w:tcBorders>
              <w:top w:val="single" w:sz="4" w:space="0" w:color="auto"/>
              <w:bottom w:val="single" w:sz="4" w:space="0" w:color="auto"/>
            </w:tcBorders>
            <w:shd w:val="clear" w:color="auto" w:fill="92D050"/>
            <w:tcMar>
              <w:top w:w="80" w:type="dxa"/>
              <w:left w:w="80" w:type="dxa"/>
              <w:bottom w:w="80" w:type="dxa"/>
              <w:right w:w="80" w:type="dxa"/>
            </w:tcMar>
          </w:tcPr>
          <w:p w14:paraId="463AB98C"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4" w:type="dxa"/>
            <w:shd w:val="clear" w:color="auto" w:fill="auto"/>
            <w:tcMar>
              <w:top w:w="80" w:type="dxa"/>
              <w:left w:w="80" w:type="dxa"/>
              <w:bottom w:w="80" w:type="dxa"/>
              <w:right w:w="80" w:type="dxa"/>
            </w:tcMar>
          </w:tcPr>
          <w:p w14:paraId="55ED0594" w14:textId="77777777" w:rsidR="00370349" w:rsidRDefault="00370349">
            <w:pPr>
              <w:pStyle w:val="BodyA"/>
              <w:keepLines/>
              <w:spacing w:before="40" w:after="40" w:line="200" w:lineRule="atLeast"/>
              <w:jc w:val="center"/>
              <w:rPr>
                <w:rStyle w:val="None"/>
                <w:sz w:val="17"/>
                <w:szCs w:val="17"/>
              </w:rPr>
            </w:pPr>
          </w:p>
        </w:tc>
      </w:tr>
      <w:tr w:rsidR="00370349" w14:paraId="54E25F2F" w14:textId="77777777" w:rsidTr="00775A5D">
        <w:trPr>
          <w:trHeight w:val="530"/>
        </w:trPr>
        <w:tc>
          <w:tcPr>
            <w:tcW w:w="2661" w:type="dxa"/>
            <w:tcBorders>
              <w:top w:val="single" w:sz="4" w:space="0" w:color="auto"/>
              <w:bottom w:val="single" w:sz="4" w:space="0" w:color="auto"/>
            </w:tcBorders>
            <w:shd w:val="clear" w:color="auto" w:fill="auto"/>
            <w:tcMar>
              <w:top w:w="80" w:type="dxa"/>
              <w:left w:w="80" w:type="dxa"/>
              <w:bottom w:w="80" w:type="dxa"/>
              <w:right w:w="80" w:type="dxa"/>
            </w:tcMar>
          </w:tcPr>
          <w:p w14:paraId="5786916E" w14:textId="77777777" w:rsidR="00370349" w:rsidRDefault="00CC5A23">
            <w:pPr>
              <w:pStyle w:val="BodyA"/>
              <w:keepLines/>
              <w:spacing w:before="40" w:after="40" w:line="200" w:lineRule="atLeast"/>
              <w:rPr>
                <w:rStyle w:val="None"/>
                <w:sz w:val="17"/>
                <w:szCs w:val="17"/>
              </w:rPr>
            </w:pPr>
            <w:r>
              <w:rPr>
                <w:rStyle w:val="None"/>
                <w:sz w:val="17"/>
                <w:szCs w:val="17"/>
              </w:rPr>
              <w:t>World Food Program – Cox’s Bazar</w:t>
            </w:r>
          </w:p>
        </w:tc>
        <w:tc>
          <w:tcPr>
            <w:tcW w:w="1934" w:type="dxa"/>
            <w:tcBorders>
              <w:top w:val="single" w:sz="4" w:space="0" w:color="auto"/>
              <w:bottom w:val="single" w:sz="4" w:space="0" w:color="auto"/>
            </w:tcBorders>
            <w:shd w:val="clear" w:color="auto" w:fill="auto"/>
            <w:tcMar>
              <w:top w:w="80" w:type="dxa"/>
              <w:left w:w="80" w:type="dxa"/>
              <w:bottom w:w="80" w:type="dxa"/>
              <w:right w:w="80" w:type="dxa"/>
            </w:tcMar>
          </w:tcPr>
          <w:p w14:paraId="608608F2" w14:textId="77777777" w:rsidR="00370349" w:rsidRDefault="00CC5A23">
            <w:pPr>
              <w:pStyle w:val="BodyA"/>
              <w:rPr>
                <w:rStyle w:val="None"/>
                <w:color w:val="000000"/>
                <w:sz w:val="17"/>
                <w:szCs w:val="17"/>
                <w:u w:color="000000"/>
              </w:rPr>
            </w:pPr>
            <w:r>
              <w:rPr>
                <w:rStyle w:val="None"/>
                <w:color w:val="000000"/>
                <w:sz w:val="17"/>
                <w:szCs w:val="17"/>
                <w:u w:color="000000"/>
              </w:rPr>
              <w:t>$16.5m</w:t>
            </w:r>
          </w:p>
          <w:p w14:paraId="11120502" w14:textId="77777777" w:rsidR="00CC5A23" w:rsidRDefault="00CC5A23">
            <w:pPr>
              <w:pStyle w:val="BodyA"/>
              <w:rPr>
                <w:rStyle w:val="None"/>
                <w:color w:val="000000"/>
                <w:sz w:val="17"/>
                <w:szCs w:val="17"/>
                <w:u w:color="000000"/>
              </w:rPr>
            </w:pPr>
            <w:r>
              <w:rPr>
                <w:rStyle w:val="None"/>
                <w:color w:val="000000"/>
                <w:sz w:val="17"/>
                <w:szCs w:val="17"/>
                <w:u w:color="000000"/>
              </w:rPr>
              <w:t>2013-2017</w:t>
            </w:r>
          </w:p>
        </w:tc>
        <w:tc>
          <w:tcPr>
            <w:tcW w:w="1235" w:type="dxa"/>
            <w:tcBorders>
              <w:top w:val="single" w:sz="4" w:space="0" w:color="auto"/>
              <w:bottom w:val="single" w:sz="4" w:space="0" w:color="auto"/>
            </w:tcBorders>
            <w:shd w:val="clear" w:color="auto" w:fill="92D050"/>
            <w:tcMar>
              <w:top w:w="80" w:type="dxa"/>
              <w:left w:w="80" w:type="dxa"/>
              <w:bottom w:w="80" w:type="dxa"/>
              <w:right w:w="80" w:type="dxa"/>
            </w:tcMar>
          </w:tcPr>
          <w:p w14:paraId="7B56D013"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2" w:type="dxa"/>
            <w:tcBorders>
              <w:top w:val="single" w:sz="4" w:space="0" w:color="auto"/>
              <w:bottom w:val="single" w:sz="4" w:space="0" w:color="auto"/>
            </w:tcBorders>
            <w:shd w:val="clear" w:color="auto" w:fill="92D050"/>
            <w:tcMar>
              <w:top w:w="80" w:type="dxa"/>
              <w:left w:w="80" w:type="dxa"/>
              <w:bottom w:w="80" w:type="dxa"/>
              <w:right w:w="80" w:type="dxa"/>
            </w:tcMar>
          </w:tcPr>
          <w:p w14:paraId="4C796B80" w14:textId="77777777" w:rsidR="00370349" w:rsidRDefault="00CC5A23">
            <w:pPr>
              <w:pStyle w:val="BodyA"/>
              <w:keepLines/>
              <w:spacing w:before="40" w:after="40" w:line="200" w:lineRule="atLeast"/>
              <w:jc w:val="center"/>
              <w:rPr>
                <w:rStyle w:val="None"/>
                <w:sz w:val="17"/>
                <w:szCs w:val="17"/>
              </w:rPr>
            </w:pPr>
            <w:r>
              <w:rPr>
                <w:rStyle w:val="None"/>
                <w:sz w:val="17"/>
                <w:szCs w:val="17"/>
              </w:rPr>
              <w:t>6</w:t>
            </w:r>
          </w:p>
        </w:tc>
        <w:tc>
          <w:tcPr>
            <w:tcW w:w="1234" w:type="dxa"/>
            <w:tcBorders>
              <w:top w:val="single" w:sz="4" w:space="0" w:color="auto"/>
              <w:bottom w:val="single" w:sz="4" w:space="0" w:color="auto"/>
            </w:tcBorders>
            <w:shd w:val="clear" w:color="auto" w:fill="92D050"/>
            <w:tcMar>
              <w:top w:w="80" w:type="dxa"/>
              <w:left w:w="80" w:type="dxa"/>
              <w:bottom w:w="80" w:type="dxa"/>
              <w:right w:w="80" w:type="dxa"/>
            </w:tcMar>
          </w:tcPr>
          <w:p w14:paraId="691DFE6A"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1" w:type="dxa"/>
            <w:tcBorders>
              <w:top w:val="single" w:sz="4" w:space="0" w:color="auto"/>
              <w:bottom w:val="single" w:sz="4" w:space="0" w:color="auto"/>
            </w:tcBorders>
            <w:shd w:val="clear" w:color="auto" w:fill="92D050"/>
            <w:tcMar>
              <w:top w:w="80" w:type="dxa"/>
              <w:left w:w="80" w:type="dxa"/>
              <w:bottom w:w="80" w:type="dxa"/>
              <w:right w:w="80" w:type="dxa"/>
            </w:tcMar>
          </w:tcPr>
          <w:p w14:paraId="3EB61E72"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4" w:type="dxa"/>
            <w:tcBorders>
              <w:top w:val="single" w:sz="4" w:space="0" w:color="auto"/>
              <w:bottom w:val="single" w:sz="4" w:space="0" w:color="auto"/>
            </w:tcBorders>
            <w:shd w:val="clear" w:color="auto" w:fill="92D050"/>
            <w:tcMar>
              <w:top w:w="80" w:type="dxa"/>
              <w:left w:w="80" w:type="dxa"/>
              <w:bottom w:w="80" w:type="dxa"/>
              <w:right w:w="80" w:type="dxa"/>
            </w:tcMar>
          </w:tcPr>
          <w:p w14:paraId="6BBAD181"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1" w:type="dxa"/>
            <w:tcBorders>
              <w:top w:val="single" w:sz="4" w:space="0" w:color="auto"/>
              <w:bottom w:val="single" w:sz="4" w:space="0" w:color="auto"/>
            </w:tcBorders>
            <w:shd w:val="clear" w:color="auto" w:fill="92D050"/>
            <w:tcMar>
              <w:top w:w="80" w:type="dxa"/>
              <w:left w:w="80" w:type="dxa"/>
              <w:bottom w:w="80" w:type="dxa"/>
              <w:right w:w="80" w:type="dxa"/>
            </w:tcMar>
          </w:tcPr>
          <w:p w14:paraId="790436C0"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4" w:type="dxa"/>
            <w:tcBorders>
              <w:top w:val="single" w:sz="4" w:space="0" w:color="auto"/>
              <w:bottom w:val="single" w:sz="4" w:space="0" w:color="auto"/>
            </w:tcBorders>
            <w:shd w:val="clear" w:color="auto" w:fill="92D050"/>
            <w:tcMar>
              <w:top w:w="80" w:type="dxa"/>
              <w:left w:w="80" w:type="dxa"/>
              <w:bottom w:w="80" w:type="dxa"/>
              <w:right w:w="80" w:type="dxa"/>
            </w:tcMar>
          </w:tcPr>
          <w:p w14:paraId="31B54B61" w14:textId="77777777" w:rsidR="00370349" w:rsidRDefault="00CC5A23">
            <w:pPr>
              <w:pStyle w:val="BodyA"/>
              <w:keepLines/>
              <w:spacing w:before="40" w:after="40" w:line="200" w:lineRule="atLeast"/>
              <w:jc w:val="center"/>
              <w:rPr>
                <w:rStyle w:val="None"/>
                <w:sz w:val="17"/>
                <w:szCs w:val="17"/>
              </w:rPr>
            </w:pPr>
            <w:r>
              <w:rPr>
                <w:rStyle w:val="None"/>
                <w:sz w:val="17"/>
                <w:szCs w:val="17"/>
              </w:rPr>
              <w:t>5</w:t>
            </w:r>
          </w:p>
        </w:tc>
        <w:tc>
          <w:tcPr>
            <w:tcW w:w="1234" w:type="dxa"/>
            <w:shd w:val="clear" w:color="auto" w:fill="auto"/>
            <w:tcMar>
              <w:top w:w="80" w:type="dxa"/>
              <w:left w:w="80" w:type="dxa"/>
              <w:bottom w:w="80" w:type="dxa"/>
              <w:right w:w="80" w:type="dxa"/>
            </w:tcMar>
          </w:tcPr>
          <w:p w14:paraId="131983CF" w14:textId="77777777" w:rsidR="00370349" w:rsidRDefault="00370349">
            <w:pPr>
              <w:pStyle w:val="BodyA"/>
              <w:keepLines/>
              <w:spacing w:before="40" w:after="40" w:line="200" w:lineRule="atLeast"/>
              <w:jc w:val="center"/>
              <w:rPr>
                <w:rStyle w:val="None"/>
                <w:sz w:val="17"/>
                <w:szCs w:val="17"/>
              </w:rPr>
            </w:pPr>
          </w:p>
        </w:tc>
      </w:tr>
    </w:tbl>
    <w:p w14:paraId="0B6A76C1" w14:textId="77777777" w:rsidR="003B4A93" w:rsidRDefault="003B4A93">
      <w:pPr>
        <w:pStyle w:val="BodyA"/>
        <w:widowControl w:val="0"/>
        <w:spacing w:line="240" w:lineRule="auto"/>
        <w:ind w:left="108" w:hanging="108"/>
      </w:pPr>
    </w:p>
    <w:p w14:paraId="0E5A7414" w14:textId="77777777" w:rsidR="003B4A93" w:rsidRDefault="003B4A93">
      <w:pPr>
        <w:pStyle w:val="BodyA"/>
        <w:widowControl w:val="0"/>
        <w:spacing w:line="240" w:lineRule="auto"/>
      </w:pPr>
    </w:p>
    <w:p w14:paraId="3F23CBF4" w14:textId="77777777" w:rsidR="003B4A93" w:rsidRDefault="003B4A93">
      <w:pPr>
        <w:pStyle w:val="BodyA"/>
        <w:spacing w:before="20" w:after="20" w:line="180" w:lineRule="atLeast"/>
        <w:jc w:val="both"/>
        <w:rPr>
          <w:rStyle w:val="None"/>
          <w:rFonts w:ascii="Franklin Gothic Book" w:eastAsia="Franklin Gothic Book" w:hAnsi="Franklin Gothic Book" w:cs="Franklin Gothic Book"/>
          <w:b/>
          <w:bCs/>
          <w:sz w:val="14"/>
          <w:szCs w:val="14"/>
        </w:rPr>
      </w:pPr>
    </w:p>
    <w:p w14:paraId="5B541B51" w14:textId="77777777" w:rsidR="003B4A93" w:rsidRDefault="001E283F">
      <w:pPr>
        <w:pStyle w:val="BodyA"/>
        <w:spacing w:before="20" w:after="20" w:line="180" w:lineRule="atLeast"/>
        <w:jc w:val="both"/>
        <w:rPr>
          <w:rStyle w:val="None"/>
          <w:b/>
          <w:bCs/>
          <w:sz w:val="16"/>
          <w:szCs w:val="16"/>
        </w:rPr>
      </w:pPr>
      <w:r>
        <w:rPr>
          <w:rStyle w:val="None"/>
          <w:b/>
          <w:bCs/>
          <w:sz w:val="16"/>
          <w:szCs w:val="16"/>
        </w:rPr>
        <w:t>Definitions of rating scale:</w:t>
      </w:r>
      <w:r>
        <w:rPr>
          <w:rStyle w:val="None"/>
          <w:b/>
          <w:bCs/>
          <w:sz w:val="16"/>
          <w:szCs w:val="16"/>
        </w:rPr>
        <w:tab/>
      </w:r>
    </w:p>
    <w:p w14:paraId="44A8DDCC" w14:textId="77777777" w:rsidR="003B4A93" w:rsidRDefault="001E283F">
      <w:pPr>
        <w:pStyle w:val="BodyA"/>
        <w:spacing w:before="20" w:after="20" w:line="180" w:lineRule="atLeast"/>
        <w:jc w:val="both"/>
        <w:rPr>
          <w:rStyle w:val="None"/>
          <w:b/>
          <w:bCs/>
          <w:sz w:val="16"/>
          <w:szCs w:val="16"/>
        </w:rPr>
      </w:pPr>
      <w:r>
        <w:rPr>
          <w:rStyle w:val="None"/>
          <w:b/>
          <w:bCs/>
          <w:sz w:val="16"/>
          <w:szCs w:val="16"/>
        </w:rPr>
        <w:t>Satisfactory (4, 5 and 6)</w:t>
      </w:r>
    </w:p>
    <w:p w14:paraId="1D51C01D" w14:textId="77777777" w:rsidR="003B4A93" w:rsidRDefault="001E283F">
      <w:pPr>
        <w:pStyle w:val="BodyA"/>
        <w:spacing w:before="20" w:after="20" w:line="180" w:lineRule="atLeast"/>
        <w:jc w:val="both"/>
        <w:rPr>
          <w:rStyle w:val="None"/>
          <w:b/>
          <w:bCs/>
          <w:sz w:val="16"/>
          <w:szCs w:val="16"/>
        </w:rPr>
      </w:pPr>
      <w:r>
        <w:rPr>
          <w:rStyle w:val="None"/>
          <w:rFonts w:ascii="Webdings" w:hAnsi="Webdings"/>
          <w:color w:val="72AF2F"/>
          <w:sz w:val="16"/>
          <w:szCs w:val="16"/>
          <w:u w:color="72AF2F"/>
        </w:rPr>
        <w:sym w:font="Webdings" w:char="F067"/>
      </w:r>
      <w:r>
        <w:rPr>
          <w:rStyle w:val="None"/>
          <w:b/>
          <w:bCs/>
          <w:sz w:val="16"/>
          <w:szCs w:val="16"/>
        </w:rPr>
        <w:t xml:space="preserve"> 6 = Very good; satisfies criteria in all areas.  </w:t>
      </w:r>
      <w:r>
        <w:rPr>
          <w:rStyle w:val="None"/>
          <w:rFonts w:ascii="Webdings" w:hAnsi="Webdings"/>
          <w:color w:val="72AF2F"/>
          <w:sz w:val="16"/>
          <w:szCs w:val="16"/>
          <w:u w:color="72AF2F"/>
        </w:rPr>
        <w:sym w:font="Webdings" w:char="F067"/>
      </w:r>
      <w:r>
        <w:rPr>
          <w:rStyle w:val="None"/>
          <w:b/>
          <w:bCs/>
          <w:sz w:val="16"/>
          <w:szCs w:val="16"/>
        </w:rPr>
        <w:t xml:space="preserve"> 5 = Good; satisfies criteria in almost all areas.</w:t>
      </w:r>
    </w:p>
    <w:p w14:paraId="6443ECAE" w14:textId="77777777" w:rsidR="003B4A93" w:rsidRDefault="001E283F">
      <w:pPr>
        <w:pStyle w:val="BodyA"/>
        <w:spacing w:before="20" w:after="20" w:line="180" w:lineRule="atLeast"/>
        <w:jc w:val="both"/>
        <w:rPr>
          <w:rStyle w:val="None"/>
          <w:b/>
          <w:bCs/>
          <w:sz w:val="16"/>
          <w:szCs w:val="16"/>
        </w:rPr>
      </w:pPr>
      <w:r>
        <w:rPr>
          <w:rStyle w:val="None"/>
          <w:rFonts w:ascii="Webdings" w:hAnsi="Webdings"/>
          <w:color w:val="FFFF00"/>
          <w:sz w:val="16"/>
          <w:szCs w:val="16"/>
          <w:u w:color="FFFF00"/>
        </w:rPr>
        <w:sym w:font="Webdings" w:char="F067"/>
      </w:r>
      <w:r>
        <w:rPr>
          <w:rStyle w:val="None"/>
          <w:b/>
          <w:bCs/>
          <w:sz w:val="16"/>
          <w:szCs w:val="16"/>
        </w:rPr>
        <w:t xml:space="preserve"> 4 = Adequate; on balance, satisfies criteria; does not fail in any major area.</w:t>
      </w:r>
    </w:p>
    <w:p w14:paraId="1CDBA861" w14:textId="77777777" w:rsidR="003B4A93" w:rsidRDefault="001E283F">
      <w:pPr>
        <w:pStyle w:val="BodyA"/>
        <w:spacing w:before="20" w:after="20" w:line="180" w:lineRule="atLeast"/>
        <w:jc w:val="both"/>
        <w:rPr>
          <w:rStyle w:val="None"/>
          <w:b/>
          <w:bCs/>
          <w:sz w:val="16"/>
          <w:szCs w:val="16"/>
        </w:rPr>
      </w:pPr>
      <w:r>
        <w:rPr>
          <w:rStyle w:val="None"/>
          <w:b/>
          <w:bCs/>
          <w:sz w:val="16"/>
          <w:szCs w:val="16"/>
        </w:rPr>
        <w:t>Less than satisfactory (1, 2 and 3)</w:t>
      </w:r>
    </w:p>
    <w:p w14:paraId="31D74A8F" w14:textId="77777777" w:rsidR="003B4A93" w:rsidRDefault="001E283F">
      <w:pPr>
        <w:pStyle w:val="BodyA"/>
        <w:spacing w:before="20" w:after="20" w:line="180" w:lineRule="atLeast"/>
        <w:jc w:val="both"/>
        <w:rPr>
          <w:rStyle w:val="None"/>
          <w:b/>
          <w:bCs/>
          <w:sz w:val="16"/>
          <w:szCs w:val="16"/>
        </w:rPr>
      </w:pPr>
      <w:r>
        <w:rPr>
          <w:rStyle w:val="None"/>
          <w:rFonts w:ascii="Webdings" w:hAnsi="Webdings"/>
          <w:color w:val="E36C0A"/>
          <w:sz w:val="16"/>
          <w:szCs w:val="16"/>
          <w:u w:color="E36C0A"/>
        </w:rPr>
        <w:sym w:font="Webdings" w:char="F067"/>
      </w:r>
      <w:r>
        <w:rPr>
          <w:rStyle w:val="None"/>
          <w:b/>
          <w:bCs/>
          <w:color w:val="E36C0A"/>
          <w:sz w:val="16"/>
          <w:szCs w:val="16"/>
          <w:u w:color="E36C0A"/>
        </w:rPr>
        <w:t xml:space="preserve"> </w:t>
      </w:r>
      <w:r>
        <w:rPr>
          <w:rStyle w:val="None"/>
          <w:b/>
          <w:bCs/>
          <w:sz w:val="16"/>
          <w:szCs w:val="16"/>
        </w:rPr>
        <w:t>3 = Less than adequate; on balance does not satisfy criteria and/or fails in at least one major area.</w:t>
      </w:r>
    </w:p>
    <w:p w14:paraId="2B542811" w14:textId="77777777" w:rsidR="003B4A93" w:rsidRDefault="001E283F">
      <w:pPr>
        <w:pStyle w:val="BodyA"/>
        <w:spacing w:before="20" w:after="20" w:line="180" w:lineRule="atLeast"/>
        <w:rPr>
          <w:rStyle w:val="None"/>
          <w:b/>
          <w:bCs/>
          <w:sz w:val="16"/>
          <w:szCs w:val="16"/>
        </w:rPr>
      </w:pPr>
      <w:r>
        <w:rPr>
          <w:rStyle w:val="None"/>
          <w:rFonts w:ascii="Webdings" w:hAnsi="Webdings"/>
          <w:color w:val="FF0000"/>
          <w:sz w:val="16"/>
          <w:szCs w:val="16"/>
          <w:u w:color="FF0000"/>
        </w:rPr>
        <w:sym w:font="Webdings" w:char="F067"/>
      </w:r>
      <w:r>
        <w:rPr>
          <w:rStyle w:val="None"/>
          <w:b/>
          <w:bCs/>
          <w:sz w:val="16"/>
          <w:szCs w:val="16"/>
        </w:rPr>
        <w:t xml:space="preserve"> 2 = Poor; does not satisfy criteria in major areas.  </w:t>
      </w:r>
      <w:r>
        <w:rPr>
          <w:rStyle w:val="None"/>
          <w:rFonts w:ascii="Webdings" w:hAnsi="Webdings"/>
          <w:color w:val="FF0000"/>
          <w:sz w:val="16"/>
          <w:szCs w:val="16"/>
          <w:u w:color="FF0000"/>
        </w:rPr>
        <w:sym w:font="Webdings" w:char="F067"/>
      </w:r>
      <w:r>
        <w:rPr>
          <w:rStyle w:val="None"/>
          <w:b/>
          <w:bCs/>
          <w:sz w:val="16"/>
          <w:szCs w:val="16"/>
        </w:rPr>
        <w:t xml:space="preserve"> 1 = Very poor; does not satisfy criteria in many major area.</w:t>
      </w:r>
    </w:p>
    <w:p w14:paraId="5691DF07" w14:textId="77777777" w:rsidR="003B4A93" w:rsidRDefault="001E283F">
      <w:pPr>
        <w:pStyle w:val="BodyA"/>
      </w:pPr>
      <w:r>
        <w:br w:type="page"/>
      </w:r>
    </w:p>
    <w:p w14:paraId="3525FAF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sectPr w:rsidR="00474078" w:rsidRPr="00474078" w:rsidSect="00474078">
          <w:footerReference w:type="default" r:id="rId32"/>
          <w:pgSz w:w="16838" w:h="11906" w:orient="landscape" w:code="9"/>
          <w:pgMar w:top="1134" w:right="1952" w:bottom="1134" w:left="851" w:header="1814" w:footer="567" w:gutter="0"/>
          <w:cols w:space="397"/>
          <w:docGrid w:linePitch="360"/>
        </w:sectPr>
      </w:pPr>
    </w:p>
    <w:p w14:paraId="0D1AA7E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b/>
          <w:color w:val="495965"/>
          <w:sz w:val="28"/>
          <w:szCs w:val="28"/>
          <w:bdr w:val="none" w:sz="0" w:space="0" w:color="auto"/>
          <w:lang w:val="en-GB"/>
        </w:rPr>
      </w:pPr>
      <w:r w:rsidRPr="00474078">
        <w:rPr>
          <w:rFonts w:ascii="Calibri Light" w:eastAsia="Calibri Light" w:hAnsi="Calibri Light"/>
          <w:b/>
          <w:color w:val="495965"/>
          <w:sz w:val="28"/>
          <w:szCs w:val="28"/>
          <w:bdr w:val="none" w:sz="0" w:space="0" w:color="auto"/>
          <w:lang w:val="en-GB"/>
        </w:rPr>
        <w:lastRenderedPageBreak/>
        <w:t>ANNEX E - PEFORMANCE ASSESSMENT FRAMEWORK</w:t>
      </w:r>
    </w:p>
    <w:tbl>
      <w:tblPr>
        <w:tblW w:w="15730" w:type="dxa"/>
        <w:tblLayout w:type="fixed"/>
        <w:tblLook w:val="04A0" w:firstRow="1" w:lastRow="0" w:firstColumn="1" w:lastColumn="0" w:noHBand="0" w:noVBand="1"/>
      </w:tblPr>
      <w:tblGrid>
        <w:gridCol w:w="1486"/>
        <w:gridCol w:w="1327"/>
        <w:gridCol w:w="1435"/>
        <w:gridCol w:w="2410"/>
        <w:gridCol w:w="2835"/>
        <w:gridCol w:w="3969"/>
        <w:gridCol w:w="992"/>
        <w:gridCol w:w="1276"/>
      </w:tblGrid>
      <w:tr w:rsidR="00474078" w:rsidRPr="00474078" w14:paraId="7912FA29" w14:textId="77777777" w:rsidTr="00CC539B">
        <w:trPr>
          <w:trHeight w:val="519"/>
          <w:tblHeader/>
        </w:trPr>
        <w:tc>
          <w:tcPr>
            <w:tcW w:w="15730" w:type="dxa"/>
            <w:gridSpan w:val="8"/>
            <w:tcBorders>
              <w:top w:val="dotted" w:sz="4" w:space="0" w:color="auto"/>
              <w:left w:val="dotted" w:sz="4" w:space="0" w:color="auto"/>
              <w:bottom w:val="dotted" w:sz="4" w:space="0" w:color="auto"/>
              <w:right w:val="dotted" w:sz="4" w:space="0" w:color="auto"/>
            </w:tcBorders>
            <w:shd w:val="clear" w:color="auto" w:fill="D8DCDB"/>
          </w:tcPr>
          <w:p w14:paraId="52A7592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Australia’s Aid Objective One: Improving education access, equity, efficiency and learning outcomes  </w:t>
            </w:r>
          </w:p>
        </w:tc>
      </w:tr>
      <w:tr w:rsidR="00474078" w:rsidRPr="00474078" w14:paraId="7E2296DA" w14:textId="77777777" w:rsidTr="00F319C6">
        <w:trPr>
          <w:trHeight w:val="75"/>
          <w:tblHeader/>
        </w:trPr>
        <w:tc>
          <w:tcPr>
            <w:tcW w:w="6658" w:type="dxa"/>
            <w:gridSpan w:val="4"/>
            <w:tcBorders>
              <w:top w:val="dotted" w:sz="4" w:space="0" w:color="auto"/>
              <w:left w:val="dotted" w:sz="4" w:space="0" w:color="auto"/>
              <w:bottom w:val="dotted" w:sz="4" w:space="0" w:color="auto"/>
              <w:right w:val="dotted" w:sz="4" w:space="0" w:color="auto"/>
            </w:tcBorders>
          </w:tcPr>
          <w:p w14:paraId="6813F96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9072" w:type="dxa"/>
            <w:gridSpan w:val="4"/>
            <w:tcBorders>
              <w:top w:val="dotted" w:sz="4" w:space="0" w:color="auto"/>
              <w:left w:val="dotted" w:sz="4" w:space="0" w:color="auto"/>
              <w:bottom w:val="dotted" w:sz="4" w:space="0" w:color="auto"/>
              <w:right w:val="dotted" w:sz="4" w:space="0" w:color="auto"/>
            </w:tcBorders>
          </w:tcPr>
          <w:p w14:paraId="615467E5" w14:textId="33F7F948" w:rsidR="00474078" w:rsidRPr="00474078" w:rsidRDefault="00F319C6"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404265A1" w14:textId="77777777" w:rsidTr="00F319C6">
        <w:trPr>
          <w:trHeight w:val="796"/>
          <w:tblHeader/>
        </w:trPr>
        <w:tc>
          <w:tcPr>
            <w:tcW w:w="1486" w:type="dxa"/>
            <w:tcBorders>
              <w:top w:val="dotted" w:sz="4" w:space="0" w:color="auto"/>
              <w:left w:val="dotted" w:sz="4" w:space="0" w:color="auto"/>
              <w:bottom w:val="dotted" w:sz="4" w:space="0" w:color="auto"/>
              <w:right w:val="dotted" w:sz="4" w:space="0" w:color="auto"/>
            </w:tcBorders>
            <w:shd w:val="clear" w:color="auto" w:fill="D8DCDB"/>
          </w:tcPr>
          <w:p w14:paraId="1002212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327" w:type="dxa"/>
            <w:tcBorders>
              <w:top w:val="dotted" w:sz="4" w:space="0" w:color="auto"/>
              <w:left w:val="dotted" w:sz="4" w:space="0" w:color="auto"/>
              <w:bottom w:val="dotted" w:sz="4" w:space="0" w:color="auto"/>
              <w:right w:val="dotted" w:sz="4" w:space="0" w:color="auto"/>
            </w:tcBorders>
            <w:shd w:val="clear" w:color="auto" w:fill="D8DCDB"/>
          </w:tcPr>
          <w:p w14:paraId="7EF2BBDB" w14:textId="772DF10F" w:rsidR="00474078" w:rsidRPr="00474078" w:rsidRDefault="00474078" w:rsidP="002C29B9">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r w:rsidR="002C29B9">
              <w:rPr>
                <w:rFonts w:ascii="Calibri Light" w:eastAsia="Calibri Light" w:hAnsi="Calibri Light"/>
                <w:b/>
                <w:iCs/>
                <w:color w:val="495965"/>
                <w:sz w:val="18"/>
                <w:szCs w:val="18"/>
                <w:bdr w:val="none" w:sz="0" w:space="0" w:color="auto"/>
                <w:lang w:val="en-AU" w:eastAsia="en-AU"/>
              </w:rPr>
              <w:br/>
              <w:t xml:space="preserve"> </w:t>
            </w:r>
            <w:r w:rsidRPr="00474078">
              <w:rPr>
                <w:rFonts w:ascii="Calibri Light" w:eastAsia="Calibri Light" w:hAnsi="Calibri Light"/>
                <w:b/>
                <w:iCs/>
                <w:color w:val="495965"/>
                <w:sz w:val="18"/>
                <w:szCs w:val="18"/>
                <w:bdr w:val="none" w:sz="0" w:space="0" w:color="auto"/>
                <w:lang w:val="en-AU" w:eastAsia="en-AU"/>
              </w:rPr>
              <w:t>indicators</w:t>
            </w:r>
          </w:p>
        </w:tc>
        <w:tc>
          <w:tcPr>
            <w:tcW w:w="1435" w:type="dxa"/>
            <w:tcBorders>
              <w:top w:val="dotted" w:sz="4" w:space="0" w:color="auto"/>
              <w:left w:val="dotted" w:sz="4" w:space="0" w:color="auto"/>
              <w:bottom w:val="dotted" w:sz="4" w:space="0" w:color="auto"/>
              <w:right w:val="dotted" w:sz="4" w:space="0" w:color="auto"/>
            </w:tcBorders>
            <w:shd w:val="clear" w:color="auto" w:fill="D8DCDB"/>
          </w:tcPr>
          <w:p w14:paraId="2AAFEAA9" w14:textId="785CD070" w:rsidR="00474078" w:rsidRPr="00474078" w:rsidRDefault="00474078" w:rsidP="002C29B9">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Intermediate </w:t>
            </w:r>
            <w:r w:rsidR="002C29B9">
              <w:rPr>
                <w:rFonts w:ascii="Calibri Light" w:eastAsia="Calibri Light" w:hAnsi="Calibri Light"/>
                <w:b/>
                <w:iCs/>
                <w:color w:val="495965"/>
                <w:sz w:val="18"/>
                <w:szCs w:val="18"/>
                <w:bdr w:val="none" w:sz="0" w:space="0" w:color="auto"/>
                <w:lang w:val="en-AU" w:eastAsia="en-AU"/>
              </w:rPr>
              <w:br/>
            </w:r>
            <w:r w:rsidRPr="00474078">
              <w:rPr>
                <w:rFonts w:ascii="Calibri Light" w:eastAsia="Calibri Light" w:hAnsi="Calibri Light"/>
                <w:b/>
                <w:iCs/>
                <w:color w:val="495965"/>
                <w:sz w:val="18"/>
                <w:szCs w:val="18"/>
                <w:bdr w:val="none" w:sz="0" w:space="0" w:color="auto"/>
                <w:lang w:val="en-AU" w:eastAsia="en-AU"/>
              </w:rPr>
              <w:t>outcome</w:t>
            </w:r>
          </w:p>
        </w:tc>
        <w:tc>
          <w:tcPr>
            <w:tcW w:w="2410" w:type="dxa"/>
            <w:tcBorders>
              <w:top w:val="dotted" w:sz="4" w:space="0" w:color="auto"/>
              <w:left w:val="dotted" w:sz="4" w:space="0" w:color="auto"/>
              <w:bottom w:val="dotted" w:sz="4" w:space="0" w:color="auto"/>
              <w:right w:val="dotted" w:sz="4" w:space="0" w:color="auto"/>
            </w:tcBorders>
            <w:shd w:val="clear" w:color="auto" w:fill="D8DCDB"/>
          </w:tcPr>
          <w:p w14:paraId="39CA27F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2835" w:type="dxa"/>
            <w:tcBorders>
              <w:top w:val="dotted" w:sz="4" w:space="0" w:color="auto"/>
              <w:left w:val="dotted" w:sz="4" w:space="0" w:color="auto"/>
              <w:bottom w:val="dotted" w:sz="4" w:space="0" w:color="auto"/>
              <w:right w:val="dotted" w:sz="4" w:space="0" w:color="auto"/>
            </w:tcBorders>
            <w:shd w:val="clear" w:color="auto" w:fill="D8DCDB"/>
          </w:tcPr>
          <w:p w14:paraId="1B6C0F04" w14:textId="0745BEBA" w:rsidR="00474078" w:rsidRPr="00474078" w:rsidRDefault="00474078" w:rsidP="00F319C6">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3969" w:type="dxa"/>
            <w:tcBorders>
              <w:top w:val="dotted" w:sz="4" w:space="0" w:color="auto"/>
              <w:left w:val="dotted" w:sz="4" w:space="0" w:color="auto"/>
              <w:bottom w:val="dotted" w:sz="4" w:space="0" w:color="auto"/>
              <w:right w:val="dotted" w:sz="4" w:space="0" w:color="auto"/>
            </w:tcBorders>
            <w:shd w:val="clear" w:color="auto" w:fill="D8DCDB"/>
          </w:tcPr>
          <w:p w14:paraId="1B88CF97" w14:textId="54BC0452"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992" w:type="dxa"/>
            <w:tcBorders>
              <w:top w:val="dotted" w:sz="4" w:space="0" w:color="auto"/>
              <w:left w:val="dotted" w:sz="4" w:space="0" w:color="auto"/>
              <w:bottom w:val="dotted" w:sz="4" w:space="0" w:color="auto"/>
              <w:right w:val="dotted" w:sz="4" w:space="0" w:color="auto"/>
            </w:tcBorders>
            <w:shd w:val="clear" w:color="auto" w:fill="D8DCDB"/>
          </w:tcPr>
          <w:p w14:paraId="6A90A41A" w14:textId="46E7BF85"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276" w:type="dxa"/>
            <w:tcBorders>
              <w:top w:val="dotted" w:sz="4" w:space="0" w:color="auto"/>
              <w:left w:val="dotted" w:sz="4" w:space="0" w:color="auto"/>
              <w:bottom w:val="dotted" w:sz="4" w:space="0" w:color="auto"/>
              <w:right w:val="dotted" w:sz="4" w:space="0" w:color="auto"/>
            </w:tcBorders>
            <w:shd w:val="clear" w:color="auto" w:fill="D8DCDB"/>
          </w:tcPr>
          <w:p w14:paraId="49F467E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0372EDB5" w14:textId="77777777" w:rsidTr="00F319C6">
        <w:trPr>
          <w:trHeight w:val="1112"/>
        </w:trPr>
        <w:tc>
          <w:tcPr>
            <w:tcW w:w="1486" w:type="dxa"/>
            <w:vMerge w:val="restart"/>
            <w:tcBorders>
              <w:top w:val="dotted" w:sz="4" w:space="0" w:color="auto"/>
              <w:left w:val="dotted" w:sz="4" w:space="0" w:color="auto"/>
              <w:right w:val="dotted" w:sz="4" w:space="0" w:color="auto"/>
            </w:tcBorders>
            <w:shd w:val="clear" w:color="auto" w:fill="auto"/>
          </w:tcPr>
          <w:p w14:paraId="4E41961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1. More girls and boys attain improved literacy, numeracy and the core competencies identified at each level of primary education.</w:t>
            </w:r>
          </w:p>
        </w:tc>
        <w:tc>
          <w:tcPr>
            <w:tcW w:w="1327" w:type="dxa"/>
            <w:vMerge w:val="restart"/>
            <w:tcBorders>
              <w:top w:val="dotted" w:sz="4" w:space="0" w:color="auto"/>
              <w:left w:val="dotted" w:sz="4" w:space="0" w:color="auto"/>
              <w:right w:val="dotted" w:sz="4" w:space="0" w:color="auto"/>
            </w:tcBorders>
            <w:shd w:val="clear" w:color="auto" w:fill="auto"/>
          </w:tcPr>
          <w:p w14:paraId="45290BC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Progressive national student assessments show improved performance</w:t>
            </w:r>
          </w:p>
        </w:tc>
        <w:tc>
          <w:tcPr>
            <w:tcW w:w="1435" w:type="dxa"/>
            <w:tcBorders>
              <w:top w:val="dotted" w:sz="4" w:space="0" w:color="auto"/>
              <w:left w:val="dotted" w:sz="4" w:space="0" w:color="auto"/>
              <w:bottom w:val="dotted" w:sz="4" w:space="0" w:color="auto"/>
              <w:right w:val="dotted" w:sz="4" w:space="0" w:color="auto"/>
            </w:tcBorders>
            <w:shd w:val="clear" w:color="auto" w:fill="auto"/>
          </w:tcPr>
          <w:p w14:paraId="52B606C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The quality of teaching materials is improved</w:t>
            </w: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2C2E8AD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Primary school text books better reflect the Government of Bangladesh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 education curriculum</w:t>
            </w: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1091E4D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Report on use (quality) of revised text books</w:t>
            </w:r>
          </w:p>
          <w:p w14:paraId="48054B3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Primary text books were distributed to all schools as scheduled on 1 January 2017.  A World Bank led report, funded by Australia, confirmed that textbook quality had improved with fewer spelling errors and structure streamlined, better formatting and simplified language.  </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0E2497B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Review of learning materials informs PEDP4 planning.</w:t>
            </w:r>
          </w:p>
          <w:p w14:paraId="2CDDFE0F" w14:textId="7C074C4F" w:rsid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474078">
              <w:rPr>
                <w:rFonts w:ascii="Calibri Light" w:eastAsia="Calibri Light" w:hAnsi="Calibri Light"/>
                <w:b/>
                <w:color w:val="495965"/>
                <w:sz w:val="17"/>
                <w:szCs w:val="17"/>
                <w:bdr w:val="none" w:sz="0" w:space="0" w:color="auto"/>
                <w:lang w:val="en-GB" w:eastAsia="en-AU"/>
              </w:rPr>
              <w:t>Met</w:t>
            </w:r>
          </w:p>
          <w:p w14:paraId="3F0763C4" w14:textId="07B8AB0C" w:rsidR="00504817" w:rsidRPr="00474078" w:rsidRDefault="00293167"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t xml:space="preserve">The PEDP4 design team reviewed the </w:t>
            </w:r>
            <w:r w:rsidR="00504817">
              <w:rPr>
                <w:rFonts w:ascii="Calibri Light" w:eastAsia="Calibri Light" w:hAnsi="Calibri Light"/>
                <w:color w:val="495965"/>
                <w:sz w:val="17"/>
                <w:szCs w:val="17"/>
                <w:bdr w:val="none" w:sz="0" w:space="0" w:color="auto"/>
                <w:lang w:val="en-GB" w:eastAsia="en-AU"/>
              </w:rPr>
              <w:t xml:space="preserve">quality of learning materials </w:t>
            </w:r>
            <w:r>
              <w:rPr>
                <w:rFonts w:ascii="Calibri Light" w:eastAsia="Calibri Light" w:hAnsi="Calibri Light"/>
                <w:color w:val="495965"/>
                <w:sz w:val="17"/>
                <w:szCs w:val="17"/>
                <w:bdr w:val="none" w:sz="0" w:space="0" w:color="auto"/>
                <w:lang w:val="en-GB" w:eastAsia="en-AU"/>
              </w:rPr>
              <w:t>i</w:t>
            </w:r>
            <w:r w:rsidR="00504817">
              <w:rPr>
                <w:rFonts w:ascii="Calibri Light" w:eastAsia="Calibri Light" w:hAnsi="Calibri Light"/>
                <w:color w:val="495965"/>
                <w:sz w:val="17"/>
                <w:szCs w:val="17"/>
                <w:bdr w:val="none" w:sz="0" w:space="0" w:color="auto"/>
                <w:lang w:val="en-GB" w:eastAsia="en-AU"/>
              </w:rPr>
              <w:t>n three design papers (on Foundational Literacy and Numeracy, Curriculum Strengthening, and Teaching and Learning Materials).</w:t>
            </w:r>
          </w:p>
          <w:p w14:paraId="6855E34A" w14:textId="519D49FB" w:rsidR="00474078" w:rsidRDefault="00474078" w:rsidP="00504817">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A </w:t>
            </w:r>
            <w:r w:rsidR="00504817">
              <w:rPr>
                <w:rFonts w:ascii="Calibri Light" w:eastAsia="Calibri Light" w:hAnsi="Calibri Light"/>
                <w:color w:val="495965"/>
                <w:sz w:val="17"/>
                <w:szCs w:val="17"/>
                <w:bdr w:val="none" w:sz="0" w:space="0" w:color="auto"/>
                <w:lang w:val="en-GB" w:eastAsia="en-AU"/>
              </w:rPr>
              <w:t xml:space="preserve">comprehensive </w:t>
            </w:r>
            <w:r w:rsidRPr="00474078">
              <w:rPr>
                <w:rFonts w:ascii="Calibri Light" w:eastAsia="Calibri Light" w:hAnsi="Calibri Light"/>
                <w:color w:val="495965"/>
                <w:sz w:val="17"/>
                <w:szCs w:val="17"/>
                <w:bdr w:val="none" w:sz="0" w:space="0" w:color="auto"/>
                <w:lang w:val="en-GB" w:eastAsia="en-AU"/>
              </w:rPr>
              <w:t>review of the curriculum and textbooks</w:t>
            </w:r>
            <w:r w:rsidR="00504817">
              <w:rPr>
                <w:rFonts w:ascii="Calibri Light" w:eastAsia="Calibri Light" w:hAnsi="Calibri Light"/>
                <w:color w:val="495965"/>
                <w:sz w:val="17"/>
                <w:szCs w:val="17"/>
                <w:bdr w:val="none" w:sz="0" w:space="0" w:color="auto"/>
                <w:lang w:val="en-GB" w:eastAsia="en-AU"/>
              </w:rPr>
              <w:t xml:space="preserve"> by the </w:t>
            </w:r>
            <w:r w:rsidR="00504817" w:rsidRPr="00474078">
              <w:rPr>
                <w:rFonts w:ascii="Calibri Light" w:eastAsia="Calibri Light" w:hAnsi="Calibri Light"/>
                <w:color w:val="495965"/>
                <w:sz w:val="17"/>
                <w:szCs w:val="17"/>
                <w:bdr w:val="none" w:sz="0" w:space="0" w:color="auto"/>
                <w:lang w:val="en-GB" w:eastAsia="en-AU"/>
              </w:rPr>
              <w:t>National Curri</w:t>
            </w:r>
            <w:r w:rsidR="002E718B">
              <w:rPr>
                <w:rFonts w:ascii="Calibri Light" w:eastAsia="Calibri Light" w:hAnsi="Calibri Light"/>
                <w:color w:val="495965"/>
                <w:sz w:val="17"/>
                <w:szCs w:val="17"/>
                <w:bdr w:val="none" w:sz="0" w:space="0" w:color="auto"/>
                <w:lang w:val="en-GB" w:eastAsia="en-AU"/>
              </w:rPr>
              <w:t>culum and Textbook Board (NCTB)</w:t>
            </w:r>
            <w:r w:rsidRPr="00474078">
              <w:rPr>
                <w:rFonts w:ascii="Calibri Light" w:eastAsia="Calibri Light" w:hAnsi="Calibri Light"/>
                <w:color w:val="495965"/>
                <w:sz w:val="17"/>
                <w:szCs w:val="17"/>
                <w:bdr w:val="none" w:sz="0" w:space="0" w:color="auto"/>
                <w:lang w:val="en-GB" w:eastAsia="en-AU"/>
              </w:rPr>
              <w:t xml:space="preserve"> is ongoing, and scheduled to conclude in 2019. </w:t>
            </w:r>
          </w:p>
          <w:p w14:paraId="5B685B77" w14:textId="4412DF92" w:rsidR="00504817" w:rsidRPr="00474078" w:rsidRDefault="00504817" w:rsidP="002037A9">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Pr>
                <w:rFonts w:ascii="Calibri Light" w:eastAsia="Calibri Light" w:hAnsi="Calibri Light"/>
                <w:color w:val="495965"/>
                <w:sz w:val="17"/>
                <w:szCs w:val="17"/>
                <w:bdr w:val="none" w:sz="0" w:space="0" w:color="auto"/>
                <w:lang w:val="en-GB" w:eastAsia="en-AU"/>
              </w:rPr>
              <w:t xml:space="preserve">Both review processes informed PEDP4 planning and the </w:t>
            </w:r>
            <w:r w:rsidR="007A530F">
              <w:rPr>
                <w:rFonts w:ascii="Calibri Light" w:eastAsia="Calibri Light" w:hAnsi="Calibri Light"/>
                <w:color w:val="495965"/>
                <w:sz w:val="17"/>
                <w:szCs w:val="17"/>
                <w:bdr w:val="none" w:sz="0" w:space="0" w:color="auto"/>
                <w:lang w:val="en-GB" w:eastAsia="en-AU"/>
              </w:rPr>
              <w:t xml:space="preserve">final PEDP4 program </w:t>
            </w:r>
            <w:r w:rsidR="007A530F" w:rsidRPr="002037A9">
              <w:rPr>
                <w:rFonts w:ascii="Calibri Light" w:eastAsia="Calibri Light" w:hAnsi="Calibri Light"/>
                <w:color w:val="495965"/>
                <w:sz w:val="17"/>
                <w:szCs w:val="17"/>
                <w:bdr w:val="none" w:sz="0" w:space="0" w:color="auto"/>
                <w:lang w:val="en-GB" w:eastAsia="en-AU"/>
              </w:rPr>
              <w:t xml:space="preserve">document </w:t>
            </w:r>
            <w:r w:rsidRPr="002037A9">
              <w:rPr>
                <w:rFonts w:ascii="Calibri Light" w:eastAsia="Calibri Light" w:hAnsi="Calibri Light"/>
                <w:color w:val="495965"/>
                <w:sz w:val="17"/>
                <w:szCs w:val="17"/>
                <w:bdr w:val="none" w:sz="0" w:space="0" w:color="auto"/>
                <w:lang w:val="en-GB" w:eastAsia="en-AU"/>
              </w:rPr>
              <w:t xml:space="preserve">includes </w:t>
            </w:r>
            <w:r>
              <w:rPr>
                <w:rFonts w:ascii="Calibri Light" w:eastAsia="Calibri Light" w:hAnsi="Calibri Light"/>
                <w:color w:val="495965"/>
                <w:sz w:val="17"/>
                <w:szCs w:val="17"/>
                <w:bdr w:val="none" w:sz="0" w:space="0" w:color="auto"/>
                <w:lang w:val="en-GB" w:eastAsia="en-AU"/>
              </w:rPr>
              <w:t xml:space="preserve">strengthening of </w:t>
            </w:r>
            <w:r w:rsidR="002037A9">
              <w:rPr>
                <w:rFonts w:ascii="Calibri Light" w:eastAsia="Calibri Light" w:hAnsi="Calibri Light"/>
                <w:color w:val="495965"/>
                <w:sz w:val="17"/>
                <w:szCs w:val="17"/>
                <w:bdr w:val="none" w:sz="0" w:space="0" w:color="auto"/>
                <w:lang w:val="en-GB" w:eastAsia="en-AU"/>
              </w:rPr>
              <w:t xml:space="preserve">curriculum, textbooks and learning materials </w:t>
            </w:r>
            <w:r>
              <w:rPr>
                <w:rFonts w:ascii="Calibri Light" w:eastAsia="Calibri Light" w:hAnsi="Calibri Light"/>
                <w:color w:val="495965"/>
                <w:sz w:val="17"/>
                <w:szCs w:val="17"/>
                <w:bdr w:val="none" w:sz="0" w:space="0" w:color="auto"/>
                <w:lang w:val="en-GB" w:eastAsia="en-AU"/>
              </w:rPr>
              <w:t xml:space="preserve">as a priority reform.  </w:t>
            </w: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4D89D22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The program (PEDP3) ended in June 2018.</w:t>
            </w:r>
            <w:r w:rsidRPr="00474078">
              <w:rPr>
                <w:rFonts w:ascii="Calibri Light" w:eastAsia="Calibri Light" w:hAnsi="Calibri Light"/>
                <w:iCs/>
                <w:color w:val="495965"/>
                <w:sz w:val="18"/>
                <w:szCs w:val="18"/>
                <w:bdr w:val="none" w:sz="0" w:space="0" w:color="auto"/>
                <w:lang w:val="en-AU" w:eastAsia="en-AU"/>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3B4FE78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NCTB/DFID reports </w:t>
            </w:r>
          </w:p>
        </w:tc>
      </w:tr>
      <w:tr w:rsidR="00474078" w:rsidRPr="00474078" w14:paraId="77EB4352" w14:textId="77777777" w:rsidTr="00F319C6">
        <w:trPr>
          <w:trHeight w:val="2835"/>
        </w:trPr>
        <w:tc>
          <w:tcPr>
            <w:tcW w:w="1486" w:type="dxa"/>
            <w:vMerge/>
            <w:tcBorders>
              <w:left w:val="dotted" w:sz="4" w:space="0" w:color="auto"/>
              <w:bottom w:val="dotted" w:sz="4" w:space="0" w:color="auto"/>
              <w:right w:val="dotted" w:sz="4" w:space="0" w:color="auto"/>
            </w:tcBorders>
            <w:shd w:val="clear" w:color="auto" w:fill="auto"/>
          </w:tcPr>
          <w:p w14:paraId="6B15F84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327" w:type="dxa"/>
            <w:vMerge/>
            <w:tcBorders>
              <w:left w:val="dotted" w:sz="4" w:space="0" w:color="auto"/>
              <w:bottom w:val="dotted" w:sz="4" w:space="0" w:color="auto"/>
              <w:right w:val="dotted" w:sz="4" w:space="0" w:color="auto"/>
            </w:tcBorders>
            <w:shd w:val="clear" w:color="auto" w:fill="auto"/>
          </w:tcPr>
          <w:p w14:paraId="44E3304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435" w:type="dxa"/>
            <w:tcBorders>
              <w:top w:val="dotted" w:sz="4" w:space="0" w:color="auto"/>
              <w:left w:val="dotted" w:sz="4" w:space="0" w:color="auto"/>
              <w:bottom w:val="dotted" w:sz="4" w:space="0" w:color="auto"/>
              <w:right w:val="dotted" w:sz="4" w:space="0" w:color="auto"/>
            </w:tcBorders>
            <w:shd w:val="clear" w:color="auto" w:fill="auto"/>
          </w:tcPr>
          <w:p w14:paraId="5AC02EA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Primary school learning outcomes improved through use of active rather than rote pedagogy</w:t>
            </w: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19CB414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Proportion of each child learns strategy rolled out to 29 Primary Teaching Institutions and lessons learned incorporated into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 xml:space="preserve"> Planning</w:t>
            </w: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2593C42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Completion and review of Each Child Learns pilot program</w:t>
            </w:r>
          </w:p>
          <w:p w14:paraId="30D95FC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The ECL pilot was completed during the reporting period, covering 1500 schools as planned.  The planned review, a longitudinal study was conducted by UNICEF with Australian funding. It confirmed improved learning outcomes.</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1E3BBA3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Review findings on Each Child Learns integrated into PEDP4</w:t>
            </w:r>
          </w:p>
          <w:p w14:paraId="7464C6C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474078">
              <w:rPr>
                <w:rFonts w:ascii="Calibri Light" w:eastAsia="Calibri Light" w:hAnsi="Calibri Light"/>
                <w:b/>
                <w:color w:val="495965"/>
                <w:sz w:val="17"/>
                <w:szCs w:val="17"/>
                <w:bdr w:val="none" w:sz="0" w:space="0" w:color="auto"/>
                <w:lang w:val="en-GB" w:eastAsia="en-AU"/>
              </w:rPr>
              <w:t xml:space="preserve">Partially Met </w:t>
            </w:r>
          </w:p>
          <w:p w14:paraId="592A6322" w14:textId="149F3BA9" w:rsidR="00474078" w:rsidRPr="00474078" w:rsidRDefault="007A530F" w:rsidP="0025742A">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Pr>
                <w:rFonts w:ascii="Calibri Light" w:eastAsia="Calibri Light" w:hAnsi="Calibri Light"/>
                <w:color w:val="495965"/>
                <w:sz w:val="17"/>
                <w:szCs w:val="17"/>
                <w:bdr w:val="none" w:sz="0" w:space="0" w:color="auto"/>
                <w:lang w:val="en-GB" w:eastAsia="en-AU"/>
              </w:rPr>
              <w:t xml:space="preserve">The DFAT funded </w:t>
            </w:r>
            <w:r w:rsidR="00474078" w:rsidRPr="00474078">
              <w:rPr>
                <w:rFonts w:ascii="Calibri Light" w:eastAsia="Calibri Light" w:hAnsi="Calibri Light"/>
                <w:color w:val="495965"/>
                <w:sz w:val="17"/>
                <w:szCs w:val="17"/>
                <w:bdr w:val="none" w:sz="0" w:space="0" w:color="auto"/>
                <w:lang w:val="en-GB" w:eastAsia="en-AU"/>
              </w:rPr>
              <w:t>UNI</w:t>
            </w:r>
            <w:r w:rsidR="00144157">
              <w:rPr>
                <w:rFonts w:ascii="Calibri Light" w:eastAsia="Calibri Light" w:hAnsi="Calibri Light"/>
                <w:color w:val="495965"/>
                <w:sz w:val="17"/>
                <w:szCs w:val="17"/>
                <w:bdr w:val="none" w:sz="0" w:space="0" w:color="auto"/>
                <w:lang w:val="en-GB" w:eastAsia="en-AU"/>
              </w:rPr>
              <w:t>C</w:t>
            </w:r>
            <w:r w:rsidR="00474078" w:rsidRPr="00474078">
              <w:rPr>
                <w:rFonts w:ascii="Calibri Light" w:eastAsia="Calibri Light" w:hAnsi="Calibri Light"/>
                <w:color w:val="495965"/>
                <w:sz w:val="17"/>
                <w:szCs w:val="17"/>
                <w:bdr w:val="none" w:sz="0" w:space="0" w:color="auto"/>
                <w:lang w:val="en-GB" w:eastAsia="en-AU"/>
              </w:rPr>
              <w:t xml:space="preserve">EF review of ECL </w:t>
            </w:r>
            <w:r>
              <w:rPr>
                <w:rFonts w:ascii="Calibri Light" w:eastAsia="Calibri Light" w:hAnsi="Calibri Light"/>
                <w:color w:val="495965"/>
                <w:sz w:val="17"/>
                <w:szCs w:val="17"/>
                <w:bdr w:val="none" w:sz="0" w:space="0" w:color="auto"/>
                <w:lang w:val="en-GB" w:eastAsia="en-AU"/>
              </w:rPr>
              <w:t>(</w:t>
            </w:r>
            <w:r w:rsidR="00474078" w:rsidRPr="00474078">
              <w:rPr>
                <w:rFonts w:ascii="Calibri Light" w:eastAsia="Calibri Light" w:hAnsi="Calibri Light"/>
                <w:color w:val="495965"/>
                <w:sz w:val="17"/>
                <w:szCs w:val="17"/>
                <w:bdr w:val="none" w:sz="0" w:space="0" w:color="auto"/>
                <w:lang w:val="en-GB" w:eastAsia="en-AU"/>
              </w:rPr>
              <w:t>201</w:t>
            </w:r>
            <w:r>
              <w:rPr>
                <w:rFonts w:ascii="Calibri Light" w:eastAsia="Calibri Light" w:hAnsi="Calibri Light"/>
                <w:color w:val="495965"/>
                <w:sz w:val="17"/>
                <w:szCs w:val="17"/>
                <w:bdr w:val="none" w:sz="0" w:space="0" w:color="auto"/>
                <w:lang w:val="en-GB" w:eastAsia="en-AU"/>
              </w:rPr>
              <w:t>6</w:t>
            </w:r>
            <w:r w:rsidR="00474078" w:rsidRPr="00474078">
              <w:rPr>
                <w:rFonts w:ascii="Calibri Light" w:eastAsia="Calibri Light" w:hAnsi="Calibri Light"/>
                <w:color w:val="495965"/>
                <w:sz w:val="17"/>
                <w:szCs w:val="17"/>
                <w:bdr w:val="none" w:sz="0" w:space="0" w:color="auto"/>
                <w:lang w:val="en-GB" w:eastAsia="en-AU"/>
              </w:rPr>
              <w:t>-1</w:t>
            </w:r>
            <w:r>
              <w:rPr>
                <w:rFonts w:ascii="Calibri Light" w:eastAsia="Calibri Light" w:hAnsi="Calibri Light"/>
                <w:color w:val="495965"/>
                <w:sz w:val="17"/>
                <w:szCs w:val="17"/>
                <w:bdr w:val="none" w:sz="0" w:space="0" w:color="auto"/>
                <w:lang w:val="en-GB" w:eastAsia="en-AU"/>
              </w:rPr>
              <w:t>7)</w:t>
            </w:r>
            <w:r w:rsidR="00474078" w:rsidRPr="00474078">
              <w:rPr>
                <w:rFonts w:ascii="Calibri Light" w:eastAsia="Calibri Light" w:hAnsi="Calibri Light"/>
                <w:color w:val="495965"/>
                <w:sz w:val="17"/>
                <w:szCs w:val="17"/>
                <w:bdr w:val="none" w:sz="0" w:space="0" w:color="auto"/>
                <w:lang w:val="en-GB" w:eastAsia="en-AU"/>
              </w:rPr>
              <w:t xml:space="preserve"> informed</w:t>
            </w:r>
            <w:r w:rsidR="009D5401">
              <w:rPr>
                <w:rFonts w:ascii="Calibri Light" w:eastAsia="Calibri Light" w:hAnsi="Calibri Light"/>
                <w:color w:val="495965"/>
                <w:sz w:val="17"/>
                <w:szCs w:val="17"/>
                <w:bdr w:val="none" w:sz="0" w:space="0" w:color="auto"/>
                <w:lang w:val="en-GB" w:eastAsia="en-AU"/>
              </w:rPr>
              <w:t xml:space="preserve"> </w:t>
            </w:r>
            <w:r w:rsidR="00474078" w:rsidRPr="00474078">
              <w:rPr>
                <w:rFonts w:ascii="Calibri Light" w:eastAsia="Calibri Light" w:hAnsi="Calibri Light"/>
                <w:color w:val="495965"/>
                <w:sz w:val="17"/>
                <w:szCs w:val="17"/>
                <w:bdr w:val="none" w:sz="0" w:space="0" w:color="auto"/>
                <w:lang w:val="en-GB" w:eastAsia="en-AU"/>
              </w:rPr>
              <w:t xml:space="preserve">PEDP4 Planning. </w:t>
            </w:r>
            <w:r>
              <w:rPr>
                <w:rFonts w:ascii="Calibri Light" w:eastAsia="Calibri Light" w:hAnsi="Calibri Light"/>
                <w:color w:val="495965"/>
                <w:sz w:val="17"/>
                <w:szCs w:val="17"/>
                <w:bdr w:val="none" w:sz="0" w:space="0" w:color="auto"/>
                <w:lang w:val="en-GB" w:eastAsia="en-AU"/>
              </w:rPr>
              <w:t xml:space="preserve">ECL principles and </w:t>
            </w:r>
            <w:r w:rsidR="00076E82">
              <w:rPr>
                <w:rFonts w:ascii="Calibri Light" w:eastAsia="Calibri Light" w:hAnsi="Calibri Light"/>
                <w:color w:val="495965"/>
                <w:sz w:val="17"/>
                <w:szCs w:val="17"/>
                <w:bdr w:val="none" w:sz="0" w:space="0" w:color="auto"/>
                <w:lang w:val="en-GB" w:eastAsia="en-AU"/>
              </w:rPr>
              <w:t xml:space="preserve">methodologies were incorporated into three design papers.  However there was modest integration of ECL findings in the final PEDP4 program document, with the strongest </w:t>
            </w:r>
            <w:r w:rsidR="00E624C9">
              <w:rPr>
                <w:rFonts w:ascii="Calibri Light" w:eastAsia="Calibri Light" w:hAnsi="Calibri Light"/>
                <w:color w:val="495965"/>
                <w:sz w:val="17"/>
                <w:szCs w:val="17"/>
                <w:bdr w:val="none" w:sz="0" w:space="0" w:color="auto"/>
                <w:lang w:val="en-GB" w:eastAsia="en-AU"/>
              </w:rPr>
              <w:t>component in the Dip</w:t>
            </w:r>
            <w:r w:rsidR="00B00964">
              <w:rPr>
                <w:rFonts w:ascii="Calibri Light" w:eastAsia="Calibri Light" w:hAnsi="Calibri Light"/>
                <w:color w:val="495965"/>
                <w:sz w:val="17"/>
                <w:szCs w:val="17"/>
                <w:bdr w:val="none" w:sz="0" w:space="0" w:color="auto"/>
                <w:lang w:val="en-GB" w:eastAsia="en-AU"/>
              </w:rPr>
              <w:t xml:space="preserve">loma in </w:t>
            </w:r>
            <w:r w:rsidR="00E624C9">
              <w:rPr>
                <w:rFonts w:ascii="Calibri Light" w:eastAsia="Calibri Light" w:hAnsi="Calibri Light"/>
                <w:color w:val="495965"/>
                <w:sz w:val="17"/>
                <w:szCs w:val="17"/>
                <w:bdr w:val="none" w:sz="0" w:space="0" w:color="auto"/>
                <w:lang w:val="en-GB" w:eastAsia="en-AU"/>
              </w:rPr>
              <w:t>Ed</w:t>
            </w:r>
            <w:r w:rsidR="00B00964">
              <w:rPr>
                <w:rFonts w:ascii="Calibri Light" w:eastAsia="Calibri Light" w:hAnsi="Calibri Light"/>
                <w:color w:val="495965"/>
                <w:sz w:val="17"/>
                <w:szCs w:val="17"/>
                <w:bdr w:val="none" w:sz="0" w:space="0" w:color="auto"/>
                <w:lang w:val="en-GB" w:eastAsia="en-AU"/>
              </w:rPr>
              <w:t>ucation,</w:t>
            </w:r>
            <w:r w:rsidR="00E624C9">
              <w:rPr>
                <w:rFonts w:ascii="Calibri Light" w:eastAsia="Calibri Light" w:hAnsi="Calibri Light"/>
                <w:color w:val="495965"/>
                <w:sz w:val="17"/>
                <w:szCs w:val="17"/>
                <w:bdr w:val="none" w:sz="0" w:space="0" w:color="auto"/>
                <w:lang w:val="en-GB" w:eastAsia="en-AU"/>
              </w:rPr>
              <w:t xml:space="preserve"> which will be rolled out to </w:t>
            </w:r>
            <w:r w:rsidR="0025742A">
              <w:rPr>
                <w:rFonts w:ascii="Calibri Light" w:eastAsia="Calibri Light" w:hAnsi="Calibri Light"/>
                <w:color w:val="495965"/>
                <w:sz w:val="17"/>
                <w:szCs w:val="17"/>
                <w:bdr w:val="none" w:sz="0" w:space="0" w:color="auto"/>
                <w:lang w:val="en-GB" w:eastAsia="en-AU"/>
              </w:rPr>
              <w:t xml:space="preserve">50% of teachers </w:t>
            </w:r>
            <w:r w:rsidR="0025742A" w:rsidRPr="0025742A">
              <w:rPr>
                <w:rFonts w:ascii="Calibri Light" w:eastAsia="Calibri Light" w:hAnsi="Calibri Light"/>
                <w:color w:val="495965"/>
                <w:sz w:val="17"/>
                <w:szCs w:val="17"/>
                <w:bdr w:val="none" w:sz="0" w:space="0" w:color="auto"/>
                <w:lang w:val="en-GB" w:eastAsia="en-AU"/>
              </w:rPr>
              <w:t>who di</w:t>
            </w:r>
            <w:r w:rsidR="0025742A">
              <w:rPr>
                <w:rFonts w:ascii="Calibri Light" w:eastAsia="Calibri Light" w:hAnsi="Calibri Light"/>
                <w:color w:val="495965"/>
                <w:sz w:val="17"/>
                <w:szCs w:val="17"/>
                <w:bdr w:val="none" w:sz="0" w:space="0" w:color="auto"/>
                <w:lang w:val="en-GB" w:eastAsia="en-AU"/>
              </w:rPr>
              <w:t xml:space="preserve">d not receive either Diploma in Education or Certificate in </w:t>
            </w:r>
            <w:r w:rsidR="0025742A" w:rsidRPr="0025742A">
              <w:rPr>
                <w:rFonts w:ascii="Calibri Light" w:eastAsia="Calibri Light" w:hAnsi="Calibri Light"/>
                <w:color w:val="495965"/>
                <w:sz w:val="17"/>
                <w:szCs w:val="17"/>
                <w:bdr w:val="none" w:sz="0" w:space="0" w:color="auto"/>
                <w:lang w:val="en-GB" w:eastAsia="en-AU"/>
              </w:rPr>
              <w:t>Ed</w:t>
            </w:r>
            <w:r w:rsidR="0025742A">
              <w:rPr>
                <w:rFonts w:ascii="Calibri Light" w:eastAsia="Calibri Light" w:hAnsi="Calibri Light"/>
                <w:color w:val="495965"/>
                <w:sz w:val="17"/>
                <w:szCs w:val="17"/>
                <w:bdr w:val="none" w:sz="0" w:space="0" w:color="auto"/>
                <w:lang w:val="en-GB" w:eastAsia="en-AU"/>
              </w:rPr>
              <w:t>ucation</w:t>
            </w:r>
            <w:r w:rsidR="0025742A" w:rsidRPr="0025742A">
              <w:rPr>
                <w:rFonts w:ascii="Calibri Light" w:eastAsia="Calibri Light" w:hAnsi="Calibri Light"/>
                <w:color w:val="495965"/>
                <w:sz w:val="17"/>
                <w:szCs w:val="17"/>
                <w:bdr w:val="none" w:sz="0" w:space="0" w:color="auto"/>
                <w:lang w:val="en-GB" w:eastAsia="en-AU"/>
              </w:rPr>
              <w:t xml:space="preserve"> training towards the end of PEDP4</w:t>
            </w:r>
            <w:r w:rsidR="00E624C9">
              <w:rPr>
                <w:rFonts w:ascii="Calibri Light" w:eastAsia="Calibri Light" w:hAnsi="Calibri Light"/>
                <w:color w:val="495965"/>
                <w:sz w:val="17"/>
                <w:szCs w:val="17"/>
                <w:bdr w:val="none" w:sz="0" w:space="0" w:color="auto"/>
                <w:lang w:val="en-GB" w:eastAsia="en-AU"/>
              </w:rPr>
              <w:t xml:space="preserve">. </w:t>
            </w: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4A29FB0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The program (PEDP3) ended in June 2018.</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478FEFB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Government of Bangladesh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 UNICEF ECL TA reports and MTR quality analysis</w:t>
            </w:r>
            <w:r w:rsidRPr="00474078">
              <w:rPr>
                <w:rFonts w:ascii="Calibri Light" w:eastAsia="Calibri Light" w:hAnsi="Calibri Light"/>
                <w:iCs/>
                <w:color w:val="495965"/>
                <w:sz w:val="18"/>
                <w:szCs w:val="18"/>
                <w:bdr w:val="none" w:sz="0" w:space="0" w:color="auto"/>
                <w:lang w:val="en-AU" w:eastAsia="en-AU"/>
              </w:rPr>
              <w:t xml:space="preserve"> </w:t>
            </w:r>
          </w:p>
        </w:tc>
      </w:tr>
    </w:tbl>
    <w:p w14:paraId="0986A0AD" w14:textId="39F06725"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tbl>
      <w:tblPr>
        <w:tblpPr w:leftFromText="180" w:rightFromText="180" w:vertAnchor="page" w:horzAnchor="margin" w:tblpY="1066"/>
        <w:tblW w:w="15758" w:type="dxa"/>
        <w:tblLayout w:type="fixed"/>
        <w:tblLook w:val="04A0" w:firstRow="1" w:lastRow="0" w:firstColumn="1" w:lastColumn="0" w:noHBand="0" w:noVBand="1"/>
        <w:tblCaption w:val="ANNEX E - PEFORMANCE ASSESSMENT FRAMEWORK"/>
        <w:tblDescription w:val="&#10;"/>
      </w:tblPr>
      <w:tblGrid>
        <w:gridCol w:w="1980"/>
        <w:gridCol w:w="1843"/>
        <w:gridCol w:w="1701"/>
        <w:gridCol w:w="2148"/>
        <w:gridCol w:w="6"/>
        <w:gridCol w:w="2404"/>
        <w:gridCol w:w="2693"/>
        <w:gridCol w:w="1843"/>
        <w:gridCol w:w="1134"/>
        <w:gridCol w:w="6"/>
      </w:tblGrid>
      <w:tr w:rsidR="00474078" w:rsidRPr="00474078" w14:paraId="73AF1692" w14:textId="77777777" w:rsidTr="00474078">
        <w:trPr>
          <w:trHeight w:val="519"/>
          <w:tblHeader/>
        </w:trPr>
        <w:tc>
          <w:tcPr>
            <w:tcW w:w="15758" w:type="dxa"/>
            <w:gridSpan w:val="10"/>
            <w:tcBorders>
              <w:top w:val="dotted" w:sz="4" w:space="0" w:color="auto"/>
              <w:left w:val="dotted" w:sz="4" w:space="0" w:color="auto"/>
              <w:bottom w:val="dotted" w:sz="4" w:space="0" w:color="auto"/>
              <w:right w:val="dotted" w:sz="4" w:space="0" w:color="auto"/>
            </w:tcBorders>
            <w:shd w:val="clear" w:color="auto" w:fill="D8DCDB"/>
          </w:tcPr>
          <w:p w14:paraId="0CCEC6D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lastRenderedPageBreak/>
              <w:t xml:space="preserve">Australia’s Aid Objective One: Improving education access, equity, efficiency and learning outcomes  </w:t>
            </w:r>
          </w:p>
        </w:tc>
      </w:tr>
      <w:tr w:rsidR="00474078" w:rsidRPr="00474078" w14:paraId="0109E891" w14:textId="77777777" w:rsidTr="00775A5D">
        <w:trPr>
          <w:trHeight w:val="75"/>
          <w:tblHeader/>
        </w:trPr>
        <w:tc>
          <w:tcPr>
            <w:tcW w:w="7678" w:type="dxa"/>
            <w:gridSpan w:val="5"/>
            <w:tcBorders>
              <w:top w:val="dotted" w:sz="4" w:space="0" w:color="auto"/>
              <w:left w:val="dotted" w:sz="4" w:space="0" w:color="auto"/>
              <w:bottom w:val="dotted" w:sz="4" w:space="0" w:color="auto"/>
              <w:right w:val="dotted" w:sz="4" w:space="0" w:color="auto"/>
            </w:tcBorders>
          </w:tcPr>
          <w:p w14:paraId="1F01D18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8080" w:type="dxa"/>
            <w:gridSpan w:val="5"/>
            <w:tcBorders>
              <w:top w:val="dotted" w:sz="4" w:space="0" w:color="auto"/>
              <w:left w:val="dotted" w:sz="4" w:space="0" w:color="auto"/>
              <w:bottom w:val="dotted" w:sz="4" w:space="0" w:color="auto"/>
              <w:right w:val="dotted" w:sz="4" w:space="0" w:color="auto"/>
            </w:tcBorders>
          </w:tcPr>
          <w:p w14:paraId="23D016D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1592880A" w14:textId="77777777" w:rsidTr="00775A5D">
        <w:trPr>
          <w:gridAfter w:val="1"/>
          <w:wAfter w:w="6" w:type="dxa"/>
          <w:trHeight w:val="611"/>
          <w:tblHeader/>
        </w:trPr>
        <w:tc>
          <w:tcPr>
            <w:tcW w:w="1980" w:type="dxa"/>
            <w:tcBorders>
              <w:top w:val="dotted" w:sz="4" w:space="0" w:color="auto"/>
              <w:left w:val="dotted" w:sz="4" w:space="0" w:color="auto"/>
              <w:bottom w:val="dotted" w:sz="4" w:space="0" w:color="auto"/>
              <w:right w:val="dotted" w:sz="4" w:space="0" w:color="auto"/>
            </w:tcBorders>
            <w:shd w:val="clear" w:color="auto" w:fill="D8DCDB"/>
          </w:tcPr>
          <w:p w14:paraId="742BB2B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4B738DCA" w14:textId="77777777" w:rsidR="00474078" w:rsidRPr="00474078" w:rsidRDefault="00474078" w:rsidP="00775A5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r w:rsidR="00775A5D">
              <w:rPr>
                <w:rFonts w:ascii="Calibri Light" w:eastAsia="Calibri Light" w:hAnsi="Calibri Light"/>
                <w:b/>
                <w:iCs/>
                <w:color w:val="495965"/>
                <w:sz w:val="18"/>
                <w:szCs w:val="18"/>
                <w:bdr w:val="none" w:sz="0" w:space="0" w:color="auto"/>
                <w:lang w:val="en-AU" w:eastAsia="en-AU"/>
              </w:rPr>
              <w:t xml:space="preserve"> </w:t>
            </w: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2B136111" w14:textId="77777777" w:rsidR="00474078" w:rsidRPr="00474078" w:rsidRDefault="00474078" w:rsidP="00775A5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w:t>
            </w:r>
          </w:p>
        </w:tc>
        <w:tc>
          <w:tcPr>
            <w:tcW w:w="2148" w:type="dxa"/>
            <w:tcBorders>
              <w:top w:val="dotted" w:sz="4" w:space="0" w:color="auto"/>
              <w:left w:val="dotted" w:sz="4" w:space="0" w:color="auto"/>
              <w:bottom w:val="dotted" w:sz="4" w:space="0" w:color="auto"/>
              <w:right w:val="dotted" w:sz="4" w:space="0" w:color="auto"/>
            </w:tcBorders>
            <w:shd w:val="clear" w:color="auto" w:fill="D8DCDB"/>
          </w:tcPr>
          <w:p w14:paraId="217F851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2410" w:type="dxa"/>
            <w:gridSpan w:val="2"/>
            <w:tcBorders>
              <w:top w:val="dotted" w:sz="4" w:space="0" w:color="auto"/>
              <w:left w:val="dotted" w:sz="4" w:space="0" w:color="auto"/>
              <w:bottom w:val="dotted" w:sz="4" w:space="0" w:color="auto"/>
              <w:right w:val="dotted" w:sz="4" w:space="0" w:color="auto"/>
            </w:tcBorders>
            <w:shd w:val="clear" w:color="auto" w:fill="D8DCDB"/>
          </w:tcPr>
          <w:p w14:paraId="3422B5B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2693" w:type="dxa"/>
            <w:tcBorders>
              <w:top w:val="dotted" w:sz="4" w:space="0" w:color="auto"/>
              <w:left w:val="dotted" w:sz="4" w:space="0" w:color="auto"/>
              <w:bottom w:val="dotted" w:sz="4" w:space="0" w:color="auto"/>
              <w:right w:val="dotted" w:sz="4" w:space="0" w:color="auto"/>
            </w:tcBorders>
            <w:shd w:val="clear" w:color="auto" w:fill="D8DCDB"/>
          </w:tcPr>
          <w:p w14:paraId="32A274A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1D6189C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41EF54B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2B614E87" w14:textId="77777777" w:rsidTr="00775A5D">
        <w:trPr>
          <w:gridAfter w:val="1"/>
          <w:wAfter w:w="6" w:type="dxa"/>
          <w:trHeight w:val="796"/>
          <w:tblHeader/>
        </w:trPr>
        <w:tc>
          <w:tcPr>
            <w:tcW w:w="1980" w:type="dxa"/>
            <w:tcBorders>
              <w:top w:val="dotted" w:sz="4" w:space="0" w:color="auto"/>
              <w:left w:val="dotted" w:sz="4" w:space="0" w:color="auto"/>
              <w:bottom w:val="dotted" w:sz="4" w:space="0" w:color="auto"/>
              <w:right w:val="dotted" w:sz="4" w:space="0" w:color="auto"/>
            </w:tcBorders>
            <w:shd w:val="clear" w:color="auto" w:fill="auto"/>
          </w:tcPr>
          <w:p w14:paraId="3179B602" w14:textId="730545C4" w:rsidR="00474078" w:rsidRPr="002C29B9" w:rsidRDefault="00474078" w:rsidP="002C29B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2C29B9">
              <w:rPr>
                <w:rFonts w:ascii="Calibri Light" w:eastAsia="Calibri Light" w:hAnsi="Calibri Light"/>
                <w:b/>
                <w:color w:val="495965"/>
                <w:sz w:val="17"/>
                <w:szCs w:val="17"/>
                <w:bdr w:val="none" w:sz="0" w:space="0" w:color="auto"/>
                <w:lang w:val="en-GB" w:eastAsia="en-AU"/>
              </w:rPr>
              <w:t xml:space="preserve">More girls and boys attain improved literacy, numeracy and the core competencies identified at each level of primary education.  </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2548446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6075809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Quality of end of primary cycle examination is improved</w:t>
            </w:r>
          </w:p>
        </w:tc>
        <w:tc>
          <w:tcPr>
            <w:tcW w:w="2148" w:type="dxa"/>
            <w:tcBorders>
              <w:top w:val="dotted" w:sz="4" w:space="0" w:color="auto"/>
              <w:left w:val="dotted" w:sz="4" w:space="0" w:color="auto"/>
              <w:bottom w:val="dotted" w:sz="4" w:space="0" w:color="auto"/>
              <w:right w:val="dotted" w:sz="4" w:space="0" w:color="auto"/>
            </w:tcBorders>
            <w:shd w:val="clear" w:color="auto" w:fill="auto"/>
          </w:tcPr>
          <w:p w14:paraId="16D39BF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Increased proportion of competency based questions in Grade 5 exams (as opposed to test items that test memory/recall only).</w:t>
            </w:r>
          </w:p>
        </w:tc>
        <w:tc>
          <w:tcPr>
            <w:tcW w:w="2410" w:type="dxa"/>
            <w:gridSpan w:val="2"/>
            <w:tcBorders>
              <w:top w:val="dotted" w:sz="4" w:space="0" w:color="auto"/>
              <w:left w:val="dotted" w:sz="4" w:space="0" w:color="auto"/>
              <w:bottom w:val="dotted" w:sz="4" w:space="0" w:color="auto"/>
              <w:right w:val="dotted" w:sz="4" w:space="0" w:color="auto"/>
            </w:tcBorders>
            <w:shd w:val="clear" w:color="auto" w:fill="auto"/>
          </w:tcPr>
          <w:p w14:paraId="4F123A0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50%</w:t>
            </w:r>
          </w:p>
          <w:p w14:paraId="0948F15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50 %</w:t>
            </w:r>
          </w:p>
        </w:tc>
        <w:tc>
          <w:tcPr>
            <w:tcW w:w="2693" w:type="dxa"/>
            <w:tcBorders>
              <w:top w:val="dotted" w:sz="4" w:space="0" w:color="auto"/>
              <w:left w:val="dotted" w:sz="4" w:space="0" w:color="auto"/>
              <w:bottom w:val="dotted" w:sz="4" w:space="0" w:color="auto"/>
              <w:right w:val="dotted" w:sz="4" w:space="0" w:color="auto"/>
            </w:tcBorders>
            <w:shd w:val="clear" w:color="auto" w:fill="auto"/>
          </w:tcPr>
          <w:p w14:paraId="4E5F656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Target:65% </w:t>
            </w:r>
          </w:p>
          <w:p w14:paraId="3CC30A1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65%</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21673275" w14:textId="1CB12095" w:rsidR="00474078" w:rsidRPr="00474078" w:rsidRDefault="00AA5215"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The program (PEDP3) ended in June 2018.</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0F07700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PEDP3 Results Matrix,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w:t>
            </w:r>
          </w:p>
        </w:tc>
      </w:tr>
      <w:tr w:rsidR="00474078" w:rsidRPr="00474078" w14:paraId="0A0AB97A" w14:textId="77777777" w:rsidTr="00775A5D">
        <w:trPr>
          <w:gridAfter w:val="1"/>
          <w:wAfter w:w="6" w:type="dxa"/>
          <w:trHeight w:val="796"/>
          <w:tblHeader/>
        </w:trPr>
        <w:tc>
          <w:tcPr>
            <w:tcW w:w="1980" w:type="dxa"/>
            <w:vMerge w:val="restart"/>
            <w:tcBorders>
              <w:top w:val="dotted" w:sz="4" w:space="0" w:color="auto"/>
              <w:left w:val="dotted" w:sz="4" w:space="0" w:color="auto"/>
              <w:right w:val="dotted" w:sz="4" w:space="0" w:color="auto"/>
            </w:tcBorders>
            <w:shd w:val="clear" w:color="auto" w:fill="auto"/>
          </w:tcPr>
          <w:p w14:paraId="4F0E5B4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 xml:space="preserve">2. Poor children particularly girls benefit from non-formal </w:t>
            </w:r>
            <w:r w:rsidRPr="00474078">
              <w:rPr>
                <w:rFonts w:ascii="Calibri Light" w:eastAsia="Calibri Light" w:hAnsi="Calibri Light"/>
                <w:b/>
                <w:color w:val="495965"/>
                <w:sz w:val="17"/>
                <w:szCs w:val="17"/>
                <w:bdr w:val="none" w:sz="0" w:space="0" w:color="auto"/>
                <w:lang w:val="en-GB" w:eastAsia="en-AU"/>
              </w:rPr>
              <w:t>education</w:t>
            </w:r>
          </w:p>
          <w:p w14:paraId="74D14CA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val="restart"/>
            <w:tcBorders>
              <w:top w:val="dotted" w:sz="4" w:space="0" w:color="auto"/>
              <w:left w:val="dotted" w:sz="4" w:space="0" w:color="auto"/>
              <w:right w:val="dotted" w:sz="4" w:space="0" w:color="auto"/>
            </w:tcBorders>
            <w:shd w:val="clear" w:color="auto" w:fill="auto"/>
          </w:tcPr>
          <w:p w14:paraId="1C774910" w14:textId="281526C2" w:rsidR="00474078" w:rsidRPr="00474078" w:rsidRDefault="00474078" w:rsidP="00AA5215">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 xml:space="preserve">BRAC meets targets of numbers of children completing a course of primary or pre-primary education, of which </w:t>
            </w:r>
            <w:r w:rsidR="00AA5215" w:rsidRPr="002E718B">
              <w:rPr>
                <w:rFonts w:ascii="Calibri Light" w:eastAsia="Calibri Light" w:hAnsi="Calibri Light"/>
                <w:i/>
                <w:color w:val="495965"/>
                <w:sz w:val="17"/>
                <w:szCs w:val="17"/>
                <w:bdr w:val="none" w:sz="0" w:space="0" w:color="auto"/>
                <w:lang w:val="en-GB" w:eastAsia="en-AU"/>
              </w:rPr>
              <w:t>50</w:t>
            </w:r>
            <w:r w:rsidRPr="002E718B">
              <w:rPr>
                <w:rFonts w:ascii="Calibri Light" w:eastAsia="Calibri Light" w:hAnsi="Calibri Light"/>
                <w:i/>
                <w:color w:val="495965"/>
                <w:sz w:val="17"/>
                <w:szCs w:val="17"/>
                <w:bdr w:val="none" w:sz="0" w:space="0" w:color="auto"/>
                <w:lang w:val="en-GB" w:eastAsia="en-AU"/>
              </w:rPr>
              <w:t>% are girls</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273AB7E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BRAC education program effective for remainder of SPA (Phase 1)                           </w:t>
            </w:r>
          </w:p>
        </w:tc>
        <w:tc>
          <w:tcPr>
            <w:tcW w:w="2148" w:type="dxa"/>
            <w:tcBorders>
              <w:top w:val="dotted" w:sz="4" w:space="0" w:color="auto"/>
              <w:left w:val="dotted" w:sz="4" w:space="0" w:color="auto"/>
              <w:bottom w:val="dotted" w:sz="4" w:space="0" w:color="auto"/>
              <w:right w:val="dotted" w:sz="4" w:space="0" w:color="auto"/>
            </w:tcBorders>
            <w:shd w:val="clear" w:color="auto" w:fill="auto"/>
          </w:tcPr>
          <w:p w14:paraId="12AE6254" w14:textId="6380531F" w:rsidR="00474078" w:rsidRPr="00474078" w:rsidRDefault="00474078" w:rsidP="00293167">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BRAC BEP targets for 2017</w:t>
            </w:r>
            <w:r w:rsidR="00293167">
              <w:rPr>
                <w:rFonts w:ascii="Calibri Light" w:eastAsia="Calibri Light" w:hAnsi="Calibri Light"/>
                <w:color w:val="495965"/>
                <w:sz w:val="17"/>
                <w:szCs w:val="17"/>
                <w:bdr w:val="none" w:sz="0" w:space="0" w:color="auto"/>
                <w:lang w:val="en-GB" w:eastAsia="en-AU"/>
              </w:rPr>
              <w:t>,</w:t>
            </w:r>
            <w:r w:rsidRPr="00474078">
              <w:rPr>
                <w:rFonts w:ascii="Calibri Light" w:eastAsia="Calibri Light" w:hAnsi="Calibri Light"/>
                <w:color w:val="495965"/>
                <w:sz w:val="17"/>
                <w:szCs w:val="17"/>
                <w:bdr w:val="none" w:sz="0" w:space="0" w:color="auto"/>
                <w:lang w:val="en-GB" w:eastAsia="en-AU"/>
              </w:rPr>
              <w:t xml:space="preserve"> 2018</w:t>
            </w:r>
            <w:r w:rsidR="00293167">
              <w:rPr>
                <w:rFonts w:ascii="Calibri Light" w:eastAsia="Calibri Light" w:hAnsi="Calibri Light"/>
                <w:color w:val="495965"/>
                <w:sz w:val="17"/>
                <w:szCs w:val="17"/>
                <w:bdr w:val="none" w:sz="0" w:space="0" w:color="auto"/>
                <w:lang w:val="en-GB" w:eastAsia="en-AU"/>
              </w:rPr>
              <w:t xml:space="preserve"> and 2019</w:t>
            </w:r>
          </w:p>
        </w:tc>
        <w:tc>
          <w:tcPr>
            <w:tcW w:w="2410" w:type="dxa"/>
            <w:gridSpan w:val="2"/>
            <w:tcBorders>
              <w:top w:val="dotted" w:sz="4" w:space="0" w:color="auto"/>
              <w:left w:val="dotted" w:sz="4" w:space="0" w:color="auto"/>
              <w:bottom w:val="dotted" w:sz="4" w:space="0" w:color="auto"/>
              <w:right w:val="dotted" w:sz="4" w:space="0" w:color="auto"/>
            </w:tcBorders>
            <w:shd w:val="clear" w:color="auto" w:fill="auto"/>
          </w:tcPr>
          <w:p w14:paraId="46FEED9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470,075</w:t>
            </w:r>
            <w:r w:rsidRPr="00474078">
              <w:rPr>
                <w:rFonts w:ascii="Calibri Light" w:eastAsia="Calibri Light" w:hAnsi="Calibri Light"/>
                <w:i/>
                <w:color w:val="495965"/>
                <w:sz w:val="17"/>
                <w:szCs w:val="17"/>
                <w:bdr w:val="none" w:sz="0" w:space="0" w:color="auto"/>
                <w:vertAlign w:val="superscript"/>
                <w:lang w:val="en-GB" w:eastAsia="en-AU"/>
              </w:rPr>
              <w:footnoteReference w:id="33"/>
            </w:r>
          </w:p>
          <w:p w14:paraId="3CED486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631,222 children completed BRAC primary and pre-primary school</w:t>
            </w:r>
          </w:p>
        </w:tc>
        <w:tc>
          <w:tcPr>
            <w:tcW w:w="2693" w:type="dxa"/>
            <w:tcBorders>
              <w:top w:val="dotted" w:sz="4" w:space="0" w:color="auto"/>
              <w:left w:val="dotted" w:sz="4" w:space="0" w:color="auto"/>
              <w:bottom w:val="dotted" w:sz="4" w:space="0" w:color="auto"/>
              <w:right w:val="dotted" w:sz="4" w:space="0" w:color="auto"/>
            </w:tcBorders>
            <w:shd w:val="clear" w:color="auto" w:fill="auto"/>
          </w:tcPr>
          <w:p w14:paraId="75FF074E" w14:textId="352522B5" w:rsidR="00474078" w:rsidRPr="00563382"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563382">
              <w:rPr>
                <w:rFonts w:ascii="Calibri Light" w:eastAsia="Calibri Light" w:hAnsi="Calibri Light"/>
                <w:i/>
                <w:color w:val="495965"/>
                <w:sz w:val="17"/>
                <w:szCs w:val="17"/>
                <w:bdr w:val="none" w:sz="0" w:space="0" w:color="auto"/>
                <w:lang w:val="en-GB" w:eastAsia="en-AU"/>
              </w:rPr>
              <w:t xml:space="preserve">Target: </w:t>
            </w:r>
            <w:r w:rsidR="004278B6">
              <w:rPr>
                <w:rFonts w:ascii="Calibri Light" w:eastAsia="Calibri Light" w:hAnsi="Calibri Light"/>
                <w:i/>
                <w:color w:val="495965"/>
                <w:sz w:val="17"/>
                <w:szCs w:val="17"/>
                <w:bdr w:val="none" w:sz="0" w:space="0" w:color="auto"/>
                <w:lang w:val="en-GB" w:eastAsia="en-AU"/>
              </w:rPr>
              <w:t xml:space="preserve"> 539,154</w:t>
            </w:r>
            <w:r w:rsidRPr="00563382">
              <w:rPr>
                <w:rFonts w:ascii="Calibri Light" w:eastAsia="Calibri Light" w:hAnsi="Calibri Light"/>
                <w:i/>
                <w:color w:val="495965"/>
                <w:sz w:val="17"/>
                <w:szCs w:val="17"/>
                <w:bdr w:val="none" w:sz="0" w:space="0" w:color="auto"/>
                <w:lang w:val="en-GB" w:eastAsia="en-AU"/>
              </w:rPr>
              <w:t xml:space="preserve"> (at least 50 per cent girls)</w:t>
            </w:r>
          </w:p>
          <w:p w14:paraId="53C83984" w14:textId="3A93014D" w:rsidR="00474078" w:rsidRPr="00474078" w:rsidRDefault="004278B6" w:rsidP="004278B6">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t xml:space="preserve"> 547,232</w:t>
            </w:r>
            <w:r w:rsidR="00474078" w:rsidRPr="002E718B">
              <w:rPr>
                <w:rFonts w:ascii="Calibri Light" w:eastAsia="Calibri Light" w:hAnsi="Calibri Light"/>
                <w:color w:val="495965"/>
                <w:sz w:val="17"/>
                <w:szCs w:val="17"/>
                <w:bdr w:val="none" w:sz="0" w:space="0" w:color="auto"/>
                <w:lang w:val="en-GB" w:eastAsia="en-AU"/>
              </w:rPr>
              <w:t xml:space="preserve"> children </w:t>
            </w:r>
            <w:r w:rsidR="00AA5215" w:rsidRPr="002E718B">
              <w:rPr>
                <w:rFonts w:ascii="Calibri Light" w:eastAsia="Calibri Light" w:hAnsi="Calibri Light"/>
                <w:color w:val="495965"/>
                <w:sz w:val="17"/>
                <w:szCs w:val="17"/>
                <w:bdr w:val="none" w:sz="0" w:space="0" w:color="auto"/>
                <w:lang w:val="en-GB" w:eastAsia="en-AU"/>
              </w:rPr>
              <w:t xml:space="preserve">(53% girls) </w:t>
            </w:r>
            <w:r w:rsidR="00474078" w:rsidRPr="002E718B">
              <w:rPr>
                <w:rFonts w:ascii="Calibri Light" w:eastAsia="Calibri Light" w:hAnsi="Calibri Light"/>
                <w:color w:val="495965"/>
                <w:sz w:val="17"/>
                <w:szCs w:val="17"/>
                <w:bdr w:val="none" w:sz="0" w:space="0" w:color="auto"/>
                <w:lang w:val="en-GB" w:eastAsia="en-AU"/>
              </w:rPr>
              <w:t>completed BRAC primary and pre-primary school.</w:t>
            </w:r>
            <w:r w:rsidR="00474078" w:rsidRPr="00474078">
              <w:rPr>
                <w:rFonts w:ascii="Calibri Light" w:eastAsia="Calibri Light" w:hAnsi="Calibri Light"/>
                <w:color w:val="495965"/>
                <w:sz w:val="17"/>
                <w:szCs w:val="17"/>
                <w:bdr w:val="none" w:sz="0" w:space="0" w:color="auto"/>
                <w:lang w:val="en-GB" w:eastAsia="en-AU"/>
              </w:rPr>
              <w:t xml:space="preserve"> </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4353524C" w14:textId="5B74E30B"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 </w:t>
            </w:r>
            <w:r w:rsidR="004278B6">
              <w:rPr>
                <w:rFonts w:ascii="Calibri Light" w:eastAsia="Calibri Light" w:hAnsi="Calibri Light"/>
                <w:i/>
                <w:color w:val="495965"/>
                <w:sz w:val="17"/>
                <w:szCs w:val="17"/>
                <w:bdr w:val="none" w:sz="0" w:space="0" w:color="auto"/>
                <w:lang w:val="en-GB" w:eastAsia="en-AU"/>
              </w:rPr>
              <w:t xml:space="preserve"> 597,984</w:t>
            </w:r>
            <w:r w:rsidRPr="00474078">
              <w:rPr>
                <w:rFonts w:ascii="Calibri Light" w:eastAsia="Calibri Light" w:hAnsi="Calibri Light"/>
                <w:i/>
                <w:color w:val="495965"/>
                <w:sz w:val="17"/>
                <w:szCs w:val="17"/>
                <w:bdr w:val="none" w:sz="0" w:space="0" w:color="auto"/>
                <w:lang w:val="en-GB" w:eastAsia="en-AU"/>
              </w:rPr>
              <w:t xml:space="preserve"> ( at least 50 per cent girls)</w:t>
            </w:r>
          </w:p>
          <w:p w14:paraId="6E89032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194BBFD3" w14:textId="4B4F1B93" w:rsidR="00474078" w:rsidRPr="00474078" w:rsidRDefault="00BF02F0"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SPA </w:t>
            </w:r>
            <w:r>
              <w:rPr>
                <w:rFonts w:ascii="Calibri Light" w:eastAsia="Calibri Light" w:hAnsi="Calibri Light"/>
                <w:color w:val="495965"/>
                <w:sz w:val="17"/>
                <w:szCs w:val="17"/>
                <w:bdr w:val="none" w:sz="0" w:space="0" w:color="auto"/>
                <w:lang w:val="en-GB" w:eastAsia="en-AU"/>
              </w:rPr>
              <w:t>Results Framework</w:t>
            </w:r>
          </w:p>
        </w:tc>
      </w:tr>
      <w:tr w:rsidR="00474078" w:rsidRPr="00474078" w14:paraId="56E7B52C" w14:textId="77777777" w:rsidTr="00775A5D">
        <w:trPr>
          <w:gridAfter w:val="1"/>
          <w:wAfter w:w="6" w:type="dxa"/>
          <w:trHeight w:val="796"/>
          <w:tblHeader/>
        </w:trPr>
        <w:tc>
          <w:tcPr>
            <w:tcW w:w="1980" w:type="dxa"/>
            <w:vMerge/>
            <w:tcBorders>
              <w:left w:val="dotted" w:sz="4" w:space="0" w:color="auto"/>
              <w:bottom w:val="dotted" w:sz="4" w:space="0" w:color="auto"/>
              <w:right w:val="dotted" w:sz="4" w:space="0" w:color="auto"/>
            </w:tcBorders>
            <w:shd w:val="clear" w:color="auto" w:fill="auto"/>
          </w:tcPr>
          <w:p w14:paraId="587A3D2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tcBorders>
              <w:left w:val="dotted" w:sz="4" w:space="0" w:color="auto"/>
              <w:bottom w:val="dotted" w:sz="4" w:space="0" w:color="auto"/>
              <w:right w:val="dotted" w:sz="4" w:space="0" w:color="auto"/>
            </w:tcBorders>
            <w:shd w:val="clear" w:color="auto" w:fill="auto"/>
          </w:tcPr>
          <w:p w14:paraId="64891E7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7B61B90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BRAC education program adapts to Bangladesh's changing needs. BRAC complements government program</w:t>
            </w:r>
          </w:p>
        </w:tc>
        <w:tc>
          <w:tcPr>
            <w:tcW w:w="2148" w:type="dxa"/>
            <w:tcBorders>
              <w:top w:val="dotted" w:sz="4" w:space="0" w:color="auto"/>
              <w:left w:val="dotted" w:sz="4" w:space="0" w:color="auto"/>
              <w:bottom w:val="dotted" w:sz="4" w:space="0" w:color="auto"/>
              <w:right w:val="dotted" w:sz="4" w:space="0" w:color="auto"/>
            </w:tcBorders>
            <w:shd w:val="clear" w:color="auto" w:fill="auto"/>
          </w:tcPr>
          <w:p w14:paraId="6F03410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Agreed policies and targets for SPA 2. Advocacy with government for change to assessment system.</w:t>
            </w:r>
          </w:p>
        </w:tc>
        <w:tc>
          <w:tcPr>
            <w:tcW w:w="2410" w:type="dxa"/>
            <w:gridSpan w:val="2"/>
            <w:tcBorders>
              <w:top w:val="dotted" w:sz="4" w:space="0" w:color="auto"/>
              <w:left w:val="dotted" w:sz="4" w:space="0" w:color="auto"/>
              <w:bottom w:val="dotted" w:sz="4" w:space="0" w:color="auto"/>
              <w:right w:val="dotted" w:sz="4" w:space="0" w:color="auto"/>
            </w:tcBorders>
            <w:shd w:val="clear" w:color="auto" w:fill="auto"/>
          </w:tcPr>
          <w:p w14:paraId="6AE3093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 BRAC policy dialogue with Government to share lessons learned. </w:t>
            </w:r>
          </w:p>
          <w:p w14:paraId="22E4F16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BRAC is one of four NGOs selected by the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 xml:space="preserve"> as implementing partners in the pilot on Second Chance Education. The pilot covers 100,000 out of school-children.</w:t>
            </w:r>
          </w:p>
        </w:tc>
        <w:tc>
          <w:tcPr>
            <w:tcW w:w="2693" w:type="dxa"/>
            <w:tcBorders>
              <w:top w:val="dotted" w:sz="4" w:space="0" w:color="auto"/>
              <w:left w:val="dotted" w:sz="4" w:space="0" w:color="auto"/>
              <w:bottom w:val="dotted" w:sz="4" w:space="0" w:color="auto"/>
              <w:right w:val="dotted" w:sz="4" w:space="0" w:color="auto"/>
            </w:tcBorders>
            <w:shd w:val="clear" w:color="auto" w:fill="auto"/>
          </w:tcPr>
          <w:p w14:paraId="440CAF7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BEP plans a review of its formative assessment system in collaboration with government agencies</w:t>
            </w:r>
          </w:p>
          <w:p w14:paraId="35B5306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
                <w:color w:val="495965"/>
                <w:sz w:val="17"/>
                <w:szCs w:val="17"/>
                <w:bdr w:val="none" w:sz="0" w:space="0" w:color="auto"/>
                <w:lang w:val="en-GB" w:eastAsia="en-AU"/>
              </w:rPr>
            </w:pPr>
            <w:r w:rsidRPr="00474078">
              <w:rPr>
                <w:rFonts w:ascii="Calibri Light" w:eastAsia="Calibri Light" w:hAnsi="Calibri Light"/>
                <w:b/>
                <w:i/>
                <w:color w:val="495965"/>
                <w:sz w:val="17"/>
                <w:szCs w:val="17"/>
                <w:bdr w:val="none" w:sz="0" w:space="0" w:color="auto"/>
                <w:lang w:val="en-GB" w:eastAsia="en-AU"/>
              </w:rPr>
              <w:t>Met</w:t>
            </w:r>
          </w:p>
          <w:p w14:paraId="030F42D4" w14:textId="1D2302D5"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BRAC’s formative assessment system was reviewed by an independent consultant, and </w:t>
            </w:r>
            <w:r w:rsidR="00AA5215">
              <w:rPr>
                <w:rFonts w:ascii="Calibri Light" w:eastAsia="Calibri Light" w:hAnsi="Calibri Light"/>
                <w:color w:val="495965"/>
                <w:sz w:val="17"/>
                <w:szCs w:val="17"/>
                <w:bdr w:val="none" w:sz="0" w:space="0" w:color="auto"/>
                <w:lang w:val="en-GB" w:eastAsia="en-AU"/>
              </w:rPr>
              <w:t xml:space="preserve">BRAC </w:t>
            </w:r>
            <w:r w:rsidRPr="00474078">
              <w:rPr>
                <w:rFonts w:ascii="Calibri Light" w:eastAsia="Calibri Light" w:hAnsi="Calibri Light"/>
                <w:color w:val="495965"/>
                <w:sz w:val="17"/>
                <w:szCs w:val="17"/>
                <w:bdr w:val="none" w:sz="0" w:space="0" w:color="auto"/>
                <w:lang w:val="en-GB" w:eastAsia="en-AU"/>
              </w:rPr>
              <w:t>is working with other stakeholders, including the Government of Bangladesh through the National Curriculum and Textbook Board (NCTB) to improve its current formative assessment system.</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7B837D3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 xml:space="preserve">Target: BEP implements the recommendation of the formative assessment review and draws lessons for positive dialogue with government. </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7E672AF3" w14:textId="7C5C1658" w:rsidR="00474078" w:rsidRPr="00474078" w:rsidRDefault="00BF02F0"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SPA </w:t>
            </w:r>
            <w:r>
              <w:rPr>
                <w:rFonts w:ascii="Calibri Light" w:eastAsia="Calibri Light" w:hAnsi="Calibri Light"/>
                <w:color w:val="495965"/>
                <w:sz w:val="17"/>
                <w:szCs w:val="17"/>
                <w:bdr w:val="none" w:sz="0" w:space="0" w:color="auto"/>
                <w:lang w:val="en-GB" w:eastAsia="en-AU"/>
              </w:rPr>
              <w:t>Results Framework</w:t>
            </w:r>
          </w:p>
        </w:tc>
      </w:tr>
    </w:tbl>
    <w:p w14:paraId="2AC1A3A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tbl>
      <w:tblPr>
        <w:tblW w:w="15451" w:type="dxa"/>
        <w:tblLayout w:type="fixed"/>
        <w:tblLook w:val="04A0" w:firstRow="1" w:lastRow="0" w:firstColumn="1" w:lastColumn="0" w:noHBand="0" w:noVBand="1"/>
      </w:tblPr>
      <w:tblGrid>
        <w:gridCol w:w="1985"/>
        <w:gridCol w:w="1276"/>
        <w:gridCol w:w="1417"/>
        <w:gridCol w:w="2693"/>
        <w:gridCol w:w="2977"/>
        <w:gridCol w:w="2552"/>
        <w:gridCol w:w="1417"/>
        <w:gridCol w:w="351"/>
        <w:gridCol w:w="783"/>
      </w:tblGrid>
      <w:tr w:rsidR="00474078" w:rsidRPr="00474078" w14:paraId="22EB8320" w14:textId="77777777" w:rsidTr="00775A5D">
        <w:trPr>
          <w:gridAfter w:val="1"/>
          <w:wAfter w:w="783" w:type="dxa"/>
          <w:trHeight w:val="545"/>
          <w:tblHeader/>
        </w:trPr>
        <w:tc>
          <w:tcPr>
            <w:tcW w:w="14668" w:type="dxa"/>
            <w:gridSpan w:val="8"/>
          </w:tcPr>
          <w:p w14:paraId="61AF736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
                <w:iCs/>
                <w:color w:val="495965"/>
                <w:sz w:val="18"/>
                <w:szCs w:val="18"/>
                <w:bdr w:val="none" w:sz="0" w:space="0" w:color="auto"/>
                <w:lang w:val="en-AU" w:eastAsia="en-AU"/>
              </w:rPr>
            </w:pPr>
          </w:p>
        </w:tc>
      </w:tr>
      <w:tr w:rsidR="00474078" w:rsidRPr="00474078" w14:paraId="124B2515" w14:textId="77777777" w:rsidTr="00474078">
        <w:trPr>
          <w:trHeight w:val="519"/>
          <w:tblHeader/>
        </w:trPr>
        <w:tc>
          <w:tcPr>
            <w:tcW w:w="15451" w:type="dxa"/>
            <w:gridSpan w:val="9"/>
            <w:tcBorders>
              <w:top w:val="dotted" w:sz="4" w:space="0" w:color="auto"/>
              <w:left w:val="dotted" w:sz="4" w:space="0" w:color="auto"/>
              <w:bottom w:val="dotted" w:sz="4" w:space="0" w:color="auto"/>
              <w:right w:val="dotted" w:sz="4" w:space="0" w:color="auto"/>
            </w:tcBorders>
            <w:shd w:val="clear" w:color="auto" w:fill="D8DCDB"/>
          </w:tcPr>
          <w:p w14:paraId="40121F6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Australia’s Aid Objective One: Improving education access, equity, efficiency and learning outcomes  </w:t>
            </w:r>
          </w:p>
        </w:tc>
      </w:tr>
      <w:tr w:rsidR="00474078" w:rsidRPr="00474078" w14:paraId="2C2521AE" w14:textId="77777777" w:rsidTr="00775A5D">
        <w:trPr>
          <w:trHeight w:val="75"/>
          <w:tblHeader/>
        </w:trPr>
        <w:tc>
          <w:tcPr>
            <w:tcW w:w="7371" w:type="dxa"/>
            <w:gridSpan w:val="4"/>
            <w:tcBorders>
              <w:top w:val="dotted" w:sz="4" w:space="0" w:color="auto"/>
              <w:left w:val="dotted" w:sz="4" w:space="0" w:color="auto"/>
              <w:bottom w:val="dotted" w:sz="4" w:space="0" w:color="auto"/>
              <w:right w:val="dotted" w:sz="4" w:space="0" w:color="auto"/>
            </w:tcBorders>
          </w:tcPr>
          <w:p w14:paraId="67DA63B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8080" w:type="dxa"/>
            <w:gridSpan w:val="5"/>
            <w:tcBorders>
              <w:top w:val="dotted" w:sz="4" w:space="0" w:color="auto"/>
              <w:left w:val="dotted" w:sz="4" w:space="0" w:color="auto"/>
              <w:bottom w:val="dotted" w:sz="4" w:space="0" w:color="auto"/>
              <w:right w:val="dotted" w:sz="4" w:space="0" w:color="auto"/>
            </w:tcBorders>
          </w:tcPr>
          <w:p w14:paraId="4030D34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481D4A91" w14:textId="77777777" w:rsidTr="00474078">
        <w:trPr>
          <w:trHeight w:val="796"/>
          <w:tblHeader/>
        </w:trPr>
        <w:tc>
          <w:tcPr>
            <w:tcW w:w="1985" w:type="dxa"/>
            <w:tcBorders>
              <w:top w:val="dotted" w:sz="4" w:space="0" w:color="auto"/>
              <w:left w:val="dotted" w:sz="4" w:space="0" w:color="auto"/>
              <w:bottom w:val="dotted" w:sz="4" w:space="0" w:color="auto"/>
              <w:right w:val="dotted" w:sz="4" w:space="0" w:color="auto"/>
            </w:tcBorders>
            <w:shd w:val="clear" w:color="auto" w:fill="D8DCDB"/>
          </w:tcPr>
          <w:p w14:paraId="2789EB7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276" w:type="dxa"/>
            <w:tcBorders>
              <w:top w:val="dotted" w:sz="4" w:space="0" w:color="auto"/>
              <w:left w:val="dotted" w:sz="4" w:space="0" w:color="auto"/>
              <w:bottom w:val="dotted" w:sz="4" w:space="0" w:color="auto"/>
              <w:right w:val="dotted" w:sz="4" w:space="0" w:color="auto"/>
            </w:tcBorders>
            <w:shd w:val="clear" w:color="auto" w:fill="D8DCDB"/>
          </w:tcPr>
          <w:p w14:paraId="711B63E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p w14:paraId="42D5C60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1E19E9B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Intermediate </w:t>
            </w:r>
          </w:p>
          <w:p w14:paraId="63279A5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outcome</w:t>
            </w:r>
          </w:p>
        </w:tc>
        <w:tc>
          <w:tcPr>
            <w:tcW w:w="2693" w:type="dxa"/>
            <w:tcBorders>
              <w:top w:val="dotted" w:sz="4" w:space="0" w:color="auto"/>
              <w:left w:val="dotted" w:sz="4" w:space="0" w:color="auto"/>
              <w:bottom w:val="dotted" w:sz="4" w:space="0" w:color="auto"/>
              <w:right w:val="dotted" w:sz="4" w:space="0" w:color="auto"/>
            </w:tcBorders>
            <w:shd w:val="clear" w:color="auto" w:fill="D8DCDB"/>
          </w:tcPr>
          <w:p w14:paraId="0158264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2977" w:type="dxa"/>
            <w:tcBorders>
              <w:top w:val="dotted" w:sz="4" w:space="0" w:color="auto"/>
              <w:left w:val="dotted" w:sz="4" w:space="0" w:color="auto"/>
              <w:bottom w:val="dotted" w:sz="4" w:space="0" w:color="auto"/>
              <w:right w:val="dotted" w:sz="4" w:space="0" w:color="auto"/>
            </w:tcBorders>
            <w:shd w:val="clear" w:color="auto" w:fill="D8DCDB"/>
          </w:tcPr>
          <w:p w14:paraId="2DC0B67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2552" w:type="dxa"/>
            <w:tcBorders>
              <w:top w:val="dotted" w:sz="4" w:space="0" w:color="auto"/>
              <w:left w:val="dotted" w:sz="4" w:space="0" w:color="auto"/>
              <w:bottom w:val="dotted" w:sz="4" w:space="0" w:color="auto"/>
              <w:right w:val="dotted" w:sz="4" w:space="0" w:color="auto"/>
            </w:tcBorders>
            <w:shd w:val="clear" w:color="auto" w:fill="D8DCDB"/>
          </w:tcPr>
          <w:p w14:paraId="5524390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69AC084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134" w:type="dxa"/>
            <w:gridSpan w:val="2"/>
            <w:tcBorders>
              <w:top w:val="dotted" w:sz="4" w:space="0" w:color="auto"/>
              <w:left w:val="dotted" w:sz="4" w:space="0" w:color="auto"/>
              <w:bottom w:val="dotted" w:sz="4" w:space="0" w:color="auto"/>
              <w:right w:val="dotted" w:sz="4" w:space="0" w:color="auto"/>
            </w:tcBorders>
            <w:shd w:val="clear" w:color="auto" w:fill="D8DCDB"/>
          </w:tcPr>
          <w:p w14:paraId="07C5BE2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6AC20770" w14:textId="77777777" w:rsidTr="0038038A">
        <w:trPr>
          <w:trHeight w:val="1398"/>
        </w:trPr>
        <w:tc>
          <w:tcPr>
            <w:tcW w:w="1985" w:type="dxa"/>
            <w:vMerge w:val="restart"/>
            <w:tcBorders>
              <w:top w:val="dotted" w:sz="4" w:space="0" w:color="auto"/>
              <w:left w:val="dotted" w:sz="4" w:space="0" w:color="auto"/>
              <w:right w:val="dotted" w:sz="4" w:space="0" w:color="auto"/>
            </w:tcBorders>
            <w:shd w:val="clear" w:color="auto" w:fill="auto"/>
          </w:tcPr>
          <w:p w14:paraId="26C2797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3. Partnership between Government and Development Partners improves effectiveness, equitable and accountable service delivery of primary education outcomes</w:t>
            </w:r>
          </w:p>
        </w:tc>
        <w:tc>
          <w:tcPr>
            <w:tcW w:w="1276" w:type="dxa"/>
            <w:tcBorders>
              <w:top w:val="dotted" w:sz="4" w:space="0" w:color="auto"/>
              <w:left w:val="dotted" w:sz="4" w:space="0" w:color="auto"/>
              <w:bottom w:val="dotted" w:sz="4" w:space="0" w:color="auto"/>
              <w:right w:val="dotted" w:sz="4" w:space="0" w:color="auto"/>
            </w:tcBorders>
          </w:tcPr>
          <w:p w14:paraId="0DB9929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Key policy and management priorities promoted through policy based dialogue</w:t>
            </w:r>
          </w:p>
        </w:tc>
        <w:tc>
          <w:tcPr>
            <w:tcW w:w="1417" w:type="dxa"/>
            <w:tcBorders>
              <w:top w:val="dotted" w:sz="4" w:space="0" w:color="auto"/>
              <w:left w:val="dotted" w:sz="4" w:space="0" w:color="auto"/>
              <w:bottom w:val="dotted" w:sz="4" w:space="0" w:color="auto"/>
              <w:right w:val="dotted" w:sz="4" w:space="0" w:color="auto"/>
            </w:tcBorders>
          </w:tcPr>
          <w:p w14:paraId="2339304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Disbursement Linked Indicators (DLIs) maintained as the basis for dialogue.</w:t>
            </w:r>
          </w:p>
          <w:p w14:paraId="63FCE41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2693" w:type="dxa"/>
            <w:tcBorders>
              <w:top w:val="dotted" w:sz="4" w:space="0" w:color="auto"/>
              <w:left w:val="dotted" w:sz="4" w:space="0" w:color="auto"/>
              <w:bottom w:val="dotted" w:sz="4" w:space="0" w:color="auto"/>
              <w:right w:val="dotted" w:sz="4" w:space="0" w:color="auto"/>
            </w:tcBorders>
          </w:tcPr>
          <w:p w14:paraId="77C6FBD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50% of donor fund disbursement for Primary Education development Partnership 3 is directly linked to results achieved with the remaining 50% subject to meeting annual audit requirements</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27B8CE9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50%</w:t>
            </w:r>
          </w:p>
          <w:p w14:paraId="77D9213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50%</w:t>
            </w:r>
          </w:p>
          <w:p w14:paraId="5FDCDA1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36A8197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50%</w:t>
            </w:r>
          </w:p>
          <w:p w14:paraId="69E509D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50%</w:t>
            </w:r>
          </w:p>
          <w:p w14:paraId="12B8999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4EE8E6B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Program ended in June 2018</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57E7981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Government of Bangladesh</w:t>
            </w:r>
          </w:p>
        </w:tc>
      </w:tr>
      <w:tr w:rsidR="00474078" w:rsidRPr="00474078" w14:paraId="6B214C9A" w14:textId="77777777" w:rsidTr="00775A5D">
        <w:trPr>
          <w:trHeight w:val="2835"/>
        </w:trPr>
        <w:tc>
          <w:tcPr>
            <w:tcW w:w="1985" w:type="dxa"/>
            <w:vMerge/>
            <w:tcBorders>
              <w:left w:val="dotted" w:sz="4" w:space="0" w:color="auto"/>
              <w:bottom w:val="dotted" w:sz="4" w:space="0" w:color="auto"/>
              <w:right w:val="dotted" w:sz="4" w:space="0" w:color="auto"/>
            </w:tcBorders>
            <w:shd w:val="clear" w:color="auto" w:fill="auto"/>
          </w:tcPr>
          <w:p w14:paraId="30A43B2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276" w:type="dxa"/>
            <w:tcBorders>
              <w:top w:val="dotted" w:sz="4" w:space="0" w:color="auto"/>
              <w:left w:val="dotted" w:sz="4" w:space="0" w:color="auto"/>
              <w:bottom w:val="dotted" w:sz="4" w:space="0" w:color="auto"/>
              <w:right w:val="dotted" w:sz="4" w:space="0" w:color="auto"/>
            </w:tcBorders>
          </w:tcPr>
          <w:p w14:paraId="277E8E2E" w14:textId="2F917BF5" w:rsidR="00474078" w:rsidRPr="00474078" w:rsidRDefault="00A109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2E718B">
              <w:rPr>
                <w:rFonts w:ascii="Calibri Light" w:eastAsia="Calibri Light" w:hAnsi="Calibri Light"/>
                <w:color w:val="495965"/>
                <w:sz w:val="17"/>
                <w:szCs w:val="17"/>
                <w:bdr w:val="none" w:sz="0" w:space="0" w:color="auto"/>
                <w:lang w:val="en-GB" w:eastAsia="en-AU"/>
              </w:rPr>
              <w:t>Government policies and practice for gender equity in primary education demonstrate analysis and commitment beyond parity</w:t>
            </w:r>
          </w:p>
        </w:tc>
        <w:tc>
          <w:tcPr>
            <w:tcW w:w="1417" w:type="dxa"/>
            <w:tcBorders>
              <w:top w:val="dotted" w:sz="4" w:space="0" w:color="auto"/>
              <w:left w:val="dotted" w:sz="4" w:space="0" w:color="auto"/>
              <w:bottom w:val="dotted" w:sz="4" w:space="0" w:color="auto"/>
              <w:right w:val="dotted" w:sz="4" w:space="0" w:color="auto"/>
            </w:tcBorders>
          </w:tcPr>
          <w:p w14:paraId="3D213EF9" w14:textId="75EA75CA" w:rsidR="00474078" w:rsidRPr="00474078" w:rsidRDefault="00A109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2E718B">
              <w:rPr>
                <w:rFonts w:ascii="Calibri Light" w:eastAsia="Calibri Light" w:hAnsi="Calibri Light"/>
                <w:color w:val="495965"/>
                <w:sz w:val="17"/>
                <w:szCs w:val="17"/>
                <w:bdr w:val="none" w:sz="0" w:space="0" w:color="auto"/>
                <w:lang w:val="en-GB" w:eastAsia="en-AU"/>
              </w:rPr>
              <w:t>Improved and extended data and analysis available to education officials at UP level</w:t>
            </w:r>
          </w:p>
        </w:tc>
        <w:tc>
          <w:tcPr>
            <w:tcW w:w="2693" w:type="dxa"/>
            <w:tcBorders>
              <w:top w:val="dotted" w:sz="4" w:space="0" w:color="auto"/>
              <w:left w:val="dotted" w:sz="4" w:space="0" w:color="auto"/>
              <w:bottom w:val="dotted" w:sz="4" w:space="0" w:color="auto"/>
              <w:right w:val="dotted" w:sz="4" w:space="0" w:color="auto"/>
            </w:tcBorders>
            <w:shd w:val="clear" w:color="auto" w:fill="auto"/>
          </w:tcPr>
          <w:p w14:paraId="3F799C2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Government generating gender sensitive analysis of primary education system and applying this to implementation of PEDP</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3767E81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Qualitative study conducted to deepen understanding gender issues in primary education as part of PEDP4 design process.</w:t>
            </w:r>
          </w:p>
          <w:p w14:paraId="283ECFF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DFAT commissioned a household education survey with a focus on gender. The analysis will inform options for advocacy on gender. The survey to be finalised in June 2017.</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0CBCC68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PEDP4 integrates lessons learned from quantitative and qualitative monitoring and evaluation on gender issues in primary education</w:t>
            </w:r>
          </w:p>
          <w:p w14:paraId="4119827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474078">
              <w:rPr>
                <w:rFonts w:ascii="Calibri Light" w:eastAsia="Calibri Light" w:hAnsi="Calibri Light"/>
                <w:b/>
                <w:color w:val="495965"/>
                <w:sz w:val="17"/>
                <w:szCs w:val="17"/>
                <w:bdr w:val="none" w:sz="0" w:space="0" w:color="auto"/>
                <w:lang w:val="en-GB" w:eastAsia="en-AU"/>
              </w:rPr>
              <w:t>Partially met</w:t>
            </w:r>
          </w:p>
          <w:p w14:paraId="0AAFAD89" w14:textId="0CFEB101" w:rsidR="00474078" w:rsidRPr="00474078" w:rsidRDefault="00B96D00" w:rsidP="00767D26">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Pr>
                <w:rFonts w:ascii="Calibri Light" w:eastAsia="Calibri Light" w:hAnsi="Calibri Light"/>
                <w:color w:val="495965"/>
                <w:sz w:val="17"/>
                <w:szCs w:val="17"/>
                <w:bdr w:val="none" w:sz="0" w:space="0" w:color="auto"/>
                <w:lang w:val="en-GB" w:eastAsia="en-AU"/>
              </w:rPr>
              <w:t>PED</w:t>
            </w:r>
            <w:r w:rsidR="00474078" w:rsidRPr="00474078">
              <w:rPr>
                <w:rFonts w:ascii="Calibri Light" w:eastAsia="Calibri Light" w:hAnsi="Calibri Light"/>
                <w:color w:val="495965"/>
                <w:sz w:val="17"/>
                <w:szCs w:val="17"/>
                <w:bdr w:val="none" w:sz="0" w:space="0" w:color="auto"/>
                <w:lang w:val="en-GB" w:eastAsia="en-AU"/>
              </w:rPr>
              <w:t xml:space="preserve">P4’s Gender Inclusive Education Action Plan (GIEAP) captures some lessons from PEDP3, including the processes for collecting and monitoring gender disaggregated data. However, </w:t>
            </w:r>
            <w:r w:rsidR="00767D26">
              <w:rPr>
                <w:rFonts w:ascii="Calibri Light" w:eastAsia="Calibri Light" w:hAnsi="Calibri Light"/>
                <w:color w:val="495965"/>
                <w:sz w:val="17"/>
                <w:szCs w:val="17"/>
                <w:bdr w:val="none" w:sz="0" w:space="0" w:color="auto"/>
                <w:lang w:val="en-GB" w:eastAsia="en-AU"/>
              </w:rPr>
              <w:t xml:space="preserve">expected improvements in the </w:t>
            </w:r>
            <w:r w:rsidR="00474078" w:rsidRPr="00474078">
              <w:rPr>
                <w:rFonts w:ascii="Calibri Light" w:eastAsia="Calibri Light" w:hAnsi="Calibri Light"/>
                <w:color w:val="495965"/>
                <w:sz w:val="17"/>
                <w:szCs w:val="17"/>
                <w:bdr w:val="none" w:sz="0" w:space="0" w:color="auto"/>
                <w:lang w:val="en-GB" w:eastAsia="en-AU"/>
              </w:rPr>
              <w:t xml:space="preserve">PEDP4 GIEAP </w:t>
            </w:r>
            <w:r w:rsidR="00767D26">
              <w:rPr>
                <w:rFonts w:ascii="Calibri Light" w:eastAsia="Calibri Light" w:hAnsi="Calibri Light"/>
                <w:color w:val="495965"/>
                <w:sz w:val="17"/>
                <w:szCs w:val="17"/>
                <w:bdr w:val="none" w:sz="0" w:space="0" w:color="auto"/>
                <w:lang w:val="en-GB" w:eastAsia="en-AU"/>
              </w:rPr>
              <w:t xml:space="preserve">were not achieved. </w:t>
            </w:r>
            <w:r w:rsidR="00474078" w:rsidRPr="00474078">
              <w:rPr>
                <w:rFonts w:ascii="Calibri Light" w:eastAsia="Calibri Light" w:hAnsi="Calibri Light"/>
                <w:color w:val="495965"/>
                <w:sz w:val="17"/>
                <w:szCs w:val="17"/>
                <w:bdr w:val="none" w:sz="0" w:space="0" w:color="auto"/>
                <w:lang w:val="en-GB" w:eastAsia="en-AU"/>
              </w:rPr>
              <w:t xml:space="preserve"> </w:t>
            </w:r>
            <w:r w:rsidR="00474078" w:rsidRPr="00474078">
              <w:rPr>
                <w:rFonts w:ascii="Calibri Light" w:eastAsia="Calibri Light" w:hAnsi="Calibri Light"/>
                <w:color w:val="495965"/>
                <w:sz w:val="17"/>
                <w:szCs w:val="17"/>
                <w:bdr w:val="none" w:sz="0" w:space="0" w:color="auto"/>
                <w:lang w:val="en-GB" w:eastAsia="en-AU"/>
              </w:rPr>
              <w:lastRenderedPageBreak/>
              <w:t xml:space="preserve">Gender analysis commissioned by DFAT and other donors </w:t>
            </w:r>
            <w:r w:rsidR="00AA5215">
              <w:rPr>
                <w:rFonts w:ascii="Calibri Light" w:eastAsia="Calibri Light" w:hAnsi="Calibri Light"/>
                <w:color w:val="495965"/>
                <w:sz w:val="17"/>
                <w:szCs w:val="17"/>
                <w:bdr w:val="none" w:sz="0" w:space="0" w:color="auto"/>
                <w:lang w:val="en-GB" w:eastAsia="en-AU"/>
              </w:rPr>
              <w:t>(</w:t>
            </w:r>
            <w:proofErr w:type="spellStart"/>
            <w:r w:rsidR="00AA5215">
              <w:rPr>
                <w:rFonts w:ascii="Calibri Light" w:eastAsia="Calibri Light" w:hAnsi="Calibri Light"/>
                <w:color w:val="495965"/>
                <w:sz w:val="17"/>
                <w:szCs w:val="17"/>
                <w:bdr w:val="none" w:sz="0" w:space="0" w:color="auto"/>
                <w:lang w:val="en-GB" w:eastAsia="en-AU"/>
              </w:rPr>
              <w:t>eg</w:t>
            </w:r>
            <w:proofErr w:type="spellEnd"/>
            <w:r w:rsidR="00AA5215">
              <w:rPr>
                <w:rFonts w:ascii="Calibri Light" w:eastAsia="Calibri Light" w:hAnsi="Calibri Light"/>
                <w:color w:val="495965"/>
                <w:sz w:val="17"/>
                <w:szCs w:val="17"/>
                <w:bdr w:val="none" w:sz="0" w:space="0" w:color="auto"/>
                <w:lang w:val="en-GB" w:eastAsia="en-AU"/>
              </w:rPr>
              <w:t xml:space="preserve">. DFAT funded </w:t>
            </w:r>
            <w:r w:rsidR="00474078" w:rsidRPr="00474078">
              <w:rPr>
                <w:rFonts w:ascii="Calibri Light" w:eastAsia="Calibri Light" w:hAnsi="Calibri Light"/>
                <w:color w:val="495965"/>
                <w:sz w:val="17"/>
                <w:szCs w:val="17"/>
                <w:bdr w:val="none" w:sz="0" w:space="0" w:color="auto"/>
                <w:lang w:val="en-GB" w:eastAsia="en-AU"/>
              </w:rPr>
              <w:t>World Bank household survey on obstacles to girls’ education</w:t>
            </w:r>
            <w:r w:rsidR="00AA5215">
              <w:rPr>
                <w:rFonts w:ascii="Calibri Light" w:eastAsia="Calibri Light" w:hAnsi="Calibri Light"/>
                <w:color w:val="495965"/>
                <w:sz w:val="17"/>
                <w:szCs w:val="17"/>
                <w:bdr w:val="none" w:sz="0" w:space="0" w:color="auto"/>
                <w:lang w:val="en-GB" w:eastAsia="en-AU"/>
              </w:rPr>
              <w:t xml:space="preserve">, and Gender TA to the design team) </w:t>
            </w:r>
            <w:r w:rsidR="00474078" w:rsidRPr="00474078">
              <w:rPr>
                <w:rFonts w:ascii="Calibri Light" w:eastAsia="Calibri Light" w:hAnsi="Calibri Light"/>
                <w:color w:val="495965"/>
                <w:sz w:val="17"/>
                <w:szCs w:val="17"/>
                <w:bdr w:val="none" w:sz="0" w:space="0" w:color="auto"/>
                <w:lang w:val="en-GB" w:eastAsia="en-AU"/>
              </w:rPr>
              <w:t xml:space="preserve">were delayed, limiting </w:t>
            </w:r>
            <w:proofErr w:type="gramStart"/>
            <w:r w:rsidR="00AA5215">
              <w:rPr>
                <w:rFonts w:ascii="Calibri Light" w:eastAsia="Calibri Light" w:hAnsi="Calibri Light"/>
                <w:color w:val="495965"/>
                <w:sz w:val="17"/>
                <w:szCs w:val="17"/>
                <w:bdr w:val="none" w:sz="0" w:space="0" w:color="auto"/>
                <w:lang w:val="en-GB" w:eastAsia="en-AU"/>
              </w:rPr>
              <w:t xml:space="preserve">their </w:t>
            </w:r>
            <w:r w:rsidR="00474078" w:rsidRPr="00474078">
              <w:rPr>
                <w:rFonts w:ascii="Calibri Light" w:eastAsia="Calibri Light" w:hAnsi="Calibri Light"/>
                <w:color w:val="495965"/>
                <w:sz w:val="17"/>
                <w:szCs w:val="17"/>
                <w:bdr w:val="none" w:sz="0" w:space="0" w:color="auto"/>
                <w:lang w:val="en-GB" w:eastAsia="en-AU"/>
              </w:rPr>
              <w:t xml:space="preserve"> influence</w:t>
            </w:r>
            <w:proofErr w:type="gramEnd"/>
            <w:r w:rsidR="00474078" w:rsidRPr="00474078">
              <w:rPr>
                <w:rFonts w:ascii="Calibri Light" w:eastAsia="Calibri Light" w:hAnsi="Calibri Light"/>
                <w:color w:val="495965"/>
                <w:sz w:val="17"/>
                <w:szCs w:val="17"/>
                <w:bdr w:val="none" w:sz="0" w:space="0" w:color="auto"/>
                <w:lang w:val="en-GB" w:eastAsia="en-AU"/>
              </w:rPr>
              <w:t xml:space="preserve"> in the design of PEDP4.</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10A1161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lastRenderedPageBreak/>
              <w:t>Program ended in June 2018</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0EDA635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Government of Bangladesh</w:t>
            </w:r>
          </w:p>
        </w:tc>
      </w:tr>
    </w:tbl>
    <w:p w14:paraId="3C9B1B4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tbl>
      <w:tblPr>
        <w:tblW w:w="15451" w:type="dxa"/>
        <w:tblLayout w:type="fixed"/>
        <w:tblLook w:val="04A0" w:firstRow="1" w:lastRow="0" w:firstColumn="1" w:lastColumn="0" w:noHBand="0" w:noVBand="1"/>
      </w:tblPr>
      <w:tblGrid>
        <w:gridCol w:w="1486"/>
        <w:gridCol w:w="1327"/>
        <w:gridCol w:w="1865"/>
        <w:gridCol w:w="2693"/>
        <w:gridCol w:w="2830"/>
        <w:gridCol w:w="2273"/>
        <w:gridCol w:w="1843"/>
        <w:gridCol w:w="1134"/>
      </w:tblGrid>
      <w:tr w:rsidR="00474078" w:rsidRPr="00474078" w14:paraId="49442E5D" w14:textId="77777777" w:rsidTr="00474078">
        <w:trPr>
          <w:trHeight w:val="519"/>
          <w:tblHeader/>
        </w:trPr>
        <w:tc>
          <w:tcPr>
            <w:tcW w:w="15451" w:type="dxa"/>
            <w:gridSpan w:val="8"/>
            <w:tcBorders>
              <w:top w:val="dotted" w:sz="4" w:space="0" w:color="auto"/>
              <w:left w:val="dotted" w:sz="4" w:space="0" w:color="auto"/>
              <w:bottom w:val="dotted" w:sz="4" w:space="0" w:color="auto"/>
              <w:right w:val="dotted" w:sz="4" w:space="0" w:color="auto"/>
            </w:tcBorders>
            <w:shd w:val="clear" w:color="auto" w:fill="D8DCDB"/>
          </w:tcPr>
          <w:p w14:paraId="2573099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B7283">
              <w:rPr>
                <w:rFonts w:ascii="Calibri Light" w:eastAsia="Calibri Light" w:hAnsi="Calibri Light"/>
                <w:b/>
                <w:iCs/>
                <w:color w:val="495965"/>
                <w:sz w:val="18"/>
                <w:szCs w:val="18"/>
                <w:bdr w:val="none" w:sz="0" w:space="0" w:color="auto"/>
                <w:lang w:val="en-AU" w:eastAsia="en-AU"/>
              </w:rPr>
              <w:t>Australia’s Aid Objective Two: Building</w:t>
            </w:r>
            <w:r w:rsidRPr="00474078">
              <w:rPr>
                <w:rFonts w:ascii="Calibri Light" w:eastAsia="Calibri Light" w:hAnsi="Calibri Light"/>
                <w:b/>
                <w:iCs/>
                <w:color w:val="495965"/>
                <w:sz w:val="18"/>
                <w:szCs w:val="18"/>
                <w:bdr w:val="none" w:sz="0" w:space="0" w:color="auto"/>
                <w:lang w:val="en-AU" w:eastAsia="en-AU"/>
              </w:rPr>
              <w:t xml:space="preserve"> economic resilience by reducing vulnerability and improving inclusion in the growing economy</w:t>
            </w:r>
          </w:p>
        </w:tc>
      </w:tr>
      <w:tr w:rsidR="00474078" w:rsidRPr="00474078" w14:paraId="1143C591" w14:textId="77777777" w:rsidTr="00775A5D">
        <w:trPr>
          <w:trHeight w:val="75"/>
          <w:tblHeader/>
        </w:trPr>
        <w:tc>
          <w:tcPr>
            <w:tcW w:w="7371" w:type="dxa"/>
            <w:gridSpan w:val="4"/>
            <w:tcBorders>
              <w:top w:val="dotted" w:sz="4" w:space="0" w:color="auto"/>
              <w:left w:val="dotted" w:sz="4" w:space="0" w:color="auto"/>
              <w:bottom w:val="dotted" w:sz="4" w:space="0" w:color="auto"/>
              <w:right w:val="dotted" w:sz="4" w:space="0" w:color="auto"/>
            </w:tcBorders>
          </w:tcPr>
          <w:p w14:paraId="57B3825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8080" w:type="dxa"/>
            <w:gridSpan w:val="4"/>
            <w:tcBorders>
              <w:top w:val="dotted" w:sz="4" w:space="0" w:color="auto"/>
              <w:left w:val="dotted" w:sz="4" w:space="0" w:color="auto"/>
              <w:bottom w:val="dotted" w:sz="4" w:space="0" w:color="auto"/>
              <w:right w:val="dotted" w:sz="4" w:space="0" w:color="auto"/>
            </w:tcBorders>
          </w:tcPr>
          <w:p w14:paraId="1C9B6A2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1B1E0E18" w14:textId="77777777" w:rsidTr="00474078">
        <w:trPr>
          <w:trHeight w:val="796"/>
          <w:tblHeader/>
        </w:trPr>
        <w:tc>
          <w:tcPr>
            <w:tcW w:w="1486" w:type="dxa"/>
            <w:tcBorders>
              <w:top w:val="dotted" w:sz="4" w:space="0" w:color="auto"/>
              <w:left w:val="dotted" w:sz="4" w:space="0" w:color="auto"/>
              <w:bottom w:val="dotted" w:sz="4" w:space="0" w:color="auto"/>
              <w:right w:val="dotted" w:sz="4" w:space="0" w:color="auto"/>
            </w:tcBorders>
            <w:shd w:val="clear" w:color="auto" w:fill="D8DCDB"/>
          </w:tcPr>
          <w:p w14:paraId="6FFF010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327" w:type="dxa"/>
            <w:tcBorders>
              <w:top w:val="dotted" w:sz="4" w:space="0" w:color="auto"/>
              <w:left w:val="dotted" w:sz="4" w:space="0" w:color="auto"/>
              <w:bottom w:val="dotted" w:sz="4" w:space="0" w:color="auto"/>
              <w:right w:val="dotted" w:sz="4" w:space="0" w:color="auto"/>
            </w:tcBorders>
            <w:shd w:val="clear" w:color="auto" w:fill="D8DCDB"/>
          </w:tcPr>
          <w:p w14:paraId="24D7299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p w14:paraId="6D6404D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1865" w:type="dxa"/>
            <w:tcBorders>
              <w:top w:val="dotted" w:sz="4" w:space="0" w:color="auto"/>
              <w:left w:val="dotted" w:sz="4" w:space="0" w:color="auto"/>
              <w:bottom w:val="dotted" w:sz="4" w:space="0" w:color="auto"/>
              <w:right w:val="dotted" w:sz="4" w:space="0" w:color="auto"/>
            </w:tcBorders>
            <w:shd w:val="clear" w:color="auto" w:fill="D8DCDB"/>
          </w:tcPr>
          <w:p w14:paraId="311A644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Intermediate </w:t>
            </w:r>
          </w:p>
          <w:p w14:paraId="5C86C0C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outcome</w:t>
            </w:r>
          </w:p>
        </w:tc>
        <w:tc>
          <w:tcPr>
            <w:tcW w:w="2693" w:type="dxa"/>
            <w:tcBorders>
              <w:top w:val="dotted" w:sz="4" w:space="0" w:color="auto"/>
              <w:left w:val="dotted" w:sz="4" w:space="0" w:color="auto"/>
              <w:bottom w:val="dotted" w:sz="4" w:space="0" w:color="auto"/>
              <w:right w:val="dotted" w:sz="4" w:space="0" w:color="auto"/>
            </w:tcBorders>
            <w:shd w:val="clear" w:color="auto" w:fill="D8DCDB"/>
          </w:tcPr>
          <w:p w14:paraId="389F68B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2830" w:type="dxa"/>
            <w:tcBorders>
              <w:top w:val="dotted" w:sz="4" w:space="0" w:color="auto"/>
              <w:left w:val="dotted" w:sz="4" w:space="0" w:color="auto"/>
              <w:bottom w:val="dotted" w:sz="4" w:space="0" w:color="auto"/>
              <w:right w:val="dotted" w:sz="4" w:space="0" w:color="auto"/>
            </w:tcBorders>
            <w:shd w:val="clear" w:color="auto" w:fill="D8DCDB"/>
          </w:tcPr>
          <w:p w14:paraId="5681121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2273" w:type="dxa"/>
            <w:tcBorders>
              <w:top w:val="dotted" w:sz="4" w:space="0" w:color="auto"/>
              <w:left w:val="dotted" w:sz="4" w:space="0" w:color="auto"/>
              <w:bottom w:val="dotted" w:sz="4" w:space="0" w:color="auto"/>
              <w:right w:val="dotted" w:sz="4" w:space="0" w:color="auto"/>
            </w:tcBorders>
            <w:shd w:val="clear" w:color="auto" w:fill="D8DCDB"/>
          </w:tcPr>
          <w:p w14:paraId="309EEAF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5BAA03C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24603D5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40941969" w14:textId="77777777" w:rsidTr="00775A5D">
        <w:trPr>
          <w:trHeight w:val="1112"/>
        </w:trPr>
        <w:tc>
          <w:tcPr>
            <w:tcW w:w="1486" w:type="dxa"/>
            <w:tcBorders>
              <w:top w:val="dotted" w:sz="4" w:space="0" w:color="auto"/>
              <w:left w:val="dotted" w:sz="4" w:space="0" w:color="auto"/>
              <w:bottom w:val="dotted" w:sz="4" w:space="0" w:color="auto"/>
              <w:right w:val="dotted" w:sz="4" w:space="0" w:color="auto"/>
            </w:tcBorders>
          </w:tcPr>
          <w:p w14:paraId="6B0F803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1. Government of Bangladesh implements its National Social Security Strategy informed by best international practices</w:t>
            </w:r>
          </w:p>
        </w:tc>
        <w:tc>
          <w:tcPr>
            <w:tcW w:w="1327" w:type="dxa"/>
            <w:tcBorders>
              <w:top w:val="dotted" w:sz="4" w:space="0" w:color="auto"/>
              <w:left w:val="dotted" w:sz="4" w:space="0" w:color="auto"/>
              <w:bottom w:val="dotted" w:sz="4" w:space="0" w:color="auto"/>
              <w:right w:val="dotted" w:sz="4" w:space="0" w:color="auto"/>
            </w:tcBorders>
          </w:tcPr>
          <w:p w14:paraId="4CB795F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National Social Security Strategy (NSSS) formulated and implemented; </w:t>
            </w:r>
          </w:p>
          <w:p w14:paraId="3A016E5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63F3B7C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17DD5C6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222DB2F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4E38146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 xml:space="preserve"> </w:t>
            </w:r>
          </w:p>
        </w:tc>
        <w:tc>
          <w:tcPr>
            <w:tcW w:w="1865" w:type="dxa"/>
            <w:tcBorders>
              <w:top w:val="dotted" w:sz="4" w:space="0" w:color="auto"/>
              <w:left w:val="dotted" w:sz="4" w:space="0" w:color="auto"/>
              <w:bottom w:val="dotted" w:sz="4" w:space="0" w:color="auto"/>
              <w:right w:val="dotted" w:sz="4" w:space="0" w:color="auto"/>
            </w:tcBorders>
          </w:tcPr>
          <w:p w14:paraId="5874CA9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Better cross-government coordination on policies, budgets and plans for a more effective and efficient social security system</w:t>
            </w:r>
          </w:p>
        </w:tc>
        <w:tc>
          <w:tcPr>
            <w:tcW w:w="2693" w:type="dxa"/>
            <w:tcBorders>
              <w:top w:val="dotted" w:sz="4" w:space="0" w:color="auto"/>
              <w:left w:val="dotted" w:sz="4" w:space="0" w:color="auto"/>
              <w:bottom w:val="dotted" w:sz="4" w:space="0" w:color="auto"/>
              <w:right w:val="dotted" w:sz="4" w:space="0" w:color="auto"/>
            </w:tcBorders>
          </w:tcPr>
          <w:p w14:paraId="138C6AF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Existence of budgets and costed plans; consistent application across government</w:t>
            </w:r>
          </w:p>
        </w:tc>
        <w:tc>
          <w:tcPr>
            <w:tcW w:w="2830" w:type="dxa"/>
            <w:tcBorders>
              <w:top w:val="dotted" w:sz="4" w:space="0" w:color="auto"/>
              <w:left w:val="dotted" w:sz="4" w:space="0" w:color="auto"/>
              <w:bottom w:val="dotted" w:sz="4" w:space="0" w:color="auto"/>
              <w:right w:val="dotted" w:sz="4" w:space="0" w:color="auto"/>
            </w:tcBorders>
            <w:shd w:val="clear" w:color="auto" w:fill="auto"/>
          </w:tcPr>
          <w:p w14:paraId="0CEFEEA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Data from Government of Bangladesh (</w:t>
            </w:r>
            <w:proofErr w:type="spellStart"/>
            <w:r w:rsidRPr="00474078">
              <w:rPr>
                <w:rFonts w:ascii="Calibri Light" w:eastAsia="Calibri Light" w:hAnsi="Calibri Light"/>
                <w:i/>
                <w:color w:val="495965"/>
                <w:sz w:val="17"/>
                <w:szCs w:val="17"/>
                <w:bdr w:val="none" w:sz="0" w:space="0" w:color="auto"/>
                <w:lang w:val="en-GB" w:eastAsia="en-AU"/>
              </w:rPr>
              <w:t>GoB</w:t>
            </w:r>
            <w:proofErr w:type="spellEnd"/>
            <w:r w:rsidRPr="00474078">
              <w:rPr>
                <w:rFonts w:ascii="Calibri Light" w:eastAsia="Calibri Light" w:hAnsi="Calibri Light"/>
                <w:i/>
                <w:color w:val="495965"/>
                <w:sz w:val="17"/>
                <w:szCs w:val="17"/>
                <w:bdr w:val="none" w:sz="0" w:space="0" w:color="auto"/>
                <w:lang w:val="en-GB" w:eastAsia="en-AU"/>
              </w:rPr>
              <w:t>) sources analysed and recommendations made for systematic improvement;</w:t>
            </w:r>
          </w:p>
          <w:p w14:paraId="14A30809" w14:textId="25CA98CA" w:rsidR="00474078" w:rsidRPr="004B7283"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Implementation of Research Framework underway. Research recommendations (for example on coverage, targeting, and budget implications) are informing the development of program reform plans which are to be completed in the next reporting period.  Research activities include -</w:t>
            </w:r>
            <w:proofErr w:type="gramStart"/>
            <w:r w:rsidRPr="00474078">
              <w:rPr>
                <w:rFonts w:ascii="Calibri Light" w:eastAsia="Calibri Light" w:hAnsi="Calibri Light"/>
                <w:color w:val="495965"/>
                <w:sz w:val="17"/>
                <w:szCs w:val="17"/>
                <w:bdr w:val="none" w:sz="0" w:space="0" w:color="auto"/>
                <w:lang w:val="en-GB" w:eastAsia="en-AU"/>
              </w:rPr>
              <w:t>  analysis</w:t>
            </w:r>
            <w:proofErr w:type="gramEnd"/>
            <w:r w:rsidRPr="00474078">
              <w:rPr>
                <w:rFonts w:ascii="Calibri Light" w:eastAsia="Calibri Light" w:hAnsi="Calibri Light"/>
                <w:color w:val="495965"/>
                <w:sz w:val="17"/>
                <w:szCs w:val="17"/>
                <w:bdr w:val="none" w:sz="0" w:space="0" w:color="auto"/>
                <w:lang w:val="en-GB" w:eastAsia="en-AU"/>
              </w:rPr>
              <w:t xml:space="preserve"> of 29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 xml:space="preserve"> social protection programs;  diagnostic studies of 7 programs – 4 completed and 2 underway; and studies on issues that cut across s</w:t>
            </w:r>
            <w:r w:rsidR="004B7283">
              <w:rPr>
                <w:rFonts w:ascii="Calibri Light" w:eastAsia="Calibri Light" w:hAnsi="Calibri Light"/>
                <w:color w:val="495965"/>
                <w:sz w:val="17"/>
                <w:szCs w:val="17"/>
                <w:bdr w:val="none" w:sz="0" w:space="0" w:color="auto"/>
                <w:lang w:val="en-GB" w:eastAsia="en-AU"/>
              </w:rPr>
              <w:t>chemes – e.g. payment systems. </w:t>
            </w:r>
          </w:p>
        </w:tc>
        <w:tc>
          <w:tcPr>
            <w:tcW w:w="2273" w:type="dxa"/>
            <w:tcBorders>
              <w:top w:val="dotted" w:sz="4" w:space="0" w:color="auto"/>
              <w:left w:val="dotted" w:sz="4" w:space="0" w:color="auto"/>
              <w:bottom w:val="dotted" w:sz="4" w:space="0" w:color="auto"/>
              <w:right w:val="dotted" w:sz="4" w:space="0" w:color="auto"/>
            </w:tcBorders>
            <w:shd w:val="clear" w:color="auto" w:fill="auto"/>
          </w:tcPr>
          <w:p w14:paraId="4D7801A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Consolidation and strengthening of governance structures for NSSS implementation</w:t>
            </w:r>
          </w:p>
          <w:p w14:paraId="0FE37ED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474078">
              <w:rPr>
                <w:rFonts w:ascii="Calibri Light" w:eastAsia="Calibri Light" w:hAnsi="Calibri Light"/>
                <w:b/>
                <w:color w:val="495965"/>
                <w:sz w:val="17"/>
                <w:szCs w:val="17"/>
                <w:bdr w:val="none" w:sz="0" w:space="0" w:color="auto"/>
                <w:lang w:val="en-GB" w:eastAsia="en-AU"/>
              </w:rPr>
              <w:t xml:space="preserve">Met </w:t>
            </w:r>
          </w:p>
          <w:p w14:paraId="4ED48BC3" w14:textId="2E58BD3F" w:rsidR="004B7283" w:rsidRDefault="00362F80" w:rsidP="00703A06">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t xml:space="preserve">The Cabinet led </w:t>
            </w:r>
            <w:r w:rsidR="00474078" w:rsidRPr="00474078">
              <w:rPr>
                <w:rFonts w:ascii="Calibri Light" w:eastAsia="Calibri Light" w:hAnsi="Calibri Light"/>
                <w:color w:val="495965"/>
                <w:sz w:val="17"/>
                <w:szCs w:val="17"/>
                <w:bdr w:val="none" w:sz="0" w:space="0" w:color="auto"/>
                <w:lang w:val="en-GB" w:eastAsia="en-AU"/>
              </w:rPr>
              <w:t xml:space="preserve">Central Monitoring Committee </w:t>
            </w:r>
            <w:r>
              <w:rPr>
                <w:rFonts w:ascii="Calibri Light" w:eastAsia="Calibri Light" w:hAnsi="Calibri Light"/>
                <w:color w:val="495965"/>
                <w:sz w:val="17"/>
                <w:szCs w:val="17"/>
                <w:bdr w:val="none" w:sz="0" w:space="0" w:color="auto"/>
                <w:lang w:val="en-GB" w:eastAsia="en-AU"/>
              </w:rPr>
              <w:t xml:space="preserve">continues </w:t>
            </w:r>
            <w:r w:rsidR="00474078" w:rsidRPr="00474078">
              <w:rPr>
                <w:rFonts w:ascii="Calibri Light" w:eastAsia="Calibri Light" w:hAnsi="Calibri Light"/>
                <w:color w:val="495965"/>
                <w:sz w:val="17"/>
                <w:szCs w:val="17"/>
                <w:bdr w:val="none" w:sz="0" w:space="0" w:color="auto"/>
                <w:lang w:val="en-GB" w:eastAsia="en-AU"/>
              </w:rPr>
              <w:t xml:space="preserve">to </w:t>
            </w:r>
            <w:r>
              <w:rPr>
                <w:rFonts w:ascii="Calibri Light" w:eastAsia="Calibri Light" w:hAnsi="Calibri Light"/>
                <w:color w:val="495965"/>
                <w:sz w:val="17"/>
                <w:szCs w:val="17"/>
                <w:bdr w:val="none" w:sz="0" w:space="0" w:color="auto"/>
                <w:lang w:val="en-GB" w:eastAsia="en-AU"/>
              </w:rPr>
              <w:t xml:space="preserve">provide leadership and accountability for NSSS </w:t>
            </w:r>
            <w:r w:rsidR="006A1FC7">
              <w:rPr>
                <w:rFonts w:ascii="Calibri Light" w:eastAsia="Calibri Light" w:hAnsi="Calibri Light"/>
                <w:color w:val="495965"/>
                <w:sz w:val="17"/>
                <w:szCs w:val="17"/>
                <w:bdr w:val="none" w:sz="0" w:space="0" w:color="auto"/>
                <w:lang w:val="en-GB" w:eastAsia="en-AU"/>
              </w:rPr>
              <w:t xml:space="preserve">reform </w:t>
            </w:r>
            <w:r w:rsidR="00474078" w:rsidRPr="00474078">
              <w:rPr>
                <w:rFonts w:ascii="Calibri Light" w:eastAsia="Calibri Light" w:hAnsi="Calibri Light"/>
                <w:color w:val="495965"/>
                <w:sz w:val="17"/>
                <w:szCs w:val="17"/>
                <w:bdr w:val="none" w:sz="0" w:space="0" w:color="auto"/>
                <w:lang w:val="en-GB" w:eastAsia="en-AU"/>
              </w:rPr>
              <w:t>implementation</w:t>
            </w:r>
            <w:r>
              <w:rPr>
                <w:rFonts w:ascii="Calibri Light" w:eastAsia="Calibri Light" w:hAnsi="Calibri Light"/>
                <w:color w:val="495965"/>
                <w:sz w:val="17"/>
                <w:szCs w:val="17"/>
                <w:bdr w:val="none" w:sz="0" w:space="0" w:color="auto"/>
                <w:lang w:val="en-GB" w:eastAsia="en-AU"/>
              </w:rPr>
              <w:t>.</w:t>
            </w:r>
            <w:r w:rsidR="006A1FC7">
              <w:rPr>
                <w:rFonts w:ascii="Calibri Light" w:eastAsia="Calibri Light" w:hAnsi="Calibri Light"/>
                <w:color w:val="495965"/>
                <w:sz w:val="17"/>
                <w:szCs w:val="17"/>
                <w:bdr w:val="none" w:sz="0" w:space="0" w:color="auto"/>
                <w:lang w:val="en-GB" w:eastAsia="en-AU"/>
              </w:rPr>
              <w:t xml:space="preserve"> Five</w:t>
            </w:r>
            <w:r>
              <w:rPr>
                <w:rFonts w:ascii="Calibri Light" w:eastAsia="Calibri Light" w:hAnsi="Calibri Light"/>
                <w:color w:val="495965"/>
                <w:sz w:val="17"/>
                <w:szCs w:val="17"/>
                <w:bdr w:val="none" w:sz="0" w:space="0" w:color="auto"/>
                <w:lang w:val="en-GB" w:eastAsia="en-AU"/>
              </w:rPr>
              <w:t xml:space="preserve"> thematic clusters were </w:t>
            </w:r>
            <w:r w:rsidR="006A1FC7">
              <w:rPr>
                <w:rFonts w:ascii="Calibri Light" w:eastAsia="Calibri Light" w:hAnsi="Calibri Light"/>
                <w:color w:val="495965"/>
                <w:sz w:val="17"/>
                <w:szCs w:val="17"/>
                <w:bdr w:val="none" w:sz="0" w:space="0" w:color="auto"/>
                <w:lang w:val="en-GB" w:eastAsia="en-AU"/>
              </w:rPr>
              <w:t xml:space="preserve">formed </w:t>
            </w:r>
            <w:r>
              <w:rPr>
                <w:rFonts w:ascii="Calibri Light" w:eastAsia="Calibri Light" w:hAnsi="Calibri Light"/>
                <w:color w:val="495965"/>
                <w:sz w:val="17"/>
                <w:szCs w:val="17"/>
                <w:bdr w:val="none" w:sz="0" w:space="0" w:color="auto"/>
                <w:lang w:val="en-GB" w:eastAsia="en-AU"/>
              </w:rPr>
              <w:t>to drive coordination across 23 implementing Ministries</w:t>
            </w:r>
            <w:r w:rsidR="006A1FC7">
              <w:rPr>
                <w:rFonts w:ascii="Calibri Light" w:eastAsia="Calibri Light" w:hAnsi="Calibri Light"/>
                <w:color w:val="495965"/>
                <w:sz w:val="17"/>
                <w:szCs w:val="17"/>
                <w:bdr w:val="none" w:sz="0" w:space="0" w:color="auto"/>
                <w:lang w:val="en-GB" w:eastAsia="en-AU"/>
              </w:rPr>
              <w:t xml:space="preserve">. All Ministries have developed Action Plans, endorsed by Cabinet. NSSS Gender Policy drafting commenced. </w:t>
            </w:r>
          </w:p>
          <w:p w14:paraId="3F6751AE" w14:textId="77777777" w:rsidR="004B7283" w:rsidRDefault="004B7283" w:rsidP="00703A06">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p w14:paraId="756D1E34" w14:textId="4B02A456" w:rsidR="004B7283" w:rsidRPr="00474078" w:rsidRDefault="004B7283" w:rsidP="00703A06">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762CAB18" w14:textId="6471117F"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 xml:space="preserve">Target: Better governance of social security through NSSS Gender policy, </w:t>
            </w:r>
            <w:r w:rsidR="003B7654">
              <w:rPr>
                <w:rFonts w:ascii="Calibri Light" w:eastAsia="Calibri Light" w:hAnsi="Calibri Light"/>
                <w:i/>
                <w:color w:val="495965"/>
                <w:sz w:val="17"/>
                <w:szCs w:val="17"/>
                <w:bdr w:val="none" w:sz="0" w:space="0" w:color="auto"/>
                <w:lang w:val="en-GB" w:eastAsia="en-AU"/>
              </w:rPr>
              <w:t xml:space="preserve">Action Plans, </w:t>
            </w:r>
            <w:r w:rsidRPr="00474078">
              <w:rPr>
                <w:rFonts w:ascii="Calibri Light" w:eastAsia="Calibri Light" w:hAnsi="Calibri Light"/>
                <w:i/>
                <w:color w:val="495965"/>
                <w:sz w:val="17"/>
                <w:szCs w:val="17"/>
                <w:bdr w:val="none" w:sz="0" w:space="0" w:color="auto"/>
                <w:lang w:val="en-GB" w:eastAsia="en-AU"/>
              </w:rPr>
              <w:t>Monitoring and Evaluation Framework and Grievance Redress System.</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2AACC1D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Government of Bangladesh and DFID Reporting</w:t>
            </w:r>
          </w:p>
        </w:tc>
      </w:tr>
      <w:tr w:rsidR="00474078" w:rsidRPr="00474078" w14:paraId="2EC08D57" w14:textId="77777777" w:rsidTr="00775A5D">
        <w:trPr>
          <w:trHeight w:val="2835"/>
        </w:trPr>
        <w:tc>
          <w:tcPr>
            <w:tcW w:w="1486" w:type="dxa"/>
            <w:tcBorders>
              <w:top w:val="dotted" w:sz="4" w:space="0" w:color="auto"/>
              <w:left w:val="dotted" w:sz="4" w:space="0" w:color="auto"/>
              <w:bottom w:val="dotted" w:sz="4" w:space="0" w:color="auto"/>
              <w:right w:val="dotted" w:sz="4" w:space="0" w:color="auto"/>
            </w:tcBorders>
          </w:tcPr>
          <w:p w14:paraId="0C9FAA9D" w14:textId="4E05FF42" w:rsidR="00474078" w:rsidRPr="00474078"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1. Government of Bangladesh implements its National Social Security Strategy informed by best international practices</w:t>
            </w:r>
          </w:p>
        </w:tc>
        <w:tc>
          <w:tcPr>
            <w:tcW w:w="1327" w:type="dxa"/>
            <w:tcBorders>
              <w:top w:val="dotted" w:sz="4" w:space="0" w:color="auto"/>
              <w:left w:val="dotted" w:sz="4" w:space="0" w:color="auto"/>
              <w:bottom w:val="dotted" w:sz="4" w:space="0" w:color="auto"/>
              <w:right w:val="dotted" w:sz="4" w:space="0" w:color="auto"/>
            </w:tcBorders>
          </w:tcPr>
          <w:p w14:paraId="6460F7D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Directions of NSSS reflected in national development plans; and</w:t>
            </w:r>
          </w:p>
          <w:p w14:paraId="7711C74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0016E18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08D615A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1809E1A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4E2231A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10D6C81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65" w:type="dxa"/>
            <w:tcBorders>
              <w:top w:val="dotted" w:sz="4" w:space="0" w:color="auto"/>
              <w:left w:val="dotted" w:sz="4" w:space="0" w:color="auto"/>
              <w:bottom w:val="dotted" w:sz="4" w:space="0" w:color="auto"/>
              <w:right w:val="dotted" w:sz="4" w:space="0" w:color="auto"/>
            </w:tcBorders>
          </w:tcPr>
          <w:p w14:paraId="1AC729D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Social Protection Unit established and operational at the Ministry of Finance</w:t>
            </w:r>
          </w:p>
        </w:tc>
        <w:tc>
          <w:tcPr>
            <w:tcW w:w="2693" w:type="dxa"/>
            <w:tcBorders>
              <w:top w:val="dotted" w:sz="4" w:space="0" w:color="auto"/>
              <w:left w:val="dotted" w:sz="4" w:space="0" w:color="auto"/>
              <w:bottom w:val="dotted" w:sz="4" w:space="0" w:color="auto"/>
              <w:right w:val="dotted" w:sz="4" w:space="0" w:color="auto"/>
            </w:tcBorders>
          </w:tcPr>
          <w:p w14:paraId="659D173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Unit policy outputs and instances of influence on policy </w:t>
            </w:r>
          </w:p>
        </w:tc>
        <w:tc>
          <w:tcPr>
            <w:tcW w:w="2830" w:type="dxa"/>
            <w:tcBorders>
              <w:top w:val="dotted" w:sz="4" w:space="0" w:color="auto"/>
              <w:left w:val="dotted" w:sz="4" w:space="0" w:color="auto"/>
              <w:bottom w:val="dotted" w:sz="4" w:space="0" w:color="auto"/>
              <w:right w:val="dotted" w:sz="4" w:space="0" w:color="auto"/>
            </w:tcBorders>
            <w:shd w:val="clear" w:color="auto" w:fill="auto"/>
          </w:tcPr>
          <w:p w14:paraId="56915BD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Management Information System (MIS)  established as a central hub and linked with other MISs within main implementing line ministries</w:t>
            </w:r>
          </w:p>
          <w:p w14:paraId="217D61C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Good progress was made to establish a central MIS hub during the reporting period. A needs assessment, project plan, and systems specifications for the MIS were completed.  A MIS prototype was developed and piloted in the Directorate of </w:t>
            </w:r>
            <w:proofErr w:type="spellStart"/>
            <w:r w:rsidRPr="00474078">
              <w:rPr>
                <w:rFonts w:ascii="Calibri Light" w:eastAsia="Calibri Light" w:hAnsi="Calibri Light"/>
                <w:color w:val="495965"/>
                <w:sz w:val="17"/>
                <w:szCs w:val="17"/>
                <w:bdr w:val="none" w:sz="0" w:space="0" w:color="auto"/>
                <w:lang w:val="en-GB" w:eastAsia="en-AU"/>
              </w:rPr>
              <w:t>Womens</w:t>
            </w:r>
            <w:proofErr w:type="spellEnd"/>
            <w:r w:rsidRPr="00474078">
              <w:rPr>
                <w:rFonts w:ascii="Calibri Light" w:eastAsia="Calibri Light" w:hAnsi="Calibri Light"/>
                <w:color w:val="495965"/>
                <w:sz w:val="17"/>
                <w:szCs w:val="17"/>
                <w:bdr w:val="none" w:sz="0" w:space="0" w:color="auto"/>
                <w:lang w:val="en-GB" w:eastAsia="en-AU"/>
              </w:rPr>
              <w:t>’ Affair. On pilot completion, the MIS will be rolled out across other Ministries.</w:t>
            </w:r>
          </w:p>
          <w:p w14:paraId="6CDFE04E" w14:textId="65A6ED71"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Target: Increased budget - as a percentage of GDP and fewer safety net programs</w:t>
            </w:r>
            <w:r w:rsidR="009E3DEA">
              <w:rPr>
                <w:rFonts w:ascii="Calibri Light" w:eastAsia="Calibri Light" w:hAnsi="Calibri Light"/>
                <w:i/>
                <w:color w:val="495965"/>
                <w:sz w:val="17"/>
                <w:szCs w:val="17"/>
                <w:bdr w:val="none" w:sz="0" w:space="0" w:color="auto"/>
                <w:lang w:val="en-GB" w:eastAsia="en-AU"/>
              </w:rPr>
              <w:t xml:space="preserve"> </w:t>
            </w:r>
            <w:r w:rsidRPr="00474078">
              <w:rPr>
                <w:rFonts w:ascii="Calibri Light" w:eastAsia="Calibri Light" w:hAnsi="Calibri Light"/>
                <w:color w:val="495965"/>
                <w:sz w:val="17"/>
                <w:szCs w:val="17"/>
                <w:bdr w:val="none" w:sz="0" w:space="0" w:color="auto"/>
                <w:lang w:val="en-GB" w:eastAsia="en-AU"/>
              </w:rPr>
              <w:t xml:space="preserve">Budget increased from 2.08 per cent of GDP (2015-16) to 2.09 per cent in </w:t>
            </w:r>
            <w:r w:rsidRPr="00474078">
              <w:rPr>
                <w:rFonts w:ascii="Calibri Light" w:eastAsia="Calibri Light" w:hAnsi="Calibri Light"/>
                <w:color w:val="495965"/>
                <w:sz w:val="17"/>
                <w:szCs w:val="17"/>
                <w:bdr w:val="none" w:sz="0" w:space="0" w:color="auto"/>
                <w:lang w:val="en-GB" w:eastAsia="en-AU"/>
              </w:rPr>
              <w:br/>
              <w:t>2016-17. Budget expenditure increased from AUD 41.99 billion in 2015-16 to 50.34 billion in 2016-17.</w:t>
            </w:r>
          </w:p>
        </w:tc>
        <w:tc>
          <w:tcPr>
            <w:tcW w:w="2273" w:type="dxa"/>
            <w:tcBorders>
              <w:top w:val="dotted" w:sz="4" w:space="0" w:color="auto"/>
              <w:left w:val="dotted" w:sz="4" w:space="0" w:color="auto"/>
              <w:bottom w:val="dotted" w:sz="4" w:space="0" w:color="auto"/>
              <w:right w:val="dotted" w:sz="4" w:space="0" w:color="auto"/>
            </w:tcBorders>
            <w:shd w:val="clear" w:color="auto" w:fill="auto"/>
          </w:tcPr>
          <w:p w14:paraId="63ACEFB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Diagnostic studies undertaken to inform Ministry of Finance policy development</w:t>
            </w:r>
          </w:p>
          <w:p w14:paraId="7C75488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474078">
              <w:rPr>
                <w:rFonts w:ascii="Calibri Light" w:eastAsia="Calibri Light" w:hAnsi="Calibri Light"/>
                <w:b/>
                <w:color w:val="495965"/>
                <w:sz w:val="17"/>
                <w:szCs w:val="17"/>
                <w:bdr w:val="none" w:sz="0" w:space="0" w:color="auto"/>
                <w:lang w:val="en-GB" w:eastAsia="en-AU"/>
              </w:rPr>
              <w:t xml:space="preserve">Met </w:t>
            </w:r>
          </w:p>
          <w:p w14:paraId="3A6C1EFC" w14:textId="098A04C8"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Diagnostic studies undertaken on eight social protection programs</w:t>
            </w:r>
            <w:r w:rsidR="006A1FC7">
              <w:rPr>
                <w:rFonts w:ascii="Calibri Light" w:eastAsia="Calibri Light" w:hAnsi="Calibri Light"/>
                <w:color w:val="495965"/>
                <w:sz w:val="17"/>
                <w:szCs w:val="17"/>
                <w:bdr w:val="none" w:sz="0" w:space="0" w:color="auto"/>
                <w:lang w:val="en-GB" w:eastAsia="en-AU"/>
              </w:rPr>
              <w:t>, five of wh</w:t>
            </w:r>
            <w:r w:rsidR="004B7283">
              <w:rPr>
                <w:rFonts w:ascii="Calibri Light" w:eastAsia="Calibri Light" w:hAnsi="Calibri Light"/>
                <w:color w:val="495965"/>
                <w:sz w:val="17"/>
                <w:szCs w:val="17"/>
                <w:bdr w:val="none" w:sz="0" w:space="0" w:color="auto"/>
                <w:lang w:val="en-GB" w:eastAsia="en-AU"/>
              </w:rPr>
              <w:t>ich target women (</w:t>
            </w:r>
            <w:proofErr w:type="spellStart"/>
            <w:r w:rsidR="004B7283">
              <w:rPr>
                <w:rFonts w:ascii="Calibri Light" w:eastAsia="Calibri Light" w:hAnsi="Calibri Light"/>
                <w:color w:val="495965"/>
                <w:sz w:val="17"/>
                <w:szCs w:val="17"/>
                <w:bdr w:val="none" w:sz="0" w:space="0" w:color="auto"/>
                <w:lang w:val="en-GB" w:eastAsia="en-AU"/>
              </w:rPr>
              <w:t>eg</w:t>
            </w:r>
            <w:proofErr w:type="spellEnd"/>
            <w:r w:rsidR="004B7283">
              <w:rPr>
                <w:rFonts w:ascii="Calibri Light" w:eastAsia="Calibri Light" w:hAnsi="Calibri Light"/>
                <w:color w:val="495965"/>
                <w:sz w:val="17"/>
                <w:szCs w:val="17"/>
                <w:bdr w:val="none" w:sz="0" w:space="0" w:color="auto"/>
                <w:lang w:val="en-GB" w:eastAsia="en-AU"/>
              </w:rPr>
              <w:t>. Deserted Women and Widow A</w:t>
            </w:r>
            <w:r w:rsidR="006A1FC7">
              <w:rPr>
                <w:rFonts w:ascii="Calibri Light" w:eastAsia="Calibri Light" w:hAnsi="Calibri Light"/>
                <w:color w:val="495965"/>
                <w:sz w:val="17"/>
                <w:szCs w:val="17"/>
                <w:bdr w:val="none" w:sz="0" w:space="0" w:color="auto"/>
                <w:lang w:val="en-GB" w:eastAsia="en-AU"/>
              </w:rPr>
              <w:t>llowance)</w:t>
            </w:r>
            <w:r w:rsidRPr="00474078">
              <w:rPr>
                <w:rFonts w:ascii="Calibri Light" w:eastAsia="Calibri Light" w:hAnsi="Calibri Light"/>
                <w:color w:val="495965"/>
                <w:sz w:val="17"/>
                <w:szCs w:val="17"/>
                <w:bdr w:val="none" w:sz="0" w:space="0" w:color="auto"/>
                <w:lang w:val="en-GB" w:eastAsia="en-AU"/>
              </w:rPr>
              <w:t>. These studies were utilised for evidence-based decisions on budget allocations</w:t>
            </w:r>
            <w:r w:rsidR="00A74FCD">
              <w:rPr>
                <w:rFonts w:ascii="Calibri Light" w:eastAsia="Calibri Light" w:hAnsi="Calibri Light"/>
                <w:color w:val="495965"/>
                <w:sz w:val="17"/>
                <w:szCs w:val="17"/>
                <w:bdr w:val="none" w:sz="0" w:space="0" w:color="auto"/>
                <w:lang w:val="en-GB" w:eastAsia="en-AU"/>
              </w:rPr>
              <w:t xml:space="preserve"> and to maximise impact</w:t>
            </w:r>
            <w:r w:rsidRPr="00474078">
              <w:rPr>
                <w:rFonts w:ascii="Calibri Light" w:eastAsia="Calibri Light" w:hAnsi="Calibri Light"/>
                <w:color w:val="495965"/>
                <w:sz w:val="17"/>
                <w:szCs w:val="17"/>
                <w:bdr w:val="none" w:sz="0" w:space="0" w:color="auto"/>
                <w:lang w:val="en-GB" w:eastAsia="en-AU"/>
              </w:rPr>
              <w:t>.</w:t>
            </w:r>
          </w:p>
          <w:p w14:paraId="60ED8F5F" w14:textId="6A31719A" w:rsid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Increased budget-as percentage of GDP</w:t>
            </w:r>
          </w:p>
          <w:p w14:paraId="05E00DAC" w14:textId="05119D64" w:rsidR="006C201D" w:rsidRPr="006C201D" w:rsidRDefault="006C201D"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
                <w:color w:val="495965"/>
                <w:sz w:val="17"/>
                <w:szCs w:val="17"/>
                <w:bdr w:val="none" w:sz="0" w:space="0" w:color="auto"/>
                <w:lang w:val="en-GB" w:eastAsia="en-AU"/>
              </w:rPr>
            </w:pPr>
            <w:r w:rsidRPr="006C201D">
              <w:rPr>
                <w:rFonts w:ascii="Calibri Light" w:eastAsia="Calibri Light" w:hAnsi="Calibri Light"/>
                <w:b/>
                <w:i/>
                <w:color w:val="495965"/>
                <w:sz w:val="17"/>
                <w:szCs w:val="17"/>
                <w:bdr w:val="none" w:sz="0" w:space="0" w:color="auto"/>
                <w:lang w:val="en-GB" w:eastAsia="en-AU"/>
              </w:rPr>
              <w:t>Met</w:t>
            </w:r>
          </w:p>
          <w:p w14:paraId="14A229F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Budget increased from 2.09 per cent of GDP (2016-17) to 2.17 per cent in 2017-18. Budget expenditure increased </w:t>
            </w:r>
            <w:r w:rsidRPr="004B7283">
              <w:rPr>
                <w:rFonts w:ascii="Calibri Light" w:eastAsia="Calibri Light" w:hAnsi="Calibri Light"/>
                <w:color w:val="495965"/>
                <w:sz w:val="17"/>
                <w:szCs w:val="17"/>
                <w:bdr w:val="none" w:sz="0" w:space="0" w:color="auto"/>
                <w:lang w:val="en-GB" w:eastAsia="en-AU"/>
              </w:rPr>
              <w:t xml:space="preserve">from </w:t>
            </w:r>
            <w:r w:rsidRPr="004B7283">
              <w:rPr>
                <w:rFonts w:ascii="Calibri Light" w:eastAsia="Calibri Light" w:hAnsi="Calibri Light"/>
                <w:color w:val="495965"/>
                <w:sz w:val="17"/>
                <w:szCs w:val="17"/>
                <w:bdr w:val="none" w:sz="0" w:space="0" w:color="auto"/>
                <w:lang w:val="en-GB" w:eastAsia="en-AU"/>
              </w:rPr>
              <w:lastRenderedPageBreak/>
              <w:t>AUD 50.34 billion in 2016-17 to 57.38 billion in 2017-18.</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2C2FFB1D" w14:textId="33C1E0C9"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lastRenderedPageBreak/>
              <w:t xml:space="preserve">Target: Evidence base </w:t>
            </w:r>
            <w:r w:rsidR="006C201D">
              <w:rPr>
                <w:rFonts w:ascii="Calibri Light" w:eastAsia="Calibri Light" w:hAnsi="Calibri Light"/>
                <w:i/>
                <w:color w:val="495965"/>
                <w:sz w:val="17"/>
                <w:szCs w:val="17"/>
                <w:bdr w:val="none" w:sz="0" w:space="0" w:color="auto"/>
                <w:lang w:val="en-GB" w:eastAsia="en-AU"/>
              </w:rPr>
              <w:t>generated on the effectiveness of NS</w:t>
            </w:r>
            <w:r w:rsidR="0002554A">
              <w:rPr>
                <w:rFonts w:ascii="Calibri Light" w:eastAsia="Calibri Light" w:hAnsi="Calibri Light"/>
                <w:i/>
                <w:color w:val="495965"/>
                <w:sz w:val="17"/>
                <w:szCs w:val="17"/>
                <w:bdr w:val="none" w:sz="0" w:space="0" w:color="auto"/>
                <w:lang w:val="en-GB" w:eastAsia="en-AU"/>
              </w:rPr>
              <w:t>S</w:t>
            </w:r>
            <w:r w:rsidR="006C201D">
              <w:rPr>
                <w:rFonts w:ascii="Calibri Light" w:eastAsia="Calibri Light" w:hAnsi="Calibri Light"/>
                <w:i/>
                <w:color w:val="495965"/>
                <w:sz w:val="17"/>
                <w:szCs w:val="17"/>
                <w:bdr w:val="none" w:sz="0" w:space="0" w:color="auto"/>
                <w:lang w:val="en-GB" w:eastAsia="en-AU"/>
              </w:rPr>
              <w:t>S reform to inform future government development plans</w:t>
            </w:r>
            <w:r w:rsidRPr="00474078">
              <w:rPr>
                <w:rFonts w:ascii="Calibri Light" w:eastAsia="Calibri Light" w:hAnsi="Calibri Light"/>
                <w:i/>
                <w:color w:val="495965"/>
                <w:sz w:val="17"/>
                <w:szCs w:val="17"/>
                <w:bdr w:val="none" w:sz="0" w:space="0" w:color="auto"/>
                <w:lang w:val="en-GB" w:eastAsia="en-AU"/>
              </w:rPr>
              <w:t xml:space="preserve"> </w:t>
            </w:r>
          </w:p>
          <w:p w14:paraId="47C144F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iCs/>
                <w:color w:val="495965"/>
                <w:sz w:val="18"/>
                <w:szCs w:val="18"/>
                <w:bdr w:val="none" w:sz="0" w:space="0" w:color="auto"/>
                <w:lang w:val="en-AU" w:eastAsia="en-AU"/>
              </w:rPr>
            </w:pPr>
          </w:p>
          <w:p w14:paraId="4F167A85" w14:textId="77777777" w:rsidR="004B7283"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0CF58497" w14:textId="77777777" w:rsidR="004B7283"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3D3E2BF2" w14:textId="77777777" w:rsidR="004B7283"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75342CF0" w14:textId="77777777" w:rsidR="004B7283"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7B81962D" w14:textId="77777777" w:rsidR="004B7283"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134A8DA9" w14:textId="77777777" w:rsidR="004B7283" w:rsidRDefault="004B728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5C80028F" w14:textId="45561AAF"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Increased budget-as percentage of GDP</w:t>
            </w:r>
          </w:p>
          <w:p w14:paraId="35EF1CB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312C65A1" w14:textId="20E2FA5F" w:rsidR="00474078" w:rsidRPr="00474078" w:rsidRDefault="00474078" w:rsidP="003B7654">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lastRenderedPageBreak/>
              <w:t>Target: Evidence of action plans being implemented</w:t>
            </w:r>
          </w:p>
        </w:tc>
        <w:tc>
          <w:tcPr>
            <w:tcW w:w="1134" w:type="dxa"/>
            <w:tcBorders>
              <w:top w:val="dotted" w:sz="4" w:space="0" w:color="auto"/>
              <w:left w:val="dotted" w:sz="4" w:space="0" w:color="auto"/>
              <w:bottom w:val="dotted" w:sz="4" w:space="0" w:color="auto"/>
              <w:right w:val="dotted" w:sz="4" w:space="0" w:color="auto"/>
            </w:tcBorders>
          </w:tcPr>
          <w:p w14:paraId="0F43953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lastRenderedPageBreak/>
              <w:t>Government of Bangladesh and DFID Reporting</w:t>
            </w:r>
          </w:p>
        </w:tc>
      </w:tr>
    </w:tbl>
    <w:p w14:paraId="2BFB101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p w14:paraId="59A4C86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r w:rsidRPr="00474078">
        <w:rPr>
          <w:rFonts w:ascii="Calibri Light" w:eastAsia="Calibri Light" w:hAnsi="Calibri Light"/>
          <w:color w:val="495965"/>
          <w:sz w:val="22"/>
          <w:szCs w:val="22"/>
          <w:bdr w:val="none" w:sz="0" w:space="0" w:color="auto"/>
          <w:lang w:val="en-GB"/>
        </w:rPr>
        <w:br w:type="page"/>
      </w:r>
    </w:p>
    <w:tbl>
      <w:tblPr>
        <w:tblW w:w="15877" w:type="dxa"/>
        <w:tblInd w:w="-147" w:type="dxa"/>
        <w:tblLayout w:type="fixed"/>
        <w:tblLook w:val="04A0" w:firstRow="1" w:lastRow="0" w:firstColumn="1" w:lastColumn="0" w:noHBand="0" w:noVBand="1"/>
        <w:tblCaption w:val="ANNEX E - PEFORMANCE ASSESSMENT FRAMEWORK"/>
        <w:tblDescription w:val="&#10;"/>
      </w:tblPr>
      <w:tblGrid>
        <w:gridCol w:w="2127"/>
        <w:gridCol w:w="1134"/>
        <w:gridCol w:w="1865"/>
        <w:gridCol w:w="2387"/>
        <w:gridCol w:w="2410"/>
        <w:gridCol w:w="2977"/>
        <w:gridCol w:w="1843"/>
        <w:gridCol w:w="1134"/>
      </w:tblGrid>
      <w:tr w:rsidR="00474078" w:rsidRPr="00474078" w14:paraId="0A142860" w14:textId="77777777" w:rsidTr="00B92C7E">
        <w:trPr>
          <w:trHeight w:val="519"/>
          <w:tblHeader/>
        </w:trPr>
        <w:tc>
          <w:tcPr>
            <w:tcW w:w="15877" w:type="dxa"/>
            <w:gridSpan w:val="8"/>
            <w:tcBorders>
              <w:top w:val="dotted" w:sz="4" w:space="0" w:color="auto"/>
              <w:left w:val="dotted" w:sz="4" w:space="0" w:color="auto"/>
              <w:bottom w:val="dotted" w:sz="4" w:space="0" w:color="auto"/>
              <w:right w:val="dotted" w:sz="4" w:space="0" w:color="auto"/>
            </w:tcBorders>
            <w:shd w:val="clear" w:color="auto" w:fill="D8DCDB"/>
          </w:tcPr>
          <w:p w14:paraId="21A9CC6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lastRenderedPageBreak/>
              <w:t>Australia’s Aid Objective Two:</w:t>
            </w:r>
            <w:r w:rsidRPr="00474078">
              <w:rPr>
                <w:rFonts w:ascii="Calibri Light" w:eastAsia="Calibri Light" w:hAnsi="Calibri Light"/>
                <w:b/>
                <w:i/>
                <w:iCs/>
                <w:color w:val="495965"/>
                <w:sz w:val="18"/>
                <w:szCs w:val="18"/>
                <w:bdr w:val="none" w:sz="0" w:space="0" w:color="auto"/>
                <w:lang w:val="en-AU" w:eastAsia="en-AU"/>
              </w:rPr>
              <w:t xml:space="preserve"> </w:t>
            </w:r>
            <w:r w:rsidRPr="00474078">
              <w:rPr>
                <w:rFonts w:ascii="Calibri Light" w:eastAsia="Calibri Light" w:hAnsi="Calibri Light"/>
                <w:b/>
                <w:iCs/>
                <w:color w:val="495965"/>
                <w:sz w:val="18"/>
                <w:szCs w:val="18"/>
                <w:bdr w:val="none" w:sz="0" w:space="0" w:color="auto"/>
                <w:lang w:val="en-AU" w:eastAsia="en-AU"/>
              </w:rPr>
              <w:t>Building economic resilience by reducing vulnerability and improving inclusion in the growing economy</w:t>
            </w:r>
          </w:p>
        </w:tc>
      </w:tr>
      <w:tr w:rsidR="00474078" w:rsidRPr="00474078" w14:paraId="494F95E5" w14:textId="77777777" w:rsidTr="00B92C7E">
        <w:trPr>
          <w:trHeight w:val="75"/>
          <w:tblHeader/>
        </w:trPr>
        <w:tc>
          <w:tcPr>
            <w:tcW w:w="7513" w:type="dxa"/>
            <w:gridSpan w:val="4"/>
            <w:tcBorders>
              <w:top w:val="dotted" w:sz="4" w:space="0" w:color="auto"/>
              <w:left w:val="dotted" w:sz="4" w:space="0" w:color="auto"/>
              <w:bottom w:val="dotted" w:sz="4" w:space="0" w:color="auto"/>
              <w:right w:val="dotted" w:sz="4" w:space="0" w:color="auto"/>
            </w:tcBorders>
          </w:tcPr>
          <w:p w14:paraId="425D95E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8364" w:type="dxa"/>
            <w:gridSpan w:val="4"/>
            <w:tcBorders>
              <w:top w:val="dotted" w:sz="4" w:space="0" w:color="auto"/>
              <w:left w:val="dotted" w:sz="4" w:space="0" w:color="auto"/>
              <w:bottom w:val="dotted" w:sz="4" w:space="0" w:color="auto"/>
              <w:right w:val="dotted" w:sz="4" w:space="0" w:color="auto"/>
            </w:tcBorders>
          </w:tcPr>
          <w:p w14:paraId="1B4BE2F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0E71D7A8" w14:textId="77777777" w:rsidTr="00E74805">
        <w:trPr>
          <w:trHeight w:val="796"/>
          <w:tblHeader/>
        </w:trPr>
        <w:tc>
          <w:tcPr>
            <w:tcW w:w="2127" w:type="dxa"/>
            <w:tcBorders>
              <w:top w:val="dotted" w:sz="4" w:space="0" w:color="auto"/>
              <w:left w:val="dotted" w:sz="4" w:space="0" w:color="auto"/>
              <w:bottom w:val="dotted" w:sz="4" w:space="0" w:color="auto"/>
              <w:right w:val="dotted" w:sz="4" w:space="0" w:color="auto"/>
            </w:tcBorders>
            <w:shd w:val="clear" w:color="auto" w:fill="D8DCDB"/>
          </w:tcPr>
          <w:p w14:paraId="0D363C7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74B9BB7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p w14:paraId="145A1DE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1865" w:type="dxa"/>
            <w:tcBorders>
              <w:top w:val="dotted" w:sz="4" w:space="0" w:color="auto"/>
              <w:left w:val="dotted" w:sz="4" w:space="0" w:color="auto"/>
              <w:bottom w:val="dotted" w:sz="4" w:space="0" w:color="auto"/>
              <w:right w:val="dotted" w:sz="4" w:space="0" w:color="auto"/>
            </w:tcBorders>
            <w:shd w:val="clear" w:color="auto" w:fill="D8DCDB"/>
          </w:tcPr>
          <w:p w14:paraId="6039CDA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Intermediate </w:t>
            </w:r>
          </w:p>
          <w:p w14:paraId="24937C5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outcome</w:t>
            </w:r>
          </w:p>
        </w:tc>
        <w:tc>
          <w:tcPr>
            <w:tcW w:w="2387" w:type="dxa"/>
            <w:tcBorders>
              <w:top w:val="dotted" w:sz="4" w:space="0" w:color="auto"/>
              <w:left w:val="dotted" w:sz="4" w:space="0" w:color="auto"/>
              <w:bottom w:val="dotted" w:sz="4" w:space="0" w:color="auto"/>
              <w:right w:val="dotted" w:sz="4" w:space="0" w:color="auto"/>
            </w:tcBorders>
            <w:shd w:val="clear" w:color="auto" w:fill="D8DCDB"/>
          </w:tcPr>
          <w:p w14:paraId="491645C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2410" w:type="dxa"/>
            <w:tcBorders>
              <w:top w:val="dotted" w:sz="4" w:space="0" w:color="auto"/>
              <w:left w:val="dotted" w:sz="4" w:space="0" w:color="auto"/>
              <w:bottom w:val="dotted" w:sz="4" w:space="0" w:color="auto"/>
              <w:right w:val="dotted" w:sz="4" w:space="0" w:color="auto"/>
            </w:tcBorders>
            <w:shd w:val="clear" w:color="auto" w:fill="D8DCDB"/>
          </w:tcPr>
          <w:p w14:paraId="767F251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2977" w:type="dxa"/>
            <w:tcBorders>
              <w:top w:val="dotted" w:sz="4" w:space="0" w:color="auto"/>
              <w:left w:val="dotted" w:sz="4" w:space="0" w:color="auto"/>
              <w:bottom w:val="dotted" w:sz="4" w:space="0" w:color="auto"/>
              <w:right w:val="dotted" w:sz="4" w:space="0" w:color="auto"/>
            </w:tcBorders>
            <w:shd w:val="clear" w:color="auto" w:fill="D8DCDB"/>
          </w:tcPr>
          <w:p w14:paraId="06BF396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710AE27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499FB1B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576FAED3" w14:textId="77777777" w:rsidTr="00E74805">
        <w:trPr>
          <w:trHeight w:val="796"/>
          <w:tblHeader/>
        </w:trPr>
        <w:tc>
          <w:tcPr>
            <w:tcW w:w="2127" w:type="dxa"/>
            <w:tcBorders>
              <w:top w:val="dotted" w:sz="4" w:space="0" w:color="auto"/>
              <w:left w:val="dotted" w:sz="4" w:space="0" w:color="auto"/>
              <w:bottom w:val="dotted" w:sz="4" w:space="0" w:color="auto"/>
              <w:right w:val="dotted" w:sz="4" w:space="0" w:color="auto"/>
            </w:tcBorders>
          </w:tcPr>
          <w:p w14:paraId="406B0C8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1. Government of Bangladesh implements its National Social Security Strategy informed by best international practices</w:t>
            </w:r>
          </w:p>
        </w:tc>
        <w:tc>
          <w:tcPr>
            <w:tcW w:w="1134" w:type="dxa"/>
            <w:tcBorders>
              <w:top w:val="dotted" w:sz="4" w:space="0" w:color="auto"/>
              <w:left w:val="dotted" w:sz="4" w:space="0" w:color="auto"/>
              <w:bottom w:val="dotted" w:sz="4" w:space="0" w:color="auto"/>
              <w:right w:val="dotted" w:sz="4" w:space="0" w:color="auto"/>
            </w:tcBorders>
          </w:tcPr>
          <w:p w14:paraId="65CBFE8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Number of separate safety net programs; targeting error data</w:t>
            </w:r>
          </w:p>
        </w:tc>
        <w:tc>
          <w:tcPr>
            <w:tcW w:w="1865" w:type="dxa"/>
            <w:tcBorders>
              <w:top w:val="dotted" w:sz="4" w:space="0" w:color="auto"/>
              <w:left w:val="dotted" w:sz="4" w:space="0" w:color="auto"/>
              <w:bottom w:val="dotted" w:sz="4" w:space="0" w:color="auto"/>
              <w:right w:val="dotted" w:sz="4" w:space="0" w:color="auto"/>
            </w:tcBorders>
          </w:tcPr>
          <w:p w14:paraId="5DF0E52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Strengthened capacity within the government of Bangladesh</w:t>
            </w:r>
          </w:p>
        </w:tc>
        <w:tc>
          <w:tcPr>
            <w:tcW w:w="2387" w:type="dxa"/>
            <w:tcBorders>
              <w:top w:val="dotted" w:sz="4" w:space="0" w:color="auto"/>
              <w:left w:val="dotted" w:sz="4" w:space="0" w:color="auto"/>
              <w:bottom w:val="dotted" w:sz="4" w:space="0" w:color="auto"/>
              <w:right w:val="dotted" w:sz="4" w:space="0" w:color="auto"/>
            </w:tcBorders>
          </w:tcPr>
          <w:p w14:paraId="7D92D32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Increased capacity for data gathering and analysis for making evidence-based policy decisions </w:t>
            </w: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04BBEA9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 Relevant trainings and study tours organised for SPU and line ministries </w:t>
            </w:r>
          </w:p>
          <w:p w14:paraId="3823984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Over 200 officials attended six courses on public financial management, including in Thailand. </w:t>
            </w:r>
          </w:p>
          <w:p w14:paraId="48955AB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The SPBMU Project Director attended the World Bank course on Social Safety Nets in Washington. </w:t>
            </w:r>
          </w:p>
          <w:p w14:paraId="24C7166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18 officials benefited from study tours organised in Kenya and Indonesia.</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04B305B3" w14:textId="64F0B6FC" w:rsidR="00474078" w:rsidRPr="00474078" w:rsidRDefault="006C201D"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 xml:space="preserve">Target: </w:t>
            </w:r>
            <w:r w:rsidR="00474078" w:rsidRPr="00474078">
              <w:rPr>
                <w:rFonts w:ascii="Calibri Light" w:eastAsia="Calibri Light" w:hAnsi="Calibri Light"/>
                <w:i/>
                <w:color w:val="495965"/>
                <w:sz w:val="17"/>
                <w:szCs w:val="17"/>
                <w:bdr w:val="none" w:sz="0" w:space="0" w:color="auto"/>
                <w:lang w:val="en-GB" w:eastAsia="en-AU"/>
              </w:rPr>
              <w:t>Design and implementation capacity at a national level and delivery capacity at local level built</w:t>
            </w:r>
            <w:r w:rsidR="00474078" w:rsidRPr="00474078">
              <w:rPr>
                <w:rFonts w:ascii="Calibri Light" w:eastAsia="Calibri Light" w:hAnsi="Calibri Light"/>
                <w:color w:val="495965"/>
                <w:sz w:val="17"/>
                <w:szCs w:val="17"/>
                <w:bdr w:val="none" w:sz="0" w:space="0" w:color="auto"/>
                <w:lang w:val="en-GB" w:eastAsia="en-AU"/>
              </w:rPr>
              <w:t xml:space="preserve">. </w:t>
            </w:r>
          </w:p>
          <w:p w14:paraId="6BC54B5D" w14:textId="285BBD04" w:rsidR="00474078" w:rsidRPr="00B92C7E" w:rsidRDefault="00B92C7E"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proofErr w:type="gramStart"/>
            <w:r>
              <w:rPr>
                <w:rFonts w:ascii="Calibri Light" w:eastAsia="Calibri Light" w:hAnsi="Calibri Light"/>
                <w:b/>
                <w:color w:val="495965"/>
                <w:sz w:val="17"/>
                <w:szCs w:val="17"/>
                <w:bdr w:val="none" w:sz="0" w:space="0" w:color="auto"/>
                <w:lang w:val="en-GB" w:eastAsia="en-AU"/>
              </w:rPr>
              <w:t>Met :</w:t>
            </w:r>
            <w:proofErr w:type="gramEnd"/>
            <w:r>
              <w:rPr>
                <w:rFonts w:ascii="Calibri Light" w:eastAsia="Calibri Light" w:hAnsi="Calibri Light"/>
                <w:b/>
                <w:color w:val="495965"/>
                <w:sz w:val="17"/>
                <w:szCs w:val="17"/>
                <w:bdr w:val="none" w:sz="0" w:space="0" w:color="auto"/>
                <w:lang w:val="en-GB" w:eastAsia="en-AU"/>
              </w:rPr>
              <w:t xml:space="preserve"> </w:t>
            </w:r>
            <w:r w:rsidR="00474078" w:rsidRPr="00474078">
              <w:rPr>
                <w:rFonts w:ascii="Calibri Light" w:eastAsia="Calibri Light" w:hAnsi="Calibri Light"/>
                <w:color w:val="495965"/>
                <w:sz w:val="17"/>
                <w:szCs w:val="17"/>
                <w:bdr w:val="none" w:sz="0" w:space="0" w:color="auto"/>
                <w:lang w:val="en-GB" w:eastAsia="en-AU"/>
              </w:rPr>
              <w:t xml:space="preserve">Over 800 officials trained in public financial management, evidence –based policy making, and in the newly designed Management Information Systems for the Maternity Allowance Scheme. </w:t>
            </w:r>
          </w:p>
          <w:p w14:paraId="6C1FC024" w14:textId="26482A4F" w:rsid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roofErr w:type="spellStart"/>
            <w:r w:rsidRPr="00474078">
              <w:rPr>
                <w:rFonts w:ascii="Calibri Light" w:eastAsia="Calibri Light" w:hAnsi="Calibri Light"/>
                <w:color w:val="495965"/>
                <w:sz w:val="17"/>
                <w:szCs w:val="17"/>
                <w:bdr w:val="none" w:sz="0" w:space="0" w:color="auto"/>
                <w:lang w:val="en-GB" w:eastAsia="en-AU"/>
              </w:rPr>
              <w:t>MoU</w:t>
            </w:r>
            <w:proofErr w:type="spellEnd"/>
            <w:r w:rsidRPr="00474078">
              <w:rPr>
                <w:rFonts w:ascii="Calibri Light" w:eastAsia="Calibri Light" w:hAnsi="Calibri Light"/>
                <w:color w:val="495965"/>
                <w:sz w:val="17"/>
                <w:szCs w:val="17"/>
                <w:bdr w:val="none" w:sz="0" w:space="0" w:color="auto"/>
                <w:lang w:val="en-GB" w:eastAsia="en-AU"/>
              </w:rPr>
              <w:t xml:space="preserve"> signed with training providers including the </w:t>
            </w:r>
            <w:r w:rsidR="00703A06">
              <w:rPr>
                <w:rFonts w:ascii="Calibri Light" w:eastAsia="Calibri Light" w:hAnsi="Calibri Light"/>
                <w:color w:val="495965"/>
                <w:sz w:val="17"/>
                <w:szCs w:val="17"/>
                <w:bdr w:val="none" w:sz="0" w:space="0" w:color="auto"/>
                <w:lang w:val="en-GB" w:eastAsia="en-AU"/>
              </w:rPr>
              <w:t xml:space="preserve">BPATC (which provides mandatory training to government officials) </w:t>
            </w:r>
            <w:r w:rsidRPr="00474078">
              <w:rPr>
                <w:rFonts w:ascii="Calibri Light" w:eastAsia="Calibri Light" w:hAnsi="Calibri Light"/>
                <w:color w:val="495965"/>
                <w:sz w:val="17"/>
                <w:szCs w:val="17"/>
                <w:bdr w:val="none" w:sz="0" w:space="0" w:color="auto"/>
                <w:lang w:val="en-GB" w:eastAsia="en-AU"/>
              </w:rPr>
              <w:t xml:space="preserve">to institutionalise and sustain capacity within the relevant ministries. </w:t>
            </w:r>
          </w:p>
          <w:p w14:paraId="23B477D8" w14:textId="2D86F2CA" w:rsidR="006C201D" w:rsidRPr="006C201D" w:rsidRDefault="006C201D" w:rsidP="006C201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 xml:space="preserve">Target: </w:t>
            </w:r>
            <w:r w:rsidRPr="006C201D">
              <w:rPr>
                <w:rFonts w:ascii="Calibri Light" w:eastAsia="Calibri Light" w:hAnsi="Calibri Light"/>
                <w:i/>
                <w:color w:val="495965"/>
                <w:sz w:val="17"/>
                <w:szCs w:val="17"/>
                <w:bdr w:val="none" w:sz="0" w:space="0" w:color="auto"/>
                <w:lang w:val="en-GB" w:eastAsia="en-AU"/>
              </w:rPr>
              <w:t>Reduction in the number of social safety net program</w:t>
            </w:r>
            <w:r w:rsidR="003B7654">
              <w:rPr>
                <w:rFonts w:ascii="Calibri Light" w:eastAsia="Calibri Light" w:hAnsi="Calibri Light"/>
                <w:i/>
                <w:color w:val="495965"/>
                <w:sz w:val="17"/>
                <w:szCs w:val="17"/>
                <w:bdr w:val="none" w:sz="0" w:space="0" w:color="auto"/>
                <w:lang w:val="en-GB" w:eastAsia="en-AU"/>
              </w:rPr>
              <w:t>s</w:t>
            </w:r>
          </w:p>
          <w:p w14:paraId="0AE90E79" w14:textId="2C407DFC" w:rsidR="006C201D" w:rsidRPr="00B92C7E" w:rsidRDefault="00B92C7E"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Pr>
                <w:rFonts w:ascii="Calibri Light" w:eastAsia="Calibri Light" w:hAnsi="Calibri Light"/>
                <w:b/>
                <w:color w:val="495965"/>
                <w:sz w:val="17"/>
                <w:szCs w:val="17"/>
                <w:bdr w:val="none" w:sz="0" w:space="0" w:color="auto"/>
                <w:lang w:val="en-GB" w:eastAsia="en-AU"/>
              </w:rPr>
              <w:t xml:space="preserve">Met: </w:t>
            </w:r>
            <w:r w:rsidR="006C201D" w:rsidRPr="00474078">
              <w:rPr>
                <w:rFonts w:ascii="Calibri Light" w:eastAsia="Calibri Light" w:hAnsi="Calibri Light"/>
                <w:color w:val="495965"/>
                <w:sz w:val="17"/>
                <w:szCs w:val="17"/>
                <w:bdr w:val="none" w:sz="0" w:space="0" w:color="auto"/>
                <w:lang w:val="en-GB" w:eastAsia="en-AU"/>
              </w:rPr>
              <w:t>In line with NSSS consolidation agenda, the number of social protection programs dropped from 142 (2016) to 136 in 2017</w:t>
            </w:r>
            <w:r w:rsidR="00A94EE1">
              <w:rPr>
                <w:rFonts w:ascii="Calibri Light" w:eastAsia="Calibri Light" w:hAnsi="Calibri Light"/>
                <w:color w:val="495965"/>
                <w:sz w:val="17"/>
                <w:szCs w:val="17"/>
                <w:bdr w:val="none" w:sz="0" w:space="0" w:color="auto"/>
                <w:lang w:val="en-GB" w:eastAsia="en-AU"/>
              </w:rPr>
              <w:t xml:space="preserve"> </w:t>
            </w:r>
            <w:r w:rsidR="00A94EE1" w:rsidRPr="00AF77B2">
              <w:rPr>
                <w:rFonts w:ascii="Calibri Light" w:eastAsia="Calibri Light" w:hAnsi="Calibri Light"/>
                <w:color w:val="495965"/>
                <w:sz w:val="17"/>
                <w:szCs w:val="17"/>
                <w:bdr w:val="none" w:sz="0" w:space="0" w:color="auto"/>
                <w:lang w:val="en-GB" w:eastAsia="en-AU"/>
              </w:rPr>
              <w:t>and 118 in 2018</w:t>
            </w:r>
            <w:r w:rsidR="006C201D" w:rsidRPr="00AF77B2">
              <w:rPr>
                <w:rFonts w:ascii="Calibri Light" w:eastAsia="Calibri Light" w:hAnsi="Calibri Light"/>
                <w:color w:val="495965"/>
                <w:sz w:val="17"/>
                <w:szCs w:val="17"/>
                <w:bdr w:val="none" w:sz="0" w:space="0" w:color="auto"/>
                <w:lang w:val="en-GB" w:eastAsia="en-AU"/>
              </w:rPr>
              <w:t>.</w:t>
            </w:r>
            <w:r>
              <w:rPr>
                <w:rFonts w:ascii="Calibri Light" w:eastAsia="Calibri Light" w:hAnsi="Calibri Light"/>
                <w:color w:val="495965"/>
                <w:sz w:val="17"/>
                <w:szCs w:val="17"/>
                <w:bdr w:val="none" w:sz="0" w:space="0" w:color="auto"/>
                <w:lang w:val="en-GB" w:eastAsia="en-AU"/>
              </w:rPr>
              <w:t xml:space="preserve"> </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29DCE9C9" w14:textId="05D7FF80" w:rsidR="00474078" w:rsidRPr="00474078" w:rsidRDefault="006C201D"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 xml:space="preserve">Target: </w:t>
            </w:r>
            <w:r w:rsidR="00474078" w:rsidRPr="00474078">
              <w:rPr>
                <w:rFonts w:ascii="Calibri Light" w:eastAsia="Calibri Light" w:hAnsi="Calibri Light"/>
                <w:i/>
                <w:color w:val="495965"/>
                <w:sz w:val="17"/>
                <w:szCs w:val="17"/>
                <w:bdr w:val="none" w:sz="0" w:space="0" w:color="auto"/>
                <w:lang w:val="en-GB" w:eastAsia="en-AU"/>
              </w:rPr>
              <w:t>Partnership with Bangladesh Public Administration Training Centre (BPATAC) for foundation, mid-level and senior level officials</w:t>
            </w:r>
          </w:p>
          <w:p w14:paraId="783E6957" w14:textId="77966811" w:rsidR="00474078" w:rsidRDefault="006C201D"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 xml:space="preserve">Target: </w:t>
            </w:r>
            <w:r w:rsidR="00474078" w:rsidRPr="00474078">
              <w:rPr>
                <w:rFonts w:ascii="Calibri Light" w:eastAsia="Calibri Light" w:hAnsi="Calibri Light"/>
                <w:i/>
                <w:color w:val="495965"/>
                <w:sz w:val="17"/>
                <w:szCs w:val="17"/>
                <w:bdr w:val="none" w:sz="0" w:space="0" w:color="auto"/>
                <w:lang w:val="en-GB" w:eastAsia="en-AU"/>
              </w:rPr>
              <w:t xml:space="preserve">Policy decision on single registry of social security management information system at </w:t>
            </w:r>
            <w:r w:rsidR="00474078" w:rsidRPr="00AF77B2">
              <w:rPr>
                <w:rFonts w:ascii="Calibri Light" w:eastAsia="Calibri Light" w:hAnsi="Calibri Light"/>
                <w:i/>
                <w:color w:val="495965"/>
                <w:sz w:val="17"/>
                <w:szCs w:val="17"/>
                <w:bdr w:val="none" w:sz="0" w:space="0" w:color="auto"/>
                <w:lang w:val="en-GB" w:eastAsia="en-AU"/>
              </w:rPr>
              <w:t>S</w:t>
            </w:r>
            <w:r w:rsidR="0002554A" w:rsidRPr="00AF77B2">
              <w:rPr>
                <w:rFonts w:ascii="Calibri Light" w:eastAsia="Calibri Light" w:hAnsi="Calibri Light"/>
                <w:i/>
                <w:color w:val="495965"/>
                <w:sz w:val="17"/>
                <w:szCs w:val="17"/>
                <w:bdr w:val="none" w:sz="0" w:space="0" w:color="auto"/>
                <w:lang w:val="en-GB" w:eastAsia="en-AU"/>
              </w:rPr>
              <w:t xml:space="preserve">tatistics and </w:t>
            </w:r>
            <w:r w:rsidR="00474078" w:rsidRPr="00AF77B2">
              <w:rPr>
                <w:rFonts w:ascii="Calibri Light" w:eastAsia="Calibri Light" w:hAnsi="Calibri Light"/>
                <w:i/>
                <w:color w:val="495965"/>
                <w:sz w:val="17"/>
                <w:szCs w:val="17"/>
                <w:bdr w:val="none" w:sz="0" w:space="0" w:color="auto"/>
                <w:lang w:val="en-GB" w:eastAsia="en-AU"/>
              </w:rPr>
              <w:t>I</w:t>
            </w:r>
            <w:r w:rsidR="0002554A" w:rsidRPr="00AF77B2">
              <w:rPr>
                <w:rFonts w:ascii="Calibri Light" w:eastAsia="Calibri Light" w:hAnsi="Calibri Light"/>
                <w:i/>
                <w:color w:val="495965"/>
                <w:sz w:val="17"/>
                <w:szCs w:val="17"/>
                <w:bdr w:val="none" w:sz="0" w:space="0" w:color="auto"/>
                <w:lang w:val="en-GB" w:eastAsia="en-AU"/>
              </w:rPr>
              <w:t xml:space="preserve">nformation </w:t>
            </w:r>
            <w:r w:rsidR="00474078" w:rsidRPr="00AF77B2">
              <w:rPr>
                <w:rFonts w:ascii="Calibri Light" w:eastAsia="Calibri Light" w:hAnsi="Calibri Light"/>
                <w:i/>
                <w:color w:val="495965"/>
                <w:sz w:val="17"/>
                <w:szCs w:val="17"/>
                <w:bdr w:val="none" w:sz="0" w:space="0" w:color="auto"/>
                <w:lang w:val="en-GB" w:eastAsia="en-AU"/>
              </w:rPr>
              <w:t>D</w:t>
            </w:r>
            <w:r w:rsidR="0002554A" w:rsidRPr="00AF77B2">
              <w:rPr>
                <w:rFonts w:ascii="Calibri Light" w:eastAsia="Calibri Light" w:hAnsi="Calibri Light"/>
                <w:i/>
                <w:color w:val="495965"/>
                <w:sz w:val="17"/>
                <w:szCs w:val="17"/>
                <w:bdr w:val="none" w:sz="0" w:space="0" w:color="auto"/>
                <w:lang w:val="en-GB" w:eastAsia="en-AU"/>
              </w:rPr>
              <w:t>ivision (SID)</w:t>
            </w:r>
            <w:r w:rsidR="00474078" w:rsidRPr="00AF77B2">
              <w:rPr>
                <w:rFonts w:ascii="Calibri Light" w:eastAsia="Calibri Light" w:hAnsi="Calibri Light"/>
                <w:i/>
                <w:color w:val="495965"/>
                <w:sz w:val="17"/>
                <w:szCs w:val="17"/>
                <w:bdr w:val="none" w:sz="0" w:space="0" w:color="auto"/>
                <w:lang w:val="en-GB" w:eastAsia="en-AU"/>
              </w:rPr>
              <w:t>/B</w:t>
            </w:r>
            <w:r w:rsidR="0002554A" w:rsidRPr="00AF77B2">
              <w:rPr>
                <w:rFonts w:ascii="Calibri Light" w:eastAsia="Calibri Light" w:hAnsi="Calibri Light"/>
                <w:i/>
                <w:color w:val="495965"/>
                <w:sz w:val="17"/>
                <w:szCs w:val="17"/>
                <w:bdr w:val="none" w:sz="0" w:space="0" w:color="auto"/>
                <w:lang w:val="en-GB" w:eastAsia="en-AU"/>
              </w:rPr>
              <w:t>angladesh Bureau of Statistics (BBS)</w:t>
            </w:r>
            <w:r w:rsidR="0002554A">
              <w:rPr>
                <w:rFonts w:ascii="Calibri Light" w:eastAsia="Calibri Light" w:hAnsi="Calibri Light"/>
                <w:i/>
                <w:color w:val="495965"/>
                <w:sz w:val="17"/>
                <w:szCs w:val="17"/>
                <w:bdr w:val="none" w:sz="0" w:space="0" w:color="auto"/>
                <w:lang w:val="en-GB" w:eastAsia="en-AU"/>
              </w:rPr>
              <w:t xml:space="preserve"> </w:t>
            </w:r>
            <w:r w:rsidR="00386596">
              <w:rPr>
                <w:rFonts w:ascii="Calibri Light" w:eastAsia="Calibri Light" w:hAnsi="Calibri Light"/>
                <w:i/>
                <w:color w:val="495965"/>
                <w:sz w:val="17"/>
                <w:szCs w:val="17"/>
                <w:bdr w:val="none" w:sz="0" w:space="0" w:color="auto"/>
                <w:lang w:val="en-GB" w:eastAsia="en-AU"/>
              </w:rPr>
              <w:t>as a data source to address target errors</w:t>
            </w:r>
          </w:p>
          <w:p w14:paraId="26DE406F" w14:textId="2C00AB83" w:rsidR="00386596" w:rsidRPr="00474078" w:rsidRDefault="00386596"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iCs/>
                <w:color w:val="495965"/>
                <w:sz w:val="18"/>
                <w:szCs w:val="18"/>
                <w:bdr w:val="none" w:sz="0" w:space="0" w:color="auto"/>
                <w:lang w:val="en-AU" w:eastAsia="en-AU"/>
              </w:rPr>
            </w:pPr>
            <w:r>
              <w:rPr>
                <w:rFonts w:ascii="Calibri Light" w:eastAsia="Calibri Light" w:hAnsi="Calibri Light"/>
                <w:i/>
                <w:color w:val="495965"/>
                <w:sz w:val="17"/>
                <w:szCs w:val="17"/>
                <w:bdr w:val="none" w:sz="0" w:space="0" w:color="auto"/>
                <w:lang w:val="en-GB" w:eastAsia="en-AU"/>
              </w:rPr>
              <w:t xml:space="preserve">Target: Reduction in the number of social safety net programs </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375AA84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Government of Bangladesh and DFID Reporting</w:t>
            </w:r>
          </w:p>
          <w:p w14:paraId="2BF7AB3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r>
      <w:tr w:rsidR="00474078" w:rsidRPr="00474078" w14:paraId="0561BD3A" w14:textId="77777777" w:rsidTr="00E74805">
        <w:trPr>
          <w:trHeight w:val="796"/>
          <w:tblHeader/>
        </w:trPr>
        <w:tc>
          <w:tcPr>
            <w:tcW w:w="2127" w:type="dxa"/>
            <w:vMerge w:val="restart"/>
            <w:tcBorders>
              <w:top w:val="dotted" w:sz="4" w:space="0" w:color="auto"/>
              <w:left w:val="dotted" w:sz="4" w:space="0" w:color="auto"/>
              <w:right w:val="dotted" w:sz="4" w:space="0" w:color="auto"/>
            </w:tcBorders>
          </w:tcPr>
          <w:p w14:paraId="7292B2A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2.NGOs and other partners provide the poorest women and women-led households with increased incomes and nutrition, greater assets and capacity to participate in the economy</w:t>
            </w:r>
          </w:p>
        </w:tc>
        <w:tc>
          <w:tcPr>
            <w:tcW w:w="1134" w:type="dxa"/>
            <w:vMerge w:val="restart"/>
            <w:tcBorders>
              <w:top w:val="dotted" w:sz="4" w:space="0" w:color="auto"/>
              <w:left w:val="dotted" w:sz="4" w:space="0" w:color="auto"/>
              <w:right w:val="dotted" w:sz="4" w:space="0" w:color="auto"/>
            </w:tcBorders>
          </w:tcPr>
          <w:p w14:paraId="00DDE23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Numbers graduating from NGO livelihoods programs and qualitative assessments of life changes</w:t>
            </w:r>
          </w:p>
        </w:tc>
        <w:tc>
          <w:tcPr>
            <w:tcW w:w="1865" w:type="dxa"/>
            <w:vMerge w:val="restart"/>
            <w:tcBorders>
              <w:top w:val="dotted" w:sz="4" w:space="0" w:color="auto"/>
              <w:left w:val="dotted" w:sz="4" w:space="0" w:color="auto"/>
              <w:right w:val="dotted" w:sz="4" w:space="0" w:color="auto"/>
            </w:tcBorders>
          </w:tcPr>
          <w:p w14:paraId="5B3BBDD4" w14:textId="08188433"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BRAC </w:t>
            </w:r>
            <w:r w:rsidR="00A33E35">
              <w:rPr>
                <w:rFonts w:ascii="Calibri Light" w:eastAsia="Calibri Light" w:hAnsi="Calibri Light"/>
                <w:color w:val="495965"/>
                <w:sz w:val="17"/>
                <w:szCs w:val="17"/>
                <w:bdr w:val="none" w:sz="0" w:space="0" w:color="auto"/>
                <w:lang w:val="en-GB" w:eastAsia="en-AU"/>
              </w:rPr>
              <w:t>TUP</w:t>
            </w:r>
            <w:r w:rsidR="00B92C7E">
              <w:rPr>
                <w:rFonts w:ascii="Calibri Light" w:eastAsia="Calibri Light" w:hAnsi="Calibri Light"/>
                <w:color w:val="495965"/>
                <w:sz w:val="17"/>
                <w:szCs w:val="17"/>
                <w:bdr w:val="none" w:sz="0" w:space="0" w:color="auto"/>
                <w:lang w:val="en-GB" w:eastAsia="en-AU"/>
              </w:rPr>
              <w:t xml:space="preserve"> and WFP </w:t>
            </w:r>
            <w:r w:rsidRPr="00474078">
              <w:rPr>
                <w:rFonts w:ascii="Calibri Light" w:eastAsia="Calibri Light" w:hAnsi="Calibri Light"/>
                <w:color w:val="495965"/>
                <w:sz w:val="17"/>
                <w:szCs w:val="17"/>
                <w:bdr w:val="none" w:sz="0" w:space="0" w:color="auto"/>
                <w:lang w:val="en-GB" w:eastAsia="en-AU"/>
              </w:rPr>
              <w:t>livelihoods programs achieve expected outputs on women’s economic empowerment for remainder of current programs</w:t>
            </w:r>
          </w:p>
          <w:p w14:paraId="1DEE5F2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2387" w:type="dxa"/>
            <w:tcBorders>
              <w:top w:val="dotted" w:sz="4" w:space="0" w:color="auto"/>
              <w:left w:val="dotted" w:sz="4" w:space="0" w:color="auto"/>
              <w:bottom w:val="dotted" w:sz="4" w:space="0" w:color="auto"/>
              <w:right w:val="dotted" w:sz="4" w:space="0" w:color="auto"/>
            </w:tcBorders>
          </w:tcPr>
          <w:p w14:paraId="5CC5717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Number of women and their households able to access social transfer</w:t>
            </w:r>
          </w:p>
          <w:p w14:paraId="7B437335" w14:textId="3EEA87DC"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65A7A84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Target:102,600</w:t>
            </w:r>
            <w:r w:rsidRPr="00474078">
              <w:rPr>
                <w:rFonts w:ascii="Calibri Light" w:eastAsia="Calibri Light" w:hAnsi="Calibri Light"/>
                <w:i/>
                <w:color w:val="495965"/>
                <w:sz w:val="17"/>
                <w:szCs w:val="17"/>
                <w:bdr w:val="none" w:sz="0" w:space="0" w:color="auto"/>
                <w:vertAlign w:val="superscript"/>
                <w:lang w:val="en-GB" w:eastAsia="en-AU"/>
              </w:rPr>
              <w:footnoteReference w:id="34"/>
            </w:r>
            <w:r w:rsidRPr="00474078">
              <w:rPr>
                <w:rFonts w:ascii="Calibri Light" w:eastAsia="Calibri Light" w:hAnsi="Calibri Light"/>
                <w:i/>
                <w:color w:val="495965"/>
                <w:sz w:val="17"/>
                <w:szCs w:val="17"/>
                <w:bdr w:val="none" w:sz="0" w:space="0" w:color="auto"/>
                <w:lang w:val="en-GB" w:eastAsia="en-AU"/>
              </w:rPr>
              <w:t xml:space="preserve"> </w:t>
            </w:r>
          </w:p>
          <w:p w14:paraId="04E0FC22" w14:textId="55CB940E" w:rsidR="00474078" w:rsidRPr="00B92C7E"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79,480  (TUP); 9,481 (WFP, small cash grants and subs</w:t>
            </w:r>
            <w:r w:rsidR="00B92C7E">
              <w:rPr>
                <w:rFonts w:ascii="Calibri Light" w:eastAsia="Calibri Light" w:hAnsi="Calibri Light"/>
                <w:color w:val="495965"/>
                <w:sz w:val="17"/>
                <w:szCs w:val="17"/>
                <w:bdr w:val="none" w:sz="0" w:space="0" w:color="auto"/>
                <w:lang w:val="en-GB" w:eastAsia="en-AU"/>
              </w:rPr>
              <w:t xml:space="preserve">istence allowance);  </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67CF053D" w14:textId="4A78A4DD" w:rsidR="00386596" w:rsidRPr="00563382"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563382">
              <w:rPr>
                <w:rFonts w:ascii="Calibri Light" w:eastAsia="Calibri Light" w:hAnsi="Calibri Light"/>
                <w:i/>
                <w:color w:val="495965"/>
                <w:sz w:val="17"/>
                <w:szCs w:val="17"/>
                <w:bdr w:val="none" w:sz="0" w:space="0" w:color="auto"/>
                <w:lang w:val="en-GB" w:eastAsia="en-AU"/>
              </w:rPr>
              <w:t>Target:</w:t>
            </w:r>
            <w:r w:rsidR="00330976" w:rsidRPr="00563382">
              <w:rPr>
                <w:rFonts w:ascii="Calibri Light" w:eastAsia="Calibri Light" w:hAnsi="Calibri Light"/>
                <w:i/>
                <w:color w:val="495965"/>
                <w:sz w:val="17"/>
                <w:szCs w:val="17"/>
                <w:bdr w:val="none" w:sz="0" w:space="0" w:color="auto"/>
                <w:lang w:val="en-GB" w:eastAsia="en-AU"/>
              </w:rPr>
              <w:t xml:space="preserve"> </w:t>
            </w:r>
            <w:r w:rsidR="00563382" w:rsidRPr="00563382">
              <w:rPr>
                <w:rFonts w:ascii="Calibri Light" w:eastAsia="Calibri Light" w:hAnsi="Calibri Light"/>
                <w:i/>
                <w:color w:val="495965"/>
                <w:sz w:val="17"/>
                <w:szCs w:val="17"/>
                <w:bdr w:val="none" w:sz="0" w:space="0" w:color="auto"/>
                <w:lang w:val="en-GB" w:eastAsia="en-AU"/>
              </w:rPr>
              <w:t>54,600</w:t>
            </w:r>
            <w:r w:rsidR="00B92C7E">
              <w:rPr>
                <w:rFonts w:ascii="Calibri Light" w:eastAsia="Calibri Light" w:hAnsi="Calibri Light"/>
                <w:i/>
                <w:color w:val="495965"/>
                <w:sz w:val="17"/>
                <w:szCs w:val="17"/>
                <w:bdr w:val="none" w:sz="0" w:space="0" w:color="auto"/>
                <w:lang w:val="en-GB" w:eastAsia="en-AU"/>
              </w:rPr>
              <w:t xml:space="preserve"> = </w:t>
            </w:r>
            <w:r w:rsidR="00386596" w:rsidRPr="00563382">
              <w:rPr>
                <w:rFonts w:ascii="Calibri Light" w:eastAsia="Calibri Light" w:hAnsi="Calibri Light"/>
                <w:i/>
                <w:color w:val="495965"/>
                <w:sz w:val="17"/>
                <w:szCs w:val="17"/>
                <w:bdr w:val="none" w:sz="0" w:space="0" w:color="auto"/>
                <w:lang w:val="en-GB" w:eastAsia="en-AU"/>
              </w:rPr>
              <w:t xml:space="preserve">45,000 (TUP) + </w:t>
            </w:r>
            <w:r w:rsidR="00563382" w:rsidRPr="00563382">
              <w:rPr>
                <w:rFonts w:ascii="Calibri Light" w:eastAsia="Calibri Light" w:hAnsi="Calibri Light"/>
                <w:i/>
                <w:color w:val="495965"/>
                <w:sz w:val="17"/>
                <w:szCs w:val="17"/>
                <w:bdr w:val="none" w:sz="0" w:space="0" w:color="auto"/>
                <w:lang w:val="en-GB" w:eastAsia="en-AU"/>
              </w:rPr>
              <w:t>9,600</w:t>
            </w:r>
            <w:r w:rsidR="00386596" w:rsidRPr="00563382">
              <w:rPr>
                <w:rFonts w:ascii="Calibri Light" w:eastAsia="Calibri Light" w:hAnsi="Calibri Light"/>
                <w:i/>
                <w:color w:val="495965"/>
                <w:sz w:val="17"/>
                <w:szCs w:val="17"/>
                <w:bdr w:val="none" w:sz="0" w:space="0" w:color="auto"/>
                <w:lang w:val="en-GB" w:eastAsia="en-AU"/>
              </w:rPr>
              <w:t xml:space="preserve"> (WFP)</w:t>
            </w:r>
          </w:p>
          <w:p w14:paraId="0682DCAF" w14:textId="4CEC69FC" w:rsidR="00A33E35" w:rsidRPr="00386596"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563382">
              <w:rPr>
                <w:rFonts w:ascii="Calibri Light" w:eastAsia="Calibri Light" w:hAnsi="Calibri Light"/>
                <w:color w:val="495965"/>
                <w:sz w:val="17"/>
                <w:szCs w:val="17"/>
                <w:bdr w:val="none" w:sz="0" w:space="0" w:color="auto"/>
                <w:lang w:val="en-GB" w:eastAsia="en-AU"/>
              </w:rPr>
              <w:t>45,396 (TUP); 9,393 (WFP)</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77AED3B5" w14:textId="0E941175" w:rsidR="00474078" w:rsidRPr="00B92C7E" w:rsidRDefault="00474078" w:rsidP="00A33E35">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w:t>
            </w:r>
            <w:r w:rsidR="002F5CC8" w:rsidRPr="00F0185E">
              <w:rPr>
                <w:rFonts w:ascii="Calibri Light" w:eastAsia="Calibri Light" w:hAnsi="Calibri Light"/>
                <w:i/>
                <w:color w:val="495965"/>
                <w:sz w:val="17"/>
                <w:szCs w:val="17"/>
                <w:bdr w:val="none" w:sz="0" w:space="0" w:color="auto"/>
                <w:lang w:val="en-GB" w:eastAsia="en-AU"/>
              </w:rPr>
              <w:t>120,000</w:t>
            </w:r>
            <w:r w:rsidR="00B92C7E">
              <w:rPr>
                <w:rFonts w:ascii="Calibri Light" w:eastAsia="Calibri Light" w:hAnsi="Calibri Light"/>
                <w:i/>
                <w:color w:val="495965"/>
                <w:sz w:val="17"/>
                <w:szCs w:val="17"/>
                <w:bdr w:val="none" w:sz="0" w:space="0" w:color="auto"/>
                <w:lang w:val="en-GB" w:eastAsia="en-AU"/>
              </w:rPr>
              <w:t xml:space="preserve"> = </w:t>
            </w:r>
            <w:r w:rsidRPr="00474078">
              <w:rPr>
                <w:rFonts w:ascii="Calibri Light" w:eastAsia="Calibri Light" w:hAnsi="Calibri Light"/>
                <w:i/>
                <w:color w:val="495965"/>
                <w:sz w:val="17"/>
                <w:szCs w:val="17"/>
                <w:bdr w:val="none" w:sz="0" w:space="0" w:color="auto"/>
                <w:lang w:val="en-GB" w:eastAsia="en-AU"/>
              </w:rPr>
              <w:t>100,000 (TUP) +</w:t>
            </w:r>
            <w:r w:rsidR="00A33E35">
              <w:rPr>
                <w:rFonts w:ascii="Calibri Light" w:eastAsia="Calibri Light" w:hAnsi="Calibri Light"/>
                <w:i/>
                <w:color w:val="495965"/>
                <w:sz w:val="17"/>
                <w:szCs w:val="17"/>
                <w:bdr w:val="none" w:sz="0" w:space="0" w:color="auto"/>
                <w:lang w:val="en-GB" w:eastAsia="en-AU"/>
              </w:rPr>
              <w:t>2</w:t>
            </w:r>
            <w:r w:rsidRPr="00474078">
              <w:rPr>
                <w:rFonts w:ascii="Calibri Light" w:eastAsia="Calibri Light" w:hAnsi="Calibri Light"/>
                <w:i/>
                <w:color w:val="495965"/>
                <w:sz w:val="17"/>
                <w:szCs w:val="17"/>
                <w:bdr w:val="none" w:sz="0" w:space="0" w:color="auto"/>
                <w:lang w:val="en-GB" w:eastAsia="en-AU"/>
              </w:rPr>
              <w:t>0,000 (WFP)</w:t>
            </w:r>
            <w:r w:rsidRPr="00474078">
              <w:rPr>
                <w:rFonts w:ascii="Calibri Light" w:eastAsia="Calibri Light" w:hAnsi="Calibri Light"/>
                <w:b/>
                <w:iCs/>
                <w:color w:val="495965"/>
                <w:sz w:val="18"/>
                <w:szCs w:val="18"/>
                <w:bdr w:val="none" w:sz="0" w:space="0" w:color="auto"/>
                <w:lang w:val="en-AU" w:eastAsia="en-AU"/>
              </w:rPr>
              <w:t xml:space="preserve"> </w:t>
            </w:r>
          </w:p>
          <w:p w14:paraId="6558DD9E" w14:textId="73B8848E" w:rsidR="00A33E35" w:rsidRPr="007A1367" w:rsidRDefault="00A33E35" w:rsidP="00A33E35">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794FCC68" w14:textId="0EB9AAE4"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BRAC,WFP basel</w:t>
            </w:r>
            <w:r w:rsidR="00B92C7E">
              <w:rPr>
                <w:rFonts w:ascii="Calibri Light" w:eastAsia="Calibri Light" w:hAnsi="Calibri Light"/>
                <w:color w:val="495965"/>
                <w:sz w:val="17"/>
                <w:szCs w:val="17"/>
                <w:bdr w:val="none" w:sz="0" w:space="0" w:color="auto"/>
                <w:lang w:val="en-GB" w:eastAsia="en-AU"/>
              </w:rPr>
              <w:t>ine report and annual reporting</w:t>
            </w:r>
          </w:p>
        </w:tc>
      </w:tr>
      <w:tr w:rsidR="00474078" w:rsidRPr="00474078" w14:paraId="342DC7B5" w14:textId="77777777" w:rsidTr="00E74805">
        <w:trPr>
          <w:trHeight w:val="796"/>
          <w:tblHeader/>
        </w:trPr>
        <w:tc>
          <w:tcPr>
            <w:tcW w:w="2127" w:type="dxa"/>
            <w:vMerge/>
            <w:tcBorders>
              <w:left w:val="dotted" w:sz="4" w:space="0" w:color="auto"/>
              <w:bottom w:val="dotted" w:sz="4" w:space="0" w:color="auto"/>
              <w:right w:val="dotted" w:sz="4" w:space="0" w:color="auto"/>
            </w:tcBorders>
            <w:shd w:val="clear" w:color="auto" w:fill="auto"/>
          </w:tcPr>
          <w:p w14:paraId="11A50EE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134" w:type="dxa"/>
            <w:vMerge/>
            <w:tcBorders>
              <w:left w:val="dotted" w:sz="4" w:space="0" w:color="auto"/>
              <w:bottom w:val="dotted" w:sz="4" w:space="0" w:color="auto"/>
              <w:right w:val="dotted" w:sz="4" w:space="0" w:color="auto"/>
            </w:tcBorders>
            <w:shd w:val="clear" w:color="auto" w:fill="auto"/>
          </w:tcPr>
          <w:p w14:paraId="0439433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65" w:type="dxa"/>
            <w:vMerge/>
            <w:tcBorders>
              <w:left w:val="dotted" w:sz="4" w:space="0" w:color="auto"/>
              <w:bottom w:val="dotted" w:sz="4" w:space="0" w:color="auto"/>
              <w:right w:val="dotted" w:sz="4" w:space="0" w:color="auto"/>
            </w:tcBorders>
            <w:shd w:val="clear" w:color="auto" w:fill="auto"/>
          </w:tcPr>
          <w:p w14:paraId="23D3FDD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2387" w:type="dxa"/>
            <w:tcBorders>
              <w:top w:val="dotted" w:sz="4" w:space="0" w:color="auto"/>
              <w:left w:val="dotted" w:sz="4" w:space="0" w:color="auto"/>
              <w:bottom w:val="dotted" w:sz="4" w:space="0" w:color="auto"/>
              <w:right w:val="dotted" w:sz="4" w:space="0" w:color="auto"/>
            </w:tcBorders>
            <w:shd w:val="clear" w:color="auto" w:fill="auto"/>
          </w:tcPr>
          <w:p w14:paraId="16BD82F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Number of women and their households graduating from partners’ livelihoods programs</w:t>
            </w: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7F56D6A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Target: 81,539</w:t>
            </w:r>
          </w:p>
          <w:p w14:paraId="41249DB3" w14:textId="292F4D92" w:rsidR="00474078" w:rsidRPr="00E74805"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86,</w:t>
            </w:r>
            <w:r w:rsidR="00E74805">
              <w:rPr>
                <w:rFonts w:ascii="Calibri Light" w:eastAsia="Calibri Light" w:hAnsi="Calibri Light"/>
                <w:color w:val="495965"/>
                <w:sz w:val="17"/>
                <w:szCs w:val="17"/>
                <w:bdr w:val="none" w:sz="0" w:space="0" w:color="auto"/>
                <w:lang w:val="en-GB" w:eastAsia="en-AU"/>
              </w:rPr>
              <w:t>975 (TUP); CLP ceased June 2016</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34C2A682" w14:textId="13260DED"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75,506</w:t>
            </w:r>
            <w:r w:rsidR="00E74805">
              <w:rPr>
                <w:rFonts w:ascii="Calibri Light" w:eastAsia="Calibri Light" w:hAnsi="Calibri Light"/>
                <w:i/>
                <w:color w:val="495965"/>
                <w:sz w:val="17"/>
                <w:szCs w:val="17"/>
                <w:bdr w:val="none" w:sz="0" w:space="0" w:color="auto"/>
                <w:lang w:val="en-GB" w:eastAsia="en-AU"/>
              </w:rPr>
              <w:t xml:space="preserve"> (</w:t>
            </w:r>
          </w:p>
          <w:p w14:paraId="2A7A91D5" w14:textId="4D50038D" w:rsidR="00474078" w:rsidRPr="00386596" w:rsidRDefault="00E74805"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t xml:space="preserve">72,804 </w:t>
            </w:r>
            <w:r w:rsidR="00474078" w:rsidRPr="00386596">
              <w:rPr>
                <w:rFonts w:ascii="Calibri Light" w:eastAsia="Calibri Light" w:hAnsi="Calibri Light"/>
                <w:color w:val="495965"/>
                <w:sz w:val="17"/>
                <w:szCs w:val="17"/>
                <w:bdr w:val="none" w:sz="0" w:space="0" w:color="auto"/>
                <w:lang w:val="en-GB" w:eastAsia="en-AU"/>
              </w:rPr>
              <w:t>(TUP)</w:t>
            </w:r>
            <w:r>
              <w:rPr>
                <w:rFonts w:ascii="Calibri Light" w:eastAsia="Calibri Light" w:hAnsi="Calibri Light"/>
                <w:color w:val="495965"/>
                <w:sz w:val="17"/>
                <w:szCs w:val="17"/>
                <w:bdr w:val="none" w:sz="0" w:space="0" w:color="auto"/>
                <w:lang w:val="en-GB" w:eastAsia="en-AU"/>
              </w:rPr>
              <w:t xml:space="preserve"> (</w:t>
            </w:r>
            <w:r w:rsidRPr="00E74805">
              <w:rPr>
                <w:rFonts w:ascii="Calibri Light" w:eastAsia="Calibri Light" w:hAnsi="Calibri Light"/>
                <w:b/>
                <w:color w:val="495965"/>
                <w:sz w:val="17"/>
                <w:szCs w:val="17"/>
                <w:bdr w:val="none" w:sz="0" w:space="0" w:color="auto"/>
                <w:lang w:val="en-GB" w:eastAsia="en-AU"/>
              </w:rPr>
              <w:t>Partially Met)</w:t>
            </w:r>
          </w:p>
        </w:tc>
        <w:tc>
          <w:tcPr>
            <w:tcW w:w="1843" w:type="dxa"/>
            <w:tcBorders>
              <w:top w:val="dotted" w:sz="4" w:space="0" w:color="auto"/>
              <w:left w:val="dotted" w:sz="4" w:space="0" w:color="auto"/>
              <w:bottom w:val="dotted" w:sz="4" w:space="0" w:color="auto"/>
              <w:right w:val="dotted" w:sz="4" w:space="0" w:color="auto"/>
            </w:tcBorders>
            <w:shd w:val="clear" w:color="auto" w:fill="auto"/>
          </w:tcPr>
          <w:p w14:paraId="3B39729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40,500</w:t>
            </w:r>
          </w:p>
          <w:p w14:paraId="25EDFF5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366AA44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r>
    </w:tbl>
    <w:p w14:paraId="257B2162" w14:textId="6E15897A"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tbl>
      <w:tblPr>
        <w:tblW w:w="15593" w:type="dxa"/>
        <w:tblInd w:w="-147" w:type="dxa"/>
        <w:tblLayout w:type="fixed"/>
        <w:tblLook w:val="04A0" w:firstRow="1" w:lastRow="0" w:firstColumn="1" w:lastColumn="0" w:noHBand="0" w:noVBand="1"/>
      </w:tblPr>
      <w:tblGrid>
        <w:gridCol w:w="2127"/>
        <w:gridCol w:w="1134"/>
        <w:gridCol w:w="1843"/>
        <w:gridCol w:w="2409"/>
        <w:gridCol w:w="2977"/>
        <w:gridCol w:w="2552"/>
        <w:gridCol w:w="1417"/>
        <w:gridCol w:w="1134"/>
      </w:tblGrid>
      <w:tr w:rsidR="00474078" w:rsidRPr="00474078" w14:paraId="7B34349D" w14:textId="77777777" w:rsidTr="00F0185E">
        <w:trPr>
          <w:trHeight w:val="519"/>
          <w:tblHeader/>
        </w:trPr>
        <w:tc>
          <w:tcPr>
            <w:tcW w:w="15593" w:type="dxa"/>
            <w:gridSpan w:val="8"/>
            <w:tcBorders>
              <w:top w:val="dotted" w:sz="4" w:space="0" w:color="auto"/>
              <w:left w:val="dotted" w:sz="4" w:space="0" w:color="auto"/>
              <w:bottom w:val="dotted" w:sz="4" w:space="0" w:color="auto"/>
              <w:right w:val="dotted" w:sz="4" w:space="0" w:color="auto"/>
            </w:tcBorders>
            <w:shd w:val="clear" w:color="auto" w:fill="D8DCDB"/>
          </w:tcPr>
          <w:p w14:paraId="7FBC707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Australia’s Aid Objective Two: Building economic resilience by reducing vulnerability and improving inclusion in the growing economy  </w:t>
            </w:r>
          </w:p>
        </w:tc>
      </w:tr>
      <w:tr w:rsidR="00474078" w:rsidRPr="00474078" w14:paraId="3A285299" w14:textId="77777777" w:rsidTr="00F0185E">
        <w:trPr>
          <w:trHeight w:val="75"/>
          <w:tblHeader/>
        </w:trPr>
        <w:tc>
          <w:tcPr>
            <w:tcW w:w="7513" w:type="dxa"/>
            <w:gridSpan w:val="4"/>
            <w:tcBorders>
              <w:top w:val="dotted" w:sz="4" w:space="0" w:color="auto"/>
              <w:left w:val="dotted" w:sz="4" w:space="0" w:color="auto"/>
              <w:bottom w:val="dotted" w:sz="4" w:space="0" w:color="auto"/>
              <w:right w:val="dotted" w:sz="4" w:space="0" w:color="auto"/>
            </w:tcBorders>
          </w:tcPr>
          <w:p w14:paraId="1CD356B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8080" w:type="dxa"/>
            <w:gridSpan w:val="4"/>
            <w:tcBorders>
              <w:top w:val="dotted" w:sz="4" w:space="0" w:color="auto"/>
              <w:left w:val="dotted" w:sz="4" w:space="0" w:color="auto"/>
              <w:bottom w:val="dotted" w:sz="4" w:space="0" w:color="auto"/>
              <w:right w:val="dotted" w:sz="4" w:space="0" w:color="auto"/>
            </w:tcBorders>
          </w:tcPr>
          <w:p w14:paraId="72B2385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45F3D69A" w14:textId="77777777" w:rsidTr="00F0185E">
        <w:trPr>
          <w:trHeight w:val="796"/>
          <w:tblHeader/>
        </w:trPr>
        <w:tc>
          <w:tcPr>
            <w:tcW w:w="2127" w:type="dxa"/>
            <w:tcBorders>
              <w:top w:val="dotted" w:sz="4" w:space="0" w:color="auto"/>
              <w:left w:val="dotted" w:sz="4" w:space="0" w:color="auto"/>
              <w:bottom w:val="dotted" w:sz="4" w:space="0" w:color="auto"/>
              <w:right w:val="dotted" w:sz="4" w:space="0" w:color="auto"/>
            </w:tcBorders>
            <w:shd w:val="clear" w:color="auto" w:fill="D8DCDB"/>
          </w:tcPr>
          <w:p w14:paraId="37F58E2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625A339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p w14:paraId="397A437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227BA9C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Intermediate </w:t>
            </w:r>
          </w:p>
          <w:p w14:paraId="7D2D77A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outcome</w:t>
            </w:r>
          </w:p>
        </w:tc>
        <w:tc>
          <w:tcPr>
            <w:tcW w:w="2409" w:type="dxa"/>
            <w:tcBorders>
              <w:top w:val="dotted" w:sz="4" w:space="0" w:color="auto"/>
              <w:left w:val="dotted" w:sz="4" w:space="0" w:color="auto"/>
              <w:bottom w:val="dotted" w:sz="4" w:space="0" w:color="auto"/>
              <w:right w:val="dotted" w:sz="4" w:space="0" w:color="auto"/>
            </w:tcBorders>
            <w:shd w:val="clear" w:color="auto" w:fill="D8DCDB"/>
          </w:tcPr>
          <w:p w14:paraId="5453661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2977" w:type="dxa"/>
            <w:tcBorders>
              <w:top w:val="dotted" w:sz="4" w:space="0" w:color="auto"/>
              <w:left w:val="dotted" w:sz="4" w:space="0" w:color="auto"/>
              <w:bottom w:val="dotted" w:sz="4" w:space="0" w:color="auto"/>
              <w:right w:val="dotted" w:sz="4" w:space="0" w:color="auto"/>
            </w:tcBorders>
            <w:shd w:val="clear" w:color="auto" w:fill="D8DCDB"/>
          </w:tcPr>
          <w:p w14:paraId="1E80F52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2552" w:type="dxa"/>
            <w:tcBorders>
              <w:top w:val="dotted" w:sz="4" w:space="0" w:color="auto"/>
              <w:left w:val="dotted" w:sz="4" w:space="0" w:color="auto"/>
              <w:bottom w:val="dotted" w:sz="4" w:space="0" w:color="auto"/>
              <w:right w:val="dotted" w:sz="4" w:space="0" w:color="auto"/>
            </w:tcBorders>
            <w:shd w:val="clear" w:color="auto" w:fill="D8DCDB"/>
          </w:tcPr>
          <w:p w14:paraId="5449766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214FAE0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08D3F1E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BF3A2C" w:rsidRPr="00474078" w14:paraId="24457B88" w14:textId="77777777" w:rsidTr="009076E1">
        <w:trPr>
          <w:trHeight w:val="1734"/>
        </w:trPr>
        <w:tc>
          <w:tcPr>
            <w:tcW w:w="2127" w:type="dxa"/>
            <w:vMerge w:val="restart"/>
            <w:tcBorders>
              <w:top w:val="dotted" w:sz="4" w:space="0" w:color="auto"/>
              <w:left w:val="dotted" w:sz="4" w:space="0" w:color="auto"/>
              <w:right w:val="dotted" w:sz="4" w:space="0" w:color="auto"/>
            </w:tcBorders>
            <w:shd w:val="clear" w:color="auto" w:fill="auto"/>
          </w:tcPr>
          <w:p w14:paraId="367CA7D0"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2.NGOs and other partners provide the poorest women and women-led households with increased incomes and nutrition, greater assets and capacity to participate in the economy</w:t>
            </w:r>
          </w:p>
        </w:tc>
        <w:tc>
          <w:tcPr>
            <w:tcW w:w="1134" w:type="dxa"/>
            <w:vMerge w:val="restart"/>
            <w:tcBorders>
              <w:top w:val="dotted" w:sz="4" w:space="0" w:color="auto"/>
              <w:left w:val="dotted" w:sz="4" w:space="0" w:color="auto"/>
              <w:right w:val="dotted" w:sz="4" w:space="0" w:color="auto"/>
            </w:tcBorders>
          </w:tcPr>
          <w:p w14:paraId="673EB68B"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Numbers graduating from NGO livelihoods programs and qualitative assessments of life changes</w:t>
            </w:r>
          </w:p>
        </w:tc>
        <w:tc>
          <w:tcPr>
            <w:tcW w:w="1843" w:type="dxa"/>
            <w:vMerge w:val="restart"/>
            <w:tcBorders>
              <w:top w:val="dotted" w:sz="4" w:space="0" w:color="auto"/>
              <w:left w:val="dotted" w:sz="4" w:space="0" w:color="auto"/>
              <w:right w:val="dotted" w:sz="4" w:space="0" w:color="auto"/>
            </w:tcBorders>
          </w:tcPr>
          <w:p w14:paraId="4C7B925C"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Malnourished women and children treated by WFP in Cox’s Bazar District improved their nutritional status</w:t>
            </w:r>
          </w:p>
          <w:p w14:paraId="6BEDE67C" w14:textId="05C813A0"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p>
        </w:tc>
        <w:tc>
          <w:tcPr>
            <w:tcW w:w="2409" w:type="dxa"/>
            <w:tcBorders>
              <w:top w:val="dotted" w:sz="4" w:space="0" w:color="auto"/>
              <w:left w:val="dotted" w:sz="4" w:space="0" w:color="auto"/>
              <w:bottom w:val="dotted" w:sz="4" w:space="0" w:color="auto"/>
              <w:right w:val="dotted" w:sz="4" w:space="0" w:color="auto"/>
            </w:tcBorders>
          </w:tcPr>
          <w:p w14:paraId="1E8F0F5F" w14:textId="016C2260" w:rsidR="00BF3A2C" w:rsidRPr="00AF77B2"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107AEB">
              <w:rPr>
                <w:rFonts w:ascii="Calibri Light" w:eastAsia="Calibri Light" w:hAnsi="Calibri Light"/>
                <w:color w:val="495965"/>
                <w:sz w:val="17"/>
                <w:szCs w:val="17"/>
                <w:bdr w:val="none" w:sz="0" w:space="0" w:color="auto"/>
                <w:lang w:val="en-GB" w:eastAsia="en-AU"/>
              </w:rPr>
              <w:t>Wasting outcome improved (1% reduction per year)</w:t>
            </w:r>
          </w:p>
          <w:p w14:paraId="4211C79D" w14:textId="77777777" w:rsidR="00BF3A2C" w:rsidRPr="00107AEB"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p w14:paraId="55EF8EC9" w14:textId="1AB8FCCC" w:rsidR="00BF3A2C" w:rsidRPr="009076E1" w:rsidRDefault="00BF3A2C" w:rsidP="009076E1">
            <w:pPr>
              <w:rPr>
                <w:rFonts w:ascii="Calibri Light" w:eastAsia="Calibri Light" w:hAnsi="Calibri Light"/>
                <w:sz w:val="18"/>
                <w:szCs w:val="18"/>
                <w:lang w:val="en-AU" w:eastAsia="en-AU"/>
              </w:rPr>
            </w:pP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1B8DD651"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Target: 10.57%</w:t>
            </w:r>
          </w:p>
          <w:p w14:paraId="2B639FEB" w14:textId="45156612" w:rsidR="009076E1"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14.6% (wasting increased significantly due to an influx of over 74,000 refugees in October – November 2016). </w:t>
            </w:r>
          </w:p>
          <w:p w14:paraId="6A1EE9F8" w14:textId="2F54502D" w:rsidR="00BF3A2C" w:rsidRPr="009076E1" w:rsidRDefault="00BF3A2C" w:rsidP="009076E1">
            <w:pPr>
              <w:rPr>
                <w:rFonts w:ascii="Calibri Light" w:eastAsia="Calibri Light" w:hAnsi="Calibri Light"/>
                <w:sz w:val="18"/>
                <w:szCs w:val="18"/>
                <w:lang w:val="en-AU"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64A73BF8" w14:textId="77B8EB22" w:rsidR="00BF3A2C" w:rsidRDefault="00BF3A2C" w:rsidP="00A33E35">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 </w:t>
            </w:r>
            <w:r>
              <w:rPr>
                <w:rFonts w:ascii="Calibri Light" w:eastAsia="Calibri Light" w:hAnsi="Calibri Light"/>
                <w:i/>
                <w:color w:val="495965"/>
                <w:sz w:val="17"/>
                <w:szCs w:val="17"/>
                <w:bdr w:val="none" w:sz="0" w:space="0" w:color="auto"/>
                <w:lang w:val="en-GB" w:eastAsia="en-AU"/>
              </w:rPr>
              <w:t xml:space="preserve"> 10.9%</w:t>
            </w:r>
          </w:p>
          <w:p w14:paraId="518DB872" w14:textId="722AE403" w:rsidR="00BF3A2C" w:rsidRDefault="00BF3A2C" w:rsidP="00A33E35">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color w:val="495965"/>
                <w:sz w:val="17"/>
                <w:szCs w:val="17"/>
                <w:bdr w:val="none" w:sz="0" w:space="0" w:color="auto"/>
                <w:lang w:val="en-GB" w:eastAsia="en-AU"/>
              </w:rPr>
            </w:pPr>
            <w:r w:rsidRPr="00A33E35">
              <w:rPr>
                <w:rFonts w:ascii="Calibri Light" w:eastAsia="Calibri Light" w:hAnsi="Calibri Light"/>
                <w:color w:val="495965"/>
                <w:sz w:val="17"/>
                <w:szCs w:val="17"/>
                <w:bdr w:val="none" w:sz="0" w:space="0" w:color="auto"/>
                <w:lang w:val="en-GB" w:eastAsia="en-AU"/>
              </w:rPr>
              <w:t>11.8%</w:t>
            </w:r>
            <w:r>
              <w:rPr>
                <w:rFonts w:ascii="Calibri Light" w:eastAsia="Calibri Light" w:hAnsi="Calibri Light"/>
                <w:color w:val="495965"/>
                <w:sz w:val="17"/>
                <w:szCs w:val="17"/>
                <w:bdr w:val="none" w:sz="0" w:space="0" w:color="auto"/>
                <w:lang w:val="en-GB" w:eastAsia="en-AU"/>
              </w:rPr>
              <w:t xml:space="preserve"> </w:t>
            </w:r>
          </w:p>
          <w:p w14:paraId="27FAC095" w14:textId="1EE3CD9D" w:rsidR="00BF3A2C" w:rsidRPr="00107BB0" w:rsidRDefault="00BF3A2C" w:rsidP="00A33E35">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59BACF2C" w14:textId="02912136" w:rsidR="00BF3A2C" w:rsidRPr="00A33E35"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iCs/>
                <w:color w:val="495965"/>
                <w:sz w:val="18"/>
                <w:szCs w:val="18"/>
                <w:bdr w:val="none" w:sz="0" w:space="0" w:color="auto"/>
                <w:lang w:val="en-AU" w:eastAsia="en-AU"/>
              </w:rPr>
            </w:pPr>
            <w:r w:rsidRPr="00A33E35">
              <w:rPr>
                <w:rFonts w:ascii="Calibri Light" w:eastAsia="Calibri Light" w:hAnsi="Calibri Light"/>
                <w:i/>
                <w:iCs/>
                <w:color w:val="495965"/>
                <w:sz w:val="18"/>
                <w:szCs w:val="18"/>
                <w:bdr w:val="none" w:sz="0" w:space="0" w:color="auto"/>
                <w:lang w:val="en-AU" w:eastAsia="en-AU"/>
              </w:rPr>
              <w:t>Target: 10.8%</w:t>
            </w:r>
          </w:p>
        </w:tc>
        <w:tc>
          <w:tcPr>
            <w:tcW w:w="1134" w:type="dxa"/>
            <w:vMerge w:val="restart"/>
            <w:tcBorders>
              <w:top w:val="dotted" w:sz="4" w:space="0" w:color="auto"/>
              <w:left w:val="dotted" w:sz="4" w:space="0" w:color="auto"/>
              <w:right w:val="dotted" w:sz="4" w:space="0" w:color="auto"/>
            </w:tcBorders>
            <w:shd w:val="clear" w:color="auto" w:fill="auto"/>
          </w:tcPr>
          <w:p w14:paraId="6EAAA9EA" w14:textId="77769511"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WFP Annual </w:t>
            </w:r>
            <w:r w:rsidR="00E74805">
              <w:rPr>
                <w:rFonts w:ascii="Calibri Light" w:eastAsia="Calibri Light" w:hAnsi="Calibri Light"/>
                <w:color w:val="495965"/>
                <w:sz w:val="17"/>
                <w:szCs w:val="17"/>
                <w:bdr w:val="none" w:sz="0" w:space="0" w:color="auto"/>
                <w:lang w:val="en-GB" w:eastAsia="en-AU"/>
              </w:rPr>
              <w:t>reporting; Baseline report 2015;</w:t>
            </w:r>
            <w:r w:rsidRPr="00474078">
              <w:rPr>
                <w:rFonts w:ascii="Calibri Light" w:eastAsia="Calibri Light" w:hAnsi="Calibri Light"/>
                <w:color w:val="495965"/>
                <w:sz w:val="17"/>
                <w:szCs w:val="17"/>
                <w:bdr w:val="none" w:sz="0" w:space="0" w:color="auto"/>
                <w:lang w:val="en-GB"/>
              </w:rPr>
              <w:t xml:space="preserve"> </w:t>
            </w:r>
            <w:r w:rsidRPr="00474078">
              <w:rPr>
                <w:rFonts w:ascii="Calibri Light" w:eastAsia="Calibri Light" w:hAnsi="Calibri Light"/>
                <w:color w:val="495965"/>
                <w:sz w:val="17"/>
                <w:szCs w:val="17"/>
                <w:bdr w:val="none" w:sz="0" w:space="0" w:color="auto"/>
                <w:lang w:val="en-GB" w:eastAsia="en-AU"/>
              </w:rPr>
              <w:t>Nutrition outcome survey 2017</w:t>
            </w:r>
          </w:p>
        </w:tc>
      </w:tr>
      <w:tr w:rsidR="00BF3A2C" w:rsidRPr="00474078" w14:paraId="6AE7293C" w14:textId="77777777" w:rsidTr="00BF3A2C">
        <w:trPr>
          <w:trHeight w:val="866"/>
        </w:trPr>
        <w:tc>
          <w:tcPr>
            <w:tcW w:w="2127" w:type="dxa"/>
            <w:vMerge/>
            <w:tcBorders>
              <w:left w:val="dotted" w:sz="4" w:space="0" w:color="auto"/>
              <w:bottom w:val="dotted" w:sz="4" w:space="0" w:color="auto"/>
              <w:right w:val="dotted" w:sz="4" w:space="0" w:color="auto"/>
            </w:tcBorders>
            <w:shd w:val="clear" w:color="auto" w:fill="auto"/>
          </w:tcPr>
          <w:p w14:paraId="18A0DE42"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134" w:type="dxa"/>
            <w:vMerge/>
            <w:tcBorders>
              <w:left w:val="dotted" w:sz="4" w:space="0" w:color="auto"/>
              <w:bottom w:val="dotted" w:sz="4" w:space="0" w:color="auto"/>
              <w:right w:val="dotted" w:sz="4" w:space="0" w:color="auto"/>
            </w:tcBorders>
          </w:tcPr>
          <w:p w14:paraId="6E7B5940"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tcBorders>
              <w:left w:val="dotted" w:sz="4" w:space="0" w:color="auto"/>
              <w:bottom w:val="dotted" w:sz="4" w:space="0" w:color="auto"/>
              <w:right w:val="dotted" w:sz="4" w:space="0" w:color="auto"/>
            </w:tcBorders>
          </w:tcPr>
          <w:p w14:paraId="0D1BCCD6" w14:textId="154D2B1C"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2409" w:type="dxa"/>
            <w:tcBorders>
              <w:top w:val="dotted" w:sz="4" w:space="0" w:color="auto"/>
              <w:left w:val="dotted" w:sz="4" w:space="0" w:color="auto"/>
              <w:bottom w:val="dotted" w:sz="4" w:space="0" w:color="auto"/>
              <w:right w:val="dotted" w:sz="4" w:space="0" w:color="auto"/>
            </w:tcBorders>
          </w:tcPr>
          <w:p w14:paraId="03D904F2" w14:textId="114129ED" w:rsidR="00BF3A2C" w:rsidRPr="00107AEB"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7"/>
                <w:szCs w:val="17"/>
                <w:bdr w:val="none" w:sz="0" w:space="0" w:color="auto"/>
                <w:lang w:val="en-AU" w:eastAsia="en-AU"/>
              </w:rPr>
            </w:pPr>
            <w:r w:rsidRPr="00107AEB">
              <w:rPr>
                <w:rFonts w:ascii="Calibri Light" w:eastAsia="Calibri Light" w:hAnsi="Calibri Light"/>
                <w:color w:val="495965"/>
                <w:sz w:val="17"/>
                <w:szCs w:val="17"/>
                <w:bdr w:val="none" w:sz="0" w:space="0" w:color="auto"/>
                <w:lang w:val="en-GB" w:eastAsia="en-AU"/>
              </w:rPr>
              <w:t>Stunting outcome improved (2% reduction per year)</w:t>
            </w:r>
          </w:p>
          <w:p w14:paraId="24CF29F7" w14:textId="3595F3C1" w:rsidR="00BF3A2C" w:rsidRPr="00107AEB" w:rsidRDefault="00BF3A2C" w:rsidP="00F0185E">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8"/>
                <w:szCs w:val="18"/>
                <w:bdr w:val="none" w:sz="0" w:space="0" w:color="auto"/>
                <w:lang w:val="en-AU" w:eastAsia="en-AU"/>
              </w:rPr>
            </w:pPr>
          </w:p>
        </w:tc>
        <w:tc>
          <w:tcPr>
            <w:tcW w:w="2977" w:type="dxa"/>
            <w:tcBorders>
              <w:top w:val="dotted" w:sz="4" w:space="0" w:color="auto"/>
              <w:left w:val="dotted" w:sz="4" w:space="0" w:color="auto"/>
              <w:bottom w:val="dotted" w:sz="4" w:space="0" w:color="auto"/>
              <w:right w:val="dotted" w:sz="4" w:space="0" w:color="auto"/>
            </w:tcBorders>
          </w:tcPr>
          <w:p w14:paraId="759F19D7" w14:textId="77777777" w:rsidR="00107BB0" w:rsidRDefault="00107BB0"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Target: 42.47%</w:t>
            </w:r>
          </w:p>
          <w:p w14:paraId="4EEC4FE3" w14:textId="28F6B706" w:rsidR="00BF3A2C" w:rsidRPr="00107BB0"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42.1%</w:t>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7CFFB9AE" w14:textId="55552465" w:rsidR="00BF3A2C"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 </w:t>
            </w:r>
            <w:r>
              <w:rPr>
                <w:rFonts w:ascii="Calibri Light" w:eastAsia="Calibri Light" w:hAnsi="Calibri Light"/>
                <w:i/>
                <w:color w:val="495965"/>
                <w:sz w:val="17"/>
                <w:szCs w:val="17"/>
                <w:bdr w:val="none" w:sz="0" w:space="0" w:color="auto"/>
                <w:lang w:val="en-GB" w:eastAsia="en-AU"/>
              </w:rPr>
              <w:t xml:space="preserve"> 39.8%</w:t>
            </w:r>
          </w:p>
          <w:p w14:paraId="5AC1993F" w14:textId="5BF46D11" w:rsidR="00BF3A2C" w:rsidRPr="00A33E35"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A33E35">
              <w:rPr>
                <w:rFonts w:ascii="Calibri Light" w:eastAsia="Calibri Light" w:hAnsi="Calibri Light"/>
                <w:color w:val="495965"/>
                <w:sz w:val="17"/>
                <w:szCs w:val="17"/>
                <w:bdr w:val="none" w:sz="0" w:space="0" w:color="auto"/>
                <w:lang w:val="en-GB" w:eastAsia="en-AU"/>
              </w:rPr>
              <w:t xml:space="preserve">36.4% </w:t>
            </w:r>
            <w:r w:rsidR="00E74805" w:rsidRPr="00E74805">
              <w:rPr>
                <w:rFonts w:ascii="Calibri Light" w:eastAsia="Calibri Light" w:hAnsi="Calibri Light"/>
                <w:color w:val="495965"/>
                <w:sz w:val="17"/>
                <w:szCs w:val="17"/>
                <w:bdr w:val="none" w:sz="0" w:space="0" w:color="auto"/>
                <w:lang w:val="en-GB" w:eastAsia="en-AU"/>
              </w:rPr>
              <w:t xml:space="preserve"> (</w:t>
            </w:r>
            <w:r w:rsidR="00E74805" w:rsidRPr="00E74805">
              <w:rPr>
                <w:rFonts w:ascii="Calibri Light" w:eastAsia="Calibri Light" w:hAnsi="Calibri Light"/>
                <w:b/>
                <w:color w:val="495965"/>
                <w:sz w:val="17"/>
                <w:szCs w:val="17"/>
                <w:bdr w:val="none" w:sz="0" w:space="0" w:color="auto"/>
                <w:lang w:val="en-GB" w:eastAsia="en-AU"/>
              </w:rPr>
              <w:t>Not Met</w:t>
            </w:r>
            <w:r w:rsidR="00E74805" w:rsidRPr="00E74805">
              <w:rPr>
                <w:rFonts w:ascii="Calibri Light" w:eastAsia="Calibri Light" w:hAnsi="Calibri Light"/>
                <w:color w:val="495965"/>
                <w:sz w:val="17"/>
                <w:szCs w:val="17"/>
                <w:bdr w:val="none" w:sz="0" w:space="0" w:color="auto"/>
                <w:lang w:val="en-GB" w:eastAsia="en-AU"/>
              </w:rPr>
              <w:t>)</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5020E14C" w14:textId="10D44C39" w:rsidR="00BF3A2C" w:rsidRPr="00A33E35"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A33E35">
              <w:rPr>
                <w:rFonts w:ascii="Calibri Light" w:eastAsia="Calibri Light" w:hAnsi="Calibri Light"/>
                <w:iCs/>
                <w:color w:val="495965"/>
                <w:sz w:val="18"/>
                <w:szCs w:val="18"/>
                <w:bdr w:val="none" w:sz="0" w:space="0" w:color="auto"/>
                <w:lang w:val="en-AU" w:eastAsia="en-AU"/>
              </w:rPr>
              <w:t>Target: 34.4%</w:t>
            </w:r>
          </w:p>
          <w:p w14:paraId="792B7E7D" w14:textId="18B187E5"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8"/>
                <w:szCs w:val="18"/>
                <w:bdr w:val="none" w:sz="0" w:space="0" w:color="auto"/>
                <w:lang w:val="en-AU" w:eastAsia="en-AU"/>
              </w:rPr>
            </w:pPr>
          </w:p>
        </w:tc>
        <w:tc>
          <w:tcPr>
            <w:tcW w:w="1134" w:type="dxa"/>
            <w:vMerge/>
            <w:tcBorders>
              <w:left w:val="dotted" w:sz="4" w:space="0" w:color="auto"/>
              <w:bottom w:val="dotted" w:sz="4" w:space="0" w:color="auto"/>
              <w:right w:val="dotted" w:sz="4" w:space="0" w:color="auto"/>
            </w:tcBorders>
            <w:shd w:val="clear" w:color="auto" w:fill="auto"/>
          </w:tcPr>
          <w:p w14:paraId="14A0764D" w14:textId="77777777" w:rsidR="00BF3A2C" w:rsidRPr="00474078" w:rsidRDefault="00BF3A2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r>
      <w:tr w:rsidR="0093046F" w:rsidRPr="00474078" w14:paraId="54738C3E" w14:textId="77777777" w:rsidTr="0096463A">
        <w:trPr>
          <w:trHeight w:val="1263"/>
        </w:trPr>
        <w:tc>
          <w:tcPr>
            <w:tcW w:w="2127" w:type="dxa"/>
            <w:vMerge w:val="restart"/>
            <w:tcBorders>
              <w:top w:val="dotted" w:sz="4" w:space="0" w:color="auto"/>
              <w:left w:val="dotted" w:sz="4" w:space="0" w:color="auto"/>
              <w:right w:val="dotted" w:sz="4" w:space="0" w:color="auto"/>
            </w:tcBorders>
            <w:shd w:val="clear" w:color="auto" w:fill="auto"/>
          </w:tcPr>
          <w:p w14:paraId="4125C4A7" w14:textId="14B8AB7E" w:rsidR="0093046F" w:rsidRPr="007A2D3F" w:rsidRDefault="0093046F" w:rsidP="004E0421">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highlight w:val="yellow"/>
                <w:bdr w:val="none" w:sz="0" w:space="0" w:color="auto"/>
                <w:lang w:val="en-AU" w:eastAsia="en-AU"/>
              </w:rPr>
            </w:pPr>
            <w:r w:rsidRPr="004E0421">
              <w:rPr>
                <w:rFonts w:ascii="Calibri Light" w:eastAsia="Calibri Light" w:hAnsi="Calibri Light"/>
                <w:b/>
                <w:iCs/>
                <w:color w:val="495965"/>
                <w:sz w:val="18"/>
                <w:szCs w:val="18"/>
                <w:bdr w:val="none" w:sz="0" w:space="0" w:color="auto"/>
                <w:lang w:val="en-AU" w:eastAsia="en-AU"/>
              </w:rPr>
              <w:t xml:space="preserve">3. Disadvantaged youth have access to skills and jobs </w:t>
            </w:r>
          </w:p>
        </w:tc>
        <w:tc>
          <w:tcPr>
            <w:tcW w:w="1134" w:type="dxa"/>
            <w:vMerge w:val="restart"/>
            <w:tcBorders>
              <w:top w:val="dotted" w:sz="4" w:space="0" w:color="auto"/>
              <w:left w:val="dotted" w:sz="4" w:space="0" w:color="auto"/>
              <w:right w:val="dotted" w:sz="4" w:space="0" w:color="auto"/>
            </w:tcBorders>
          </w:tcPr>
          <w:p w14:paraId="60F61D32" w14:textId="525C6569"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highlight w:val="yellow"/>
                <w:bdr w:val="none" w:sz="0" w:space="0" w:color="auto"/>
                <w:lang w:val="en-AU" w:eastAsia="en-AU"/>
              </w:rPr>
            </w:pPr>
            <w:r w:rsidRPr="00391633">
              <w:rPr>
                <w:rFonts w:ascii="Calibri Light" w:eastAsia="Calibri Light" w:hAnsi="Calibri Light"/>
                <w:i/>
                <w:color w:val="495965"/>
                <w:sz w:val="17"/>
                <w:szCs w:val="17"/>
                <w:bdr w:val="none" w:sz="0" w:space="0" w:color="auto"/>
                <w:lang w:val="en-GB" w:eastAsia="en-AU"/>
              </w:rPr>
              <w:t xml:space="preserve">Youth receive skills training and are able to secure decent </w:t>
            </w:r>
            <w:r w:rsidRPr="00C21631">
              <w:rPr>
                <w:rFonts w:ascii="Calibri Light" w:eastAsia="Calibri Light" w:hAnsi="Calibri Light"/>
                <w:i/>
                <w:color w:val="495965"/>
                <w:sz w:val="17"/>
                <w:szCs w:val="17"/>
                <w:bdr w:val="none" w:sz="0" w:space="0" w:color="auto"/>
                <w:lang w:val="en-GB" w:eastAsia="en-AU"/>
              </w:rPr>
              <w:t>employment in the domestic and foreign markets.</w:t>
            </w:r>
          </w:p>
        </w:tc>
        <w:tc>
          <w:tcPr>
            <w:tcW w:w="1843" w:type="dxa"/>
            <w:vMerge w:val="restart"/>
            <w:tcBorders>
              <w:top w:val="dotted" w:sz="4" w:space="0" w:color="auto"/>
              <w:left w:val="dotted" w:sz="4" w:space="0" w:color="auto"/>
              <w:right w:val="dotted" w:sz="4" w:space="0" w:color="auto"/>
            </w:tcBorders>
          </w:tcPr>
          <w:p w14:paraId="5CCB01E5"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F0185E">
              <w:rPr>
                <w:rFonts w:ascii="Calibri Light" w:eastAsia="Calibri Light" w:hAnsi="Calibri Light"/>
                <w:color w:val="495965"/>
                <w:sz w:val="17"/>
                <w:szCs w:val="17"/>
                <w:bdr w:val="none" w:sz="0" w:space="0" w:color="auto"/>
                <w:lang w:val="en-GB" w:eastAsia="en-AU"/>
              </w:rPr>
              <w:t>Customize Skills Training programs targeting adolescents and youth, based on age and education level</w:t>
            </w:r>
          </w:p>
        </w:tc>
        <w:tc>
          <w:tcPr>
            <w:tcW w:w="2409" w:type="dxa"/>
            <w:tcBorders>
              <w:top w:val="dotted" w:sz="4" w:space="0" w:color="auto"/>
              <w:left w:val="dotted" w:sz="4" w:space="0" w:color="auto"/>
              <w:bottom w:val="dotted" w:sz="4" w:space="0" w:color="auto"/>
              <w:right w:val="dotted" w:sz="4" w:space="0" w:color="auto"/>
            </w:tcBorders>
          </w:tcPr>
          <w:p w14:paraId="78BB89A8" w14:textId="535C7B34" w:rsidR="0093046F" w:rsidRPr="00F0185E" w:rsidRDefault="0093046F" w:rsidP="009076E1">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Number of beneficiaries in </w:t>
            </w:r>
            <w:r>
              <w:rPr>
                <w:rFonts w:ascii="Calibri Light" w:eastAsia="Calibri Light" w:hAnsi="Calibri Light"/>
                <w:color w:val="495965"/>
                <w:sz w:val="17"/>
                <w:szCs w:val="17"/>
                <w:bdr w:val="none" w:sz="0" w:space="0" w:color="auto"/>
                <w:lang w:val="en-GB" w:eastAsia="en-AU"/>
              </w:rPr>
              <w:t xml:space="preserve">BRAC </w:t>
            </w:r>
            <w:r w:rsidRPr="00F0185E">
              <w:rPr>
                <w:rFonts w:ascii="Calibri Light" w:eastAsia="Calibri Light" w:hAnsi="Calibri Light"/>
                <w:color w:val="495965"/>
                <w:sz w:val="17"/>
                <w:szCs w:val="17"/>
                <w:bdr w:val="none" w:sz="0" w:space="0" w:color="auto"/>
                <w:lang w:val="en-GB" w:eastAsia="en-AU"/>
              </w:rPr>
              <w:t>A</w:t>
            </w:r>
            <w:r>
              <w:rPr>
                <w:rFonts w:ascii="Calibri Light" w:eastAsia="Calibri Light" w:hAnsi="Calibri Light"/>
                <w:color w:val="495965"/>
                <w:sz w:val="17"/>
                <w:szCs w:val="17"/>
                <w:bdr w:val="none" w:sz="0" w:space="0" w:color="auto"/>
                <w:lang w:val="en-GB" w:eastAsia="en-AU"/>
              </w:rPr>
              <w:t xml:space="preserve">dolescent </w:t>
            </w:r>
            <w:r w:rsidRPr="00F0185E">
              <w:rPr>
                <w:rFonts w:ascii="Calibri Light" w:eastAsia="Calibri Light" w:hAnsi="Calibri Light"/>
                <w:color w:val="495965"/>
                <w:sz w:val="17"/>
                <w:szCs w:val="17"/>
                <w:bdr w:val="none" w:sz="0" w:space="0" w:color="auto"/>
                <w:lang w:val="en-GB" w:eastAsia="en-AU"/>
              </w:rPr>
              <w:t>D</w:t>
            </w:r>
            <w:r>
              <w:rPr>
                <w:rFonts w:ascii="Calibri Light" w:eastAsia="Calibri Light" w:hAnsi="Calibri Light"/>
                <w:color w:val="495965"/>
                <w:sz w:val="17"/>
                <w:szCs w:val="17"/>
                <w:bdr w:val="none" w:sz="0" w:space="0" w:color="auto"/>
                <w:lang w:val="en-GB" w:eastAsia="en-AU"/>
              </w:rPr>
              <w:t xml:space="preserve">evelopment </w:t>
            </w:r>
            <w:r w:rsidRPr="00F0185E">
              <w:rPr>
                <w:rFonts w:ascii="Calibri Light" w:eastAsia="Calibri Light" w:hAnsi="Calibri Light"/>
                <w:color w:val="495965"/>
                <w:sz w:val="17"/>
                <w:szCs w:val="17"/>
                <w:bdr w:val="none" w:sz="0" w:space="0" w:color="auto"/>
                <w:lang w:val="en-GB" w:eastAsia="en-AU"/>
              </w:rPr>
              <w:t>P</w:t>
            </w:r>
            <w:r>
              <w:rPr>
                <w:rFonts w:ascii="Calibri Light" w:eastAsia="Calibri Light" w:hAnsi="Calibri Light"/>
                <w:color w:val="495965"/>
                <w:sz w:val="17"/>
                <w:szCs w:val="17"/>
                <w:bdr w:val="none" w:sz="0" w:space="0" w:color="auto"/>
                <w:lang w:val="en-GB" w:eastAsia="en-AU"/>
              </w:rPr>
              <w:t xml:space="preserve">rogram (ADP) </w:t>
            </w:r>
            <w:r w:rsidRPr="00F0185E">
              <w:rPr>
                <w:rFonts w:ascii="Calibri Light" w:eastAsia="Calibri Light" w:hAnsi="Calibri Light"/>
                <w:color w:val="495965"/>
                <w:sz w:val="17"/>
                <w:szCs w:val="17"/>
                <w:bdr w:val="none" w:sz="0" w:space="0" w:color="auto"/>
                <w:lang w:val="en-GB" w:eastAsia="en-AU"/>
              </w:rPr>
              <w:t>and</w:t>
            </w:r>
            <w:r w:rsidR="00C21631">
              <w:rPr>
                <w:rFonts w:ascii="Calibri Light" w:eastAsia="Calibri Light" w:hAnsi="Calibri Light"/>
                <w:color w:val="495965"/>
                <w:sz w:val="17"/>
                <w:szCs w:val="17"/>
                <w:bdr w:val="none" w:sz="0" w:space="0" w:color="auto"/>
                <w:lang w:val="en-GB" w:eastAsia="en-AU"/>
              </w:rPr>
              <w:t xml:space="preserve"> Mul</w:t>
            </w:r>
            <w:r>
              <w:rPr>
                <w:rFonts w:ascii="Calibri Light" w:eastAsia="Calibri Light" w:hAnsi="Calibri Light"/>
                <w:color w:val="495965"/>
                <w:sz w:val="17"/>
                <w:szCs w:val="17"/>
                <w:bdr w:val="none" w:sz="0" w:space="0" w:color="auto"/>
                <w:lang w:val="en-GB" w:eastAsia="en-AU"/>
              </w:rPr>
              <w:t>t</w:t>
            </w:r>
            <w:r w:rsidR="00C21631">
              <w:rPr>
                <w:rFonts w:ascii="Calibri Light" w:eastAsia="Calibri Light" w:hAnsi="Calibri Light"/>
                <w:color w:val="495965"/>
                <w:sz w:val="17"/>
                <w:szCs w:val="17"/>
                <w:bdr w:val="none" w:sz="0" w:space="0" w:color="auto"/>
                <w:lang w:val="en-GB" w:eastAsia="en-AU"/>
              </w:rPr>
              <w:t>i</w:t>
            </w:r>
            <w:r>
              <w:rPr>
                <w:rFonts w:ascii="Calibri Light" w:eastAsia="Calibri Light" w:hAnsi="Calibri Light"/>
                <w:color w:val="495965"/>
                <w:sz w:val="17"/>
                <w:szCs w:val="17"/>
                <w:bdr w:val="none" w:sz="0" w:space="0" w:color="auto"/>
                <w:lang w:val="en-GB" w:eastAsia="en-AU"/>
              </w:rPr>
              <w:t xml:space="preserve">-purpose Community Learning Centre (MCLC or </w:t>
            </w:r>
            <w:proofErr w:type="spellStart"/>
            <w:r w:rsidRPr="00F0185E">
              <w:rPr>
                <w:rFonts w:ascii="Calibri Light" w:eastAsia="Calibri Light" w:hAnsi="Calibri Light"/>
                <w:color w:val="495965"/>
                <w:sz w:val="17"/>
                <w:szCs w:val="17"/>
                <w:bdr w:val="none" w:sz="0" w:space="0" w:color="auto"/>
                <w:lang w:val="en-GB" w:eastAsia="en-AU"/>
              </w:rPr>
              <w:t>Gonokendro</w:t>
            </w:r>
            <w:proofErr w:type="spellEnd"/>
            <w:r>
              <w:rPr>
                <w:rFonts w:ascii="Calibri Light" w:eastAsia="Calibri Light" w:hAnsi="Calibri Light"/>
                <w:color w:val="495965"/>
                <w:sz w:val="17"/>
                <w:szCs w:val="17"/>
                <w:bdr w:val="none" w:sz="0" w:space="0" w:color="auto"/>
                <w:lang w:val="en-GB" w:eastAsia="en-AU"/>
              </w:rPr>
              <w:t>)</w:t>
            </w:r>
            <w:r w:rsidRPr="00F0185E">
              <w:rPr>
                <w:rFonts w:ascii="Calibri Light" w:eastAsia="Calibri Light" w:hAnsi="Calibri Light"/>
                <w:color w:val="495965"/>
                <w:sz w:val="17"/>
                <w:szCs w:val="17"/>
                <w:bdr w:val="none" w:sz="0" w:space="0" w:color="auto"/>
                <w:lang w:val="en-GB" w:eastAsia="en-AU"/>
              </w:rPr>
              <w:t xml:space="preserve"> in </w:t>
            </w:r>
            <w:r>
              <w:rPr>
                <w:rFonts w:ascii="Calibri Light" w:eastAsia="Calibri Light" w:hAnsi="Calibri Light"/>
                <w:color w:val="495965"/>
                <w:sz w:val="17"/>
                <w:szCs w:val="17"/>
                <w:bdr w:val="none" w:sz="0" w:space="0" w:color="auto"/>
                <w:lang w:val="en-GB" w:eastAsia="en-AU"/>
              </w:rPr>
              <w:t>BRAC Education Program</w:t>
            </w:r>
            <w:r w:rsidR="009076E1">
              <w:rPr>
                <w:rFonts w:ascii="Calibri Light" w:eastAsia="Calibri Light" w:hAnsi="Calibri Light"/>
                <w:color w:val="495965"/>
                <w:sz w:val="17"/>
                <w:szCs w:val="17"/>
                <w:bdr w:val="none" w:sz="0" w:space="0" w:color="auto"/>
                <w:lang w:val="en-GB" w:eastAsia="en-AU"/>
              </w:rPr>
              <w:t>.</w:t>
            </w:r>
            <w:r>
              <w:rPr>
                <w:rFonts w:ascii="Calibri Light" w:eastAsia="Calibri Light" w:hAnsi="Calibri Light"/>
                <w:color w:val="495965"/>
                <w:sz w:val="17"/>
                <w:szCs w:val="17"/>
                <w:bdr w:val="none" w:sz="0" w:space="0" w:color="auto"/>
                <w:lang w:val="en-GB" w:eastAsia="en-AU"/>
              </w:rPr>
              <w:t xml:space="preserve"> </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4D9CF1A2"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Target: 1.5 million</w:t>
            </w:r>
          </w:p>
          <w:p w14:paraId="18EEBA95"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Total beneficiaries from ADP and </w:t>
            </w:r>
            <w:proofErr w:type="spellStart"/>
            <w:r w:rsidRPr="00F0185E">
              <w:rPr>
                <w:rFonts w:ascii="Calibri Light" w:eastAsia="Calibri Light" w:hAnsi="Calibri Light"/>
                <w:color w:val="495965"/>
                <w:sz w:val="17"/>
                <w:szCs w:val="17"/>
                <w:bdr w:val="none" w:sz="0" w:space="0" w:color="auto"/>
                <w:lang w:val="en-GB" w:eastAsia="en-AU"/>
              </w:rPr>
              <w:t>Gonokendro</w:t>
            </w:r>
            <w:proofErr w:type="spellEnd"/>
            <w:r w:rsidRPr="00F0185E">
              <w:rPr>
                <w:rFonts w:ascii="Calibri Light" w:eastAsia="Calibri Light" w:hAnsi="Calibri Light"/>
                <w:color w:val="495965"/>
                <w:sz w:val="17"/>
                <w:szCs w:val="17"/>
                <w:bdr w:val="none" w:sz="0" w:space="0" w:color="auto"/>
                <w:lang w:val="en-GB" w:eastAsia="en-AU"/>
              </w:rPr>
              <w:t>: 1,551,219 (in 2016)</w:t>
            </w:r>
          </w:p>
          <w:p w14:paraId="7A72DA01" w14:textId="77777777" w:rsidR="0093046F"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76B1CAEE" w14:textId="62859605" w:rsidR="0093046F" w:rsidRPr="00F0185E" w:rsidRDefault="0093046F" w:rsidP="003739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1DC306AC"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Target: 1,422,000</w:t>
            </w:r>
          </w:p>
          <w:p w14:paraId="5DE3B1D9" w14:textId="5E4D9C11" w:rsidR="0093046F"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Total beneficiaries from ADP and </w:t>
            </w:r>
            <w:proofErr w:type="spellStart"/>
            <w:r w:rsidRPr="00F0185E">
              <w:rPr>
                <w:rFonts w:ascii="Calibri Light" w:eastAsia="Calibri Light" w:hAnsi="Calibri Light"/>
                <w:color w:val="495965"/>
                <w:sz w:val="17"/>
                <w:szCs w:val="17"/>
                <w:bdr w:val="none" w:sz="0" w:space="0" w:color="auto"/>
                <w:lang w:val="en-GB" w:eastAsia="en-AU"/>
              </w:rPr>
              <w:t>Gonokendro</w:t>
            </w:r>
            <w:proofErr w:type="spellEnd"/>
            <w:r w:rsidRPr="00F0185E">
              <w:rPr>
                <w:rFonts w:ascii="Calibri Light" w:eastAsia="Calibri Light" w:hAnsi="Calibri Light"/>
                <w:color w:val="495965"/>
                <w:sz w:val="17"/>
                <w:szCs w:val="17"/>
                <w:bdr w:val="none" w:sz="0" w:space="0" w:color="auto"/>
                <w:lang w:val="en-GB" w:eastAsia="en-AU"/>
              </w:rPr>
              <w:t>: 1,422,369 (in 2017)</w:t>
            </w:r>
          </w:p>
          <w:p w14:paraId="032AC8F9" w14:textId="49E91315" w:rsidR="0093046F" w:rsidRPr="00C031FB" w:rsidRDefault="00CA36C1" w:rsidP="00C031FB">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t>(Number of girls: 754,315</w:t>
            </w:r>
            <w:r w:rsidR="008B1FDB">
              <w:rPr>
                <w:rFonts w:ascii="Calibri Light" w:eastAsia="Calibri Light" w:hAnsi="Calibri Light"/>
                <w:color w:val="495965"/>
                <w:sz w:val="17"/>
                <w:szCs w:val="17"/>
                <w:bdr w:val="none" w:sz="0" w:space="0" w:color="auto"/>
                <w:lang w:val="en-GB" w:eastAsia="en-AU"/>
              </w:rPr>
              <w:t>= 53.08%</w:t>
            </w:r>
            <w:r>
              <w:rPr>
                <w:rFonts w:ascii="Calibri Light" w:eastAsia="Calibri Light" w:hAnsi="Calibri Light"/>
                <w:color w:val="495965"/>
                <w:sz w:val="17"/>
                <w:szCs w:val="17"/>
                <w:bdr w:val="none" w:sz="0" w:space="0" w:color="auto"/>
                <w:lang w:val="en-GB" w:eastAsia="en-AU"/>
              </w:rPr>
              <w:t>)</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52FB6501" w14:textId="77777777" w:rsidR="0093046F"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Target: 1,387,000</w:t>
            </w:r>
          </w:p>
          <w:p w14:paraId="79FA3B76" w14:textId="77777777" w:rsidR="0093046F"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p w14:paraId="1B6CA498" w14:textId="4B54E622" w:rsidR="0093046F" w:rsidRPr="00F0185E" w:rsidRDefault="0093046F" w:rsidP="008216F4">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1134" w:type="dxa"/>
            <w:vMerge w:val="restart"/>
            <w:tcBorders>
              <w:top w:val="dotted" w:sz="4" w:space="0" w:color="auto"/>
              <w:left w:val="dotted" w:sz="4" w:space="0" w:color="auto"/>
              <w:right w:val="dotted" w:sz="4" w:space="0" w:color="auto"/>
            </w:tcBorders>
          </w:tcPr>
          <w:p w14:paraId="31F30E2C" w14:textId="5E00B918" w:rsidR="0093046F" w:rsidRPr="00F0185E" w:rsidRDefault="0093046F" w:rsidP="00480F39">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SPA </w:t>
            </w:r>
            <w:r w:rsidR="007549AC">
              <w:rPr>
                <w:rFonts w:ascii="Calibri Light" w:eastAsia="Calibri Light" w:hAnsi="Calibri Light"/>
                <w:color w:val="495965"/>
                <w:sz w:val="17"/>
                <w:szCs w:val="17"/>
                <w:bdr w:val="none" w:sz="0" w:space="0" w:color="auto"/>
                <w:lang w:val="en-GB" w:eastAsia="en-AU"/>
              </w:rPr>
              <w:t>Results Framework</w:t>
            </w:r>
          </w:p>
        </w:tc>
      </w:tr>
      <w:tr w:rsidR="0093046F" w:rsidRPr="00474078" w14:paraId="2C0D6FC6" w14:textId="77777777" w:rsidTr="0096463A">
        <w:trPr>
          <w:trHeight w:val="1262"/>
        </w:trPr>
        <w:tc>
          <w:tcPr>
            <w:tcW w:w="2127" w:type="dxa"/>
            <w:vMerge/>
            <w:tcBorders>
              <w:left w:val="dotted" w:sz="4" w:space="0" w:color="auto"/>
              <w:right w:val="dotted" w:sz="4" w:space="0" w:color="auto"/>
            </w:tcBorders>
            <w:shd w:val="clear" w:color="auto" w:fill="auto"/>
          </w:tcPr>
          <w:p w14:paraId="112F72E6" w14:textId="77777777" w:rsidR="0093046F" w:rsidRPr="004E0421" w:rsidRDefault="0093046F" w:rsidP="004E0421">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134" w:type="dxa"/>
            <w:vMerge/>
            <w:tcBorders>
              <w:left w:val="dotted" w:sz="4" w:space="0" w:color="auto"/>
              <w:right w:val="dotted" w:sz="4" w:space="0" w:color="auto"/>
            </w:tcBorders>
          </w:tcPr>
          <w:p w14:paraId="6457A6A3" w14:textId="77777777" w:rsidR="0093046F" w:rsidDel="00C031FB" w:rsidRDefault="0093046F" w:rsidP="00C031FB">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highlight w:val="yellow"/>
                <w:bdr w:val="none" w:sz="0" w:space="0" w:color="auto"/>
                <w:lang w:val="en-GB" w:eastAsia="en-AU"/>
              </w:rPr>
            </w:pPr>
          </w:p>
        </w:tc>
        <w:tc>
          <w:tcPr>
            <w:tcW w:w="1843" w:type="dxa"/>
            <w:vMerge/>
            <w:tcBorders>
              <w:left w:val="dotted" w:sz="4" w:space="0" w:color="auto"/>
              <w:bottom w:val="dotted" w:sz="4" w:space="0" w:color="auto"/>
              <w:right w:val="dotted" w:sz="4" w:space="0" w:color="auto"/>
            </w:tcBorders>
          </w:tcPr>
          <w:p w14:paraId="11A0A731"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2409" w:type="dxa"/>
            <w:tcBorders>
              <w:top w:val="dotted" w:sz="4" w:space="0" w:color="auto"/>
              <w:left w:val="dotted" w:sz="4" w:space="0" w:color="auto"/>
              <w:bottom w:val="dotted" w:sz="4" w:space="0" w:color="auto"/>
              <w:right w:val="dotted" w:sz="4" w:space="0" w:color="auto"/>
            </w:tcBorders>
          </w:tcPr>
          <w:p w14:paraId="3D515B22" w14:textId="570D0181" w:rsidR="0093046F" w:rsidRPr="009076E1" w:rsidRDefault="0093046F" w:rsidP="009076E1">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t>Number of beneficiaries receiving vocational skills training in BRAC Skills Development program</w:t>
            </w: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133469AE" w14:textId="77777777" w:rsidR="0093046F" w:rsidRPr="00F0185E" w:rsidRDefault="0093046F" w:rsidP="0093046F">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Target: 30,000</w:t>
            </w:r>
          </w:p>
          <w:p w14:paraId="5CC6EB3C" w14:textId="77777777" w:rsidR="0093046F" w:rsidRPr="00F0185E" w:rsidRDefault="0093046F" w:rsidP="009304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33,240 people received skills training.</w:t>
            </w:r>
          </w:p>
          <w:p w14:paraId="74F70467"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5E7B6A7F" w14:textId="3C41D809" w:rsidR="0096463A" w:rsidRDefault="00391633" w:rsidP="0096463A">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Target:18,876</w:t>
            </w:r>
          </w:p>
          <w:p w14:paraId="4370E5F1" w14:textId="1767F3CC" w:rsidR="003739D5" w:rsidRPr="00391633" w:rsidRDefault="0096463A" w:rsidP="0096463A">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Pr>
                <w:rFonts w:ascii="Calibri Light" w:eastAsia="Calibri Light" w:hAnsi="Calibri Light"/>
                <w:color w:val="495965"/>
                <w:sz w:val="17"/>
                <w:szCs w:val="17"/>
                <w:bdr w:val="none" w:sz="0" w:space="0" w:color="auto"/>
                <w:lang w:val="en-GB" w:eastAsia="en-AU"/>
              </w:rPr>
              <w:lastRenderedPageBreak/>
              <w:t>16,805 people received skills training</w:t>
            </w:r>
            <w:r w:rsidR="00391633">
              <w:rPr>
                <w:rFonts w:ascii="Calibri Light" w:eastAsia="Calibri Light" w:hAnsi="Calibri Light"/>
                <w:color w:val="495965"/>
                <w:sz w:val="17"/>
                <w:szCs w:val="17"/>
                <w:bdr w:val="none" w:sz="0" w:space="0" w:color="auto"/>
                <w:lang w:val="en-GB" w:eastAsia="en-AU"/>
              </w:rPr>
              <w:t>, including 6,979 women (42 per cent)</w:t>
            </w:r>
            <w:r>
              <w:rPr>
                <w:rFonts w:ascii="Calibri Light" w:eastAsia="Calibri Light" w:hAnsi="Calibri Light"/>
                <w:color w:val="495965"/>
                <w:sz w:val="17"/>
                <w:szCs w:val="17"/>
                <w:bdr w:val="none" w:sz="0" w:space="0" w:color="auto"/>
                <w:lang w:val="en-GB" w:eastAsia="en-AU"/>
              </w:rPr>
              <w:t xml:space="preserve"> </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5D323893" w14:textId="0AFB2700" w:rsidR="0093046F" w:rsidRPr="00F0185E" w:rsidRDefault="00391633"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lastRenderedPageBreak/>
              <w:t>Target: 23,620</w:t>
            </w:r>
          </w:p>
        </w:tc>
        <w:tc>
          <w:tcPr>
            <w:tcW w:w="1134" w:type="dxa"/>
            <w:vMerge/>
            <w:tcBorders>
              <w:left w:val="dotted" w:sz="4" w:space="0" w:color="auto"/>
              <w:bottom w:val="dotted" w:sz="4" w:space="0" w:color="auto"/>
              <w:right w:val="dotted" w:sz="4" w:space="0" w:color="auto"/>
            </w:tcBorders>
          </w:tcPr>
          <w:p w14:paraId="6AB13A10"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r>
      <w:tr w:rsidR="0093046F" w:rsidRPr="00474078" w14:paraId="6FA7B0EF" w14:textId="77777777" w:rsidTr="00107AEB">
        <w:trPr>
          <w:trHeight w:val="1275"/>
        </w:trPr>
        <w:tc>
          <w:tcPr>
            <w:tcW w:w="2127" w:type="dxa"/>
            <w:vMerge/>
            <w:tcBorders>
              <w:left w:val="dotted" w:sz="4" w:space="0" w:color="auto"/>
              <w:bottom w:val="dotted" w:sz="4" w:space="0" w:color="auto"/>
              <w:right w:val="dotted" w:sz="4" w:space="0" w:color="auto"/>
            </w:tcBorders>
            <w:shd w:val="clear" w:color="auto" w:fill="auto"/>
          </w:tcPr>
          <w:p w14:paraId="6FD813B1" w14:textId="77777777" w:rsidR="0093046F" w:rsidRPr="007A2D3F"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highlight w:val="yellow"/>
                <w:bdr w:val="none" w:sz="0" w:space="0" w:color="auto"/>
                <w:lang w:val="en-AU" w:eastAsia="en-AU"/>
              </w:rPr>
            </w:pPr>
          </w:p>
        </w:tc>
        <w:tc>
          <w:tcPr>
            <w:tcW w:w="1134" w:type="dxa"/>
            <w:vMerge/>
            <w:tcBorders>
              <w:left w:val="dotted" w:sz="4" w:space="0" w:color="auto"/>
              <w:bottom w:val="dotted" w:sz="4" w:space="0" w:color="auto"/>
              <w:right w:val="dotted" w:sz="4" w:space="0" w:color="auto"/>
            </w:tcBorders>
          </w:tcPr>
          <w:p w14:paraId="4F786017" w14:textId="47D88768"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highlight w:val="yellow"/>
                <w:bdr w:val="none" w:sz="0" w:space="0" w:color="auto"/>
                <w:lang w:val="en-GB" w:eastAsia="en-AU"/>
              </w:rPr>
            </w:pPr>
          </w:p>
        </w:tc>
        <w:tc>
          <w:tcPr>
            <w:tcW w:w="1843" w:type="dxa"/>
            <w:tcBorders>
              <w:top w:val="dotted" w:sz="4" w:space="0" w:color="auto"/>
              <w:left w:val="dotted" w:sz="4" w:space="0" w:color="auto"/>
              <w:bottom w:val="dotted" w:sz="4" w:space="0" w:color="auto"/>
              <w:right w:val="dotted" w:sz="4" w:space="0" w:color="auto"/>
            </w:tcBorders>
          </w:tcPr>
          <w:p w14:paraId="780B12D2" w14:textId="4AF1718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Support </w:t>
            </w:r>
            <w:proofErr w:type="spellStart"/>
            <w:r w:rsidRPr="00F0185E">
              <w:rPr>
                <w:rFonts w:ascii="Calibri Light" w:eastAsia="Calibri Light" w:hAnsi="Calibri Light"/>
                <w:color w:val="495965"/>
                <w:sz w:val="17"/>
                <w:szCs w:val="17"/>
                <w:bdr w:val="none" w:sz="0" w:space="0" w:color="auto"/>
                <w:lang w:val="en-GB" w:eastAsia="en-AU"/>
              </w:rPr>
              <w:t>GoB</w:t>
            </w:r>
            <w:proofErr w:type="spellEnd"/>
            <w:r w:rsidRPr="00F0185E">
              <w:rPr>
                <w:rFonts w:ascii="Calibri Light" w:eastAsia="Calibri Light" w:hAnsi="Calibri Light"/>
                <w:color w:val="495965"/>
                <w:sz w:val="17"/>
                <w:szCs w:val="17"/>
                <w:bdr w:val="none" w:sz="0" w:space="0" w:color="auto"/>
                <w:lang w:val="en-GB" w:eastAsia="en-AU"/>
              </w:rPr>
              <w:t xml:space="preserve"> in strengthening </w:t>
            </w:r>
            <w:r w:rsidR="00C21631">
              <w:rPr>
                <w:rFonts w:ascii="Calibri Light" w:eastAsia="Calibri Light" w:hAnsi="Calibri Light"/>
                <w:color w:val="495965"/>
                <w:sz w:val="17"/>
                <w:szCs w:val="17"/>
                <w:bdr w:val="none" w:sz="0" w:space="0" w:color="auto"/>
                <w:lang w:val="en-GB" w:eastAsia="en-AU"/>
              </w:rPr>
              <w:t>skills development initiatives and leverage BRAC’s</w:t>
            </w:r>
            <w:r w:rsidRPr="00F0185E">
              <w:rPr>
                <w:rFonts w:ascii="Calibri Light" w:eastAsia="Calibri Light" w:hAnsi="Calibri Light"/>
                <w:color w:val="495965"/>
                <w:sz w:val="17"/>
                <w:szCs w:val="17"/>
                <w:bdr w:val="none" w:sz="0" w:space="0" w:color="auto"/>
                <w:lang w:val="en-GB" w:eastAsia="en-AU"/>
              </w:rPr>
              <w:t xml:space="preserve"> program resources, networks &amp; expertise.</w:t>
            </w:r>
          </w:p>
        </w:tc>
        <w:tc>
          <w:tcPr>
            <w:tcW w:w="2409" w:type="dxa"/>
            <w:tcBorders>
              <w:top w:val="dotted" w:sz="4" w:space="0" w:color="auto"/>
              <w:left w:val="dotted" w:sz="4" w:space="0" w:color="auto"/>
              <w:bottom w:val="dotted" w:sz="4" w:space="0" w:color="auto"/>
              <w:right w:val="dotted" w:sz="4" w:space="0" w:color="auto"/>
            </w:tcBorders>
          </w:tcPr>
          <w:p w14:paraId="5D7BD7A1" w14:textId="3B02CA24" w:rsidR="0093046F" w:rsidRPr="00F0185E" w:rsidRDefault="0093046F" w:rsidP="00F0185E">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Number of P</w:t>
            </w:r>
            <w:r>
              <w:rPr>
                <w:rFonts w:ascii="Calibri Light" w:eastAsia="Calibri Light" w:hAnsi="Calibri Light"/>
                <w:color w:val="495965"/>
                <w:sz w:val="17"/>
                <w:szCs w:val="17"/>
                <w:bdr w:val="none" w:sz="0" w:space="0" w:color="auto"/>
                <w:lang w:val="en-GB" w:eastAsia="en-AU"/>
              </w:rPr>
              <w:t>ost Primary Basic and Continuing Education (P</w:t>
            </w:r>
            <w:r w:rsidRPr="00F0185E">
              <w:rPr>
                <w:rFonts w:ascii="Calibri Light" w:eastAsia="Calibri Light" w:hAnsi="Calibri Light"/>
                <w:color w:val="495965"/>
                <w:sz w:val="17"/>
                <w:szCs w:val="17"/>
                <w:bdr w:val="none" w:sz="0" w:space="0" w:color="auto"/>
                <w:lang w:val="en-GB" w:eastAsia="en-AU"/>
              </w:rPr>
              <w:t>ACE</w:t>
            </w:r>
            <w:r>
              <w:rPr>
                <w:rFonts w:ascii="Calibri Light" w:eastAsia="Calibri Light" w:hAnsi="Calibri Light"/>
                <w:color w:val="495965"/>
                <w:sz w:val="17"/>
                <w:szCs w:val="17"/>
                <w:bdr w:val="none" w:sz="0" w:space="0" w:color="auto"/>
                <w:lang w:val="en-GB" w:eastAsia="en-AU"/>
              </w:rPr>
              <w:t>)</w:t>
            </w:r>
            <w:r w:rsidRPr="00F0185E">
              <w:rPr>
                <w:rFonts w:ascii="Calibri Light" w:eastAsia="Calibri Light" w:hAnsi="Calibri Light"/>
                <w:color w:val="495965"/>
                <w:sz w:val="17"/>
                <w:szCs w:val="17"/>
                <w:bdr w:val="none" w:sz="0" w:space="0" w:color="auto"/>
                <w:lang w:val="en-GB" w:eastAsia="en-AU"/>
              </w:rPr>
              <w:t xml:space="preserve"> Schools </w:t>
            </w:r>
          </w:p>
          <w:p w14:paraId="6F71492D" w14:textId="77777777" w:rsidR="0093046F" w:rsidRPr="00F0185E" w:rsidRDefault="0093046F" w:rsidP="00F0185E">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2977" w:type="dxa"/>
            <w:tcBorders>
              <w:top w:val="dotted" w:sz="4" w:space="0" w:color="auto"/>
              <w:left w:val="dotted" w:sz="4" w:space="0" w:color="auto"/>
              <w:bottom w:val="dotted" w:sz="4" w:space="0" w:color="auto"/>
              <w:right w:val="dotted" w:sz="4" w:space="0" w:color="auto"/>
            </w:tcBorders>
            <w:shd w:val="clear" w:color="auto" w:fill="auto"/>
          </w:tcPr>
          <w:p w14:paraId="68112E31"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Target: 1,400</w:t>
            </w:r>
          </w:p>
          <w:p w14:paraId="76260EE6"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p w14:paraId="2D168C7C"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1,400 PACE schools</w:t>
            </w:r>
          </w:p>
          <w:p w14:paraId="55183F7F" w14:textId="77777777" w:rsidR="0093046F" w:rsidRPr="00F0185E" w:rsidRDefault="0093046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4C979AA0" w14:textId="77777777" w:rsidR="009076E1" w:rsidRDefault="0093046F" w:rsidP="009522D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 xml:space="preserve">Target: </w:t>
            </w:r>
            <w:r>
              <w:rPr>
                <w:rFonts w:ascii="Calibri Light" w:eastAsia="Calibri Light" w:hAnsi="Calibri Light"/>
                <w:i/>
                <w:color w:val="495965"/>
                <w:sz w:val="17"/>
                <w:szCs w:val="17"/>
                <w:bdr w:val="none" w:sz="0" w:space="0" w:color="auto"/>
                <w:lang w:val="en-GB" w:eastAsia="en-AU"/>
              </w:rPr>
              <w:t>1,400</w:t>
            </w:r>
          </w:p>
          <w:p w14:paraId="39B7D6E5" w14:textId="20F40604" w:rsidR="0093046F" w:rsidRPr="00F0185E" w:rsidRDefault="0093046F" w:rsidP="009522D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1,400</w:t>
            </w:r>
          </w:p>
          <w:p w14:paraId="61F16B36" w14:textId="28607A27" w:rsidR="0093046F" w:rsidRPr="00F0185E" w:rsidRDefault="0093046F" w:rsidP="009522D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303F70C7" w14:textId="145FA4AA" w:rsidR="0093046F" w:rsidRDefault="0093046F" w:rsidP="009522D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F0185E">
              <w:rPr>
                <w:rFonts w:ascii="Calibri Light" w:eastAsia="Calibri Light" w:hAnsi="Calibri Light"/>
                <w:i/>
                <w:color w:val="495965"/>
                <w:sz w:val="17"/>
                <w:szCs w:val="17"/>
                <w:bdr w:val="none" w:sz="0" w:space="0" w:color="auto"/>
                <w:lang w:val="en-GB" w:eastAsia="en-AU"/>
              </w:rPr>
              <w:t xml:space="preserve">Target: </w:t>
            </w:r>
            <w:r>
              <w:rPr>
                <w:rFonts w:ascii="Calibri Light" w:eastAsia="Calibri Light" w:hAnsi="Calibri Light"/>
                <w:i/>
                <w:color w:val="495965"/>
                <w:sz w:val="17"/>
                <w:szCs w:val="17"/>
                <w:bdr w:val="none" w:sz="0" w:space="0" w:color="auto"/>
                <w:lang w:val="en-GB" w:eastAsia="en-AU"/>
              </w:rPr>
              <w:t>1,400</w:t>
            </w:r>
          </w:p>
          <w:p w14:paraId="05AAE6F0" w14:textId="5A076514" w:rsidR="0093046F" w:rsidRPr="00F0185E" w:rsidRDefault="0093046F" w:rsidP="009522D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1,400</w:t>
            </w:r>
          </w:p>
        </w:tc>
        <w:tc>
          <w:tcPr>
            <w:tcW w:w="1134" w:type="dxa"/>
            <w:tcBorders>
              <w:top w:val="dotted" w:sz="4" w:space="0" w:color="auto"/>
              <w:left w:val="dotted" w:sz="4" w:space="0" w:color="auto"/>
              <w:bottom w:val="dotted" w:sz="4" w:space="0" w:color="auto"/>
              <w:right w:val="dotted" w:sz="4" w:space="0" w:color="auto"/>
            </w:tcBorders>
          </w:tcPr>
          <w:p w14:paraId="086A4362" w14:textId="678ABB7C" w:rsidR="0093046F" w:rsidRPr="00F0185E" w:rsidRDefault="007549AC"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F0185E">
              <w:rPr>
                <w:rFonts w:ascii="Calibri Light" w:eastAsia="Calibri Light" w:hAnsi="Calibri Light"/>
                <w:color w:val="495965"/>
                <w:sz w:val="17"/>
                <w:szCs w:val="17"/>
                <w:bdr w:val="none" w:sz="0" w:space="0" w:color="auto"/>
                <w:lang w:val="en-GB" w:eastAsia="en-AU"/>
              </w:rPr>
              <w:t xml:space="preserve">SPA </w:t>
            </w:r>
            <w:r>
              <w:rPr>
                <w:rFonts w:ascii="Calibri Light" w:eastAsia="Calibri Light" w:hAnsi="Calibri Light"/>
                <w:color w:val="495965"/>
                <w:sz w:val="17"/>
                <w:szCs w:val="17"/>
                <w:bdr w:val="none" w:sz="0" w:space="0" w:color="auto"/>
                <w:lang w:val="en-GB" w:eastAsia="en-AU"/>
              </w:rPr>
              <w:t>Results Framework</w:t>
            </w:r>
          </w:p>
        </w:tc>
      </w:tr>
    </w:tbl>
    <w:p w14:paraId="0F3BB2B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tbl>
      <w:tblPr>
        <w:tblW w:w="15451" w:type="dxa"/>
        <w:tblInd w:w="-5" w:type="dxa"/>
        <w:tblLayout w:type="fixed"/>
        <w:tblLook w:val="04A0" w:firstRow="1" w:lastRow="0" w:firstColumn="1" w:lastColumn="0" w:noHBand="0" w:noVBand="1"/>
      </w:tblPr>
      <w:tblGrid>
        <w:gridCol w:w="1985"/>
        <w:gridCol w:w="1843"/>
        <w:gridCol w:w="2409"/>
        <w:gridCol w:w="1985"/>
        <w:gridCol w:w="1701"/>
        <w:gridCol w:w="1701"/>
        <w:gridCol w:w="1701"/>
        <w:gridCol w:w="2126"/>
      </w:tblGrid>
      <w:tr w:rsidR="00474078" w:rsidRPr="00474078" w14:paraId="49F14541" w14:textId="77777777" w:rsidTr="00474078">
        <w:trPr>
          <w:trHeight w:val="519"/>
          <w:tblHeader/>
        </w:trPr>
        <w:tc>
          <w:tcPr>
            <w:tcW w:w="15451" w:type="dxa"/>
            <w:gridSpan w:val="8"/>
            <w:tcBorders>
              <w:top w:val="dotted" w:sz="4" w:space="0" w:color="auto"/>
              <w:left w:val="dotted" w:sz="4" w:space="0" w:color="auto"/>
              <w:bottom w:val="dotted" w:sz="4" w:space="0" w:color="auto"/>
              <w:right w:val="dotted" w:sz="4" w:space="0" w:color="auto"/>
            </w:tcBorders>
            <w:shd w:val="clear" w:color="auto" w:fill="D8DCDB"/>
          </w:tcPr>
          <w:p w14:paraId="0043F3E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Australia’s Aid Objective Two: Building economic resilience by reducing vulnerability and improving inclusion in the growing economy  </w:t>
            </w:r>
          </w:p>
        </w:tc>
      </w:tr>
      <w:tr w:rsidR="00474078" w:rsidRPr="00474078" w14:paraId="510CC886" w14:textId="77777777" w:rsidTr="00775A5D">
        <w:trPr>
          <w:trHeight w:val="75"/>
          <w:tblHeader/>
        </w:trPr>
        <w:tc>
          <w:tcPr>
            <w:tcW w:w="8222" w:type="dxa"/>
            <w:gridSpan w:val="4"/>
            <w:tcBorders>
              <w:top w:val="dotted" w:sz="4" w:space="0" w:color="auto"/>
              <w:left w:val="dotted" w:sz="4" w:space="0" w:color="auto"/>
              <w:bottom w:val="dotted" w:sz="4" w:space="0" w:color="auto"/>
              <w:right w:val="dotted" w:sz="4" w:space="0" w:color="auto"/>
            </w:tcBorders>
          </w:tcPr>
          <w:p w14:paraId="47FAA20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7229" w:type="dxa"/>
            <w:gridSpan w:val="4"/>
            <w:tcBorders>
              <w:top w:val="dotted" w:sz="4" w:space="0" w:color="auto"/>
              <w:left w:val="dotted" w:sz="4" w:space="0" w:color="auto"/>
              <w:bottom w:val="dotted" w:sz="4" w:space="0" w:color="auto"/>
              <w:right w:val="dotted" w:sz="4" w:space="0" w:color="auto"/>
            </w:tcBorders>
          </w:tcPr>
          <w:p w14:paraId="7526155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6F81CAB8" w14:textId="77777777" w:rsidTr="00474078">
        <w:trPr>
          <w:trHeight w:val="796"/>
          <w:tblHeader/>
        </w:trPr>
        <w:tc>
          <w:tcPr>
            <w:tcW w:w="1985" w:type="dxa"/>
            <w:tcBorders>
              <w:top w:val="dotted" w:sz="4" w:space="0" w:color="auto"/>
              <w:left w:val="dotted" w:sz="4" w:space="0" w:color="auto"/>
              <w:bottom w:val="dotted" w:sz="4" w:space="0" w:color="auto"/>
              <w:right w:val="dotted" w:sz="4" w:space="0" w:color="auto"/>
            </w:tcBorders>
            <w:shd w:val="clear" w:color="auto" w:fill="D8DCDB"/>
          </w:tcPr>
          <w:p w14:paraId="72759F8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1843" w:type="dxa"/>
            <w:tcBorders>
              <w:top w:val="dotted" w:sz="4" w:space="0" w:color="auto"/>
              <w:left w:val="dotted" w:sz="4" w:space="0" w:color="auto"/>
              <w:bottom w:val="dotted" w:sz="4" w:space="0" w:color="auto"/>
              <w:right w:val="dotted" w:sz="4" w:space="0" w:color="auto"/>
            </w:tcBorders>
            <w:shd w:val="clear" w:color="auto" w:fill="D8DCDB"/>
          </w:tcPr>
          <w:p w14:paraId="25752E7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p w14:paraId="1B848F5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2409" w:type="dxa"/>
            <w:tcBorders>
              <w:top w:val="dotted" w:sz="4" w:space="0" w:color="auto"/>
              <w:left w:val="dotted" w:sz="4" w:space="0" w:color="auto"/>
              <w:bottom w:val="dotted" w:sz="4" w:space="0" w:color="auto"/>
              <w:right w:val="dotted" w:sz="4" w:space="0" w:color="auto"/>
            </w:tcBorders>
            <w:shd w:val="clear" w:color="auto" w:fill="D8DCDB"/>
          </w:tcPr>
          <w:p w14:paraId="477B6C4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Intermediate </w:t>
            </w:r>
          </w:p>
          <w:p w14:paraId="64F57C5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outcome</w:t>
            </w:r>
          </w:p>
        </w:tc>
        <w:tc>
          <w:tcPr>
            <w:tcW w:w="1985" w:type="dxa"/>
            <w:tcBorders>
              <w:top w:val="dotted" w:sz="4" w:space="0" w:color="auto"/>
              <w:left w:val="dotted" w:sz="4" w:space="0" w:color="auto"/>
              <w:bottom w:val="dotted" w:sz="4" w:space="0" w:color="auto"/>
              <w:right w:val="dotted" w:sz="4" w:space="0" w:color="auto"/>
            </w:tcBorders>
            <w:shd w:val="clear" w:color="auto" w:fill="D8DCDB"/>
          </w:tcPr>
          <w:p w14:paraId="38AFF75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Intermediate outcome indicators</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51AF8C8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56AE25E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701" w:type="dxa"/>
            <w:tcBorders>
              <w:top w:val="dotted" w:sz="4" w:space="0" w:color="auto"/>
              <w:left w:val="dotted" w:sz="4" w:space="0" w:color="auto"/>
              <w:bottom w:val="dotted" w:sz="4" w:space="0" w:color="auto"/>
              <w:right w:val="dotted" w:sz="4" w:space="0" w:color="auto"/>
            </w:tcBorders>
            <w:shd w:val="clear" w:color="auto" w:fill="D8DCDB"/>
          </w:tcPr>
          <w:p w14:paraId="71F0DE1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2126" w:type="dxa"/>
            <w:tcBorders>
              <w:top w:val="dotted" w:sz="4" w:space="0" w:color="auto"/>
              <w:left w:val="dotted" w:sz="4" w:space="0" w:color="auto"/>
              <w:bottom w:val="dotted" w:sz="4" w:space="0" w:color="auto"/>
              <w:right w:val="dotted" w:sz="4" w:space="0" w:color="auto"/>
            </w:tcBorders>
            <w:shd w:val="clear" w:color="auto" w:fill="D8DCDB"/>
          </w:tcPr>
          <w:p w14:paraId="4085FE8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00237C30" w14:textId="77777777" w:rsidTr="00775A5D">
        <w:trPr>
          <w:trHeight w:val="1103"/>
        </w:trPr>
        <w:tc>
          <w:tcPr>
            <w:tcW w:w="1985" w:type="dxa"/>
            <w:vMerge w:val="restart"/>
            <w:tcBorders>
              <w:top w:val="dotted" w:sz="4" w:space="0" w:color="auto"/>
              <w:left w:val="dotted" w:sz="4" w:space="0" w:color="auto"/>
              <w:right w:val="dotted" w:sz="4" w:space="0" w:color="auto"/>
            </w:tcBorders>
            <w:shd w:val="clear" w:color="auto" w:fill="auto"/>
          </w:tcPr>
          <w:p w14:paraId="614ADA9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4.Support an effective humanitarian response to Rohingya refugee crisis</w:t>
            </w:r>
          </w:p>
        </w:tc>
        <w:tc>
          <w:tcPr>
            <w:tcW w:w="1843" w:type="dxa"/>
            <w:vMerge w:val="restart"/>
            <w:tcBorders>
              <w:top w:val="dotted" w:sz="4" w:space="0" w:color="auto"/>
              <w:left w:val="dotted" w:sz="4" w:space="0" w:color="auto"/>
              <w:right w:val="dotted" w:sz="4" w:space="0" w:color="auto"/>
            </w:tcBorders>
          </w:tcPr>
          <w:p w14:paraId="0FB0ECD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 xml:space="preserve">Refugees and host community have access to immediate life-saving services </w:t>
            </w:r>
          </w:p>
        </w:tc>
        <w:tc>
          <w:tcPr>
            <w:tcW w:w="2409" w:type="dxa"/>
            <w:tcBorders>
              <w:top w:val="dotted" w:sz="4" w:space="0" w:color="auto"/>
              <w:left w:val="dotted" w:sz="4" w:space="0" w:color="auto"/>
              <w:bottom w:val="dotted" w:sz="4" w:space="0" w:color="auto"/>
              <w:right w:val="dotted" w:sz="4" w:space="0" w:color="auto"/>
            </w:tcBorders>
          </w:tcPr>
          <w:p w14:paraId="117A8BA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Eligible people received food, health and shelter services</w:t>
            </w:r>
          </w:p>
        </w:tc>
        <w:tc>
          <w:tcPr>
            <w:tcW w:w="1985" w:type="dxa"/>
            <w:tcBorders>
              <w:top w:val="dotted" w:sz="4" w:space="0" w:color="auto"/>
              <w:left w:val="dotted" w:sz="4" w:space="0" w:color="auto"/>
              <w:bottom w:val="dotted" w:sz="4" w:space="0" w:color="auto"/>
              <w:right w:val="dotted" w:sz="4" w:space="0" w:color="auto"/>
            </w:tcBorders>
          </w:tcPr>
          <w:p w14:paraId="254BA10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Number of beneficiaries receiving food</w:t>
            </w:r>
            <w:proofErr w:type="gramStart"/>
            <w:r w:rsidRPr="00474078">
              <w:rPr>
                <w:rFonts w:ascii="Calibri Light" w:eastAsia="Calibri Light" w:hAnsi="Calibri Light"/>
                <w:color w:val="495965"/>
                <w:sz w:val="17"/>
                <w:szCs w:val="17"/>
                <w:bdr w:val="none" w:sz="0" w:space="0" w:color="auto"/>
                <w:lang w:val="en-GB" w:eastAsia="en-AU"/>
              </w:rPr>
              <w:t>,,</w:t>
            </w:r>
            <w:proofErr w:type="gramEnd"/>
            <w:r w:rsidRPr="00474078">
              <w:rPr>
                <w:rFonts w:ascii="Calibri Light" w:eastAsia="Calibri Light" w:hAnsi="Calibri Light"/>
                <w:color w:val="495965"/>
                <w:sz w:val="17"/>
                <w:szCs w:val="17"/>
                <w:bdr w:val="none" w:sz="0" w:space="0" w:color="auto"/>
                <w:lang w:val="en-GB" w:eastAsia="en-AU"/>
              </w:rPr>
              <w:t xml:space="preserve"> health and shelter  services.  </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616DD8A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734A939" w14:textId="2E414C88" w:rsidR="005D3BBF" w:rsidRDefault="005D3BBF"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Target: N/A</w:t>
            </w:r>
          </w:p>
          <w:p w14:paraId="4E1D0DE1" w14:textId="37370999"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979,000</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BAA45B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1.3 million</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5E4109D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Partner and Inter Sector Coordination Group reporting against Joint Response Plan targets.</w:t>
            </w:r>
          </w:p>
        </w:tc>
      </w:tr>
      <w:tr w:rsidR="00474078" w:rsidRPr="00474078" w14:paraId="7C2D8EC5" w14:textId="77777777" w:rsidTr="00775A5D">
        <w:trPr>
          <w:trHeight w:val="866"/>
        </w:trPr>
        <w:tc>
          <w:tcPr>
            <w:tcW w:w="1985" w:type="dxa"/>
            <w:vMerge/>
            <w:tcBorders>
              <w:left w:val="dotted" w:sz="4" w:space="0" w:color="auto"/>
              <w:right w:val="dotted" w:sz="4" w:space="0" w:color="auto"/>
            </w:tcBorders>
            <w:shd w:val="clear" w:color="auto" w:fill="auto"/>
          </w:tcPr>
          <w:p w14:paraId="6C5FF34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tcBorders>
              <w:left w:val="dotted" w:sz="4" w:space="0" w:color="auto"/>
              <w:right w:val="dotted" w:sz="4" w:space="0" w:color="auto"/>
            </w:tcBorders>
          </w:tcPr>
          <w:p w14:paraId="38060E8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2409" w:type="dxa"/>
            <w:tcBorders>
              <w:top w:val="dotted" w:sz="4" w:space="0" w:color="auto"/>
              <w:left w:val="dotted" w:sz="4" w:space="0" w:color="auto"/>
              <w:bottom w:val="dotted" w:sz="4" w:space="0" w:color="auto"/>
              <w:right w:val="dotted" w:sz="4" w:space="0" w:color="auto"/>
            </w:tcBorders>
          </w:tcPr>
          <w:p w14:paraId="5B68C17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Protection for vulnerable women and children improved</w:t>
            </w:r>
          </w:p>
        </w:tc>
        <w:tc>
          <w:tcPr>
            <w:tcW w:w="1985" w:type="dxa"/>
            <w:tcBorders>
              <w:top w:val="dotted" w:sz="4" w:space="0" w:color="auto"/>
              <w:left w:val="dotted" w:sz="4" w:space="0" w:color="auto"/>
              <w:bottom w:val="dotted" w:sz="4" w:space="0" w:color="auto"/>
              <w:right w:val="dotted" w:sz="4" w:space="0" w:color="auto"/>
            </w:tcBorders>
          </w:tcPr>
          <w:p w14:paraId="5CD3ADD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Number of women and children attending women and child friendly spaces</w:t>
            </w:r>
          </w:p>
        </w:tc>
        <w:tc>
          <w:tcPr>
            <w:tcW w:w="1701" w:type="dxa"/>
            <w:tcBorders>
              <w:top w:val="dotted" w:sz="4" w:space="0" w:color="auto"/>
              <w:left w:val="dotted" w:sz="4" w:space="0" w:color="auto"/>
              <w:bottom w:val="dotted" w:sz="4" w:space="0" w:color="auto"/>
              <w:right w:val="dotted" w:sz="4" w:space="0" w:color="auto"/>
            </w:tcBorders>
          </w:tcPr>
          <w:p w14:paraId="3FC07A8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35C9B0A" w14:textId="549399F5" w:rsidR="005D3BBF" w:rsidRDefault="005D3BBF" w:rsidP="005D3BBF">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AU" w:eastAsia="en-AU"/>
              </w:rPr>
            </w:pPr>
            <w:r w:rsidRPr="00457B63">
              <w:rPr>
                <w:rFonts w:ascii="Calibri Light" w:eastAsia="Calibri Light" w:hAnsi="Calibri Light"/>
                <w:i/>
                <w:color w:val="495965"/>
                <w:sz w:val="17"/>
                <w:szCs w:val="17"/>
                <w:bdr w:val="none" w:sz="0" w:space="0" w:color="auto"/>
                <w:lang w:val="en-AU" w:eastAsia="en-AU"/>
              </w:rPr>
              <w:t>Target:</w:t>
            </w:r>
            <w:r>
              <w:rPr>
                <w:rFonts w:ascii="Calibri Light" w:eastAsia="Calibri Light" w:hAnsi="Calibri Light"/>
                <w:i/>
                <w:color w:val="495965"/>
                <w:sz w:val="17"/>
                <w:szCs w:val="17"/>
                <w:bdr w:val="none" w:sz="0" w:space="0" w:color="auto"/>
                <w:lang w:val="en-AU" w:eastAsia="en-AU"/>
              </w:rPr>
              <w:t xml:space="preserve"> N/A</w:t>
            </w:r>
            <w:r w:rsidRPr="00457B63">
              <w:rPr>
                <w:rFonts w:ascii="Calibri Light" w:eastAsia="Calibri Light" w:hAnsi="Calibri Light"/>
                <w:i/>
                <w:color w:val="495965"/>
                <w:sz w:val="17"/>
                <w:szCs w:val="17"/>
                <w:bdr w:val="none" w:sz="0" w:space="0" w:color="auto"/>
                <w:lang w:val="en-AU" w:eastAsia="en-AU"/>
              </w:rPr>
              <w:t xml:space="preserve"> </w:t>
            </w:r>
          </w:p>
          <w:p w14:paraId="562A5993" w14:textId="3E8AFF31" w:rsidR="00474078" w:rsidRPr="00474078" w:rsidRDefault="005D3BBF" w:rsidP="005D3BBF">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57B63">
              <w:rPr>
                <w:rFonts w:ascii="Calibri Light" w:eastAsia="Calibri Light" w:hAnsi="Calibri Light"/>
                <w:i/>
                <w:color w:val="495965"/>
                <w:sz w:val="17"/>
                <w:szCs w:val="17"/>
                <w:bdr w:val="none" w:sz="0" w:space="0" w:color="auto"/>
                <w:lang w:val="en-AU" w:eastAsia="en-AU"/>
              </w:rPr>
              <w:t>302,049</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31BB3AE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Target:530,000</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76CEF22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Partner and Inter Sector Coordination Group reporting against Joint Response Plan targets.</w:t>
            </w:r>
          </w:p>
        </w:tc>
      </w:tr>
      <w:tr w:rsidR="00474078" w:rsidRPr="00474078" w14:paraId="3900E7CD" w14:textId="77777777" w:rsidTr="00775A5D">
        <w:trPr>
          <w:trHeight w:val="1275"/>
        </w:trPr>
        <w:tc>
          <w:tcPr>
            <w:tcW w:w="1985" w:type="dxa"/>
            <w:vMerge/>
            <w:tcBorders>
              <w:left w:val="dotted" w:sz="4" w:space="0" w:color="auto"/>
              <w:right w:val="dotted" w:sz="4" w:space="0" w:color="auto"/>
            </w:tcBorders>
            <w:shd w:val="clear" w:color="auto" w:fill="auto"/>
          </w:tcPr>
          <w:p w14:paraId="7ACB277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tcBorders>
              <w:left w:val="dotted" w:sz="4" w:space="0" w:color="auto"/>
              <w:right w:val="dotted" w:sz="4" w:space="0" w:color="auto"/>
            </w:tcBorders>
          </w:tcPr>
          <w:p w14:paraId="5EB5922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2409" w:type="dxa"/>
            <w:tcBorders>
              <w:top w:val="dotted" w:sz="4" w:space="0" w:color="auto"/>
              <w:left w:val="dotted" w:sz="4" w:space="0" w:color="auto"/>
              <w:bottom w:val="dotted" w:sz="4" w:space="0" w:color="auto"/>
              <w:right w:val="dotted" w:sz="4" w:space="0" w:color="auto"/>
            </w:tcBorders>
          </w:tcPr>
          <w:p w14:paraId="76B4327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Effective participation in donor coordination of the international humanitarian effort</w:t>
            </w:r>
          </w:p>
        </w:tc>
        <w:tc>
          <w:tcPr>
            <w:tcW w:w="1985" w:type="dxa"/>
            <w:tcBorders>
              <w:top w:val="dotted" w:sz="4" w:space="0" w:color="auto"/>
              <w:left w:val="dotted" w:sz="4" w:space="0" w:color="auto"/>
              <w:bottom w:val="dotted" w:sz="4" w:space="0" w:color="auto"/>
              <w:right w:val="dotted" w:sz="4" w:space="0" w:color="auto"/>
            </w:tcBorders>
          </w:tcPr>
          <w:p w14:paraId="79FFD7D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of donor coordination and SEG meetings attended by Australia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6708355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3AE705E4" w14:textId="51202A12" w:rsidR="005D3BBF" w:rsidRDefault="005D3BBF" w:rsidP="005D3BBF">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BE5B3B">
              <w:rPr>
                <w:rFonts w:ascii="Calibri Light" w:eastAsia="Calibri Light" w:hAnsi="Calibri Light"/>
                <w:i/>
                <w:color w:val="495965"/>
                <w:sz w:val="17"/>
                <w:szCs w:val="17"/>
                <w:bdr w:val="none" w:sz="0" w:space="0" w:color="auto"/>
                <w:lang w:val="en-GB" w:eastAsia="en-AU"/>
              </w:rPr>
              <w:t>Target:</w:t>
            </w:r>
            <w:r>
              <w:rPr>
                <w:rFonts w:ascii="Calibri Light" w:eastAsia="Calibri Light" w:hAnsi="Calibri Light"/>
                <w:i/>
                <w:color w:val="495965"/>
                <w:sz w:val="17"/>
                <w:szCs w:val="17"/>
                <w:bdr w:val="none" w:sz="0" w:space="0" w:color="auto"/>
                <w:lang w:val="en-GB" w:eastAsia="en-AU"/>
              </w:rPr>
              <w:t xml:space="preserve"> N/A</w:t>
            </w:r>
            <w:r w:rsidRPr="00BE5B3B">
              <w:rPr>
                <w:rFonts w:ascii="Calibri Light" w:eastAsia="Calibri Light" w:hAnsi="Calibri Light"/>
                <w:i/>
                <w:color w:val="495965"/>
                <w:sz w:val="17"/>
                <w:szCs w:val="17"/>
                <w:bdr w:val="none" w:sz="0" w:space="0" w:color="auto"/>
                <w:lang w:val="en-GB" w:eastAsia="en-AU"/>
              </w:rPr>
              <w:t xml:space="preserve"> </w:t>
            </w:r>
          </w:p>
          <w:p w14:paraId="40F3032D" w14:textId="3E546009" w:rsidR="00474078" w:rsidRPr="00474078" w:rsidRDefault="005D3BBF" w:rsidP="005D3BBF">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BE5B3B">
              <w:rPr>
                <w:rFonts w:ascii="Calibri Light" w:eastAsia="Calibri Light" w:hAnsi="Calibri Light"/>
                <w:i/>
                <w:color w:val="495965"/>
                <w:sz w:val="17"/>
                <w:szCs w:val="17"/>
                <w:bdr w:val="none" w:sz="0" w:space="0" w:color="auto"/>
                <w:lang w:val="en-GB" w:eastAsia="en-AU"/>
              </w:rPr>
              <w:t>100%</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5CDB48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100%</w:t>
            </w:r>
          </w:p>
        </w:tc>
        <w:tc>
          <w:tcPr>
            <w:tcW w:w="2126" w:type="dxa"/>
            <w:tcBorders>
              <w:top w:val="dotted" w:sz="4" w:space="0" w:color="auto"/>
              <w:left w:val="dotted" w:sz="4" w:space="0" w:color="auto"/>
              <w:bottom w:val="dotted" w:sz="4" w:space="0" w:color="auto"/>
              <w:right w:val="dotted" w:sz="4" w:space="0" w:color="auto"/>
            </w:tcBorders>
          </w:tcPr>
          <w:p w14:paraId="7F92ACEC"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Meeting Minutes.</w:t>
            </w:r>
          </w:p>
        </w:tc>
      </w:tr>
      <w:tr w:rsidR="00474078" w:rsidRPr="00474078" w14:paraId="5DCB8F09" w14:textId="77777777" w:rsidTr="00775A5D">
        <w:trPr>
          <w:trHeight w:val="1275"/>
        </w:trPr>
        <w:tc>
          <w:tcPr>
            <w:tcW w:w="1985" w:type="dxa"/>
            <w:vMerge/>
            <w:tcBorders>
              <w:left w:val="dotted" w:sz="4" w:space="0" w:color="auto"/>
              <w:right w:val="dotted" w:sz="4" w:space="0" w:color="auto"/>
            </w:tcBorders>
            <w:shd w:val="clear" w:color="auto" w:fill="auto"/>
          </w:tcPr>
          <w:p w14:paraId="72C965E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tcBorders>
              <w:left w:val="dotted" w:sz="4" w:space="0" w:color="auto"/>
              <w:right w:val="dotted" w:sz="4" w:space="0" w:color="auto"/>
            </w:tcBorders>
          </w:tcPr>
          <w:p w14:paraId="3358601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2409" w:type="dxa"/>
            <w:vMerge w:val="restart"/>
            <w:tcBorders>
              <w:top w:val="dotted" w:sz="4" w:space="0" w:color="auto"/>
              <w:left w:val="dotted" w:sz="4" w:space="0" w:color="auto"/>
              <w:right w:val="dotted" w:sz="4" w:space="0" w:color="auto"/>
            </w:tcBorders>
          </w:tcPr>
          <w:p w14:paraId="606AF2F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Effective partnerships with key agencies delivering humanitarian assistance that promote good donor principles and localisation</w:t>
            </w:r>
          </w:p>
        </w:tc>
        <w:tc>
          <w:tcPr>
            <w:tcW w:w="1985" w:type="dxa"/>
            <w:tcBorders>
              <w:top w:val="dotted" w:sz="4" w:space="0" w:color="auto"/>
              <w:left w:val="dotted" w:sz="4" w:space="0" w:color="auto"/>
              <w:bottom w:val="dotted" w:sz="4" w:space="0" w:color="auto"/>
              <w:right w:val="dotted" w:sz="4" w:space="0" w:color="auto"/>
            </w:tcBorders>
          </w:tcPr>
          <w:p w14:paraId="01F72EA5" w14:textId="7F2A37E3"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Number of Partnerships with</w:t>
            </w:r>
            <w:r w:rsidR="00151C57">
              <w:rPr>
                <w:rFonts w:ascii="Calibri Light" w:eastAsia="Calibri Light" w:hAnsi="Calibri Light"/>
                <w:color w:val="495965"/>
                <w:sz w:val="17"/>
                <w:szCs w:val="17"/>
                <w:bdr w:val="none" w:sz="0" w:space="0" w:color="auto"/>
                <w:lang w:val="en-GB" w:eastAsia="en-AU"/>
              </w:rPr>
              <w:t xml:space="preserve"> satisfactory </w:t>
            </w:r>
            <w:r w:rsidRPr="00474078">
              <w:rPr>
                <w:rFonts w:ascii="Calibri Light" w:eastAsia="Calibri Light" w:hAnsi="Calibri Light"/>
                <w:color w:val="495965"/>
                <w:sz w:val="17"/>
                <w:szCs w:val="17"/>
                <w:bdr w:val="none" w:sz="0" w:space="0" w:color="auto"/>
                <w:lang w:val="en-GB" w:eastAsia="en-AU"/>
              </w:rPr>
              <w:t xml:space="preserve">PPA ratings </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2C525A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31D41058" w14:textId="799E6955" w:rsidR="00474078" w:rsidRDefault="00C21631"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Target: N/A</w:t>
            </w:r>
          </w:p>
          <w:p w14:paraId="6042CDAA" w14:textId="2A1491F8" w:rsidR="00151C57" w:rsidRPr="00474078" w:rsidRDefault="00151C57"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 xml:space="preserve"> 2</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7DD8DA9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 5</w:t>
            </w:r>
          </w:p>
        </w:tc>
        <w:tc>
          <w:tcPr>
            <w:tcW w:w="2126" w:type="dxa"/>
            <w:tcBorders>
              <w:top w:val="dotted" w:sz="4" w:space="0" w:color="auto"/>
              <w:left w:val="dotted" w:sz="4" w:space="0" w:color="auto"/>
              <w:bottom w:val="dotted" w:sz="4" w:space="0" w:color="auto"/>
              <w:right w:val="dotted" w:sz="4" w:space="0" w:color="auto"/>
            </w:tcBorders>
          </w:tcPr>
          <w:p w14:paraId="0347351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roofErr w:type="spellStart"/>
            <w:r w:rsidRPr="00474078">
              <w:rPr>
                <w:rFonts w:ascii="Calibri Light" w:eastAsia="Calibri Light" w:hAnsi="Calibri Light"/>
                <w:color w:val="495965"/>
                <w:sz w:val="17"/>
                <w:szCs w:val="17"/>
                <w:bdr w:val="none" w:sz="0" w:space="0" w:color="auto"/>
                <w:lang w:val="en-GB" w:eastAsia="en-AU"/>
              </w:rPr>
              <w:t>AidWorks</w:t>
            </w:r>
            <w:proofErr w:type="spellEnd"/>
          </w:p>
        </w:tc>
      </w:tr>
      <w:tr w:rsidR="00474078" w:rsidRPr="00474078" w14:paraId="5F763723" w14:textId="77777777" w:rsidTr="00775A5D">
        <w:trPr>
          <w:trHeight w:val="1275"/>
        </w:trPr>
        <w:tc>
          <w:tcPr>
            <w:tcW w:w="1985" w:type="dxa"/>
            <w:vMerge/>
            <w:tcBorders>
              <w:left w:val="dotted" w:sz="4" w:space="0" w:color="auto"/>
              <w:bottom w:val="dotted" w:sz="4" w:space="0" w:color="auto"/>
              <w:right w:val="dotted" w:sz="4" w:space="0" w:color="auto"/>
            </w:tcBorders>
            <w:shd w:val="clear" w:color="auto" w:fill="auto"/>
          </w:tcPr>
          <w:p w14:paraId="653B3F8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843" w:type="dxa"/>
            <w:vMerge/>
            <w:tcBorders>
              <w:left w:val="dotted" w:sz="4" w:space="0" w:color="auto"/>
              <w:bottom w:val="dotted" w:sz="4" w:space="0" w:color="auto"/>
              <w:right w:val="dotted" w:sz="4" w:space="0" w:color="auto"/>
            </w:tcBorders>
          </w:tcPr>
          <w:p w14:paraId="2D005D0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2409" w:type="dxa"/>
            <w:vMerge/>
            <w:tcBorders>
              <w:left w:val="dotted" w:sz="4" w:space="0" w:color="auto"/>
              <w:bottom w:val="dotted" w:sz="4" w:space="0" w:color="auto"/>
              <w:right w:val="dotted" w:sz="4" w:space="0" w:color="auto"/>
            </w:tcBorders>
          </w:tcPr>
          <w:p w14:paraId="01FCD61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1985" w:type="dxa"/>
            <w:tcBorders>
              <w:top w:val="dotted" w:sz="4" w:space="0" w:color="auto"/>
              <w:left w:val="dotted" w:sz="4" w:space="0" w:color="auto"/>
              <w:bottom w:val="dotted" w:sz="4" w:space="0" w:color="auto"/>
              <w:right w:val="dotted" w:sz="4" w:space="0" w:color="auto"/>
            </w:tcBorders>
          </w:tcPr>
          <w:p w14:paraId="5BAE0B5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Percentage of funding given to meet localisation agenda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3EF50FE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n/a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58AFB276" w14:textId="77777777" w:rsidR="00151C57"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Target: </w:t>
            </w:r>
            <w:r w:rsidR="00151C57">
              <w:rPr>
                <w:rFonts w:ascii="Calibri Light" w:eastAsia="Calibri Light" w:hAnsi="Calibri Light"/>
                <w:i/>
                <w:color w:val="495965"/>
                <w:sz w:val="17"/>
                <w:szCs w:val="17"/>
                <w:bdr w:val="none" w:sz="0" w:space="0" w:color="auto"/>
                <w:lang w:val="en-GB" w:eastAsia="en-AU"/>
              </w:rPr>
              <w:t>N/A</w:t>
            </w:r>
          </w:p>
          <w:p w14:paraId="5A6FC37E" w14:textId="0ACCF6A3" w:rsidR="00474078" w:rsidRPr="00474078" w:rsidRDefault="00151C57"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Pr>
                <w:rFonts w:ascii="Calibri Light" w:eastAsia="Calibri Light" w:hAnsi="Calibri Light"/>
                <w:i/>
                <w:color w:val="495965"/>
                <w:sz w:val="17"/>
                <w:szCs w:val="17"/>
                <w:bdr w:val="none" w:sz="0" w:space="0" w:color="auto"/>
                <w:lang w:val="en-GB" w:eastAsia="en-AU"/>
              </w:rPr>
              <w:t xml:space="preserve"> 8%</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CABA9E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Target:15%</w:t>
            </w:r>
          </w:p>
        </w:tc>
        <w:tc>
          <w:tcPr>
            <w:tcW w:w="2126" w:type="dxa"/>
            <w:tcBorders>
              <w:top w:val="dotted" w:sz="4" w:space="0" w:color="auto"/>
              <w:left w:val="dotted" w:sz="4" w:space="0" w:color="auto"/>
              <w:bottom w:val="dotted" w:sz="4" w:space="0" w:color="auto"/>
              <w:right w:val="dotted" w:sz="4" w:space="0" w:color="auto"/>
            </w:tcBorders>
          </w:tcPr>
          <w:p w14:paraId="30A25A7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Post calculation</w:t>
            </w:r>
          </w:p>
        </w:tc>
      </w:tr>
    </w:tbl>
    <w:p w14:paraId="552E2FB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p w14:paraId="67E9CFA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pacing w:after="120" w:line="440" w:lineRule="atLeast"/>
        <w:rPr>
          <w:rFonts w:ascii="Calibri Light" w:eastAsia="Calibri Light" w:hAnsi="Calibri Light"/>
          <w:color w:val="495965"/>
          <w:sz w:val="22"/>
          <w:szCs w:val="22"/>
          <w:bdr w:val="none" w:sz="0" w:space="0" w:color="auto"/>
          <w:lang w:val="en-GB"/>
        </w:rPr>
      </w:pPr>
      <w:r w:rsidRPr="00474078">
        <w:rPr>
          <w:rFonts w:ascii="Calibri Light" w:eastAsia="Calibri Light" w:hAnsi="Calibri Light"/>
          <w:color w:val="495965"/>
          <w:sz w:val="22"/>
          <w:szCs w:val="22"/>
          <w:bdr w:val="none" w:sz="0" w:space="0" w:color="auto"/>
          <w:lang w:val="en-GB"/>
        </w:rPr>
        <w:br w:type="page"/>
      </w:r>
    </w:p>
    <w:p w14:paraId="0FCF444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22"/>
          <w:szCs w:val="22"/>
          <w:bdr w:val="none" w:sz="0" w:space="0" w:color="auto"/>
          <w:lang w:val="en-GB"/>
        </w:rPr>
      </w:pPr>
    </w:p>
    <w:tbl>
      <w:tblPr>
        <w:tblW w:w="15451" w:type="dxa"/>
        <w:tblLayout w:type="fixed"/>
        <w:tblLook w:val="04A0" w:firstRow="1" w:lastRow="0" w:firstColumn="1" w:lastColumn="0" w:noHBand="0" w:noVBand="1"/>
      </w:tblPr>
      <w:tblGrid>
        <w:gridCol w:w="1985"/>
        <w:gridCol w:w="3964"/>
        <w:gridCol w:w="3402"/>
        <w:gridCol w:w="3549"/>
        <w:gridCol w:w="1417"/>
        <w:gridCol w:w="1134"/>
      </w:tblGrid>
      <w:tr w:rsidR="00474078" w:rsidRPr="00474078" w14:paraId="79CCBA5E" w14:textId="77777777" w:rsidTr="00474078">
        <w:trPr>
          <w:trHeight w:val="519"/>
          <w:tblHeader/>
        </w:trPr>
        <w:tc>
          <w:tcPr>
            <w:tcW w:w="15451" w:type="dxa"/>
            <w:gridSpan w:val="6"/>
            <w:tcBorders>
              <w:top w:val="dotted" w:sz="4" w:space="0" w:color="auto"/>
              <w:left w:val="dotted" w:sz="4" w:space="0" w:color="auto"/>
              <w:bottom w:val="dotted" w:sz="4" w:space="0" w:color="auto"/>
              <w:right w:val="dotted" w:sz="4" w:space="0" w:color="auto"/>
            </w:tcBorders>
            <w:shd w:val="clear" w:color="auto" w:fill="D8DCDB"/>
          </w:tcPr>
          <w:p w14:paraId="1D7A599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Australia’s Aid Objective Program Management </w:t>
            </w:r>
          </w:p>
        </w:tc>
      </w:tr>
      <w:tr w:rsidR="00474078" w:rsidRPr="00474078" w14:paraId="52CC54E2" w14:textId="77777777" w:rsidTr="00775A5D">
        <w:trPr>
          <w:trHeight w:val="75"/>
          <w:tblHeader/>
        </w:trPr>
        <w:tc>
          <w:tcPr>
            <w:tcW w:w="5949" w:type="dxa"/>
            <w:gridSpan w:val="2"/>
            <w:tcBorders>
              <w:top w:val="dotted" w:sz="4" w:space="0" w:color="auto"/>
              <w:left w:val="dotted" w:sz="4" w:space="0" w:color="auto"/>
              <w:bottom w:val="dotted" w:sz="4" w:space="0" w:color="auto"/>
              <w:right w:val="dotted" w:sz="4" w:space="0" w:color="auto"/>
            </w:tcBorders>
          </w:tcPr>
          <w:p w14:paraId="3E169C4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ind w:right="-252"/>
              <w:jc w:val="center"/>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w:t>
            </w:r>
          </w:p>
        </w:tc>
        <w:tc>
          <w:tcPr>
            <w:tcW w:w="9502" w:type="dxa"/>
            <w:gridSpan w:val="4"/>
            <w:tcBorders>
              <w:top w:val="dotted" w:sz="4" w:space="0" w:color="auto"/>
              <w:left w:val="dotted" w:sz="4" w:space="0" w:color="auto"/>
              <w:bottom w:val="dotted" w:sz="4" w:space="0" w:color="auto"/>
              <w:right w:val="dotted" w:sz="4" w:space="0" w:color="auto"/>
            </w:tcBorders>
          </w:tcPr>
          <w:p w14:paraId="04768B5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Annual Progress Targets/Milestones</w:t>
            </w:r>
          </w:p>
        </w:tc>
      </w:tr>
      <w:tr w:rsidR="00474078" w:rsidRPr="00474078" w14:paraId="24C60FDD" w14:textId="77777777" w:rsidTr="009076E1">
        <w:trPr>
          <w:trHeight w:val="796"/>
          <w:tblHeader/>
        </w:trPr>
        <w:tc>
          <w:tcPr>
            <w:tcW w:w="1985" w:type="dxa"/>
            <w:tcBorders>
              <w:top w:val="dotted" w:sz="4" w:space="0" w:color="auto"/>
              <w:left w:val="dotted" w:sz="4" w:space="0" w:color="auto"/>
              <w:bottom w:val="dotted" w:sz="4" w:space="0" w:color="auto"/>
              <w:right w:val="dotted" w:sz="4" w:space="0" w:color="auto"/>
            </w:tcBorders>
            <w:shd w:val="clear" w:color="auto" w:fill="D8DCDB"/>
          </w:tcPr>
          <w:p w14:paraId="03E1387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tc>
        <w:tc>
          <w:tcPr>
            <w:tcW w:w="3964" w:type="dxa"/>
            <w:tcBorders>
              <w:top w:val="dotted" w:sz="4" w:space="0" w:color="auto"/>
              <w:left w:val="dotted" w:sz="4" w:space="0" w:color="auto"/>
              <w:bottom w:val="dotted" w:sz="4" w:space="0" w:color="auto"/>
              <w:right w:val="dotted" w:sz="4" w:space="0" w:color="auto"/>
            </w:tcBorders>
            <w:shd w:val="clear" w:color="auto" w:fill="D8DCDB"/>
          </w:tcPr>
          <w:p w14:paraId="7241242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Plan outcome</w:t>
            </w:r>
          </w:p>
          <w:p w14:paraId="4815832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 xml:space="preserve"> indicators</w:t>
            </w:r>
          </w:p>
        </w:tc>
        <w:tc>
          <w:tcPr>
            <w:tcW w:w="3402" w:type="dxa"/>
            <w:tcBorders>
              <w:top w:val="dotted" w:sz="4" w:space="0" w:color="auto"/>
              <w:left w:val="dotted" w:sz="4" w:space="0" w:color="auto"/>
              <w:bottom w:val="dotted" w:sz="4" w:space="0" w:color="auto"/>
              <w:right w:val="dotted" w:sz="4" w:space="0" w:color="auto"/>
            </w:tcBorders>
            <w:shd w:val="clear" w:color="auto" w:fill="D8DCDB"/>
          </w:tcPr>
          <w:p w14:paraId="7C54460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2016-17</w:t>
            </w:r>
          </w:p>
        </w:tc>
        <w:tc>
          <w:tcPr>
            <w:tcW w:w="3549" w:type="dxa"/>
            <w:tcBorders>
              <w:top w:val="dotted" w:sz="4" w:space="0" w:color="auto"/>
              <w:left w:val="dotted" w:sz="4" w:space="0" w:color="auto"/>
              <w:bottom w:val="dotted" w:sz="4" w:space="0" w:color="auto"/>
              <w:right w:val="dotted" w:sz="4" w:space="0" w:color="auto"/>
            </w:tcBorders>
            <w:shd w:val="clear" w:color="auto" w:fill="D8DCDB"/>
          </w:tcPr>
          <w:p w14:paraId="4810625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2017-18</w:t>
            </w:r>
          </w:p>
        </w:tc>
        <w:tc>
          <w:tcPr>
            <w:tcW w:w="1417" w:type="dxa"/>
            <w:tcBorders>
              <w:top w:val="dotted" w:sz="4" w:space="0" w:color="auto"/>
              <w:left w:val="dotted" w:sz="4" w:space="0" w:color="auto"/>
              <w:bottom w:val="dotted" w:sz="4" w:space="0" w:color="auto"/>
              <w:right w:val="dotted" w:sz="4" w:space="0" w:color="auto"/>
            </w:tcBorders>
            <w:shd w:val="clear" w:color="auto" w:fill="D8DCDB"/>
          </w:tcPr>
          <w:p w14:paraId="3799D37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2018-19</w:t>
            </w:r>
          </w:p>
        </w:tc>
        <w:tc>
          <w:tcPr>
            <w:tcW w:w="1134" w:type="dxa"/>
            <w:tcBorders>
              <w:top w:val="dotted" w:sz="4" w:space="0" w:color="auto"/>
              <w:left w:val="dotted" w:sz="4" w:space="0" w:color="auto"/>
              <w:bottom w:val="dotted" w:sz="4" w:space="0" w:color="auto"/>
              <w:right w:val="dotted" w:sz="4" w:space="0" w:color="auto"/>
            </w:tcBorders>
            <w:shd w:val="clear" w:color="auto" w:fill="D8DCDB"/>
          </w:tcPr>
          <w:p w14:paraId="23523B9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iCs/>
                <w:color w:val="495965"/>
                <w:sz w:val="18"/>
                <w:szCs w:val="18"/>
                <w:bdr w:val="none" w:sz="0" w:space="0" w:color="auto"/>
                <w:lang w:val="en-AU" w:eastAsia="en-AU"/>
              </w:rPr>
              <w:t>Data source &amp; baseline</w:t>
            </w:r>
          </w:p>
        </w:tc>
      </w:tr>
      <w:tr w:rsidR="00474078" w:rsidRPr="00474078" w14:paraId="23EA67DA" w14:textId="77777777" w:rsidTr="009076E1">
        <w:trPr>
          <w:trHeight w:val="910"/>
        </w:trPr>
        <w:tc>
          <w:tcPr>
            <w:tcW w:w="1985" w:type="dxa"/>
            <w:vMerge w:val="restart"/>
            <w:tcBorders>
              <w:top w:val="dotted" w:sz="4" w:space="0" w:color="auto"/>
              <w:left w:val="dotted" w:sz="4" w:space="0" w:color="auto"/>
              <w:right w:val="dotted" w:sz="4" w:space="0" w:color="auto"/>
            </w:tcBorders>
            <w:shd w:val="clear" w:color="auto" w:fill="auto"/>
          </w:tcPr>
          <w:p w14:paraId="5D5B679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1.A consolidated, efficient and effective program</w:t>
            </w:r>
          </w:p>
        </w:tc>
        <w:tc>
          <w:tcPr>
            <w:tcW w:w="3964" w:type="dxa"/>
            <w:tcBorders>
              <w:top w:val="dotted" w:sz="4" w:space="0" w:color="auto"/>
              <w:left w:val="dotted" w:sz="4" w:space="0" w:color="auto"/>
              <w:bottom w:val="dotted" w:sz="4" w:space="0" w:color="auto"/>
              <w:right w:val="dotted" w:sz="4" w:space="0" w:color="auto"/>
            </w:tcBorders>
          </w:tcPr>
          <w:p w14:paraId="16A2626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Main partnerships reduced to 4</w:t>
            </w:r>
          </w:p>
        </w:tc>
        <w:tc>
          <w:tcPr>
            <w:tcW w:w="3402" w:type="dxa"/>
            <w:tcBorders>
              <w:top w:val="dotted" w:sz="4" w:space="0" w:color="auto"/>
              <w:left w:val="dotted" w:sz="4" w:space="0" w:color="auto"/>
              <w:bottom w:val="dotted" w:sz="4" w:space="0" w:color="auto"/>
              <w:right w:val="dotted" w:sz="4" w:space="0" w:color="auto"/>
            </w:tcBorders>
            <w:shd w:val="clear" w:color="auto" w:fill="auto"/>
          </w:tcPr>
          <w:p w14:paraId="6EA4D82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Maintained four (4) key partnerships with the Government of Bangladesh (</w:t>
            </w:r>
            <w:proofErr w:type="spellStart"/>
            <w:r w:rsidRPr="00474078">
              <w:rPr>
                <w:rFonts w:ascii="Calibri Light" w:eastAsia="Calibri Light" w:hAnsi="Calibri Light"/>
                <w:color w:val="495965"/>
                <w:sz w:val="17"/>
                <w:szCs w:val="17"/>
                <w:bdr w:val="none" w:sz="0" w:space="0" w:color="auto"/>
                <w:lang w:val="en-GB" w:eastAsia="en-AU"/>
              </w:rPr>
              <w:t>GoB</w:t>
            </w:r>
            <w:proofErr w:type="spellEnd"/>
            <w:r w:rsidRPr="00474078">
              <w:rPr>
                <w:rFonts w:ascii="Calibri Light" w:eastAsia="Calibri Light" w:hAnsi="Calibri Light"/>
                <w:color w:val="495965"/>
                <w:sz w:val="17"/>
                <w:szCs w:val="17"/>
                <w:bdr w:val="none" w:sz="0" w:space="0" w:color="auto"/>
                <w:lang w:val="en-GB" w:eastAsia="en-AU"/>
              </w:rPr>
              <w:t xml:space="preserve">), BRAC, DFID and WFP with smaller or supporting investments with TAF.  </w:t>
            </w:r>
          </w:p>
          <w:p w14:paraId="450499B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3549" w:type="dxa"/>
            <w:tcBorders>
              <w:top w:val="dotted" w:sz="4" w:space="0" w:color="auto"/>
              <w:left w:val="dotted" w:sz="4" w:space="0" w:color="auto"/>
              <w:bottom w:val="dotted" w:sz="4" w:space="0" w:color="auto"/>
              <w:right w:val="dotted" w:sz="4" w:space="0" w:color="auto"/>
            </w:tcBorders>
          </w:tcPr>
          <w:p w14:paraId="5C89198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Partnerships increased from 4 to 9, with the scale-up of Australia’s humanitarian funding to the Rohingya crisis.  </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12A638E7" w14:textId="66ECA00B"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0DE1A101"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proofErr w:type="spellStart"/>
            <w:r w:rsidRPr="00474078">
              <w:rPr>
                <w:rFonts w:ascii="Calibri Light" w:eastAsia="Calibri Light" w:hAnsi="Calibri Light"/>
                <w:color w:val="495965"/>
                <w:sz w:val="17"/>
                <w:szCs w:val="17"/>
                <w:bdr w:val="none" w:sz="0" w:space="0" w:color="auto"/>
                <w:lang w:val="en-GB" w:eastAsia="en-AU"/>
              </w:rPr>
              <w:t>AidWorks</w:t>
            </w:r>
            <w:proofErr w:type="spellEnd"/>
            <w:r w:rsidRPr="00474078">
              <w:rPr>
                <w:rFonts w:ascii="Calibri Light" w:eastAsia="Calibri Light" w:hAnsi="Calibri Light"/>
                <w:color w:val="495965"/>
                <w:sz w:val="17"/>
                <w:szCs w:val="17"/>
                <w:bdr w:val="none" w:sz="0" w:space="0" w:color="auto"/>
                <w:lang w:val="en-GB" w:eastAsia="en-AU"/>
              </w:rPr>
              <w:t xml:space="preserve"> </w:t>
            </w:r>
          </w:p>
        </w:tc>
      </w:tr>
      <w:tr w:rsidR="00474078" w:rsidRPr="00474078" w14:paraId="065BFB97" w14:textId="77777777" w:rsidTr="009076E1">
        <w:trPr>
          <w:trHeight w:val="851"/>
        </w:trPr>
        <w:tc>
          <w:tcPr>
            <w:tcW w:w="1985" w:type="dxa"/>
            <w:vMerge/>
            <w:tcBorders>
              <w:left w:val="dotted" w:sz="4" w:space="0" w:color="auto"/>
              <w:right w:val="dotted" w:sz="4" w:space="0" w:color="auto"/>
            </w:tcBorders>
            <w:shd w:val="clear" w:color="auto" w:fill="auto"/>
          </w:tcPr>
          <w:p w14:paraId="729ECA6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3964" w:type="dxa"/>
            <w:tcBorders>
              <w:top w:val="dotted" w:sz="4" w:space="0" w:color="auto"/>
              <w:left w:val="dotted" w:sz="4" w:space="0" w:color="auto"/>
              <w:bottom w:val="dotted" w:sz="4" w:space="0" w:color="auto"/>
              <w:right w:val="dotted" w:sz="4" w:space="0" w:color="auto"/>
            </w:tcBorders>
          </w:tcPr>
          <w:p w14:paraId="50C85BDD"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line="230" w:lineRule="atLeast"/>
              <w:rPr>
                <w:rFonts w:ascii="Calibri Light" w:eastAsia="Calibri Light" w:hAnsi="Calibri Light"/>
                <w:color w:val="495965"/>
                <w:sz w:val="18"/>
                <w:szCs w:val="18"/>
                <w:bdr w:val="none" w:sz="0" w:space="0" w:color="auto"/>
                <w:lang w:val="en-AU" w:eastAsia="en-AU"/>
              </w:rPr>
            </w:pPr>
            <w:r w:rsidRPr="00474078">
              <w:rPr>
                <w:rFonts w:ascii="Calibri Light" w:eastAsia="Calibri Light" w:hAnsi="Calibri Light"/>
                <w:i/>
                <w:color w:val="495965"/>
                <w:sz w:val="17"/>
                <w:szCs w:val="17"/>
                <w:bdr w:val="none" w:sz="0" w:space="0" w:color="auto"/>
                <w:lang w:val="en-GB" w:eastAsia="en-AU"/>
              </w:rPr>
              <w:t xml:space="preserve">Reduction from 17 to 9 investments in </w:t>
            </w:r>
            <w:proofErr w:type="spellStart"/>
            <w:r w:rsidRPr="00474078">
              <w:rPr>
                <w:rFonts w:ascii="Calibri Light" w:eastAsia="Calibri Light" w:hAnsi="Calibri Light"/>
                <w:i/>
                <w:color w:val="495965"/>
                <w:sz w:val="17"/>
                <w:szCs w:val="17"/>
                <w:bdr w:val="none" w:sz="0" w:space="0" w:color="auto"/>
                <w:lang w:val="en-GB" w:eastAsia="en-AU"/>
              </w:rPr>
              <w:t>AidWorks</w:t>
            </w:r>
            <w:proofErr w:type="spellEnd"/>
            <w:r w:rsidRPr="00474078">
              <w:rPr>
                <w:rFonts w:ascii="Calibri Light" w:eastAsia="Calibri Light" w:hAnsi="Calibri Light"/>
                <w:i/>
                <w:color w:val="495965"/>
                <w:sz w:val="17"/>
                <w:szCs w:val="17"/>
                <w:bdr w:val="none" w:sz="0" w:space="0" w:color="auto"/>
                <w:lang w:val="en-GB" w:eastAsia="en-AU"/>
              </w:rPr>
              <w:t xml:space="preserve"> by financial year 2018-19</w:t>
            </w:r>
          </w:p>
        </w:tc>
        <w:tc>
          <w:tcPr>
            <w:tcW w:w="3402" w:type="dxa"/>
            <w:tcBorders>
              <w:top w:val="dotted" w:sz="4" w:space="0" w:color="auto"/>
              <w:left w:val="dotted" w:sz="4" w:space="0" w:color="auto"/>
              <w:bottom w:val="dotted" w:sz="4" w:space="0" w:color="auto"/>
              <w:right w:val="dotted" w:sz="4" w:space="0" w:color="auto"/>
            </w:tcBorders>
          </w:tcPr>
          <w:p w14:paraId="317903D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Reduced the number of active investments from 11 to 8.</w:t>
            </w:r>
          </w:p>
        </w:tc>
        <w:tc>
          <w:tcPr>
            <w:tcW w:w="3549" w:type="dxa"/>
            <w:tcBorders>
              <w:top w:val="dotted" w:sz="4" w:space="0" w:color="auto"/>
              <w:left w:val="dotted" w:sz="4" w:space="0" w:color="auto"/>
              <w:bottom w:val="dotted" w:sz="4" w:space="0" w:color="auto"/>
              <w:right w:val="dotted" w:sz="4" w:space="0" w:color="auto"/>
            </w:tcBorders>
          </w:tcPr>
          <w:p w14:paraId="0A94ADFE" w14:textId="533587D3"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Cs/>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 xml:space="preserve">Active investments increased from 8 to 11. With the Australia’s bilateral aid program to Bangladesh increasing by 70 per cent in response to the Rohingya humanitarian crisis, we extended selected investments and entered into new </w:t>
            </w:r>
            <w:r w:rsidR="003C2CB0" w:rsidRPr="00474078">
              <w:rPr>
                <w:rFonts w:ascii="Calibri Light" w:eastAsia="Calibri Light" w:hAnsi="Calibri Light"/>
                <w:color w:val="495965"/>
                <w:sz w:val="17"/>
                <w:szCs w:val="17"/>
                <w:bdr w:val="none" w:sz="0" w:space="0" w:color="auto"/>
                <w:lang w:val="en-GB" w:eastAsia="en-AU"/>
              </w:rPr>
              <w:t xml:space="preserve">arrangements. </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04E391D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8"/>
                <w:szCs w:val="18"/>
                <w:bdr w:val="none" w:sz="0" w:space="0" w:color="auto"/>
                <w:lang w:val="en-AU" w:eastAsia="en-AU"/>
              </w:rPr>
            </w:pPr>
            <w:r w:rsidRPr="00474078">
              <w:rPr>
                <w:rFonts w:ascii="Calibri Light" w:eastAsia="Calibri Light" w:hAnsi="Calibri Light"/>
                <w:color w:val="495965"/>
                <w:sz w:val="17"/>
                <w:szCs w:val="17"/>
                <w:bdr w:val="none" w:sz="0" w:space="0" w:color="auto"/>
                <w:lang w:val="en-GB" w:eastAsia="en-AU"/>
              </w:rPr>
              <w:t>&lt;9</w:t>
            </w: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295D964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roofErr w:type="spellStart"/>
            <w:r w:rsidRPr="00474078">
              <w:rPr>
                <w:rFonts w:ascii="Calibri Light" w:eastAsia="Calibri Light" w:hAnsi="Calibri Light"/>
                <w:color w:val="495965"/>
                <w:sz w:val="17"/>
                <w:szCs w:val="17"/>
                <w:bdr w:val="none" w:sz="0" w:space="0" w:color="auto"/>
                <w:lang w:val="en-GB" w:eastAsia="en-AU"/>
              </w:rPr>
              <w:t>AidWorks</w:t>
            </w:r>
            <w:proofErr w:type="spellEnd"/>
          </w:p>
        </w:tc>
      </w:tr>
      <w:tr w:rsidR="00474078" w:rsidRPr="00474078" w14:paraId="1C6AB4BD" w14:textId="77777777" w:rsidTr="009076E1">
        <w:trPr>
          <w:trHeight w:val="1275"/>
        </w:trPr>
        <w:tc>
          <w:tcPr>
            <w:tcW w:w="1985" w:type="dxa"/>
            <w:vMerge/>
            <w:tcBorders>
              <w:left w:val="dotted" w:sz="4" w:space="0" w:color="auto"/>
              <w:right w:val="dotted" w:sz="4" w:space="0" w:color="auto"/>
            </w:tcBorders>
            <w:shd w:val="clear" w:color="auto" w:fill="auto"/>
          </w:tcPr>
          <w:p w14:paraId="11CF8DC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3964" w:type="dxa"/>
            <w:tcBorders>
              <w:top w:val="dotted" w:sz="4" w:space="0" w:color="auto"/>
              <w:left w:val="dotted" w:sz="4" w:space="0" w:color="auto"/>
              <w:bottom w:val="dotted" w:sz="4" w:space="0" w:color="auto"/>
              <w:right w:val="dotted" w:sz="4" w:space="0" w:color="auto"/>
            </w:tcBorders>
          </w:tcPr>
          <w:p w14:paraId="627DB39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All partnerships meet partnership objectives and are assessed as adding value to DFAT funding</w:t>
            </w:r>
          </w:p>
        </w:tc>
        <w:tc>
          <w:tcPr>
            <w:tcW w:w="3402" w:type="dxa"/>
            <w:tcBorders>
              <w:top w:val="dotted" w:sz="4" w:space="0" w:color="auto"/>
              <w:left w:val="dotted" w:sz="4" w:space="0" w:color="auto"/>
              <w:bottom w:val="dotted" w:sz="4" w:space="0" w:color="auto"/>
              <w:right w:val="dotted" w:sz="4" w:space="0" w:color="auto"/>
            </w:tcBorders>
            <w:shd w:val="clear" w:color="auto" w:fill="auto"/>
          </w:tcPr>
          <w:p w14:paraId="0B5EEA6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BRAC and PEDP3 -partnerships continue to help leverage Australia’s modest funding for larger gains in priority areas.</w:t>
            </w:r>
          </w:p>
          <w:p w14:paraId="5353C07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WFP –delivers essential humanitarian services in a complex context and facilitates broader dialogue for </w:t>
            </w:r>
            <w:proofErr w:type="spellStart"/>
            <w:r w:rsidRPr="00474078">
              <w:rPr>
                <w:rFonts w:ascii="Calibri Light" w:eastAsia="Calibri Light" w:hAnsi="Calibri Light"/>
                <w:color w:val="495965"/>
                <w:sz w:val="17"/>
                <w:szCs w:val="17"/>
                <w:bdr w:val="none" w:sz="0" w:space="0" w:color="auto"/>
                <w:lang w:val="en-GB" w:eastAsia="en-AU"/>
              </w:rPr>
              <w:t>GoA</w:t>
            </w:r>
            <w:proofErr w:type="spellEnd"/>
          </w:p>
          <w:p w14:paraId="4F0AAA6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DFID (SP) – has helped progress </w:t>
            </w:r>
            <w:proofErr w:type="spellStart"/>
            <w:r w:rsidRPr="00474078">
              <w:rPr>
                <w:rFonts w:ascii="Calibri Light" w:eastAsia="Calibri Light" w:hAnsi="Calibri Light"/>
                <w:color w:val="495965"/>
                <w:sz w:val="17"/>
                <w:szCs w:val="17"/>
                <w:bdr w:val="none" w:sz="0" w:space="0" w:color="auto"/>
                <w:lang w:val="en-GB" w:eastAsia="en-AU"/>
              </w:rPr>
              <w:t>GoB’s</w:t>
            </w:r>
            <w:proofErr w:type="spellEnd"/>
            <w:r w:rsidRPr="00474078">
              <w:rPr>
                <w:rFonts w:ascii="Calibri Light" w:eastAsia="Calibri Light" w:hAnsi="Calibri Light"/>
                <w:color w:val="495965"/>
                <w:sz w:val="17"/>
                <w:szCs w:val="17"/>
                <w:bdr w:val="none" w:sz="0" w:space="0" w:color="auto"/>
                <w:lang w:val="en-GB" w:eastAsia="en-AU"/>
              </w:rPr>
              <w:t xml:space="preserve"> social protection reform agenda. </w:t>
            </w:r>
          </w:p>
          <w:p w14:paraId="67374AB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3549" w:type="dxa"/>
            <w:tcBorders>
              <w:top w:val="dotted" w:sz="4" w:space="0" w:color="auto"/>
              <w:left w:val="dotted" w:sz="4" w:space="0" w:color="auto"/>
              <w:bottom w:val="dotted" w:sz="4" w:space="0" w:color="auto"/>
              <w:right w:val="dotted" w:sz="4" w:space="0" w:color="auto"/>
            </w:tcBorders>
            <w:shd w:val="clear" w:color="auto" w:fill="auto"/>
          </w:tcPr>
          <w:p w14:paraId="4F39410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BRAC and WFP- has helped respond quickly, effectively and at scale to the humanitarian crisis in Cox’s Bazar. </w:t>
            </w:r>
          </w:p>
          <w:p w14:paraId="628012B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PEDP3 – continues to help leverage modest funding to achieve results at scale in priority areas. </w:t>
            </w:r>
          </w:p>
          <w:p w14:paraId="6659DAC7"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DFID – support </w:t>
            </w:r>
            <w:proofErr w:type="spellStart"/>
            <w:r w:rsidRPr="00474078">
              <w:rPr>
                <w:rFonts w:ascii="Calibri Light" w:eastAsia="Calibri Light" w:hAnsi="Calibri Light"/>
                <w:color w:val="495965"/>
                <w:sz w:val="17"/>
                <w:szCs w:val="17"/>
                <w:bdr w:val="none" w:sz="0" w:space="0" w:color="auto"/>
                <w:lang w:val="en-GB" w:eastAsia="en-AU"/>
              </w:rPr>
              <w:t>GoB’s</w:t>
            </w:r>
            <w:proofErr w:type="spellEnd"/>
            <w:r w:rsidRPr="00474078">
              <w:rPr>
                <w:rFonts w:ascii="Calibri Light" w:eastAsia="Calibri Light" w:hAnsi="Calibri Light"/>
                <w:color w:val="495965"/>
                <w:sz w:val="17"/>
                <w:szCs w:val="17"/>
                <w:bdr w:val="none" w:sz="0" w:space="0" w:color="auto"/>
                <w:lang w:val="en-GB" w:eastAsia="en-AU"/>
              </w:rPr>
              <w:t xml:space="preserve"> reform efforts in the social protection sector.</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202AF344" w14:textId="61AFF1E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1134" w:type="dxa"/>
            <w:tcBorders>
              <w:top w:val="dotted" w:sz="4" w:space="0" w:color="auto"/>
              <w:left w:val="dotted" w:sz="4" w:space="0" w:color="auto"/>
              <w:bottom w:val="dotted" w:sz="4" w:space="0" w:color="auto"/>
              <w:right w:val="dotted" w:sz="4" w:space="0" w:color="auto"/>
            </w:tcBorders>
          </w:tcPr>
          <w:p w14:paraId="2AC32B8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MTR and PPAs</w:t>
            </w:r>
          </w:p>
        </w:tc>
      </w:tr>
      <w:tr w:rsidR="00474078" w:rsidRPr="00474078" w14:paraId="789E562E" w14:textId="77777777" w:rsidTr="009076E1">
        <w:trPr>
          <w:trHeight w:val="450"/>
        </w:trPr>
        <w:tc>
          <w:tcPr>
            <w:tcW w:w="1985" w:type="dxa"/>
            <w:vMerge/>
            <w:tcBorders>
              <w:left w:val="dotted" w:sz="4" w:space="0" w:color="auto"/>
              <w:right w:val="dotted" w:sz="4" w:space="0" w:color="auto"/>
            </w:tcBorders>
            <w:shd w:val="clear" w:color="auto" w:fill="auto"/>
          </w:tcPr>
          <w:p w14:paraId="44A47B7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3964" w:type="dxa"/>
            <w:tcBorders>
              <w:top w:val="dotted" w:sz="4" w:space="0" w:color="auto"/>
              <w:left w:val="dotted" w:sz="4" w:space="0" w:color="auto"/>
              <w:bottom w:val="dotted" w:sz="4" w:space="0" w:color="auto"/>
              <w:right w:val="dotted" w:sz="4" w:space="0" w:color="auto"/>
            </w:tcBorders>
          </w:tcPr>
          <w:p w14:paraId="7520948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All investments rated 4 or above for effectiveness</w:t>
            </w:r>
          </w:p>
          <w:p w14:paraId="7DEE461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c>
          <w:tcPr>
            <w:tcW w:w="3402" w:type="dxa"/>
            <w:tcBorders>
              <w:top w:val="dotted" w:sz="4" w:space="0" w:color="auto"/>
              <w:left w:val="dotted" w:sz="4" w:space="0" w:color="auto"/>
              <w:bottom w:val="dotted" w:sz="4" w:space="0" w:color="auto"/>
              <w:right w:val="dotted" w:sz="4" w:space="0" w:color="auto"/>
            </w:tcBorders>
          </w:tcPr>
          <w:p w14:paraId="3904052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All investments rated 4 or above for effectiveness</w:t>
            </w:r>
          </w:p>
          <w:p w14:paraId="6A456095"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3549" w:type="dxa"/>
            <w:tcBorders>
              <w:top w:val="dotted" w:sz="4" w:space="0" w:color="auto"/>
              <w:left w:val="dotted" w:sz="4" w:space="0" w:color="auto"/>
              <w:bottom w:val="dotted" w:sz="4" w:space="0" w:color="auto"/>
              <w:right w:val="dotted" w:sz="4" w:space="0" w:color="auto"/>
            </w:tcBorders>
            <w:shd w:val="clear" w:color="auto" w:fill="auto"/>
          </w:tcPr>
          <w:p w14:paraId="02972AAB" w14:textId="77777777" w:rsidR="00474078" w:rsidRPr="00474078" w:rsidRDefault="00474078" w:rsidP="00775A5D">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All investments rated 4 or above for effectiveness</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7C4CA33B" w14:textId="4E8CD6B2"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1134" w:type="dxa"/>
            <w:tcBorders>
              <w:top w:val="dotted" w:sz="4" w:space="0" w:color="auto"/>
              <w:left w:val="dotted" w:sz="4" w:space="0" w:color="auto"/>
              <w:bottom w:val="dotted" w:sz="4" w:space="0" w:color="auto"/>
              <w:right w:val="dotted" w:sz="4" w:space="0" w:color="auto"/>
            </w:tcBorders>
          </w:tcPr>
          <w:p w14:paraId="231F08B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AQCs</w:t>
            </w:r>
          </w:p>
        </w:tc>
      </w:tr>
      <w:tr w:rsidR="00474078" w:rsidRPr="00474078" w14:paraId="6E360067" w14:textId="77777777" w:rsidTr="009076E1">
        <w:trPr>
          <w:trHeight w:val="1275"/>
        </w:trPr>
        <w:tc>
          <w:tcPr>
            <w:tcW w:w="1985" w:type="dxa"/>
            <w:vMerge/>
            <w:tcBorders>
              <w:left w:val="dotted" w:sz="4" w:space="0" w:color="auto"/>
              <w:bottom w:val="dotted" w:sz="4" w:space="0" w:color="auto"/>
              <w:right w:val="dotted" w:sz="4" w:space="0" w:color="auto"/>
            </w:tcBorders>
            <w:shd w:val="clear" w:color="auto" w:fill="auto"/>
          </w:tcPr>
          <w:p w14:paraId="6D5D0CA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p>
        </w:tc>
        <w:tc>
          <w:tcPr>
            <w:tcW w:w="3964" w:type="dxa"/>
            <w:tcBorders>
              <w:top w:val="dotted" w:sz="4" w:space="0" w:color="auto"/>
              <w:left w:val="dotted" w:sz="4" w:space="0" w:color="auto"/>
              <w:bottom w:val="dotted" w:sz="4" w:space="0" w:color="auto"/>
              <w:right w:val="dotted" w:sz="4" w:space="0" w:color="auto"/>
            </w:tcBorders>
          </w:tcPr>
          <w:p w14:paraId="25BB833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APPR reports assess progress against objectives as green or give reasoned case for lower mark</w:t>
            </w:r>
          </w:p>
        </w:tc>
        <w:tc>
          <w:tcPr>
            <w:tcW w:w="3402" w:type="dxa"/>
            <w:tcBorders>
              <w:top w:val="dotted" w:sz="4" w:space="0" w:color="auto"/>
              <w:left w:val="dotted" w:sz="4" w:space="0" w:color="auto"/>
              <w:bottom w:val="dotted" w:sz="4" w:space="0" w:color="auto"/>
              <w:right w:val="dotted" w:sz="4" w:space="0" w:color="auto"/>
            </w:tcBorders>
          </w:tcPr>
          <w:p w14:paraId="25A69EE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N/A</w:t>
            </w:r>
          </w:p>
        </w:tc>
        <w:tc>
          <w:tcPr>
            <w:tcW w:w="3549" w:type="dxa"/>
            <w:tcBorders>
              <w:top w:val="dotted" w:sz="4" w:space="0" w:color="auto"/>
              <w:left w:val="dotted" w:sz="4" w:space="0" w:color="auto"/>
              <w:bottom w:val="dotted" w:sz="4" w:space="0" w:color="auto"/>
              <w:right w:val="dotted" w:sz="4" w:space="0" w:color="auto"/>
            </w:tcBorders>
            <w:shd w:val="clear" w:color="auto" w:fill="auto"/>
          </w:tcPr>
          <w:p w14:paraId="042A619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 xml:space="preserve">Both objectives rated as green. An ODE review of 2016-17 APPRs found the Bangladesh APPR assessment to be robust </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68EF2370" w14:textId="3C3807E0"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1134" w:type="dxa"/>
            <w:tcBorders>
              <w:top w:val="dotted" w:sz="4" w:space="0" w:color="auto"/>
              <w:left w:val="dotted" w:sz="4" w:space="0" w:color="auto"/>
              <w:bottom w:val="dotted" w:sz="4" w:space="0" w:color="auto"/>
              <w:right w:val="dotted" w:sz="4" w:space="0" w:color="auto"/>
            </w:tcBorders>
          </w:tcPr>
          <w:p w14:paraId="392F7F5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APPR </w:t>
            </w:r>
          </w:p>
        </w:tc>
      </w:tr>
      <w:tr w:rsidR="00474078" w:rsidRPr="00474078" w14:paraId="1B7CE779" w14:textId="77777777" w:rsidTr="009076E1">
        <w:trPr>
          <w:trHeight w:val="1275"/>
        </w:trPr>
        <w:tc>
          <w:tcPr>
            <w:tcW w:w="1985" w:type="dxa"/>
            <w:tcBorders>
              <w:top w:val="dotted" w:sz="4" w:space="0" w:color="auto"/>
              <w:left w:val="dotted" w:sz="4" w:space="0" w:color="auto"/>
              <w:bottom w:val="dotted" w:sz="4" w:space="0" w:color="auto"/>
              <w:right w:val="dotted" w:sz="4" w:space="0" w:color="auto"/>
            </w:tcBorders>
            <w:shd w:val="clear" w:color="auto" w:fill="auto"/>
          </w:tcPr>
          <w:p w14:paraId="28BA65A8"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b/>
                <w:iCs/>
                <w:color w:val="495965"/>
                <w:sz w:val="18"/>
                <w:szCs w:val="18"/>
                <w:bdr w:val="none" w:sz="0" w:space="0" w:color="auto"/>
                <w:lang w:val="en-AU" w:eastAsia="en-AU"/>
              </w:rPr>
            </w:pPr>
            <w:r w:rsidRPr="00474078">
              <w:rPr>
                <w:rFonts w:ascii="Calibri Light" w:eastAsia="Calibri Light" w:hAnsi="Calibri Light"/>
                <w:b/>
                <w:color w:val="495965"/>
                <w:sz w:val="17"/>
                <w:szCs w:val="17"/>
                <w:bdr w:val="none" w:sz="0" w:space="0" w:color="auto"/>
                <w:lang w:val="en-AU" w:eastAsia="en-AU"/>
              </w:rPr>
              <w:t>1.A consolidated, efficient and effective program</w:t>
            </w:r>
          </w:p>
        </w:tc>
        <w:tc>
          <w:tcPr>
            <w:tcW w:w="3964" w:type="dxa"/>
            <w:tcBorders>
              <w:top w:val="dotted" w:sz="4" w:space="0" w:color="auto"/>
              <w:left w:val="dotted" w:sz="4" w:space="0" w:color="auto"/>
              <w:bottom w:val="dotted" w:sz="4" w:space="0" w:color="auto"/>
              <w:right w:val="dotted" w:sz="4" w:space="0" w:color="auto"/>
            </w:tcBorders>
          </w:tcPr>
          <w:p w14:paraId="11DAA9C9"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i/>
                <w:color w:val="495965"/>
                <w:sz w:val="17"/>
                <w:szCs w:val="17"/>
                <w:bdr w:val="none" w:sz="0" w:space="0" w:color="auto"/>
                <w:lang w:val="en-GB" w:eastAsia="en-AU"/>
              </w:rPr>
              <w:t>Staff have the right skills, knowledge and support to deliver the agreed AIP</w:t>
            </w:r>
          </w:p>
        </w:tc>
        <w:tc>
          <w:tcPr>
            <w:tcW w:w="3402" w:type="dxa"/>
            <w:tcBorders>
              <w:top w:val="dotted" w:sz="4" w:space="0" w:color="auto"/>
              <w:left w:val="dotted" w:sz="4" w:space="0" w:color="auto"/>
              <w:bottom w:val="dotted" w:sz="4" w:space="0" w:color="auto"/>
              <w:right w:val="dotted" w:sz="4" w:space="0" w:color="auto"/>
            </w:tcBorders>
          </w:tcPr>
          <w:p w14:paraId="0CB0500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Relevant staff attend the following training/workshop:</w:t>
            </w:r>
          </w:p>
          <w:p w14:paraId="62F9CA84"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Australia Awards Regional Workshop; </w:t>
            </w:r>
          </w:p>
          <w:p w14:paraId="23DB24D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Office of Trade Negotiations Trade Policy Course;</w:t>
            </w:r>
          </w:p>
          <w:p w14:paraId="2920FB63"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 xml:space="preserve">Humanitarian Emergency Response; </w:t>
            </w:r>
          </w:p>
          <w:p w14:paraId="7158D00A"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Regional Aid Management Training: Design and M&amp;E</w:t>
            </w:r>
          </w:p>
          <w:p w14:paraId="77320FF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South-south Knowledge Collaboration: Designing and Implementing Social Protection Programs for Employment;</w:t>
            </w:r>
          </w:p>
          <w:p w14:paraId="569C163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Strategic Partnership Health Check Workshop;</w:t>
            </w:r>
          </w:p>
          <w:p w14:paraId="3D0DADA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ANCP Partners Consultation Workshop;</w:t>
            </w:r>
          </w:p>
          <w:p w14:paraId="50CAA4F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roofErr w:type="spellStart"/>
            <w:r w:rsidRPr="00474078">
              <w:rPr>
                <w:rFonts w:ascii="Calibri Light" w:eastAsia="Calibri Light" w:hAnsi="Calibri Light"/>
                <w:color w:val="495965"/>
                <w:sz w:val="17"/>
                <w:szCs w:val="17"/>
                <w:bdr w:val="none" w:sz="0" w:space="0" w:color="auto"/>
                <w:lang w:val="en-GB" w:eastAsia="en-AU"/>
              </w:rPr>
              <w:t>AidWorks</w:t>
            </w:r>
            <w:proofErr w:type="spellEnd"/>
            <w:r w:rsidRPr="00474078">
              <w:rPr>
                <w:rFonts w:ascii="Calibri Light" w:eastAsia="Calibri Light" w:hAnsi="Calibri Light"/>
                <w:color w:val="495965"/>
                <w:sz w:val="17"/>
                <w:szCs w:val="17"/>
                <w:bdr w:val="none" w:sz="0" w:space="0" w:color="auto"/>
                <w:lang w:val="en-GB" w:eastAsia="en-AU"/>
              </w:rPr>
              <w:t xml:space="preserve"> Training;</w:t>
            </w:r>
          </w:p>
          <w:p w14:paraId="0926BF3E"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Personal Safety and Confrontation Management Training;</w:t>
            </w:r>
          </w:p>
          <w:p w14:paraId="2E837382"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Work Health and Safety E-learning;</w:t>
            </w:r>
          </w:p>
          <w:p w14:paraId="03F30EBB"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Delegations E-learning;</w:t>
            </w:r>
          </w:p>
          <w:p w14:paraId="1E88E0DF"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Talk on The Asia Foundation survey ‘Bangladesh Democracy Survey’ and Bangladesh’s Electoral System.</w:t>
            </w:r>
          </w:p>
        </w:tc>
        <w:tc>
          <w:tcPr>
            <w:tcW w:w="3549" w:type="dxa"/>
            <w:tcBorders>
              <w:top w:val="dotted" w:sz="4" w:space="0" w:color="auto"/>
              <w:left w:val="dotted" w:sz="4" w:space="0" w:color="auto"/>
              <w:bottom w:val="dotted" w:sz="4" w:space="0" w:color="auto"/>
              <w:right w:val="dotted" w:sz="4" w:space="0" w:color="auto"/>
            </w:tcBorders>
            <w:shd w:val="clear" w:color="auto" w:fill="auto"/>
          </w:tcPr>
          <w:p w14:paraId="042782B0"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r w:rsidRPr="00474078">
              <w:rPr>
                <w:rFonts w:ascii="Calibri Light" w:eastAsia="Calibri Light" w:hAnsi="Calibri Light"/>
                <w:color w:val="495965"/>
                <w:sz w:val="17"/>
                <w:szCs w:val="17"/>
                <w:bdr w:val="none" w:sz="0" w:space="0" w:color="auto"/>
                <w:lang w:val="en-GB" w:eastAsia="en-AU"/>
              </w:rPr>
              <w:t>APPR management consequences sets out required staff capacities and staff up to date on relevant trainings/ workshops</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7ACD4BD6" w14:textId="046146DA"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i/>
                <w:color w:val="495965"/>
                <w:sz w:val="17"/>
                <w:szCs w:val="17"/>
                <w:bdr w:val="none" w:sz="0" w:space="0" w:color="auto"/>
                <w:lang w:val="en-GB" w:eastAsia="en-AU"/>
              </w:rPr>
            </w:pPr>
          </w:p>
        </w:tc>
        <w:tc>
          <w:tcPr>
            <w:tcW w:w="1134" w:type="dxa"/>
            <w:tcBorders>
              <w:top w:val="dotted" w:sz="4" w:space="0" w:color="auto"/>
              <w:left w:val="dotted" w:sz="4" w:space="0" w:color="auto"/>
              <w:bottom w:val="dotted" w:sz="4" w:space="0" w:color="auto"/>
              <w:right w:val="dotted" w:sz="4" w:space="0" w:color="auto"/>
            </w:tcBorders>
          </w:tcPr>
          <w:p w14:paraId="30E34FE6" w14:textId="77777777" w:rsidR="00474078" w:rsidRPr="00474078" w:rsidRDefault="00474078" w:rsidP="00474078">
            <w:pPr>
              <w:pBdr>
                <w:top w:val="none" w:sz="0" w:space="0" w:color="auto"/>
                <w:left w:val="none" w:sz="0" w:space="0" w:color="auto"/>
                <w:bottom w:val="none" w:sz="0" w:space="0" w:color="auto"/>
                <w:right w:val="none" w:sz="0" w:space="0" w:color="auto"/>
                <w:between w:val="none" w:sz="0" w:space="0" w:color="auto"/>
                <w:bar w:val="none" w:sz="0" w:color="auto"/>
              </w:pBdr>
              <w:tabs>
                <w:tab w:val="left" w:pos="1635"/>
              </w:tabs>
              <w:suppressAutoHyphens/>
              <w:spacing w:before="120" w:after="60" w:line="230" w:lineRule="atLeast"/>
              <w:rPr>
                <w:rFonts w:ascii="Calibri Light" w:eastAsia="Calibri Light" w:hAnsi="Calibri Light"/>
                <w:color w:val="495965"/>
                <w:sz w:val="17"/>
                <w:szCs w:val="17"/>
                <w:bdr w:val="none" w:sz="0" w:space="0" w:color="auto"/>
                <w:lang w:val="en-GB" w:eastAsia="en-AU"/>
              </w:rPr>
            </w:pPr>
          </w:p>
        </w:tc>
      </w:tr>
    </w:tbl>
    <w:p w14:paraId="5EA5002C" w14:textId="2AB6D0D3" w:rsidR="003B4A93" w:rsidRDefault="003B4A93">
      <w:pPr>
        <w:pStyle w:val="BodyA"/>
        <w:sectPr w:rsidR="003B4A93" w:rsidSect="00775A5D">
          <w:headerReference w:type="default" r:id="rId33"/>
          <w:footerReference w:type="default" r:id="rId34"/>
          <w:pgSz w:w="16840" w:h="11900" w:orient="landscape"/>
          <w:pgMar w:top="720" w:right="720" w:bottom="720" w:left="720" w:header="709" w:footer="230" w:gutter="0"/>
          <w:cols w:space="720"/>
          <w:docGrid w:linePitch="326"/>
        </w:sectPr>
      </w:pPr>
    </w:p>
    <w:p w14:paraId="7B047C3C" w14:textId="47935C1D" w:rsidR="003B4A93" w:rsidRDefault="003B4A93" w:rsidP="006C7285">
      <w:pPr>
        <w:pStyle w:val="BodyA"/>
      </w:pPr>
    </w:p>
    <w:sectPr w:rsidR="003B4A93">
      <w:headerReference w:type="default" r:id="rId35"/>
      <w:footerReference w:type="default" r:id="rId36"/>
      <w:pgSz w:w="11900" w:h="16840"/>
      <w:pgMar w:top="1527" w:right="1134" w:bottom="851" w:left="1134" w:header="709"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2BE8" w14:textId="77777777" w:rsidR="004E389D" w:rsidRDefault="004E389D">
      <w:r>
        <w:separator/>
      </w:r>
    </w:p>
  </w:endnote>
  <w:endnote w:type="continuationSeparator" w:id="0">
    <w:p w14:paraId="5CC394C2" w14:textId="77777777" w:rsidR="004E389D" w:rsidRDefault="004E389D">
      <w:r>
        <w:continuationSeparator/>
      </w:r>
    </w:p>
  </w:endnote>
  <w:endnote w:type="continuationNotice" w:id="1">
    <w:p w14:paraId="5A486CEA" w14:textId="77777777" w:rsidR="004E389D" w:rsidRDefault="004E3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B9DB" w14:textId="77777777" w:rsidR="009F7DD8" w:rsidRDefault="009F7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034209"/>
      <w:docPartObj>
        <w:docPartGallery w:val="Page Numbers (Bottom of Page)"/>
        <w:docPartUnique/>
      </w:docPartObj>
    </w:sdtPr>
    <w:sdtEndPr>
      <w:rPr>
        <w:color w:val="7F7F7F" w:themeColor="background1" w:themeShade="7F"/>
        <w:spacing w:val="60"/>
      </w:rPr>
    </w:sdtEndPr>
    <w:sdtContent>
      <w:p w14:paraId="3AD18B7F" w14:textId="727D67C7" w:rsidR="004E389D" w:rsidRDefault="004E38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4F2A" w:rsidRPr="00E04F2A">
          <w:rPr>
            <w:b/>
            <w:bCs/>
            <w:noProof/>
          </w:rPr>
          <w:t>21</w:t>
        </w:r>
        <w:r>
          <w:rPr>
            <w:b/>
            <w:bCs/>
            <w:noProof/>
          </w:rPr>
          <w:fldChar w:fldCharType="end"/>
        </w:r>
        <w:r>
          <w:rPr>
            <w:b/>
            <w:bCs/>
          </w:rPr>
          <w:t xml:space="preserve"> | </w:t>
        </w:r>
        <w:r>
          <w:rPr>
            <w:color w:val="7F7F7F" w:themeColor="background1" w:themeShade="7F"/>
            <w:spacing w:val="60"/>
          </w:rPr>
          <w:t>Page</w:t>
        </w:r>
      </w:p>
    </w:sdtContent>
  </w:sdt>
  <w:p w14:paraId="13E16D0B" w14:textId="77777777" w:rsidR="004E389D" w:rsidRDefault="004E3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80D3" w14:textId="77777777" w:rsidR="009F7DD8" w:rsidRDefault="009F7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244632"/>
      <w:docPartObj>
        <w:docPartGallery w:val="Page Numbers (Bottom of Page)"/>
        <w:docPartUnique/>
      </w:docPartObj>
    </w:sdtPr>
    <w:sdtEndPr>
      <w:rPr>
        <w:color w:val="7F7F7F" w:themeColor="background1" w:themeShade="7F"/>
        <w:spacing w:val="60"/>
      </w:rPr>
    </w:sdtEndPr>
    <w:sdtContent>
      <w:p w14:paraId="7BF903E3" w14:textId="07D43EF1" w:rsidR="004E389D" w:rsidRDefault="004E38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7DD8" w:rsidRPr="009F7DD8">
          <w:rPr>
            <w:b/>
            <w:bCs/>
            <w:noProof/>
          </w:rPr>
          <w:t>26</w:t>
        </w:r>
        <w:r>
          <w:rPr>
            <w:b/>
            <w:bCs/>
            <w:noProof/>
          </w:rPr>
          <w:fldChar w:fldCharType="end"/>
        </w:r>
        <w:r>
          <w:rPr>
            <w:b/>
            <w:bCs/>
          </w:rPr>
          <w:t xml:space="preserve"> | </w:t>
        </w:r>
        <w:r>
          <w:rPr>
            <w:color w:val="7F7F7F" w:themeColor="background1" w:themeShade="7F"/>
            <w:spacing w:val="60"/>
          </w:rPr>
          <w:t>Page</w:t>
        </w:r>
      </w:p>
    </w:sdtContent>
  </w:sdt>
  <w:p w14:paraId="40C08348" w14:textId="5487E214" w:rsidR="004E389D" w:rsidRDefault="004E38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0E78" w14:textId="77777777" w:rsidR="004E389D" w:rsidRDefault="004E389D">
    <w:pPr>
      <w:pStyle w:val="Footer"/>
    </w:pPr>
    <w:r>
      <w:rPr>
        <w:rStyle w:val="None"/>
        <w:noProof/>
        <w:color w:val="000000"/>
        <w:u w:color="000000"/>
        <w:lang w:val="en-AU"/>
      </w:rPr>
      <w:drawing>
        <wp:inline distT="0" distB="0" distL="0" distR="0" wp14:anchorId="35CFABE4" wp14:editId="7B02180D">
          <wp:extent cx="90000" cy="74520"/>
          <wp:effectExtent l="0" t="0" r="0" b="0"/>
          <wp:docPr id="1073741850" name="officeArt object" descr="Twitter-icon.png"/>
          <wp:cNvGraphicFramePr/>
          <a:graphic xmlns:a="http://schemas.openxmlformats.org/drawingml/2006/main">
            <a:graphicData uri="http://schemas.openxmlformats.org/drawingml/2006/picture">
              <pic:pic xmlns:pic="http://schemas.openxmlformats.org/drawingml/2006/picture">
                <pic:nvPicPr>
                  <pic:cNvPr id="1073741833" name="Twitter-icon.png" descr="Twitter-icon.png"/>
                  <pic:cNvPicPr>
                    <a:picLocks noChangeAspect="1"/>
                  </pic:cNvPicPr>
                </pic:nvPicPr>
                <pic:blipFill>
                  <a:blip r:embed="rId1">
                    <a:extLst/>
                  </a:blip>
                  <a:stretch>
                    <a:fillRect/>
                  </a:stretch>
                </pic:blipFill>
                <pic:spPr>
                  <a:xfrm>
                    <a:off x="0" y="0"/>
                    <a:ext cx="90000" cy="74520"/>
                  </a:xfrm>
                  <a:prstGeom prst="rect">
                    <a:avLst/>
                  </a:prstGeom>
                  <a:ln w="12700" cap="flat">
                    <a:noFill/>
                    <a:miter lim="400000"/>
                  </a:ln>
                  <a:effectLst/>
                </pic:spPr>
              </pic:pic>
            </a:graphicData>
          </a:graphic>
        </wp:inline>
      </w:drawing>
    </w:r>
    <w:r>
      <w:t>@DFAT</w:t>
    </w:r>
  </w:p>
  <w:p w14:paraId="1A9EFA32" w14:textId="77777777" w:rsidR="004E389D" w:rsidRDefault="004E389D">
    <w:pPr>
      <w:pStyle w:val="Footer"/>
    </w:pPr>
    <w:r>
      <w:rPr>
        <w:rStyle w:val="None"/>
        <w:color w:val="ACD08C"/>
        <w:u w:color="ACD08C"/>
      </w:rPr>
      <w:t>DFAT.GOV.AU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44595"/>
      <w:docPartObj>
        <w:docPartGallery w:val="Page Numbers (Bottom of Page)"/>
        <w:docPartUnique/>
      </w:docPartObj>
    </w:sdtPr>
    <w:sdtEndPr>
      <w:rPr>
        <w:color w:val="7F7F7F" w:themeColor="background1" w:themeShade="7F"/>
        <w:spacing w:val="60"/>
      </w:rPr>
    </w:sdtEndPr>
    <w:sdtContent>
      <w:p w14:paraId="74783EFF" w14:textId="55628BE5" w:rsidR="004E389D" w:rsidRDefault="004E38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7DD8" w:rsidRPr="009F7DD8">
          <w:rPr>
            <w:b/>
            <w:bCs/>
            <w:noProof/>
          </w:rPr>
          <w:t>28</w:t>
        </w:r>
        <w:r>
          <w:rPr>
            <w:b/>
            <w:bCs/>
            <w:noProof/>
          </w:rPr>
          <w:fldChar w:fldCharType="end"/>
        </w:r>
        <w:r>
          <w:rPr>
            <w:b/>
            <w:bCs/>
          </w:rPr>
          <w:t xml:space="preserve"> | </w:t>
        </w:r>
        <w:r>
          <w:rPr>
            <w:color w:val="7F7F7F" w:themeColor="background1" w:themeShade="7F"/>
            <w:spacing w:val="60"/>
          </w:rPr>
          <w:t>Page</w:t>
        </w:r>
      </w:p>
    </w:sdtContent>
  </w:sdt>
  <w:p w14:paraId="4D6D44B6" w14:textId="77777777" w:rsidR="004E389D" w:rsidRDefault="004E38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3079"/>
      <w:docPartObj>
        <w:docPartGallery w:val="Page Numbers (Bottom of Page)"/>
        <w:docPartUnique/>
      </w:docPartObj>
    </w:sdtPr>
    <w:sdtEndPr>
      <w:rPr>
        <w:color w:val="7F7F7F" w:themeColor="background1" w:themeShade="7F"/>
        <w:spacing w:val="60"/>
      </w:rPr>
    </w:sdtEndPr>
    <w:sdtContent>
      <w:p w14:paraId="69B5816E" w14:textId="7B238B7D" w:rsidR="004E389D" w:rsidRDefault="004E38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7DD8" w:rsidRPr="009F7DD8">
          <w:rPr>
            <w:b/>
            <w:bCs/>
            <w:noProof/>
          </w:rPr>
          <w:t>38</w:t>
        </w:r>
        <w:r>
          <w:rPr>
            <w:b/>
            <w:bCs/>
            <w:noProof/>
          </w:rPr>
          <w:fldChar w:fldCharType="end"/>
        </w:r>
        <w:r>
          <w:rPr>
            <w:b/>
            <w:bCs/>
          </w:rPr>
          <w:t xml:space="preserve"> | </w:t>
        </w:r>
        <w:r>
          <w:rPr>
            <w:color w:val="7F7F7F" w:themeColor="background1" w:themeShade="7F"/>
            <w:spacing w:val="60"/>
          </w:rPr>
          <w:t>Page</w:t>
        </w:r>
      </w:p>
    </w:sdtContent>
  </w:sdt>
  <w:p w14:paraId="5533B03B" w14:textId="3DFE8EB5" w:rsidR="004E389D" w:rsidRDefault="004E38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3DCD" w14:textId="77777777" w:rsidR="004E389D" w:rsidRDefault="004E389D">
    <w:pPr>
      <w:pStyle w:val="Footer"/>
    </w:pPr>
    <w:r>
      <w:rPr>
        <w:rStyle w:val="None"/>
        <w:noProof/>
        <w:color w:val="000000"/>
        <w:u w:color="000000"/>
        <w:lang w:val="en-AU"/>
      </w:rPr>
      <w:drawing>
        <wp:inline distT="0" distB="0" distL="0" distR="0" wp14:anchorId="7289C0F9" wp14:editId="29BD171B">
          <wp:extent cx="90000" cy="74520"/>
          <wp:effectExtent l="0" t="0" r="0" b="0"/>
          <wp:docPr id="1073741835" name="officeArt object" descr="Twitter-icon.png"/>
          <wp:cNvGraphicFramePr/>
          <a:graphic xmlns:a="http://schemas.openxmlformats.org/drawingml/2006/main">
            <a:graphicData uri="http://schemas.openxmlformats.org/drawingml/2006/picture">
              <pic:pic xmlns:pic="http://schemas.openxmlformats.org/drawingml/2006/picture">
                <pic:nvPicPr>
                  <pic:cNvPr id="1073741837" name="Twitter-icon.png" descr="Twitter-icon.png"/>
                  <pic:cNvPicPr>
                    <a:picLocks noChangeAspect="1"/>
                  </pic:cNvPicPr>
                </pic:nvPicPr>
                <pic:blipFill>
                  <a:blip r:embed="rId1">
                    <a:extLst/>
                  </a:blip>
                  <a:stretch>
                    <a:fillRect/>
                  </a:stretch>
                </pic:blipFill>
                <pic:spPr>
                  <a:xfrm>
                    <a:off x="0" y="0"/>
                    <a:ext cx="90000" cy="7452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DD35" w14:textId="77777777" w:rsidR="004E389D" w:rsidRDefault="004E389D">
      <w:r>
        <w:separator/>
      </w:r>
    </w:p>
  </w:footnote>
  <w:footnote w:type="continuationSeparator" w:id="0">
    <w:p w14:paraId="46077A9B" w14:textId="77777777" w:rsidR="004E389D" w:rsidRDefault="004E389D">
      <w:r>
        <w:continuationSeparator/>
      </w:r>
    </w:p>
  </w:footnote>
  <w:footnote w:type="continuationNotice" w:id="1">
    <w:p w14:paraId="56844F17" w14:textId="77777777" w:rsidR="004E389D" w:rsidRDefault="004E389D"/>
  </w:footnote>
  <w:footnote w:id="2">
    <w:p w14:paraId="19B22B56" w14:textId="77777777" w:rsidR="004E389D" w:rsidRPr="000D29CF" w:rsidRDefault="004E389D" w:rsidP="004B4EB5">
      <w:pPr>
        <w:pStyle w:val="FootnoteText"/>
        <w:rPr>
          <w:lang w:val="en-AU"/>
        </w:rPr>
      </w:pPr>
      <w:r>
        <w:rPr>
          <w:rStyle w:val="FootnoteReference"/>
        </w:rPr>
        <w:footnoteRef/>
      </w:r>
      <w:r w:rsidRPr="00594B10">
        <w:rPr>
          <w:rStyle w:val="FootnoteReference"/>
        </w:rPr>
        <w:t xml:space="preserve"> </w:t>
      </w:r>
      <w:r w:rsidRPr="00594B10">
        <w:rPr>
          <w:rFonts w:ascii="Calibri Light" w:eastAsia="Calibri Light" w:hAnsi="Calibri Light"/>
          <w:color w:val="495965"/>
          <w:sz w:val="18"/>
          <w:szCs w:val="18"/>
          <w:bdr w:val="none" w:sz="0" w:space="0" w:color="auto"/>
          <w:lang w:val="en-GB" w:eastAsia="en-US"/>
        </w:rPr>
        <w:t xml:space="preserve">The </w:t>
      </w:r>
      <w:r>
        <w:rPr>
          <w:rFonts w:ascii="Calibri Light" w:eastAsia="Calibri Light" w:hAnsi="Calibri Light"/>
          <w:color w:val="495965"/>
          <w:sz w:val="18"/>
          <w:szCs w:val="18"/>
          <w:bdr w:val="none" w:sz="0" w:space="0" w:color="auto"/>
          <w:lang w:val="en-GB" w:eastAsia="en-US"/>
        </w:rPr>
        <w:t xml:space="preserve">PAF was revised with new humanitarian targets, following Australia’s response to the Rohingya crisis, which we will report against in </w:t>
      </w:r>
      <w:r w:rsidRPr="000D29CF">
        <w:rPr>
          <w:rFonts w:ascii="Calibri Light" w:eastAsia="Calibri Light" w:hAnsi="Calibri Light"/>
          <w:color w:val="495965"/>
          <w:sz w:val="18"/>
          <w:szCs w:val="18"/>
          <w:bdr w:val="none" w:sz="0" w:space="0" w:color="auto"/>
          <w:lang w:val="en-GB" w:eastAsia="en-US"/>
        </w:rPr>
        <w:t>2018-19.</w:t>
      </w:r>
    </w:p>
  </w:footnote>
  <w:footnote w:id="3">
    <w:p w14:paraId="63353F88" w14:textId="77777777" w:rsidR="004E389D" w:rsidRPr="00762291" w:rsidRDefault="004E389D" w:rsidP="004B4EB5">
      <w:pPr>
        <w:pStyle w:val="FootnoteText"/>
        <w:rPr>
          <w:lang w:val="en-AU"/>
        </w:rPr>
      </w:pPr>
      <w:r>
        <w:rPr>
          <w:rStyle w:val="FootnoteReference"/>
        </w:rPr>
        <w:footnoteRef/>
      </w:r>
      <w:r>
        <w:t xml:space="preserve"> </w:t>
      </w:r>
      <w:r w:rsidRPr="00762291">
        <w:rPr>
          <w:rFonts w:ascii="Calibri Light" w:eastAsia="Calibri Light" w:hAnsi="Calibri Light"/>
          <w:color w:val="495965"/>
          <w:sz w:val="18"/>
          <w:szCs w:val="18"/>
          <w:bdr w:val="none" w:sz="0" w:space="0" w:color="auto"/>
          <w:lang w:val="en-GB" w:eastAsia="en-US"/>
        </w:rPr>
        <w:t>All investments performed strongly against gender indicators, exceeding Australia’s strategic target for gender equality, which is a rating of satisfactory of above in gender equality for 80 per cent of Australian investments.</w:t>
      </w:r>
      <w:r>
        <w:rPr>
          <w:lang w:val="en-AU"/>
        </w:rPr>
        <w:t xml:space="preserve"> </w:t>
      </w:r>
    </w:p>
  </w:footnote>
  <w:footnote w:id="4">
    <w:p w14:paraId="17C35077" w14:textId="77777777" w:rsidR="004E389D" w:rsidRPr="009643A0" w:rsidRDefault="004E389D" w:rsidP="00A34400">
      <w:pPr>
        <w:pStyle w:val="FootnoteText"/>
        <w:rPr>
          <w:rFonts w:asciiTheme="minorHAnsi" w:eastAsia="Calibri Light" w:hAnsiTheme="minorHAnsi" w:cs="Calibri Light"/>
          <w:color w:val="495965"/>
          <w:sz w:val="18"/>
          <w:szCs w:val="18"/>
          <w:u w:color="495965"/>
        </w:rPr>
      </w:pPr>
      <w:r w:rsidRPr="009643A0">
        <w:rPr>
          <w:rStyle w:val="FootnoteReference"/>
          <w:rFonts w:asciiTheme="minorHAnsi" w:hAnsiTheme="minorHAnsi"/>
        </w:rPr>
        <w:footnoteRef/>
      </w:r>
      <w:r w:rsidRPr="009643A0">
        <w:rPr>
          <w:rStyle w:val="FootnoteReference"/>
          <w:rFonts w:asciiTheme="minorHAnsi" w:hAnsiTheme="minorHAnsi"/>
        </w:rPr>
        <w:t xml:space="preserve"> </w:t>
      </w:r>
      <w:r w:rsidRPr="00CA0216">
        <w:rPr>
          <w:rFonts w:asciiTheme="minorHAnsi" w:eastAsia="Calibri Light" w:hAnsiTheme="minorHAnsi" w:cs="Calibri Light"/>
          <w:color w:val="495965"/>
          <w:sz w:val="18"/>
          <w:szCs w:val="18"/>
          <w:u w:color="495965"/>
        </w:rPr>
        <w:t>https://data.worldbank.org/country/bangladesh</w:t>
      </w:r>
    </w:p>
  </w:footnote>
  <w:footnote w:id="5">
    <w:p w14:paraId="3AF2A598" w14:textId="77777777" w:rsidR="004E389D" w:rsidRPr="009643A0" w:rsidRDefault="004E389D" w:rsidP="00A34400">
      <w:pPr>
        <w:pStyle w:val="FootnoteText"/>
        <w:rPr>
          <w:rFonts w:asciiTheme="minorHAnsi" w:eastAsia="Calibri Light" w:hAnsiTheme="minorHAnsi" w:cs="Calibri Light"/>
          <w:color w:val="495965"/>
          <w:sz w:val="18"/>
          <w:szCs w:val="18"/>
          <w:u w:color="495965"/>
        </w:rPr>
      </w:pPr>
      <w:r w:rsidRPr="009643A0">
        <w:rPr>
          <w:rStyle w:val="FootnoteReference"/>
          <w:rFonts w:asciiTheme="minorHAnsi" w:hAnsiTheme="minorHAnsi"/>
        </w:rPr>
        <w:footnoteRef/>
      </w:r>
      <w:r w:rsidRPr="009643A0">
        <w:rPr>
          <w:rStyle w:val="FootnoteReference"/>
          <w:rFonts w:asciiTheme="minorHAnsi" w:hAnsiTheme="minorHAnsi"/>
        </w:rPr>
        <w:t xml:space="preserve"> </w:t>
      </w:r>
      <w:r w:rsidRPr="009643A0">
        <w:rPr>
          <w:rFonts w:asciiTheme="minorHAnsi" w:eastAsia="Calibri Light" w:hAnsiTheme="minorHAnsi" w:cs="Calibri Light"/>
          <w:color w:val="495965"/>
          <w:sz w:val="18"/>
          <w:szCs w:val="18"/>
          <w:u w:color="495965"/>
        </w:rPr>
        <w:t>Bangladesh Development Update (April 2018), World Bank.</w:t>
      </w:r>
    </w:p>
  </w:footnote>
  <w:footnote w:id="6">
    <w:p w14:paraId="09C7932F" w14:textId="77777777" w:rsidR="004E389D" w:rsidRPr="009F5973" w:rsidRDefault="004E389D" w:rsidP="00A34400">
      <w:pPr>
        <w:pStyle w:val="FootnoteText"/>
        <w:rPr>
          <w:rFonts w:asciiTheme="minorHAnsi" w:hAnsiTheme="minorHAnsi"/>
          <w:lang w:val="en-AU"/>
        </w:rPr>
      </w:pPr>
      <w:r w:rsidRPr="009643A0">
        <w:rPr>
          <w:rStyle w:val="FootnoteReference"/>
          <w:rFonts w:asciiTheme="minorHAnsi" w:hAnsiTheme="minorHAnsi"/>
        </w:rPr>
        <w:footnoteRef/>
      </w:r>
      <w:r w:rsidRPr="009643A0">
        <w:rPr>
          <w:rFonts w:asciiTheme="minorHAnsi" w:hAnsiTheme="minorHAnsi"/>
        </w:rPr>
        <w:t xml:space="preserve"> </w:t>
      </w:r>
      <w:r w:rsidRPr="009F5973">
        <w:rPr>
          <w:rFonts w:asciiTheme="minorHAnsi" w:eastAsia="Calibri Light" w:hAnsiTheme="minorHAnsi" w:cs="Calibri Light"/>
          <w:color w:val="495965"/>
          <w:sz w:val="18"/>
          <w:szCs w:val="18"/>
          <w:u w:color="495965"/>
        </w:rPr>
        <w:t xml:space="preserve">DFID Business Case, YES for Growth, May 2017  </w:t>
      </w:r>
    </w:p>
  </w:footnote>
  <w:footnote w:id="7">
    <w:p w14:paraId="4866392E" w14:textId="77777777" w:rsidR="004E389D" w:rsidRPr="009643A0" w:rsidRDefault="004E389D" w:rsidP="00A34400">
      <w:pPr>
        <w:pStyle w:val="FootnoteText"/>
        <w:rPr>
          <w:rFonts w:asciiTheme="minorHAnsi" w:hAnsiTheme="minorHAnsi"/>
          <w:highlight w:val="yellow"/>
          <w:lang w:val="en-AU"/>
        </w:rPr>
      </w:pPr>
      <w:r w:rsidRPr="009F5973">
        <w:rPr>
          <w:rStyle w:val="FootnoteReference"/>
          <w:rFonts w:asciiTheme="minorHAnsi" w:hAnsiTheme="minorHAnsi"/>
        </w:rPr>
        <w:footnoteRef/>
      </w:r>
      <w:r w:rsidRPr="009F5973">
        <w:rPr>
          <w:rFonts w:asciiTheme="minorHAnsi" w:hAnsiTheme="minorHAnsi"/>
          <w:lang w:val="en-AU"/>
        </w:rPr>
        <w:t xml:space="preserve"> </w:t>
      </w:r>
      <w:r w:rsidRPr="009F5973">
        <w:rPr>
          <w:rFonts w:asciiTheme="minorHAnsi" w:eastAsia="Calibri Light" w:hAnsiTheme="minorHAnsi" w:cs="Calibri Light"/>
          <w:color w:val="495965"/>
          <w:sz w:val="18"/>
          <w:szCs w:val="18"/>
          <w:u w:color="495965"/>
        </w:rPr>
        <w:t xml:space="preserve">DFID Business Case, Yes for Growth, May 2017 </w:t>
      </w:r>
    </w:p>
  </w:footnote>
  <w:footnote w:id="8">
    <w:p w14:paraId="14AC8204" w14:textId="77777777" w:rsidR="004E389D" w:rsidRPr="00CD3019" w:rsidRDefault="004E389D" w:rsidP="00A34400">
      <w:pPr>
        <w:pStyle w:val="FootnoteText"/>
        <w:rPr>
          <w:lang w:val="en-AU"/>
        </w:rPr>
      </w:pPr>
      <w:r>
        <w:rPr>
          <w:rStyle w:val="FootnoteReference"/>
        </w:rPr>
        <w:footnoteRef/>
      </w:r>
      <w:r>
        <w:t xml:space="preserve"> </w:t>
      </w:r>
      <w:r w:rsidRPr="009F5973">
        <w:rPr>
          <w:rFonts w:asciiTheme="minorHAnsi" w:eastAsia="Calibri Light" w:hAnsiTheme="minorHAnsi" w:cs="Calibri Light"/>
          <w:color w:val="495965"/>
          <w:sz w:val="18"/>
          <w:szCs w:val="18"/>
          <w:u w:color="495965"/>
        </w:rPr>
        <w:t>DFID Business Case, Yes for Growth, May 2017</w:t>
      </w:r>
    </w:p>
  </w:footnote>
  <w:footnote w:id="9">
    <w:p w14:paraId="390480EF" w14:textId="20BE5EC9" w:rsidR="004E389D" w:rsidRPr="009643A0" w:rsidRDefault="004E389D" w:rsidP="00A34400">
      <w:pPr>
        <w:pStyle w:val="FootnoteText"/>
        <w:rPr>
          <w:rFonts w:asciiTheme="minorHAnsi" w:hAnsiTheme="minorHAnsi"/>
          <w:lang w:val="en-AU"/>
        </w:rPr>
      </w:pPr>
      <w:r w:rsidRPr="009643A0">
        <w:rPr>
          <w:rStyle w:val="FootnoteReference"/>
          <w:rFonts w:asciiTheme="minorHAnsi" w:hAnsiTheme="minorHAnsi"/>
        </w:rPr>
        <w:footnoteRef/>
      </w:r>
      <w:r w:rsidRPr="009643A0">
        <w:rPr>
          <w:rFonts w:asciiTheme="minorHAnsi" w:hAnsiTheme="minorHAnsi"/>
        </w:rPr>
        <w:t xml:space="preserve"> </w:t>
      </w:r>
      <w:r>
        <w:rPr>
          <w:rFonts w:asciiTheme="minorHAnsi" w:eastAsia="Calibri Light" w:hAnsiTheme="minorHAnsi" w:cs="Calibri Light"/>
          <w:color w:val="495965"/>
          <w:sz w:val="18"/>
          <w:szCs w:val="18"/>
          <w:u w:color="495965"/>
        </w:rPr>
        <w:t xml:space="preserve">Centre for Policy Dialogue (CPD) report on </w:t>
      </w:r>
      <w:r w:rsidRPr="00944EDA">
        <w:rPr>
          <w:rFonts w:asciiTheme="minorHAnsi" w:eastAsia="Calibri Light" w:hAnsiTheme="minorHAnsi" w:cs="Calibri Light"/>
          <w:i/>
          <w:color w:val="495965"/>
          <w:sz w:val="18"/>
          <w:szCs w:val="18"/>
          <w:u w:color="495965"/>
        </w:rPr>
        <w:t>Interim Review of Macroeconomic Performance</w:t>
      </w:r>
      <w:r>
        <w:rPr>
          <w:rFonts w:asciiTheme="minorHAnsi" w:eastAsia="Calibri Light" w:hAnsiTheme="minorHAnsi" w:cs="Calibri Light"/>
          <w:color w:val="495965"/>
          <w:sz w:val="18"/>
          <w:szCs w:val="18"/>
          <w:u w:color="495965"/>
        </w:rPr>
        <w:t xml:space="preserve"> (June 2018): </w:t>
      </w:r>
      <w:r w:rsidRPr="009643A0">
        <w:rPr>
          <w:rFonts w:asciiTheme="minorHAnsi" w:eastAsia="Calibri Light" w:hAnsiTheme="minorHAnsi" w:cs="Calibri Light"/>
          <w:color w:val="495965"/>
          <w:sz w:val="18"/>
          <w:szCs w:val="18"/>
          <w:u w:color="495965"/>
        </w:rPr>
        <w:t xml:space="preserve">The share of income of the lowest five per cent of households dropped to 0.23 per cent in 2016 from 0.78 per cent (2010). While the income share of the top 5 per cent of households went up to 27.89 per cent in </w:t>
      </w:r>
      <w:r>
        <w:rPr>
          <w:rFonts w:asciiTheme="minorHAnsi" w:eastAsia="Calibri Light" w:hAnsiTheme="minorHAnsi" w:cs="Calibri Light"/>
          <w:color w:val="495965"/>
          <w:sz w:val="18"/>
          <w:szCs w:val="18"/>
          <w:u w:color="495965"/>
        </w:rPr>
        <w:t>2016 from 24.61 per cent (2010); Bangladesh Development Update (April 2018), World Bank.</w:t>
      </w:r>
    </w:p>
  </w:footnote>
  <w:footnote w:id="10">
    <w:p w14:paraId="7CD3347A" w14:textId="77777777" w:rsidR="004E389D" w:rsidRPr="009643A0" w:rsidRDefault="004E389D" w:rsidP="00A34400">
      <w:pPr>
        <w:pStyle w:val="FootnoteText"/>
        <w:rPr>
          <w:rFonts w:asciiTheme="minorHAnsi" w:hAnsiTheme="minorHAnsi"/>
          <w:lang w:val="en-AU"/>
        </w:rPr>
      </w:pPr>
      <w:r w:rsidRPr="009643A0">
        <w:rPr>
          <w:rStyle w:val="FootnoteReference"/>
          <w:rFonts w:asciiTheme="minorHAnsi" w:hAnsiTheme="minorHAnsi"/>
        </w:rPr>
        <w:footnoteRef/>
      </w:r>
      <w:r w:rsidRPr="009643A0">
        <w:rPr>
          <w:rFonts w:asciiTheme="minorHAnsi" w:hAnsiTheme="minorHAnsi"/>
          <w:sz w:val="18"/>
          <w:szCs w:val="18"/>
        </w:rPr>
        <w:t xml:space="preserve"> </w:t>
      </w:r>
      <w:r w:rsidRPr="009643A0">
        <w:rPr>
          <w:rFonts w:asciiTheme="minorHAnsi" w:eastAsia="Calibri Light" w:hAnsiTheme="minorHAnsi" w:cs="Calibri Light"/>
          <w:color w:val="495965"/>
          <w:sz w:val="18"/>
          <w:szCs w:val="18"/>
          <w:u w:color="495965"/>
        </w:rPr>
        <w:t>Bangladesh Development Update (April 2018), World Bank</w:t>
      </w:r>
    </w:p>
  </w:footnote>
  <w:footnote w:id="11">
    <w:p w14:paraId="4D911C7D" w14:textId="77777777" w:rsidR="004E389D" w:rsidRPr="009643A0" w:rsidRDefault="004E389D" w:rsidP="00A34400">
      <w:pPr>
        <w:pStyle w:val="FootnoteText"/>
        <w:rPr>
          <w:rFonts w:asciiTheme="minorHAnsi" w:hAnsiTheme="minorHAnsi"/>
          <w:lang w:val="en-AU"/>
        </w:rPr>
      </w:pPr>
      <w:r w:rsidRPr="001E49FD">
        <w:rPr>
          <w:rStyle w:val="FootnoteReference"/>
          <w:rFonts w:asciiTheme="minorHAnsi" w:hAnsiTheme="minorHAnsi"/>
        </w:rPr>
        <w:footnoteRef/>
      </w:r>
      <w:r w:rsidRPr="001E49FD">
        <w:rPr>
          <w:rStyle w:val="FootnoteReference"/>
        </w:rPr>
        <w:t xml:space="preserve"> </w:t>
      </w:r>
      <w:r w:rsidRPr="00EF2372">
        <w:rPr>
          <w:rFonts w:asciiTheme="minorHAnsi" w:eastAsia="Calibri Light" w:hAnsiTheme="minorHAnsi" w:cs="Calibri Light"/>
          <w:color w:val="495965"/>
          <w:sz w:val="18"/>
          <w:szCs w:val="18"/>
          <w:u w:color="495965"/>
        </w:rPr>
        <w:t xml:space="preserve">The </w:t>
      </w:r>
      <w:r w:rsidRPr="009643A0">
        <w:rPr>
          <w:rFonts w:asciiTheme="minorHAnsi" w:eastAsia="Calibri Light" w:hAnsiTheme="minorHAnsi" w:cs="Calibri Light"/>
          <w:color w:val="495965"/>
          <w:sz w:val="18"/>
          <w:szCs w:val="18"/>
          <w:u w:color="495965"/>
        </w:rPr>
        <w:t>national poverty rate fell by 1.2 percentage points annually from 2010 to 2016 compared to 1.7 percentage points from 2005 to 2010. Between 2003 and 2010, total employment grew by 3.1 percent per annum, compared to only 1.8 percent per annum between 2011 and 2016</w:t>
      </w:r>
      <w:r>
        <w:rPr>
          <w:rFonts w:asciiTheme="minorHAnsi" w:eastAsia="Calibri Light" w:hAnsiTheme="minorHAnsi" w:cs="Calibri Light"/>
          <w:color w:val="495965"/>
          <w:sz w:val="18"/>
          <w:szCs w:val="18"/>
          <w:u w:color="495965"/>
        </w:rPr>
        <w:t>; Bangladesh Development Update (April 2018).</w:t>
      </w:r>
    </w:p>
  </w:footnote>
  <w:footnote w:id="12">
    <w:p w14:paraId="52FEBE1A" w14:textId="77777777" w:rsidR="004E389D" w:rsidRPr="009643A0" w:rsidRDefault="004E389D" w:rsidP="00A34400">
      <w:pPr>
        <w:pStyle w:val="FootnoteText"/>
        <w:rPr>
          <w:rFonts w:ascii="Calibri Light" w:eastAsia="Calibri Light" w:hAnsi="Calibri Light" w:cs="Calibri Light"/>
          <w:color w:val="495965"/>
          <w:sz w:val="18"/>
          <w:szCs w:val="18"/>
          <w:u w:color="495965"/>
        </w:rPr>
      </w:pPr>
      <w:r w:rsidRPr="001E49FD">
        <w:rPr>
          <w:rStyle w:val="FootnoteReference"/>
          <w:rFonts w:asciiTheme="minorHAnsi" w:hAnsiTheme="minorHAnsi"/>
        </w:rPr>
        <w:footnoteRef/>
      </w:r>
      <w:r w:rsidRPr="001E49FD">
        <w:rPr>
          <w:rStyle w:val="FootnoteReference"/>
          <w:rFonts w:asciiTheme="minorHAnsi" w:hAnsiTheme="minorHAnsi"/>
        </w:rPr>
        <w:t xml:space="preserve"> </w:t>
      </w:r>
      <w:r w:rsidRPr="007C37F4">
        <w:rPr>
          <w:rFonts w:ascii="Calibri Light" w:eastAsia="Calibri Light" w:hAnsi="Calibri Light" w:cs="Calibri Light"/>
          <w:color w:val="495965"/>
          <w:sz w:val="18"/>
          <w:szCs w:val="18"/>
          <w:u w:color="495965"/>
        </w:rPr>
        <w:t>Bangladesh Government’s allocation for education was stagnant at 2.6 per cent of GDP in 20</w:t>
      </w:r>
      <w:r>
        <w:rPr>
          <w:rFonts w:ascii="Calibri Light" w:eastAsia="Calibri Light" w:hAnsi="Calibri Light" w:cs="Calibri Light"/>
          <w:color w:val="495965"/>
          <w:sz w:val="18"/>
          <w:szCs w:val="18"/>
          <w:u w:color="495965"/>
        </w:rPr>
        <w:t xml:space="preserve">17-18 and 2018-19. </w:t>
      </w:r>
      <w:r w:rsidRPr="007C37F4">
        <w:rPr>
          <w:rFonts w:ascii="Calibri Light" w:eastAsia="Calibri Light" w:hAnsi="Calibri Light" w:cs="Calibri Light"/>
          <w:color w:val="495965"/>
          <w:sz w:val="18"/>
          <w:szCs w:val="18"/>
          <w:u w:color="495965"/>
        </w:rPr>
        <w:t>According to the Education 2030 Framework for Action of UNESCO, Bangladesh spending should be around 4 to 6 per cent of GDP. Similarly, Bangladesh’s health spend as per cent of GDP increased marginally from 0.89 per cent (2017-18) to 0.92 per cent (2018-19), this is well below the WHO benchmark of 5 per cent of GDP</w:t>
      </w:r>
      <w:r>
        <w:rPr>
          <w:rFonts w:ascii="Calibri Light" w:eastAsia="Calibri Light" w:hAnsi="Calibri Light" w:cs="Calibri Light"/>
          <w:color w:val="495965"/>
          <w:sz w:val="18"/>
          <w:szCs w:val="18"/>
          <w:u w:color="495965"/>
        </w:rPr>
        <w:t>; Centre for Policy Dialogue (June 2018).</w:t>
      </w:r>
    </w:p>
  </w:footnote>
  <w:footnote w:id="13">
    <w:p w14:paraId="11CFCB5B" w14:textId="77777777" w:rsidR="004E389D" w:rsidRPr="0030226E" w:rsidRDefault="004E389D" w:rsidP="00A34400">
      <w:pPr>
        <w:pStyle w:val="FootnoteText"/>
        <w:rPr>
          <w:lang w:val="en-AU"/>
        </w:rPr>
      </w:pPr>
      <w:r w:rsidRPr="00AD1F4B">
        <w:rPr>
          <w:rStyle w:val="FootnoteReference"/>
          <w:rFonts w:asciiTheme="minorHAnsi" w:hAnsiTheme="minorHAnsi"/>
          <w:sz w:val="18"/>
          <w:szCs w:val="18"/>
        </w:rPr>
        <w:footnoteRef/>
      </w:r>
      <w:r>
        <w:t xml:space="preserve"> </w:t>
      </w:r>
      <w:r w:rsidRPr="0030226E">
        <w:rPr>
          <w:rFonts w:ascii="Calibri Light" w:eastAsia="Calibri Light" w:hAnsi="Calibri Light" w:cs="Calibri Light"/>
          <w:color w:val="495965"/>
          <w:sz w:val="18"/>
          <w:szCs w:val="18"/>
          <w:u w:color="495965"/>
        </w:rPr>
        <w:t xml:space="preserve">Bangladesh Development Update </w:t>
      </w:r>
      <w:r>
        <w:rPr>
          <w:rFonts w:ascii="Calibri Light" w:eastAsia="Calibri Light" w:hAnsi="Calibri Light" w:cs="Calibri Light"/>
          <w:color w:val="495965"/>
          <w:sz w:val="18"/>
          <w:szCs w:val="18"/>
          <w:u w:color="495965"/>
        </w:rPr>
        <w:t xml:space="preserve">(April </w:t>
      </w:r>
      <w:r w:rsidRPr="0030226E">
        <w:rPr>
          <w:rFonts w:ascii="Calibri Light" w:eastAsia="Calibri Light" w:hAnsi="Calibri Light" w:cs="Calibri Light"/>
          <w:color w:val="495965"/>
          <w:sz w:val="18"/>
          <w:szCs w:val="18"/>
          <w:u w:color="495965"/>
        </w:rPr>
        <w:t>2018</w:t>
      </w:r>
      <w:r>
        <w:rPr>
          <w:rFonts w:ascii="Calibri Light" w:eastAsia="Calibri Light" w:hAnsi="Calibri Light" w:cs="Calibri Light"/>
          <w:color w:val="495965"/>
          <w:sz w:val="18"/>
          <w:szCs w:val="18"/>
          <w:u w:color="495965"/>
        </w:rPr>
        <w:t>), World Bank</w:t>
      </w:r>
    </w:p>
  </w:footnote>
  <w:footnote w:id="14">
    <w:p w14:paraId="6BB928B7" w14:textId="77777777" w:rsidR="004E389D" w:rsidRPr="007700BE" w:rsidRDefault="004E389D" w:rsidP="00A34400">
      <w:pPr>
        <w:pStyle w:val="FootnoteText"/>
        <w:rPr>
          <w:rFonts w:asciiTheme="minorHAnsi" w:hAnsiTheme="minorHAnsi"/>
          <w:sz w:val="18"/>
          <w:szCs w:val="18"/>
          <w:lang w:val="en-AU"/>
        </w:rPr>
      </w:pPr>
      <w:r w:rsidRPr="007700BE">
        <w:rPr>
          <w:rStyle w:val="FootnoteReference"/>
          <w:rFonts w:asciiTheme="minorHAnsi" w:hAnsiTheme="minorHAnsi"/>
          <w:sz w:val="18"/>
          <w:szCs w:val="18"/>
        </w:rPr>
        <w:footnoteRef/>
      </w:r>
      <w:r w:rsidRPr="007700BE">
        <w:rPr>
          <w:rFonts w:asciiTheme="minorHAnsi" w:hAnsiTheme="minorHAnsi"/>
          <w:sz w:val="18"/>
          <w:szCs w:val="18"/>
        </w:rPr>
        <w:t xml:space="preserve"> </w:t>
      </w:r>
      <w:r w:rsidRPr="00AD1F4B">
        <w:rPr>
          <w:rFonts w:ascii="Calibri Light" w:eastAsia="Calibri Light" w:hAnsi="Calibri Light" w:cs="Calibri Light"/>
          <w:color w:val="495965"/>
          <w:sz w:val="18"/>
          <w:szCs w:val="18"/>
          <w:u w:color="495965"/>
        </w:rPr>
        <w:t>https://www.dhakatribune.com/business/2018/08/17/labour-force-participation-of-females-stagnant-in-bangladesh</w:t>
      </w:r>
    </w:p>
  </w:footnote>
  <w:footnote w:id="15">
    <w:p w14:paraId="395BD956" w14:textId="77777777" w:rsidR="004E389D" w:rsidRPr="0030226E" w:rsidRDefault="004E389D" w:rsidP="00A34400">
      <w:pPr>
        <w:pStyle w:val="FootnoteText"/>
        <w:rPr>
          <w:lang w:val="en-AU"/>
        </w:rPr>
      </w:pPr>
      <w:r w:rsidRPr="00AD1F4B">
        <w:rPr>
          <w:rStyle w:val="FootnoteReference"/>
          <w:rFonts w:asciiTheme="minorHAnsi" w:hAnsiTheme="minorHAnsi"/>
          <w:sz w:val="18"/>
          <w:szCs w:val="18"/>
        </w:rPr>
        <w:footnoteRef/>
      </w:r>
      <w:r>
        <w:t xml:space="preserve"> </w:t>
      </w:r>
      <w:r>
        <w:rPr>
          <w:rFonts w:ascii="Calibri Light" w:eastAsia="Calibri Light" w:hAnsi="Calibri Light" w:cs="Calibri Light"/>
          <w:color w:val="495965"/>
          <w:sz w:val="18"/>
          <w:szCs w:val="18"/>
          <w:u w:color="495965"/>
        </w:rPr>
        <w:t>UNICEF: A Scoping Analysis of Budget A</w:t>
      </w:r>
      <w:r w:rsidRPr="0030226E">
        <w:rPr>
          <w:rFonts w:ascii="Calibri Light" w:eastAsia="Calibri Light" w:hAnsi="Calibri Light" w:cs="Calibri Light"/>
          <w:color w:val="495965"/>
          <w:sz w:val="18"/>
          <w:szCs w:val="18"/>
          <w:u w:color="495965"/>
        </w:rPr>
        <w:t>llocations for</w:t>
      </w:r>
      <w:r>
        <w:rPr>
          <w:rFonts w:ascii="Calibri Light" w:eastAsia="Calibri Light" w:hAnsi="Calibri Light" w:cs="Calibri Light"/>
          <w:color w:val="495965"/>
          <w:sz w:val="18"/>
          <w:szCs w:val="18"/>
          <w:u w:color="495965"/>
        </w:rPr>
        <w:t xml:space="preserve"> Ending Child Marriage in Bangladesh (February 2018)</w:t>
      </w:r>
      <w:r>
        <w:t xml:space="preserve"> </w:t>
      </w:r>
    </w:p>
  </w:footnote>
  <w:footnote w:id="16">
    <w:p w14:paraId="551D34CA" w14:textId="77777777" w:rsidR="004E389D" w:rsidRPr="0004272D" w:rsidRDefault="004E389D" w:rsidP="00A34400">
      <w:pPr>
        <w:pStyle w:val="FootnoteText"/>
      </w:pPr>
      <w:r w:rsidRPr="00AD1F4B">
        <w:rPr>
          <w:rStyle w:val="FootnoteReference"/>
          <w:rFonts w:asciiTheme="minorHAnsi" w:hAnsiTheme="minorHAnsi"/>
          <w:sz w:val="18"/>
          <w:szCs w:val="18"/>
        </w:rPr>
        <w:footnoteRef/>
      </w:r>
      <w:r w:rsidRPr="0004272D">
        <w:rPr>
          <w:rFonts w:ascii="Calibri Light" w:eastAsia="Calibri Light" w:hAnsi="Calibri Light" w:cs="Calibri Light"/>
          <w:bCs/>
          <w:color w:val="495965"/>
          <w:sz w:val="18"/>
          <w:szCs w:val="18"/>
          <w:u w:color="495965"/>
        </w:rPr>
        <w:t>Source IMF: http://www.imf.org/external/pubs/ft/weo/2018/01/weodata/weorept.aspx?pr.x=21&amp;pr.y=6&amp;sy=2016&amp;ey=2023&amp;scsm=1&amp;ssd=1&amp;sort=country&amp;ds=.&amp;br=1&amp;c=513&amp;s=NGDPD%2CPPPGDP%2CNGDPDPC%2CPPPPC&amp;grp=0&amp;a=</w:t>
      </w:r>
    </w:p>
  </w:footnote>
  <w:footnote w:id="17">
    <w:p w14:paraId="18B273F4" w14:textId="22DA87FF" w:rsidR="004E389D" w:rsidRPr="001343DB" w:rsidRDefault="004E389D">
      <w:pPr>
        <w:pStyle w:val="FootnoteText"/>
        <w:rPr>
          <w:lang w:val="en-AU"/>
        </w:rPr>
      </w:pPr>
      <w:r>
        <w:rPr>
          <w:rStyle w:val="FootnoteReference"/>
        </w:rPr>
        <w:footnoteRef/>
      </w:r>
      <w:r>
        <w:t xml:space="preserve"> </w:t>
      </w:r>
      <w:r w:rsidRPr="003C006E">
        <w:rPr>
          <w:rFonts w:ascii="Calibri Light" w:eastAsia="Calibri Light" w:hAnsi="Calibri Light" w:cs="Calibri Light"/>
          <w:color w:val="495965"/>
          <w:sz w:val="18"/>
          <w:szCs w:val="18"/>
          <w:u w:color="495965"/>
        </w:rPr>
        <w:t>Bangladesh Directorate of Primary Education Annua</w:t>
      </w:r>
      <w:r>
        <w:rPr>
          <w:rFonts w:ascii="Calibri Light" w:eastAsia="Calibri Light" w:hAnsi="Calibri Light" w:cs="Calibri Light"/>
          <w:color w:val="495965"/>
          <w:sz w:val="18"/>
          <w:szCs w:val="18"/>
          <w:u w:color="495965"/>
        </w:rPr>
        <w:t>l Sector Performance Report 2017</w:t>
      </w:r>
    </w:p>
  </w:footnote>
  <w:footnote w:id="18">
    <w:p w14:paraId="10945FE9" w14:textId="3A217FB1" w:rsidR="004E389D" w:rsidRPr="00D865A0" w:rsidRDefault="004E389D" w:rsidP="00A34400">
      <w:pPr>
        <w:pStyle w:val="FootnoteText"/>
        <w:rPr>
          <w:lang w:val="en-AU"/>
        </w:rPr>
      </w:pPr>
    </w:p>
  </w:footnote>
  <w:footnote w:id="19">
    <w:p w14:paraId="27302312" w14:textId="77777777" w:rsidR="004E389D" w:rsidRPr="00005312" w:rsidRDefault="004E389D" w:rsidP="00A34400">
      <w:pPr>
        <w:pStyle w:val="FootnoteText"/>
        <w:rPr>
          <w:rFonts w:ascii="Calibri Light" w:eastAsia="Calibri Light" w:hAnsi="Calibri Light" w:cs="Calibri Light"/>
          <w:color w:val="495965"/>
          <w:sz w:val="18"/>
          <w:szCs w:val="18"/>
          <w:u w:color="495965"/>
        </w:rPr>
      </w:pPr>
      <w:r w:rsidRPr="009F2B42">
        <w:rPr>
          <w:rStyle w:val="FootnoteReference"/>
          <w:rFonts w:asciiTheme="minorHAnsi" w:hAnsiTheme="minorHAnsi"/>
        </w:rPr>
        <w:footnoteRef/>
      </w:r>
      <w:r w:rsidRPr="009F2B42">
        <w:rPr>
          <w:rFonts w:asciiTheme="minorHAnsi" w:hAnsiTheme="minorHAnsi"/>
        </w:rPr>
        <w:t xml:space="preserve"> </w:t>
      </w:r>
      <w:r w:rsidRPr="00005312">
        <w:rPr>
          <w:rFonts w:ascii="Calibri Light" w:eastAsia="Calibri Light" w:hAnsi="Calibri Light" w:cs="Calibri Light"/>
          <w:color w:val="495965"/>
          <w:sz w:val="18"/>
          <w:szCs w:val="18"/>
          <w:u w:color="495965"/>
        </w:rPr>
        <w:t>https://www.thedailystar.net/backpage/global-ngo-honours-brac-boat-school-1473565</w:t>
      </w:r>
    </w:p>
  </w:footnote>
  <w:footnote w:id="20">
    <w:p w14:paraId="7CBE3091" w14:textId="77777777" w:rsidR="004E389D" w:rsidRPr="00B36C71" w:rsidRDefault="004E389D" w:rsidP="00A34400">
      <w:pPr>
        <w:pStyle w:val="FootnoteText"/>
        <w:rPr>
          <w:lang w:val="en-AU"/>
        </w:rPr>
      </w:pPr>
      <w:r>
        <w:rPr>
          <w:rStyle w:val="FootnoteReference"/>
        </w:rPr>
        <w:footnoteRef/>
      </w:r>
      <w:r>
        <w:t xml:space="preserve"> </w:t>
      </w:r>
      <w:r w:rsidRPr="00005312">
        <w:rPr>
          <w:rFonts w:ascii="Calibri Light" w:eastAsia="Calibri Light" w:hAnsi="Calibri Light" w:cs="Calibri Light"/>
          <w:color w:val="495965"/>
          <w:sz w:val="18"/>
          <w:szCs w:val="18"/>
          <w:u w:color="495965"/>
        </w:rPr>
        <w:t>BRAC Annual Operation Plan for BRAC Education Program</w:t>
      </w:r>
      <w:r>
        <w:rPr>
          <w:rFonts w:ascii="Calibri Light" w:eastAsia="Calibri Light" w:hAnsi="Calibri Light" w:cs="Calibri Light"/>
          <w:color w:val="495965"/>
          <w:sz w:val="18"/>
          <w:szCs w:val="18"/>
          <w:u w:color="495965"/>
        </w:rPr>
        <w:t xml:space="preserve"> </w:t>
      </w:r>
      <w:r w:rsidRPr="00005312">
        <w:rPr>
          <w:rFonts w:ascii="Calibri Light" w:eastAsia="Calibri Light" w:hAnsi="Calibri Light" w:cs="Calibri Light"/>
          <w:color w:val="495965"/>
          <w:sz w:val="18"/>
          <w:szCs w:val="18"/>
          <w:u w:color="495965"/>
        </w:rPr>
        <w:t>2017</w:t>
      </w:r>
    </w:p>
  </w:footnote>
  <w:footnote w:id="21">
    <w:p w14:paraId="275A325F" w14:textId="77777777" w:rsidR="004E389D" w:rsidRPr="009F2B42" w:rsidRDefault="004E389D" w:rsidP="00A34400">
      <w:pPr>
        <w:pStyle w:val="FootnoteText"/>
        <w:rPr>
          <w:rFonts w:ascii="Calibri Light" w:hAnsi="Calibri Light"/>
          <w:lang w:val="en-AU"/>
        </w:rPr>
      </w:pPr>
      <w:r w:rsidRPr="00B36C71">
        <w:rPr>
          <w:rStyle w:val="FootnoteReference"/>
          <w:rFonts w:ascii="Calibri Light" w:hAnsi="Calibri Light"/>
        </w:rPr>
        <w:footnoteRef/>
      </w:r>
      <w:r w:rsidRPr="00B36C71">
        <w:rPr>
          <w:rFonts w:ascii="Calibri Light" w:hAnsi="Calibri Light"/>
        </w:rPr>
        <w:t xml:space="preserve"> </w:t>
      </w:r>
      <w:r w:rsidRPr="00005312">
        <w:rPr>
          <w:rFonts w:ascii="Calibri Light" w:eastAsia="Calibri Light" w:hAnsi="Calibri Light" w:cs="Calibri Light"/>
          <w:color w:val="495965"/>
          <w:sz w:val="18"/>
          <w:szCs w:val="18"/>
          <w:u w:color="495965"/>
        </w:rPr>
        <w:t>BRAC Annual Operation Plan for BRAC Education Program</w:t>
      </w:r>
      <w:r>
        <w:rPr>
          <w:rFonts w:ascii="Calibri Light" w:eastAsia="Calibri Light" w:hAnsi="Calibri Light" w:cs="Calibri Light"/>
          <w:color w:val="495965"/>
          <w:sz w:val="18"/>
          <w:szCs w:val="18"/>
          <w:u w:color="495965"/>
        </w:rPr>
        <w:t xml:space="preserve"> </w:t>
      </w:r>
      <w:r w:rsidRPr="00005312">
        <w:rPr>
          <w:rFonts w:ascii="Calibri Light" w:eastAsia="Calibri Light" w:hAnsi="Calibri Light" w:cs="Calibri Light"/>
          <w:color w:val="495965"/>
          <w:sz w:val="18"/>
          <w:szCs w:val="18"/>
          <w:u w:color="495965"/>
        </w:rPr>
        <w:t>2017</w:t>
      </w:r>
    </w:p>
  </w:footnote>
  <w:footnote w:id="22">
    <w:p w14:paraId="4A4B3E8D" w14:textId="77777777" w:rsidR="004E389D" w:rsidRPr="00016C7C" w:rsidRDefault="004E389D" w:rsidP="00A34400">
      <w:pPr>
        <w:pStyle w:val="FootnoteText"/>
        <w:rPr>
          <w:lang w:val="en-AU"/>
        </w:rPr>
      </w:pPr>
      <w:r>
        <w:rPr>
          <w:rStyle w:val="FootnoteReference"/>
        </w:rPr>
        <w:footnoteRef/>
      </w:r>
      <w:r>
        <w:t xml:space="preserve"> </w:t>
      </w:r>
      <w:r w:rsidRPr="00380F1D">
        <w:rPr>
          <w:rFonts w:ascii="Calibri Light" w:eastAsia="Calibri Light" w:hAnsi="Calibri Light" w:cs="Calibri Light"/>
          <w:color w:val="495965"/>
          <w:sz w:val="18"/>
          <w:szCs w:val="18"/>
          <w:u w:color="495965"/>
        </w:rPr>
        <w:t>Reporting from PEDP3 Joint Consultation Meeting, March 2018</w:t>
      </w:r>
      <w:r>
        <w:rPr>
          <w:rFonts w:ascii="Calibri Light" w:eastAsia="Calibri Light" w:hAnsi="Calibri Light" w:cs="Calibri Light"/>
          <w:color w:val="495965"/>
          <w:sz w:val="18"/>
          <w:szCs w:val="18"/>
          <w:u w:color="495965"/>
        </w:rPr>
        <w:t>.</w:t>
      </w:r>
      <w:r w:rsidRPr="007A31C2">
        <w:rPr>
          <w:rFonts w:ascii="Calibri Light" w:eastAsia="Calibri Light" w:hAnsi="Calibri Light" w:cs="Calibri Light"/>
          <w:color w:val="495965"/>
          <w:sz w:val="18"/>
          <w:szCs w:val="18"/>
          <w:u w:color="495965"/>
        </w:rPr>
        <w:t xml:space="preserve"> </w:t>
      </w:r>
      <w:r>
        <w:rPr>
          <w:rFonts w:ascii="Calibri Light" w:eastAsia="Calibri Light" w:hAnsi="Calibri Light" w:cs="Calibri Light"/>
          <w:color w:val="495965"/>
          <w:sz w:val="18"/>
          <w:szCs w:val="18"/>
          <w:u w:color="495965"/>
        </w:rPr>
        <w:t xml:space="preserve">The </w:t>
      </w:r>
      <w:r w:rsidRPr="002933F6">
        <w:rPr>
          <w:rFonts w:ascii="Calibri Light" w:eastAsia="Calibri Light" w:hAnsi="Calibri Light" w:cs="Calibri Light"/>
          <w:color w:val="495965"/>
          <w:sz w:val="18"/>
          <w:szCs w:val="18"/>
          <w:u w:color="495965"/>
        </w:rPr>
        <w:t>Government</w:t>
      </w:r>
      <w:r>
        <w:rPr>
          <w:rFonts w:ascii="Calibri Light" w:eastAsia="Calibri Light" w:hAnsi="Calibri Light" w:cs="Calibri Light"/>
          <w:color w:val="495965"/>
          <w:sz w:val="18"/>
          <w:szCs w:val="18"/>
          <w:u w:color="495965"/>
        </w:rPr>
        <w:t xml:space="preserve"> of Bangladesh</w:t>
      </w:r>
      <w:r w:rsidRPr="002933F6">
        <w:rPr>
          <w:rFonts w:ascii="Calibri Light" w:eastAsia="Calibri Light" w:hAnsi="Calibri Light" w:cs="Calibri Light"/>
          <w:color w:val="495965"/>
          <w:sz w:val="18"/>
          <w:szCs w:val="18"/>
          <w:u w:color="495965"/>
        </w:rPr>
        <w:t xml:space="preserve"> and donors jointly a</w:t>
      </w:r>
      <w:r>
        <w:rPr>
          <w:rFonts w:ascii="Calibri Light" w:eastAsia="Calibri Light" w:hAnsi="Calibri Light" w:cs="Calibri Light"/>
          <w:color w:val="495965"/>
          <w:sz w:val="18"/>
          <w:szCs w:val="18"/>
          <w:u w:color="495965"/>
        </w:rPr>
        <w:t>ssessed progress on key reform milestones</w:t>
      </w:r>
      <w:r w:rsidRPr="002933F6">
        <w:rPr>
          <w:rFonts w:ascii="Calibri Light" w:eastAsia="Calibri Light" w:hAnsi="Calibri Light" w:cs="Calibri Light"/>
          <w:color w:val="495965"/>
          <w:sz w:val="18"/>
          <w:szCs w:val="18"/>
          <w:u w:color="495965"/>
        </w:rPr>
        <w:t xml:space="preserve"> at Joint Consultation Meetings and Joint Annual Review Missions.  </w:t>
      </w:r>
    </w:p>
    <w:p w14:paraId="43AB9179" w14:textId="4644F97E" w:rsidR="004E389D" w:rsidRPr="002933F6" w:rsidRDefault="004E389D" w:rsidP="00A34400">
      <w:pPr>
        <w:pStyle w:val="FootnoteText"/>
        <w:rPr>
          <w:lang w:val="en-AU"/>
        </w:rPr>
      </w:pPr>
    </w:p>
    <w:p w14:paraId="27F8982A" w14:textId="77777777" w:rsidR="004E389D" w:rsidRPr="00016C7C" w:rsidRDefault="004E389D" w:rsidP="00A34400">
      <w:pPr>
        <w:pStyle w:val="FootnoteText"/>
        <w:rPr>
          <w:lang w:val="en-AU"/>
        </w:rPr>
      </w:pPr>
    </w:p>
  </w:footnote>
  <w:footnote w:id="23">
    <w:p w14:paraId="06F2487F" w14:textId="77777777" w:rsidR="004E389D" w:rsidRPr="0029668B" w:rsidRDefault="004E389D" w:rsidP="00A34400">
      <w:pPr>
        <w:pStyle w:val="FootnoteText"/>
        <w:rPr>
          <w:lang w:val="en-AU"/>
        </w:rPr>
      </w:pPr>
      <w:r>
        <w:rPr>
          <w:rStyle w:val="FootnoteReference"/>
        </w:rPr>
        <w:footnoteRef/>
      </w:r>
      <w:r>
        <w:t xml:space="preserve"> </w:t>
      </w:r>
      <w:r w:rsidRPr="003B5D2E">
        <w:rPr>
          <w:rFonts w:ascii="Calibri Light" w:eastAsia="Calibri Light" w:hAnsi="Calibri Light" w:cs="Calibri Light"/>
          <w:color w:val="495965"/>
          <w:sz w:val="18"/>
          <w:szCs w:val="18"/>
          <w:u w:color="495965"/>
        </w:rPr>
        <w:t>NSSS Gender Policy (Draft), UK DFID and UNDP (2017)</w:t>
      </w:r>
      <w:r>
        <w:rPr>
          <w:lang w:val="en-AU"/>
        </w:rPr>
        <w:t xml:space="preserve"> </w:t>
      </w:r>
    </w:p>
  </w:footnote>
  <w:footnote w:id="24">
    <w:p w14:paraId="17D3DD52" w14:textId="77777777" w:rsidR="004E389D" w:rsidRPr="00B3280B" w:rsidRDefault="004E389D" w:rsidP="00A34400">
      <w:pPr>
        <w:pStyle w:val="FootnoteText"/>
        <w:rPr>
          <w:lang w:val="en-AU"/>
        </w:rPr>
      </w:pPr>
      <w:r w:rsidRPr="009F2B42">
        <w:rPr>
          <w:rStyle w:val="FootnoteReference"/>
          <w:rFonts w:asciiTheme="minorHAnsi" w:hAnsiTheme="minorHAnsi"/>
        </w:rPr>
        <w:footnoteRef/>
      </w:r>
      <w:r w:rsidRPr="009F2B42">
        <w:rPr>
          <w:rFonts w:asciiTheme="minorHAnsi" w:hAnsiTheme="minorHAnsi"/>
        </w:rPr>
        <w:t xml:space="preserve"> </w:t>
      </w:r>
      <w:r w:rsidRPr="003B5D2E">
        <w:rPr>
          <w:rFonts w:ascii="Calibri Light" w:eastAsia="Calibri Light" w:hAnsi="Calibri Light" w:cs="Calibri Light"/>
          <w:color w:val="495965"/>
          <w:sz w:val="18"/>
          <w:szCs w:val="18"/>
          <w:u w:color="495965"/>
        </w:rPr>
        <w:t xml:space="preserve"> </w:t>
      </w:r>
      <w:hyperlink r:id="rId1" w:history="1">
        <w:r w:rsidRPr="003B5D2E">
          <w:rPr>
            <w:rFonts w:ascii="Calibri Light" w:eastAsia="Calibri Light" w:hAnsi="Calibri Light" w:cs="Calibri Light"/>
            <w:color w:val="495965"/>
            <w:u w:color="495965"/>
          </w:rPr>
          <w:t>https://mof.portal.gov.bd/site/page/32220b73-846f-4a33-b4c0-a6650c918e25/Safety-Net</w:t>
        </w:r>
      </w:hyperlink>
    </w:p>
  </w:footnote>
  <w:footnote w:id="25">
    <w:p w14:paraId="35DE5A92" w14:textId="77777777" w:rsidR="004E389D" w:rsidRPr="001D29B4" w:rsidRDefault="004E389D" w:rsidP="00A34400">
      <w:pPr>
        <w:pStyle w:val="FootnoteText"/>
        <w:rPr>
          <w:lang w:val="en-AU"/>
        </w:rPr>
      </w:pPr>
      <w:r>
        <w:rPr>
          <w:rStyle w:val="FootnoteReference"/>
        </w:rPr>
        <w:footnoteRef/>
      </w:r>
      <w:r>
        <w:t xml:space="preserve"> </w:t>
      </w:r>
      <w:r w:rsidRPr="00766E37">
        <w:rPr>
          <w:rFonts w:ascii="Calibri Light" w:eastAsia="Calibri Light" w:hAnsi="Calibri Light" w:cs="Calibri Light"/>
          <w:color w:val="495965"/>
          <w:sz w:val="18"/>
          <w:szCs w:val="18"/>
          <w:u w:color="495965"/>
        </w:rPr>
        <w:t>BRAC</w:t>
      </w:r>
      <w:r>
        <w:rPr>
          <w:rFonts w:ascii="Calibri Light" w:eastAsia="Calibri Light" w:hAnsi="Calibri Light" w:cs="Calibri Light"/>
          <w:color w:val="495965"/>
          <w:sz w:val="18"/>
          <w:szCs w:val="18"/>
          <w:u w:color="495965"/>
        </w:rPr>
        <w:t xml:space="preserve"> defines ultra-poor as those living on half the $ 1.90-a-day poverty line ($0.70-$0.80 per day) with a dietary intake below 80 per cent of their energy requirements despite spending at least 80 per cent  of their income on food</w:t>
      </w:r>
    </w:p>
  </w:footnote>
  <w:footnote w:id="26">
    <w:p w14:paraId="2E456D54" w14:textId="77777777" w:rsidR="004E389D" w:rsidRPr="006B166E" w:rsidRDefault="004E389D" w:rsidP="00A34400">
      <w:pPr>
        <w:pStyle w:val="FootnoteText"/>
        <w:rPr>
          <w:lang w:val="en-AU"/>
        </w:rPr>
      </w:pPr>
      <w:r>
        <w:rPr>
          <w:rStyle w:val="FootnoteReference"/>
        </w:rPr>
        <w:footnoteRef/>
      </w:r>
      <w:r>
        <w:t xml:space="preserve"> </w:t>
      </w:r>
      <w:r w:rsidRPr="006B166E">
        <w:rPr>
          <w:rFonts w:ascii="Calibri Light" w:eastAsia="Calibri Light" w:hAnsi="Calibri Light" w:cs="Calibri Light"/>
          <w:color w:val="495965"/>
          <w:sz w:val="18"/>
          <w:szCs w:val="18"/>
          <w:u w:color="495965"/>
        </w:rPr>
        <w:t>Extreme poor are defined as those living on less than $1.90 per day.</w:t>
      </w:r>
    </w:p>
  </w:footnote>
  <w:footnote w:id="27">
    <w:p w14:paraId="388004A3" w14:textId="77777777" w:rsidR="004E389D" w:rsidRPr="00EB6331" w:rsidRDefault="004E389D" w:rsidP="00A34400">
      <w:pPr>
        <w:pStyle w:val="FootnoteText"/>
        <w:rPr>
          <w:lang w:val="en-AU"/>
        </w:rPr>
      </w:pPr>
      <w:r>
        <w:rPr>
          <w:rStyle w:val="FootnoteReference"/>
        </w:rPr>
        <w:footnoteRef/>
      </w:r>
      <w:r>
        <w:t xml:space="preserve"> </w:t>
      </w:r>
      <w:r>
        <w:rPr>
          <w:rFonts w:ascii="Calibri Light" w:eastAsia="Calibri Light" w:hAnsi="Calibri Light" w:cs="Calibri Light"/>
          <w:color w:val="495965"/>
          <w:sz w:val="18"/>
          <w:szCs w:val="18"/>
          <w:u w:color="495965"/>
        </w:rPr>
        <w:t>DFAT’s</w:t>
      </w:r>
      <w:r w:rsidRPr="00192FA7">
        <w:rPr>
          <w:rFonts w:ascii="Calibri Light" w:eastAsia="Calibri Light" w:hAnsi="Calibri Light" w:cs="Calibri Light"/>
          <w:color w:val="495965"/>
          <w:sz w:val="18"/>
          <w:szCs w:val="18"/>
          <w:u w:color="495965"/>
        </w:rPr>
        <w:t xml:space="preserve"> </w:t>
      </w:r>
      <w:r>
        <w:rPr>
          <w:rFonts w:ascii="Calibri Light" w:eastAsia="Calibri Light" w:hAnsi="Calibri Light" w:cs="Calibri Light"/>
          <w:color w:val="495965"/>
          <w:sz w:val="18"/>
          <w:szCs w:val="18"/>
          <w:u w:color="495965"/>
        </w:rPr>
        <w:t>target is 25 per cent of humanitarian funding to local and national actors</w:t>
      </w:r>
      <w:r w:rsidRPr="00192FA7">
        <w:rPr>
          <w:rFonts w:ascii="Calibri Light" w:eastAsia="Calibri Light" w:hAnsi="Calibri Light" w:cs="Calibri Light"/>
          <w:color w:val="495965"/>
          <w:sz w:val="18"/>
          <w:szCs w:val="18"/>
          <w:u w:color="495965"/>
        </w:rPr>
        <w:t>.</w:t>
      </w:r>
    </w:p>
  </w:footnote>
  <w:footnote w:id="28">
    <w:p w14:paraId="223EA1E1" w14:textId="77777777" w:rsidR="004E389D" w:rsidRPr="00EB6331" w:rsidRDefault="004E389D" w:rsidP="00A34400">
      <w:pPr>
        <w:pStyle w:val="FootnoteText"/>
        <w:rPr>
          <w:lang w:val="en-AU"/>
        </w:rPr>
      </w:pPr>
      <w:r>
        <w:rPr>
          <w:rStyle w:val="FootnoteReference"/>
        </w:rPr>
        <w:footnoteRef/>
      </w:r>
      <w:r>
        <w:t xml:space="preserve"> </w:t>
      </w:r>
      <w:r w:rsidRPr="009324CA">
        <w:rPr>
          <w:rFonts w:ascii="Calibri Light" w:eastAsia="Calibri Light" w:hAnsi="Calibri Light" w:cs="Calibri Light"/>
          <w:color w:val="495965"/>
          <w:sz w:val="18"/>
          <w:szCs w:val="18"/>
          <w:u w:color="495965"/>
        </w:rPr>
        <w:t xml:space="preserve">BRAC constructed toilets </w:t>
      </w:r>
      <w:proofErr w:type="spellStart"/>
      <w:r>
        <w:rPr>
          <w:rFonts w:ascii="Calibri Light" w:eastAsia="Calibri Light" w:hAnsi="Calibri Light" w:cs="Calibri Light"/>
          <w:color w:val="495965"/>
          <w:sz w:val="18"/>
          <w:szCs w:val="18"/>
          <w:u w:color="495965"/>
        </w:rPr>
        <w:t>criticised</w:t>
      </w:r>
      <w:proofErr w:type="spellEnd"/>
      <w:r>
        <w:rPr>
          <w:rFonts w:ascii="Calibri Light" w:eastAsia="Calibri Light" w:hAnsi="Calibri Light" w:cs="Calibri Light"/>
          <w:color w:val="495965"/>
          <w:sz w:val="18"/>
          <w:szCs w:val="18"/>
          <w:u w:color="495965"/>
        </w:rPr>
        <w:t xml:space="preserve"> for not </w:t>
      </w:r>
      <w:r w:rsidRPr="009324CA">
        <w:rPr>
          <w:rFonts w:ascii="Calibri Light" w:eastAsia="Calibri Light" w:hAnsi="Calibri Light" w:cs="Calibri Light"/>
          <w:color w:val="495965"/>
          <w:sz w:val="18"/>
          <w:szCs w:val="18"/>
          <w:u w:color="495965"/>
        </w:rPr>
        <w:t>meet</w:t>
      </w:r>
      <w:r>
        <w:rPr>
          <w:rFonts w:ascii="Calibri Light" w:eastAsia="Calibri Light" w:hAnsi="Calibri Light" w:cs="Calibri Light"/>
          <w:color w:val="495965"/>
          <w:sz w:val="18"/>
          <w:szCs w:val="18"/>
          <w:u w:color="495965"/>
        </w:rPr>
        <w:t>ing</w:t>
      </w:r>
      <w:r w:rsidRPr="009324CA">
        <w:rPr>
          <w:rFonts w:ascii="Calibri Light" w:eastAsia="Calibri Light" w:hAnsi="Calibri Light" w:cs="Calibri Light"/>
          <w:color w:val="495965"/>
          <w:sz w:val="18"/>
          <w:szCs w:val="18"/>
          <w:u w:color="495965"/>
        </w:rPr>
        <w:t xml:space="preserve"> internatio</w:t>
      </w:r>
      <w:r>
        <w:rPr>
          <w:rFonts w:ascii="Calibri Light" w:eastAsia="Calibri Light" w:hAnsi="Calibri Light" w:cs="Calibri Light"/>
          <w:color w:val="495965"/>
          <w:sz w:val="18"/>
          <w:szCs w:val="18"/>
          <w:u w:color="495965"/>
        </w:rPr>
        <w:t xml:space="preserve">nal Sphere standards, which was </w:t>
      </w:r>
      <w:r w:rsidRPr="009324CA">
        <w:rPr>
          <w:rFonts w:ascii="Calibri Light" w:eastAsia="Calibri Light" w:hAnsi="Calibri Light" w:cs="Calibri Light"/>
          <w:color w:val="495965"/>
          <w:sz w:val="18"/>
          <w:szCs w:val="18"/>
          <w:u w:color="495965"/>
        </w:rPr>
        <w:t>disputed by BRAC’s</w:t>
      </w:r>
      <w:r>
        <w:rPr>
          <w:rFonts w:ascii="Calibri Light" w:eastAsia="Calibri Light" w:hAnsi="Calibri Light" w:cs="Calibri Light"/>
          <w:color w:val="495965"/>
          <w:sz w:val="18"/>
          <w:szCs w:val="18"/>
          <w:u w:color="495965"/>
        </w:rPr>
        <w:t xml:space="preserve"> spokesperson, </w:t>
      </w:r>
      <w:proofErr w:type="spellStart"/>
      <w:r>
        <w:rPr>
          <w:rFonts w:ascii="Calibri Light" w:eastAsia="Calibri Light" w:hAnsi="Calibri Light" w:cs="Calibri Light"/>
          <w:color w:val="495965"/>
          <w:sz w:val="18"/>
          <w:szCs w:val="18"/>
          <w:u w:color="495965"/>
        </w:rPr>
        <w:t>Iffat</w:t>
      </w:r>
      <w:proofErr w:type="spellEnd"/>
      <w:r>
        <w:rPr>
          <w:rFonts w:ascii="Calibri Light" w:eastAsia="Calibri Light" w:hAnsi="Calibri Light" w:cs="Calibri Light"/>
          <w:color w:val="495965"/>
          <w:sz w:val="18"/>
          <w:szCs w:val="18"/>
          <w:u w:color="495965"/>
        </w:rPr>
        <w:t xml:space="preserve"> Nawaz</w:t>
      </w:r>
      <w:r w:rsidRPr="00F557D6">
        <w:t xml:space="preserve"> </w:t>
      </w:r>
      <w:r w:rsidRPr="00F557D6">
        <w:rPr>
          <w:rFonts w:ascii="Calibri Light" w:eastAsia="Calibri Light" w:hAnsi="Calibri Light" w:cs="Calibri Light"/>
          <w:color w:val="495965"/>
          <w:sz w:val="18"/>
          <w:szCs w:val="18"/>
          <w:u w:color="495965"/>
        </w:rPr>
        <w:t>https://www.devex.com/news/in-bangladesh-did-groups-build-emergency-latrines-for-rohingya-refugees-or-for-donors-91538</w:t>
      </w:r>
    </w:p>
  </w:footnote>
  <w:footnote w:id="29">
    <w:p w14:paraId="57D50536" w14:textId="2AF08E98" w:rsidR="004E389D" w:rsidRPr="00DD768C" w:rsidRDefault="004E389D" w:rsidP="00A34400">
      <w:pPr>
        <w:pStyle w:val="FootnoteText"/>
        <w:rPr>
          <w:rFonts w:ascii="Calibri Light" w:eastAsia="Calibri Light" w:hAnsi="Calibri Light" w:cs="Calibri Light"/>
          <w:color w:val="495965"/>
          <w:sz w:val="18"/>
          <w:szCs w:val="18"/>
          <w:u w:color="495965"/>
        </w:rPr>
      </w:pPr>
      <w:r w:rsidRPr="00DD768C">
        <w:rPr>
          <w:rStyle w:val="FootnoteReference"/>
        </w:rPr>
        <w:footnoteRef/>
      </w:r>
      <w:r w:rsidRPr="00DD768C">
        <w:rPr>
          <w:rFonts w:ascii="Calibri Light" w:eastAsia="Calibri Light" w:hAnsi="Calibri Light" w:cs="Calibri Light"/>
          <w:color w:val="495965"/>
          <w:sz w:val="18"/>
          <w:szCs w:val="18"/>
          <w:u w:color="495965"/>
        </w:rPr>
        <w:t xml:space="preserve">  </w:t>
      </w:r>
      <w:r>
        <w:rPr>
          <w:rFonts w:ascii="Calibri Light" w:eastAsia="Calibri Light" w:hAnsi="Calibri Light" w:cs="Calibri Light"/>
          <w:color w:val="495965"/>
          <w:sz w:val="18"/>
          <w:szCs w:val="18"/>
          <w:u w:color="495965"/>
        </w:rPr>
        <w:t>Inter Sector Coordination Group (ISCG) Report (June 2018)</w:t>
      </w:r>
    </w:p>
  </w:footnote>
  <w:footnote w:id="30">
    <w:p w14:paraId="2235C59B" w14:textId="77777777" w:rsidR="004E389D" w:rsidRPr="00886960" w:rsidRDefault="004E389D" w:rsidP="00A34400">
      <w:pPr>
        <w:pStyle w:val="FootnoteText"/>
        <w:rPr>
          <w:lang w:val="en-AU"/>
        </w:rPr>
      </w:pPr>
      <w:r>
        <w:rPr>
          <w:rStyle w:val="FootnoteReference"/>
        </w:rPr>
        <w:footnoteRef/>
      </w:r>
      <w:r>
        <w:t xml:space="preserve"> </w:t>
      </w:r>
      <w:r w:rsidRPr="00886960">
        <w:rPr>
          <w:rFonts w:ascii="Calibri Light" w:eastAsia="Calibri Light" w:hAnsi="Calibri Light" w:cs="Calibri Light"/>
          <w:color w:val="495965"/>
          <w:sz w:val="18"/>
          <w:szCs w:val="18"/>
          <w:u w:color="495965"/>
        </w:rPr>
        <w:t xml:space="preserve">IOM </w:t>
      </w:r>
      <w:r>
        <w:rPr>
          <w:rFonts w:ascii="Calibri Light" w:eastAsia="Calibri Light" w:hAnsi="Calibri Light" w:cs="Calibri Light"/>
          <w:color w:val="495965"/>
          <w:sz w:val="18"/>
          <w:szCs w:val="18"/>
          <w:u w:color="495965"/>
        </w:rPr>
        <w:t xml:space="preserve">Bangladesh </w:t>
      </w:r>
      <w:r w:rsidRPr="00886960">
        <w:rPr>
          <w:rFonts w:ascii="Calibri Light" w:eastAsia="Calibri Light" w:hAnsi="Calibri Light" w:cs="Calibri Light"/>
          <w:color w:val="495965"/>
          <w:sz w:val="18"/>
          <w:szCs w:val="18"/>
          <w:u w:color="495965"/>
        </w:rPr>
        <w:t>External Update, May 2018</w:t>
      </w:r>
    </w:p>
  </w:footnote>
  <w:footnote w:id="31">
    <w:p w14:paraId="03EA8EC0" w14:textId="77777777" w:rsidR="004E389D" w:rsidRPr="002231F7" w:rsidRDefault="004E389D" w:rsidP="00A34400">
      <w:pPr>
        <w:pStyle w:val="FootnoteText"/>
        <w:rPr>
          <w:lang w:val="en-AU"/>
        </w:rPr>
      </w:pPr>
      <w:r w:rsidRPr="00954977">
        <w:rPr>
          <w:rStyle w:val="FootnoteReference"/>
        </w:rPr>
        <w:footnoteRef/>
      </w:r>
      <w:r w:rsidRPr="00954977">
        <w:rPr>
          <w:rFonts w:ascii="Calibri Light" w:eastAsia="Calibri Light" w:hAnsi="Calibri Light" w:cs="Calibri Light"/>
          <w:color w:val="495965"/>
          <w:sz w:val="18"/>
          <w:szCs w:val="18"/>
          <w:u w:color="495965"/>
        </w:rPr>
        <w:t xml:space="preserve"> Calculated</w:t>
      </w:r>
      <w:r w:rsidRPr="00F557D6">
        <w:rPr>
          <w:rFonts w:ascii="Calibri Light" w:eastAsia="Calibri Light" w:hAnsi="Calibri Light" w:cs="Calibri Light"/>
          <w:color w:val="495965"/>
          <w:sz w:val="18"/>
          <w:szCs w:val="18"/>
          <w:u w:color="495965"/>
        </w:rPr>
        <w:t xml:space="preserve"> based on the </w:t>
      </w:r>
      <w:r>
        <w:rPr>
          <w:rFonts w:ascii="Calibri Light" w:eastAsia="Calibri Light" w:hAnsi="Calibri Light" w:cs="Calibri Light"/>
          <w:color w:val="495965"/>
          <w:sz w:val="18"/>
          <w:szCs w:val="18"/>
          <w:u w:color="495965"/>
        </w:rPr>
        <w:t>proportion of A</w:t>
      </w:r>
      <w:r w:rsidRPr="00F557D6">
        <w:rPr>
          <w:rFonts w:ascii="Calibri Light" w:eastAsia="Calibri Light" w:hAnsi="Calibri Light" w:cs="Calibri Light"/>
          <w:color w:val="495965"/>
          <w:sz w:val="18"/>
          <w:szCs w:val="18"/>
          <w:u w:color="495965"/>
        </w:rPr>
        <w:t>ustralia’</w:t>
      </w:r>
      <w:r>
        <w:rPr>
          <w:rFonts w:ascii="Calibri Light" w:eastAsia="Calibri Light" w:hAnsi="Calibri Light" w:cs="Calibri Light"/>
          <w:color w:val="495965"/>
          <w:sz w:val="18"/>
          <w:szCs w:val="18"/>
          <w:u w:color="495965"/>
        </w:rPr>
        <w:t>s funding allocation to the water and sanitation sectors, 17.2 per cent and 18.9 per cent, respectively and drawing on the ISCG Situation Report Rohingya Refugee Crisis (05-20 June, 2018)</w:t>
      </w:r>
    </w:p>
  </w:footnote>
  <w:footnote w:id="32">
    <w:p w14:paraId="5872FB25" w14:textId="77777777" w:rsidR="004E389D" w:rsidRPr="002231F7" w:rsidRDefault="004E389D" w:rsidP="00A34400">
      <w:pPr>
        <w:pStyle w:val="FootnoteText"/>
        <w:rPr>
          <w:lang w:val="en-AU"/>
        </w:rPr>
      </w:pPr>
      <w:r>
        <w:rPr>
          <w:rStyle w:val="FootnoteReference"/>
        </w:rPr>
        <w:footnoteRef/>
      </w:r>
      <w:r>
        <w:t xml:space="preserve"> </w:t>
      </w:r>
      <w:r>
        <w:rPr>
          <w:rFonts w:ascii="Calibri Light" w:eastAsia="Calibri Light" w:hAnsi="Calibri Light" w:cs="Calibri Light"/>
          <w:color w:val="495965"/>
          <w:sz w:val="18"/>
          <w:szCs w:val="18"/>
          <w:u w:color="495965"/>
        </w:rPr>
        <w:t xml:space="preserve">WFP Bangladesh – Rohingya Refugee Response Situation Report #13 (27 March 2018)  </w:t>
      </w:r>
    </w:p>
  </w:footnote>
  <w:footnote w:id="33">
    <w:p w14:paraId="4FABC2E6" w14:textId="77777777" w:rsidR="004E389D" w:rsidRPr="00B4365A" w:rsidRDefault="004E389D" w:rsidP="00474078">
      <w:pPr>
        <w:pStyle w:val="FootnoteText"/>
        <w:rPr>
          <w:lang w:val="en-AU"/>
        </w:rPr>
      </w:pPr>
      <w:r>
        <w:rPr>
          <w:rStyle w:val="FootnoteReference"/>
        </w:rPr>
        <w:footnoteRef/>
      </w:r>
      <w:r>
        <w:t xml:space="preserve"> </w:t>
      </w:r>
      <w:r w:rsidRPr="009076E1">
        <w:rPr>
          <w:rFonts w:ascii="Calibri Light" w:eastAsia="Calibri Light" w:hAnsi="Calibri Light"/>
          <w:color w:val="495965"/>
          <w:sz w:val="18"/>
          <w:szCs w:val="18"/>
          <w:bdr w:val="none" w:sz="0" w:space="0" w:color="auto"/>
          <w:lang w:val="en-GB"/>
        </w:rPr>
        <w:t>This program target was adjusted from 293,200 to align with BRAC program targets.</w:t>
      </w:r>
    </w:p>
  </w:footnote>
  <w:footnote w:id="34">
    <w:p w14:paraId="0B60DE21" w14:textId="77777777" w:rsidR="004E389D" w:rsidRPr="002D5594" w:rsidRDefault="004E389D" w:rsidP="00474078">
      <w:pPr>
        <w:pStyle w:val="FootnoteText"/>
        <w:rPr>
          <w:rFonts w:asciiTheme="minorHAnsi" w:hAnsiTheme="minorHAnsi"/>
          <w:lang w:val="en-AU"/>
        </w:rPr>
      </w:pPr>
      <w:r w:rsidRPr="002D5594">
        <w:rPr>
          <w:rStyle w:val="FootnoteReference"/>
          <w:rFonts w:asciiTheme="minorHAnsi" w:hAnsiTheme="minorHAnsi"/>
        </w:rPr>
        <w:footnoteRef/>
      </w:r>
      <w:r w:rsidRPr="002D5594">
        <w:rPr>
          <w:rFonts w:asciiTheme="minorHAnsi" w:hAnsiTheme="minorHAnsi"/>
        </w:rPr>
        <w:t xml:space="preserve"> </w:t>
      </w:r>
      <w:r w:rsidRPr="009076E1">
        <w:rPr>
          <w:rFonts w:ascii="Calibri Light" w:eastAsia="Calibri Light" w:hAnsi="Calibri Light"/>
          <w:color w:val="495965"/>
          <w:sz w:val="18"/>
          <w:szCs w:val="18"/>
          <w:bdr w:val="none" w:sz="0" w:space="0" w:color="auto"/>
          <w:lang w:val="en-GB"/>
        </w:rPr>
        <w:t>Program targets 102,600 and 81,539 adjusted in 2016-17 to align with BRAC program 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E620" w14:textId="77777777" w:rsidR="009F7DD8" w:rsidRDefault="009F7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8B1A" w14:textId="290F168B" w:rsidR="004E389D" w:rsidRDefault="004E389D" w:rsidP="001B416C">
    <w:pPr>
      <w:pStyle w:val="Header"/>
      <w:tabs>
        <w:tab w:val="clear" w:pos="4513"/>
        <w:tab w:val="clear" w:pos="9026"/>
        <w:tab w:val="left" w:pos="1650"/>
        <w:tab w:val="left" w:pos="4592"/>
      </w:tabs>
      <w:jc w:val="left"/>
    </w:pPr>
    <w:r>
      <w:rPr>
        <w:noProof/>
        <w:lang w:val="en-AU"/>
      </w:rPr>
      <w:drawing>
        <wp:anchor distT="152400" distB="152400" distL="152400" distR="152400" simplePos="0" relativeHeight="251655680" behindDoc="1" locked="0" layoutInCell="1" allowOverlap="1" wp14:anchorId="6FC335C7" wp14:editId="2EF30389">
          <wp:simplePos x="0" y="0"/>
          <wp:positionH relativeFrom="page">
            <wp:posOffset>219075</wp:posOffset>
          </wp:positionH>
          <wp:positionV relativeFrom="page">
            <wp:posOffset>57150</wp:posOffset>
          </wp:positionV>
          <wp:extent cx="7336155" cy="10702290"/>
          <wp:effectExtent l="19050" t="0" r="17145" b="2994660"/>
          <wp:wrapNone/>
          <wp:docPr id="5"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25" name="Report-Page-1-Gradient.png" descr="Report-Page-1-Gradient.png"/>
                  <pic:cNvPicPr>
                    <a:picLocks noChangeAspect="1"/>
                  </pic:cNvPicPr>
                </pic:nvPicPr>
                <pic:blipFill>
                  <a:blip r:embed="rId1">
                    <a:extLst/>
                  </a:blip>
                  <a:stretch>
                    <a:fillRect/>
                  </a:stretch>
                </pic:blipFill>
                <pic:spPr>
                  <a:xfrm>
                    <a:off x="0" y="0"/>
                    <a:ext cx="7336155" cy="10702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tab/>
    </w:r>
    <w:r w:rsidR="001B416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C45A" w14:textId="77777777" w:rsidR="009F7DD8" w:rsidRDefault="009F7D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DB8F" w14:textId="77777777" w:rsidR="004E389D" w:rsidRDefault="004E389D">
    <w:pPr>
      <w:pStyle w:val="Header"/>
      <w:jc w:val="left"/>
    </w:pPr>
    <w:r>
      <w:rPr>
        <w:noProof/>
        <w:lang w:val="en-AU"/>
      </w:rPr>
      <w:drawing>
        <wp:anchor distT="152400" distB="152400" distL="152400" distR="152400" simplePos="0" relativeHeight="251656704" behindDoc="1" locked="0" layoutInCell="1" allowOverlap="1" wp14:anchorId="07C1F26F" wp14:editId="367E4220">
          <wp:simplePos x="0" y="0"/>
          <wp:positionH relativeFrom="page">
            <wp:posOffset>160020</wp:posOffset>
          </wp:positionH>
          <wp:positionV relativeFrom="page">
            <wp:posOffset>160020</wp:posOffset>
          </wp:positionV>
          <wp:extent cx="10662285" cy="7545705"/>
          <wp:effectExtent l="0" t="0" r="0" b="0"/>
          <wp:wrapNone/>
          <wp:docPr id="1073741848"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30" name="Report-Page-1-Gradient.png" descr="Report-Page-1-Gradient.png"/>
                  <pic:cNvPicPr>
                    <a:picLocks noChangeAspect="1"/>
                  </pic:cNvPicPr>
                </pic:nvPicPr>
                <pic:blipFill>
                  <a:blip r:embed="rId1">
                    <a:extLst/>
                  </a:blip>
                  <a:stretch>
                    <a:fillRect/>
                  </a:stretch>
                </pic:blipFill>
                <pic:spPr>
                  <a:xfrm>
                    <a:off x="0" y="0"/>
                    <a:ext cx="10662285" cy="7545705"/>
                  </a:xfrm>
                  <a:prstGeom prst="rect">
                    <a:avLst/>
                  </a:prstGeom>
                  <a:ln w="12700" cap="flat">
                    <a:noFill/>
                    <a:miter lim="400000"/>
                  </a:ln>
                  <a:effectLst/>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E36B" w14:textId="77777777" w:rsidR="004E389D" w:rsidRDefault="004E389D">
    <w:pPr>
      <w:pStyle w:val="Header"/>
      <w:jc w:val="left"/>
    </w:pPr>
    <w:r>
      <w:rPr>
        <w:noProof/>
        <w:lang w:val="en-AU"/>
      </w:rPr>
      <w:drawing>
        <wp:anchor distT="152400" distB="152400" distL="152400" distR="152400" simplePos="0" relativeHeight="251657728" behindDoc="1" locked="0" layoutInCell="1" allowOverlap="1" wp14:anchorId="20B158E4" wp14:editId="4EABF480">
          <wp:simplePos x="0" y="0"/>
          <wp:positionH relativeFrom="page">
            <wp:posOffset>7620</wp:posOffset>
          </wp:positionH>
          <wp:positionV relativeFrom="page">
            <wp:posOffset>7620</wp:posOffset>
          </wp:positionV>
          <wp:extent cx="10662285" cy="7545705"/>
          <wp:effectExtent l="0" t="0" r="0" b="0"/>
          <wp:wrapNone/>
          <wp:docPr id="1073741849"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32" name="Report-Page-1-Gradient.png" descr="Report-Page-1-Gradient.png"/>
                  <pic:cNvPicPr>
                    <a:picLocks noChangeAspect="1"/>
                  </pic:cNvPicPr>
                </pic:nvPicPr>
                <pic:blipFill>
                  <a:blip r:embed="rId1">
                    <a:extLst/>
                  </a:blip>
                  <a:stretch>
                    <a:fillRect/>
                  </a:stretch>
                </pic:blipFill>
                <pic:spPr>
                  <a:xfrm>
                    <a:off x="0" y="0"/>
                    <a:ext cx="10662285" cy="7545705"/>
                  </a:xfrm>
                  <a:prstGeom prst="rect">
                    <a:avLst/>
                  </a:prstGeom>
                  <a:ln w="12700" cap="flat">
                    <a:noFill/>
                    <a:miter lim="400000"/>
                  </a:ln>
                  <a:effectLst/>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EB56" w14:textId="77777777" w:rsidR="004E389D" w:rsidRDefault="004E389D">
    <w:pPr>
      <w:pStyle w:val="Header"/>
      <w:jc w:val="left"/>
    </w:pPr>
    <w:r>
      <w:rPr>
        <w:noProof/>
        <w:lang w:val="en-AU"/>
      </w:rPr>
      <w:drawing>
        <wp:anchor distT="152400" distB="152400" distL="152400" distR="152400" simplePos="0" relativeHeight="251658752" behindDoc="1" locked="0" layoutInCell="1" allowOverlap="1" wp14:anchorId="4E562EED" wp14:editId="5B5321B9">
          <wp:simplePos x="0" y="0"/>
          <wp:positionH relativeFrom="page">
            <wp:posOffset>7620</wp:posOffset>
          </wp:positionH>
          <wp:positionV relativeFrom="page">
            <wp:posOffset>57785</wp:posOffset>
          </wp:positionV>
          <wp:extent cx="10800000" cy="7560000"/>
          <wp:effectExtent l="0" t="0" r="0" b="0"/>
          <wp:wrapNone/>
          <wp:docPr id="24"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34" name="Report-Page-1-Gradient.png" descr="Report-Page-1-Gradient.png"/>
                  <pic:cNvPicPr>
                    <a:picLocks noChangeAspect="1"/>
                  </pic:cNvPicPr>
                </pic:nvPicPr>
                <pic:blipFill>
                  <a:blip r:embed="rId1">
                    <a:extLst/>
                  </a:blip>
                  <a:stretch>
                    <a:fillRect/>
                  </a:stretch>
                </pic:blipFill>
                <pic:spPr>
                  <a:xfrm>
                    <a:off x="0" y="0"/>
                    <a:ext cx="10800000" cy="7560000"/>
                  </a:xfrm>
                  <a:prstGeom prst="rect">
                    <a:avLst/>
                  </a:prstGeom>
                  <a:ln w="12700" cap="flat">
                    <a:noFill/>
                    <a:miter lim="400000"/>
                  </a:ln>
                  <a:effectLst/>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DBBD" w14:textId="77777777" w:rsidR="004E389D" w:rsidRDefault="004E389D">
    <w:pPr>
      <w:pStyle w:val="Header"/>
      <w:jc w:val="left"/>
    </w:pPr>
    <w:r>
      <w:rPr>
        <w:noProof/>
        <w:lang w:val="en-AU"/>
      </w:rPr>
      <w:drawing>
        <wp:anchor distT="152400" distB="152400" distL="152400" distR="152400" simplePos="0" relativeHeight="251659776" behindDoc="1" locked="0" layoutInCell="1" allowOverlap="1" wp14:anchorId="1409C49A" wp14:editId="55C7F188">
          <wp:simplePos x="0" y="0"/>
          <wp:positionH relativeFrom="page">
            <wp:posOffset>1268</wp:posOffset>
          </wp:positionH>
          <wp:positionV relativeFrom="page">
            <wp:posOffset>0</wp:posOffset>
          </wp:positionV>
          <wp:extent cx="7559041" cy="11025507"/>
          <wp:effectExtent l="0" t="0" r="0" b="0"/>
          <wp:wrapNone/>
          <wp:docPr id="1073741834" name="officeArt object" descr="Report-Page-1-Gradient.png"/>
          <wp:cNvGraphicFramePr/>
          <a:graphic xmlns:a="http://schemas.openxmlformats.org/drawingml/2006/main">
            <a:graphicData uri="http://schemas.openxmlformats.org/drawingml/2006/picture">
              <pic:pic xmlns:pic="http://schemas.openxmlformats.org/drawingml/2006/picture">
                <pic:nvPicPr>
                  <pic:cNvPr id="1073741836" name="Report-Page-1-Gradient.png" descr="Report-Page-1-Gradient.png"/>
                  <pic:cNvPicPr>
                    <a:picLocks noChangeAspect="1"/>
                  </pic:cNvPicPr>
                </pic:nvPicPr>
                <pic:blipFill>
                  <a:blip r:embed="rId1">
                    <a:extLst/>
                  </a:blip>
                  <a:stretch>
                    <a:fillRect/>
                  </a:stretch>
                </pic:blipFill>
                <pic:spPr>
                  <a:xfrm>
                    <a:off x="0" y="0"/>
                    <a:ext cx="7559041" cy="1102550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58BB8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7F7E5A"/>
    <w:multiLevelType w:val="hybridMultilevel"/>
    <w:tmpl w:val="2FECC6EE"/>
    <w:styleLink w:val="ImportedStyle21"/>
    <w:lvl w:ilvl="0" w:tplc="52B43324">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88CA60">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6C0192">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2081FA">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AF128">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3EF59C">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A43BF4">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2481B4">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166C92">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75F89"/>
    <w:multiLevelType w:val="hybridMultilevel"/>
    <w:tmpl w:val="939EA414"/>
    <w:numStyleLink w:val="Bullets"/>
  </w:abstractNum>
  <w:abstractNum w:abstractNumId="2" w15:restartNumberingAfterBreak="0">
    <w:nsid w:val="0B957B92"/>
    <w:multiLevelType w:val="hybridMultilevel"/>
    <w:tmpl w:val="BEFEA5FA"/>
    <w:styleLink w:val="ImportedStyle1"/>
    <w:lvl w:ilvl="0" w:tplc="08E24A2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E1FE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2081FC">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02284">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25208">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E233D8">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2EB642">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F4080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1A17BE">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AF5E22"/>
    <w:multiLevelType w:val="hybridMultilevel"/>
    <w:tmpl w:val="159C813A"/>
    <w:numStyleLink w:val="ImportedStyle2"/>
  </w:abstractNum>
  <w:abstractNum w:abstractNumId="4" w15:restartNumberingAfterBreak="0">
    <w:nsid w:val="113F5302"/>
    <w:multiLevelType w:val="hybridMultilevel"/>
    <w:tmpl w:val="718EE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88504A"/>
    <w:multiLevelType w:val="hybridMultilevel"/>
    <w:tmpl w:val="E662F52A"/>
    <w:styleLink w:val="ImportedStyle10"/>
    <w:lvl w:ilvl="0" w:tplc="E4229152">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AC52A8">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20D27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5ACE7A">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CAE398">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788A3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20EAF8">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38878E">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646AC">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0814BA"/>
    <w:multiLevelType w:val="hybridMultilevel"/>
    <w:tmpl w:val="DB4684FC"/>
    <w:lvl w:ilvl="0" w:tplc="AC0241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4E2E12"/>
    <w:multiLevelType w:val="multilevel"/>
    <w:tmpl w:val="99085052"/>
    <w:lvl w:ilvl="0">
      <w:start w:val="1"/>
      <w:numFmt w:val="bullet"/>
      <w:pStyle w:val="Bullet1"/>
      <w:lvlText w:val=""/>
      <w:lvlJc w:val="left"/>
      <w:pPr>
        <w:tabs>
          <w:tab w:val="num" w:pos="567"/>
        </w:tabs>
        <w:ind w:left="567" w:hanging="567"/>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1CA22930"/>
    <w:multiLevelType w:val="hybridMultilevel"/>
    <w:tmpl w:val="B3F42148"/>
    <w:styleLink w:val="ImportedStyle11"/>
    <w:lvl w:ilvl="0" w:tplc="13ACF0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20F8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74D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FC58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C613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18C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9CCA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A4D6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E44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98B0654"/>
    <w:multiLevelType w:val="hybridMultilevel"/>
    <w:tmpl w:val="D04A612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B5F17E9"/>
    <w:multiLevelType w:val="hybridMultilevel"/>
    <w:tmpl w:val="35FEAB46"/>
    <w:lvl w:ilvl="0" w:tplc="0C090003">
      <w:start w:val="1"/>
      <w:numFmt w:val="bullet"/>
      <w:lvlText w:val="o"/>
      <w:lvlJc w:val="left"/>
      <w:pPr>
        <w:ind w:left="1485" w:hanging="360"/>
      </w:pPr>
      <w:rPr>
        <w:rFonts w:ascii="Courier New" w:hAnsi="Courier New" w:cs="Courier New" w:hint="default"/>
      </w:rPr>
    </w:lvl>
    <w:lvl w:ilvl="1" w:tplc="0C090003">
      <w:start w:val="1"/>
      <w:numFmt w:val="bullet"/>
      <w:lvlText w:val="o"/>
      <w:lvlJc w:val="left"/>
      <w:pPr>
        <w:ind w:left="2205" w:hanging="360"/>
      </w:pPr>
      <w:rPr>
        <w:rFonts w:ascii="Courier New" w:hAnsi="Courier New" w:cs="Courier New" w:hint="default"/>
      </w:rPr>
    </w:lvl>
    <w:lvl w:ilvl="2" w:tplc="0C090005">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start w:val="1"/>
      <w:numFmt w:val="bullet"/>
      <w:lvlText w:val="o"/>
      <w:lvlJc w:val="left"/>
      <w:pPr>
        <w:ind w:left="4365" w:hanging="360"/>
      </w:pPr>
      <w:rPr>
        <w:rFonts w:ascii="Courier New" w:hAnsi="Courier New" w:cs="Courier New" w:hint="default"/>
      </w:rPr>
    </w:lvl>
    <w:lvl w:ilvl="5" w:tplc="0C090005">
      <w:start w:val="1"/>
      <w:numFmt w:val="bullet"/>
      <w:lvlText w:val=""/>
      <w:lvlJc w:val="left"/>
      <w:pPr>
        <w:ind w:left="5085" w:hanging="360"/>
      </w:pPr>
      <w:rPr>
        <w:rFonts w:ascii="Wingdings" w:hAnsi="Wingdings" w:hint="default"/>
      </w:rPr>
    </w:lvl>
    <w:lvl w:ilvl="6" w:tplc="0C090001">
      <w:start w:val="1"/>
      <w:numFmt w:val="bullet"/>
      <w:lvlText w:val=""/>
      <w:lvlJc w:val="left"/>
      <w:pPr>
        <w:ind w:left="5805" w:hanging="360"/>
      </w:pPr>
      <w:rPr>
        <w:rFonts w:ascii="Symbol" w:hAnsi="Symbol" w:hint="default"/>
      </w:rPr>
    </w:lvl>
    <w:lvl w:ilvl="7" w:tplc="0C090003">
      <w:start w:val="1"/>
      <w:numFmt w:val="bullet"/>
      <w:lvlText w:val="o"/>
      <w:lvlJc w:val="left"/>
      <w:pPr>
        <w:ind w:left="6525" w:hanging="360"/>
      </w:pPr>
      <w:rPr>
        <w:rFonts w:ascii="Courier New" w:hAnsi="Courier New" w:cs="Courier New" w:hint="default"/>
      </w:rPr>
    </w:lvl>
    <w:lvl w:ilvl="8" w:tplc="0C090005">
      <w:start w:val="1"/>
      <w:numFmt w:val="bullet"/>
      <w:lvlText w:val=""/>
      <w:lvlJc w:val="left"/>
      <w:pPr>
        <w:ind w:left="7245" w:hanging="360"/>
      </w:pPr>
      <w:rPr>
        <w:rFonts w:ascii="Wingdings" w:hAnsi="Wingdings" w:hint="default"/>
      </w:rPr>
    </w:lvl>
  </w:abstractNum>
  <w:abstractNum w:abstractNumId="11" w15:restartNumberingAfterBreak="0">
    <w:nsid w:val="2C526EA6"/>
    <w:multiLevelType w:val="hybridMultilevel"/>
    <w:tmpl w:val="030AD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D9725E"/>
    <w:multiLevelType w:val="hybridMultilevel"/>
    <w:tmpl w:val="939EA414"/>
    <w:styleLink w:val="Bullets"/>
    <w:lvl w:ilvl="0" w:tplc="2AF0B4C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D500AE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DE649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ECA763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1C4D44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496153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F60F83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3C2310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F6CB4E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E5AC5"/>
    <w:multiLevelType w:val="hybridMultilevel"/>
    <w:tmpl w:val="CFE07FBE"/>
    <w:lvl w:ilvl="0" w:tplc="039E0B7C">
      <w:start w:val="1"/>
      <w:numFmt w:val="decimal"/>
      <w:lvlText w:val="%1."/>
      <w:lvlJc w:val="left"/>
      <w:pPr>
        <w:ind w:left="720" w:hanging="360"/>
      </w:pPr>
      <w:rPr>
        <w:rFonts w:hint="default"/>
        <w:b/>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2E1CB5"/>
    <w:multiLevelType w:val="multilevel"/>
    <w:tmpl w:val="10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64CAA"/>
    <w:multiLevelType w:val="hybridMultilevel"/>
    <w:tmpl w:val="9B40817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CF837E0"/>
    <w:multiLevelType w:val="hybridMultilevel"/>
    <w:tmpl w:val="2FECC6EE"/>
    <w:numStyleLink w:val="ImportedStyle21"/>
  </w:abstractNum>
  <w:abstractNum w:abstractNumId="17" w15:restartNumberingAfterBreak="0">
    <w:nsid w:val="40996AAC"/>
    <w:multiLevelType w:val="hybridMultilevel"/>
    <w:tmpl w:val="1FBCDC10"/>
    <w:lvl w:ilvl="0" w:tplc="49C431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AC53C6"/>
    <w:multiLevelType w:val="hybridMultilevel"/>
    <w:tmpl w:val="42D2C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A165E4"/>
    <w:multiLevelType w:val="hybridMultilevel"/>
    <w:tmpl w:val="58F2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A65B05"/>
    <w:multiLevelType w:val="hybridMultilevel"/>
    <w:tmpl w:val="513CD900"/>
    <w:styleLink w:val="Bullets1"/>
    <w:lvl w:ilvl="0" w:tplc="7B4209B4">
      <w:start w:val="1"/>
      <w:numFmt w:val="bullet"/>
      <w:lvlText w:val="•"/>
      <w:lvlJc w:val="left"/>
      <w:pPr>
        <w:ind w:left="1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2C80264">
      <w:start w:val="1"/>
      <w:numFmt w:val="bullet"/>
      <w:lvlText w:val="•"/>
      <w:lvlJc w:val="left"/>
      <w:pPr>
        <w:ind w:left="7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27B0E272">
      <w:start w:val="1"/>
      <w:numFmt w:val="bullet"/>
      <w:lvlText w:val="•"/>
      <w:lvlJc w:val="left"/>
      <w:pPr>
        <w:ind w:left="13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CA26ACB6">
      <w:start w:val="1"/>
      <w:numFmt w:val="bullet"/>
      <w:lvlText w:val="•"/>
      <w:lvlJc w:val="left"/>
      <w:pPr>
        <w:ind w:left="19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47667D78">
      <w:start w:val="1"/>
      <w:numFmt w:val="bullet"/>
      <w:lvlText w:val="•"/>
      <w:lvlJc w:val="left"/>
      <w:pPr>
        <w:ind w:left="25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CA549E28">
      <w:start w:val="1"/>
      <w:numFmt w:val="bullet"/>
      <w:lvlText w:val="•"/>
      <w:lvlJc w:val="left"/>
      <w:pPr>
        <w:ind w:left="31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143E0538">
      <w:start w:val="1"/>
      <w:numFmt w:val="bullet"/>
      <w:lvlText w:val="•"/>
      <w:lvlJc w:val="left"/>
      <w:pPr>
        <w:ind w:left="37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B3AEAD06">
      <w:start w:val="1"/>
      <w:numFmt w:val="bullet"/>
      <w:lvlText w:val="•"/>
      <w:lvlJc w:val="left"/>
      <w:pPr>
        <w:ind w:left="43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5CD0F30A">
      <w:start w:val="1"/>
      <w:numFmt w:val="bullet"/>
      <w:lvlText w:val="•"/>
      <w:lvlJc w:val="left"/>
      <w:pPr>
        <w:ind w:left="4974" w:hanging="174"/>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565667"/>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2" w15:restartNumberingAfterBreak="0">
    <w:nsid w:val="53CE50EB"/>
    <w:multiLevelType w:val="hybridMultilevel"/>
    <w:tmpl w:val="159C813A"/>
    <w:styleLink w:val="ImportedStyle2"/>
    <w:lvl w:ilvl="0" w:tplc="23C0D1E6">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DE41D2">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9E80BE">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646246">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C7C5A">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F60954">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74029E">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F20CC8">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EE5E4">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7C342C"/>
    <w:multiLevelType w:val="hybridMultilevel"/>
    <w:tmpl w:val="4A167C5E"/>
    <w:lvl w:ilvl="0" w:tplc="2F7AB14C">
      <w:numFmt w:val="bullet"/>
      <w:lvlText w:val="-"/>
      <w:lvlJc w:val="left"/>
      <w:pPr>
        <w:ind w:left="786" w:hanging="360"/>
      </w:pPr>
      <w:rPr>
        <w:rFonts w:ascii="Calibri Light" w:eastAsia="Calibri Light" w:hAnsi="Calibri Light" w:cs="Calibri Light"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56222AD1"/>
    <w:multiLevelType w:val="hybridMultilevel"/>
    <w:tmpl w:val="BEFEA5FA"/>
    <w:numStyleLink w:val="ImportedStyle1"/>
  </w:abstractNum>
  <w:abstractNum w:abstractNumId="25" w15:restartNumberingAfterBreak="0">
    <w:nsid w:val="5CB01AFC"/>
    <w:multiLevelType w:val="hybridMultilevel"/>
    <w:tmpl w:val="2A241480"/>
    <w:lvl w:ilvl="0" w:tplc="13E0CAE4">
      <w:numFmt w:val="bullet"/>
      <w:lvlText w:val="-"/>
      <w:lvlJc w:val="left"/>
      <w:pPr>
        <w:ind w:left="1080" w:hanging="360"/>
      </w:pPr>
      <w:rPr>
        <w:rFonts w:ascii="Calibri Light" w:eastAsia="Calibri Light"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D47CB6"/>
    <w:multiLevelType w:val="hybridMultilevel"/>
    <w:tmpl w:val="D55CD3C0"/>
    <w:numStyleLink w:val="Dash"/>
  </w:abstractNum>
  <w:abstractNum w:abstractNumId="27" w15:restartNumberingAfterBreak="0">
    <w:nsid w:val="610A776F"/>
    <w:multiLevelType w:val="hybridMultilevel"/>
    <w:tmpl w:val="52B42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B57501"/>
    <w:multiLevelType w:val="hybridMultilevel"/>
    <w:tmpl w:val="513CD900"/>
    <w:numStyleLink w:val="Bullets1"/>
  </w:abstractNum>
  <w:abstractNum w:abstractNumId="29" w15:restartNumberingAfterBreak="0">
    <w:nsid w:val="697B6FF6"/>
    <w:multiLevelType w:val="hybridMultilevel"/>
    <w:tmpl w:val="B3F42148"/>
    <w:numStyleLink w:val="ImportedStyle11"/>
  </w:abstractNum>
  <w:abstractNum w:abstractNumId="30" w15:restartNumberingAfterBreak="0">
    <w:nsid w:val="6CCF07FB"/>
    <w:multiLevelType w:val="hybridMultilevel"/>
    <w:tmpl w:val="E662F52A"/>
    <w:numStyleLink w:val="ImportedStyle10"/>
  </w:abstractNum>
  <w:abstractNum w:abstractNumId="3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7C6F766D"/>
    <w:multiLevelType w:val="hybridMultilevel"/>
    <w:tmpl w:val="B994EA90"/>
    <w:lvl w:ilvl="0" w:tplc="36629692">
      <w:start w:val="1"/>
      <w:numFmt w:val="decimal"/>
      <w:lvlText w:val="%1"/>
      <w:lvlJc w:val="left"/>
      <w:pPr>
        <w:ind w:left="644" w:hanging="360"/>
      </w:pPr>
      <w:rPr>
        <w:b/>
        <w:color w:val="000000"/>
        <w:sz w:val="24"/>
        <w:szCs w:val="24"/>
        <w:vertAlign w:val="superscrip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3" w15:restartNumberingAfterBreak="0">
    <w:nsid w:val="7D770F1C"/>
    <w:multiLevelType w:val="hybridMultilevel"/>
    <w:tmpl w:val="97900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E456E2"/>
    <w:multiLevelType w:val="hybridMultilevel"/>
    <w:tmpl w:val="D55CD3C0"/>
    <w:styleLink w:val="Dash"/>
    <w:lvl w:ilvl="0" w:tplc="0F86C48C">
      <w:start w:val="1"/>
      <w:numFmt w:val="bullet"/>
      <w:lvlText w:val="-"/>
      <w:lvlJc w:val="left"/>
      <w:pPr>
        <w:ind w:left="29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E0E8CC80">
      <w:start w:val="1"/>
      <w:numFmt w:val="bullet"/>
      <w:lvlText w:val="-"/>
      <w:lvlJc w:val="left"/>
      <w:pPr>
        <w:ind w:left="53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DA41754">
      <w:start w:val="1"/>
      <w:numFmt w:val="bullet"/>
      <w:lvlText w:val="-"/>
      <w:lvlJc w:val="left"/>
      <w:pPr>
        <w:ind w:left="77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480FB6C">
      <w:start w:val="1"/>
      <w:numFmt w:val="bullet"/>
      <w:lvlText w:val="-"/>
      <w:lvlJc w:val="left"/>
      <w:pPr>
        <w:ind w:left="101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28409FF4">
      <w:start w:val="1"/>
      <w:numFmt w:val="bullet"/>
      <w:lvlText w:val="-"/>
      <w:lvlJc w:val="left"/>
      <w:pPr>
        <w:ind w:left="125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FFA4016">
      <w:start w:val="1"/>
      <w:numFmt w:val="bullet"/>
      <w:lvlText w:val="-"/>
      <w:lvlJc w:val="left"/>
      <w:pPr>
        <w:ind w:left="149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886473A">
      <w:start w:val="1"/>
      <w:numFmt w:val="bullet"/>
      <w:lvlText w:val="-"/>
      <w:lvlJc w:val="left"/>
      <w:pPr>
        <w:ind w:left="173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D9704982">
      <w:start w:val="1"/>
      <w:numFmt w:val="bullet"/>
      <w:lvlText w:val="-"/>
      <w:lvlJc w:val="left"/>
      <w:pPr>
        <w:ind w:left="197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21004DE">
      <w:start w:val="1"/>
      <w:numFmt w:val="bullet"/>
      <w:lvlText w:val="-"/>
      <w:lvlJc w:val="left"/>
      <w:pPr>
        <w:ind w:left="2211" w:hanging="291"/>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5" w15:restartNumberingAfterBreak="0">
    <w:nsid w:val="7FB22C83"/>
    <w:multiLevelType w:val="hybridMultilevel"/>
    <w:tmpl w:val="AC74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12"/>
  </w:num>
  <w:num w:numId="4">
    <w:abstractNumId w:val="1"/>
  </w:num>
  <w:num w:numId="5">
    <w:abstractNumId w:val="22"/>
  </w:num>
  <w:num w:numId="6">
    <w:abstractNumId w:val="3"/>
  </w:num>
  <w:num w:numId="7">
    <w:abstractNumId w:val="34"/>
  </w:num>
  <w:num w:numId="8">
    <w:abstractNumId w:val="26"/>
  </w:num>
  <w:num w:numId="9">
    <w:abstractNumId w:val="19"/>
  </w:num>
  <w:num w:numId="10">
    <w:abstractNumId w:val="10"/>
  </w:num>
  <w:num w:numId="11">
    <w:abstractNumId w:val="10"/>
  </w:num>
  <w:num w:numId="12">
    <w:abstractNumId w:val="23"/>
  </w:num>
  <w:num w:numId="13">
    <w:abstractNumId w:val="9"/>
  </w:num>
  <w:num w:numId="14">
    <w:abstractNumId w:val="15"/>
  </w:num>
  <w:num w:numId="15">
    <w:abstractNumId w:val="25"/>
  </w:num>
  <w:num w:numId="16">
    <w:abstractNumId w:val="4"/>
  </w:num>
  <w:num w:numId="17">
    <w:abstractNumId w:val="8"/>
  </w:num>
  <w:num w:numId="18">
    <w:abstractNumId w:val="29"/>
  </w:num>
  <w:num w:numId="19">
    <w:abstractNumId w:val="5"/>
  </w:num>
  <w:num w:numId="20">
    <w:abstractNumId w:val="30"/>
  </w:num>
  <w:num w:numId="21">
    <w:abstractNumId w:val="20"/>
  </w:num>
  <w:num w:numId="22">
    <w:abstractNumId w:val="28"/>
  </w:num>
  <w:num w:numId="23">
    <w:abstractNumId w:val="0"/>
  </w:num>
  <w:num w:numId="24">
    <w:abstractNumId w:val="16"/>
  </w:num>
  <w:num w:numId="25">
    <w:abstractNumId w:val="14"/>
  </w:num>
  <w:num w:numId="26">
    <w:abstractNumId w:val="27"/>
  </w:num>
  <w:num w:numId="27">
    <w:abstractNumId w:val="18"/>
  </w:num>
  <w:num w:numId="28">
    <w:abstractNumId w:val="33"/>
  </w:num>
  <w:num w:numId="29">
    <w:abstractNumId w:val="17"/>
  </w:num>
  <w:num w:numId="30">
    <w:abstractNumId w:val="6"/>
  </w:num>
  <w:num w:numId="31">
    <w:abstractNumId w:val="10"/>
  </w:num>
  <w:num w:numId="32">
    <w:abstractNumId w:val="7"/>
  </w:num>
  <w:num w:numId="33">
    <w:abstractNumId w:val="31"/>
  </w:num>
  <w:num w:numId="34">
    <w:abstractNumId w:val="21"/>
  </w:num>
  <w:num w:numId="35">
    <w:abstractNumId w:val="35"/>
  </w:num>
  <w:num w:numId="36">
    <w:abstractNumId w:val="1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93"/>
    <w:rsid w:val="00001110"/>
    <w:rsid w:val="00002396"/>
    <w:rsid w:val="0000243E"/>
    <w:rsid w:val="00003974"/>
    <w:rsid w:val="00005312"/>
    <w:rsid w:val="00012B7F"/>
    <w:rsid w:val="00012C9E"/>
    <w:rsid w:val="00014244"/>
    <w:rsid w:val="0001482E"/>
    <w:rsid w:val="00016C7C"/>
    <w:rsid w:val="00021A9F"/>
    <w:rsid w:val="00022110"/>
    <w:rsid w:val="0002554A"/>
    <w:rsid w:val="00027EEA"/>
    <w:rsid w:val="00030FA3"/>
    <w:rsid w:val="00033A12"/>
    <w:rsid w:val="00033DD9"/>
    <w:rsid w:val="00034E0A"/>
    <w:rsid w:val="00035D51"/>
    <w:rsid w:val="00035E3A"/>
    <w:rsid w:val="000372EF"/>
    <w:rsid w:val="0003774A"/>
    <w:rsid w:val="00040892"/>
    <w:rsid w:val="0004272D"/>
    <w:rsid w:val="00042C1D"/>
    <w:rsid w:val="00042E7C"/>
    <w:rsid w:val="000438D8"/>
    <w:rsid w:val="000538A1"/>
    <w:rsid w:val="00053D8E"/>
    <w:rsid w:val="00053DBF"/>
    <w:rsid w:val="0005453B"/>
    <w:rsid w:val="000551CD"/>
    <w:rsid w:val="00056994"/>
    <w:rsid w:val="00057B9D"/>
    <w:rsid w:val="00060FC6"/>
    <w:rsid w:val="00061C7F"/>
    <w:rsid w:val="00065836"/>
    <w:rsid w:val="00065EA1"/>
    <w:rsid w:val="00071810"/>
    <w:rsid w:val="00071D59"/>
    <w:rsid w:val="000745DD"/>
    <w:rsid w:val="00076609"/>
    <w:rsid w:val="00076CA3"/>
    <w:rsid w:val="00076E82"/>
    <w:rsid w:val="000801BE"/>
    <w:rsid w:val="00083C26"/>
    <w:rsid w:val="000858B5"/>
    <w:rsid w:val="00091DAB"/>
    <w:rsid w:val="000A074C"/>
    <w:rsid w:val="000A17EC"/>
    <w:rsid w:val="000A507E"/>
    <w:rsid w:val="000A69C8"/>
    <w:rsid w:val="000A6FE4"/>
    <w:rsid w:val="000A7672"/>
    <w:rsid w:val="000B0055"/>
    <w:rsid w:val="000B2A85"/>
    <w:rsid w:val="000B3754"/>
    <w:rsid w:val="000B50D0"/>
    <w:rsid w:val="000C356A"/>
    <w:rsid w:val="000C4E2D"/>
    <w:rsid w:val="000C60D5"/>
    <w:rsid w:val="000C634A"/>
    <w:rsid w:val="000C6383"/>
    <w:rsid w:val="000C708E"/>
    <w:rsid w:val="000D043B"/>
    <w:rsid w:val="000D08A1"/>
    <w:rsid w:val="000D29CF"/>
    <w:rsid w:val="000D78A9"/>
    <w:rsid w:val="000E1764"/>
    <w:rsid w:val="000E45E7"/>
    <w:rsid w:val="000E5104"/>
    <w:rsid w:val="000E6BCD"/>
    <w:rsid w:val="000E6FD3"/>
    <w:rsid w:val="000E7F21"/>
    <w:rsid w:val="000F1F3A"/>
    <w:rsid w:val="000F4775"/>
    <w:rsid w:val="00101C38"/>
    <w:rsid w:val="00103BCE"/>
    <w:rsid w:val="00104D7C"/>
    <w:rsid w:val="00105382"/>
    <w:rsid w:val="00105B47"/>
    <w:rsid w:val="00107AEB"/>
    <w:rsid w:val="00107BB0"/>
    <w:rsid w:val="00111746"/>
    <w:rsid w:val="0011295C"/>
    <w:rsid w:val="00113A4E"/>
    <w:rsid w:val="00113B0D"/>
    <w:rsid w:val="00114AEF"/>
    <w:rsid w:val="00117DDB"/>
    <w:rsid w:val="00120B6C"/>
    <w:rsid w:val="00122ADF"/>
    <w:rsid w:val="001255DD"/>
    <w:rsid w:val="001256B6"/>
    <w:rsid w:val="001266F9"/>
    <w:rsid w:val="00126BDA"/>
    <w:rsid w:val="00127101"/>
    <w:rsid w:val="00127404"/>
    <w:rsid w:val="00131835"/>
    <w:rsid w:val="001343DB"/>
    <w:rsid w:val="00135BB6"/>
    <w:rsid w:val="00137175"/>
    <w:rsid w:val="00137472"/>
    <w:rsid w:val="00142F84"/>
    <w:rsid w:val="00144157"/>
    <w:rsid w:val="00146085"/>
    <w:rsid w:val="00150E9C"/>
    <w:rsid w:val="00151C57"/>
    <w:rsid w:val="00152700"/>
    <w:rsid w:val="001555F1"/>
    <w:rsid w:val="0015568A"/>
    <w:rsid w:val="001625B8"/>
    <w:rsid w:val="001625D1"/>
    <w:rsid w:val="001643B4"/>
    <w:rsid w:val="00164F41"/>
    <w:rsid w:val="001656FF"/>
    <w:rsid w:val="00165B3E"/>
    <w:rsid w:val="001660BC"/>
    <w:rsid w:val="00173364"/>
    <w:rsid w:val="00173AAA"/>
    <w:rsid w:val="00173ACD"/>
    <w:rsid w:val="00174ACA"/>
    <w:rsid w:val="00174BA2"/>
    <w:rsid w:val="00174EB1"/>
    <w:rsid w:val="00176F1E"/>
    <w:rsid w:val="0017743B"/>
    <w:rsid w:val="00180F95"/>
    <w:rsid w:val="00184217"/>
    <w:rsid w:val="00184545"/>
    <w:rsid w:val="0018470E"/>
    <w:rsid w:val="00185C25"/>
    <w:rsid w:val="00185DA0"/>
    <w:rsid w:val="001907B9"/>
    <w:rsid w:val="00190E01"/>
    <w:rsid w:val="00192FA7"/>
    <w:rsid w:val="00193698"/>
    <w:rsid w:val="00195051"/>
    <w:rsid w:val="0019528D"/>
    <w:rsid w:val="00195472"/>
    <w:rsid w:val="00196369"/>
    <w:rsid w:val="00197C71"/>
    <w:rsid w:val="001A42C1"/>
    <w:rsid w:val="001A4319"/>
    <w:rsid w:val="001A5E8E"/>
    <w:rsid w:val="001B06BC"/>
    <w:rsid w:val="001B2723"/>
    <w:rsid w:val="001B2FA2"/>
    <w:rsid w:val="001B416C"/>
    <w:rsid w:val="001B586C"/>
    <w:rsid w:val="001C069B"/>
    <w:rsid w:val="001C2CDD"/>
    <w:rsid w:val="001C4570"/>
    <w:rsid w:val="001C5034"/>
    <w:rsid w:val="001C546C"/>
    <w:rsid w:val="001C573F"/>
    <w:rsid w:val="001C5A83"/>
    <w:rsid w:val="001C7192"/>
    <w:rsid w:val="001D0C05"/>
    <w:rsid w:val="001D139E"/>
    <w:rsid w:val="001D4043"/>
    <w:rsid w:val="001D4E2F"/>
    <w:rsid w:val="001E0325"/>
    <w:rsid w:val="001E2690"/>
    <w:rsid w:val="001E283F"/>
    <w:rsid w:val="001E3C31"/>
    <w:rsid w:val="001E3C80"/>
    <w:rsid w:val="001E3DA1"/>
    <w:rsid w:val="001E496C"/>
    <w:rsid w:val="001E49FD"/>
    <w:rsid w:val="001E4B1E"/>
    <w:rsid w:val="001E553B"/>
    <w:rsid w:val="001E71EA"/>
    <w:rsid w:val="001F16AF"/>
    <w:rsid w:val="001F1A84"/>
    <w:rsid w:val="001F624B"/>
    <w:rsid w:val="00201317"/>
    <w:rsid w:val="0020199D"/>
    <w:rsid w:val="00202955"/>
    <w:rsid w:val="002037A9"/>
    <w:rsid w:val="00204D1D"/>
    <w:rsid w:val="00206C6D"/>
    <w:rsid w:val="0020716A"/>
    <w:rsid w:val="002117CD"/>
    <w:rsid w:val="002133C1"/>
    <w:rsid w:val="002167FD"/>
    <w:rsid w:val="00220E35"/>
    <w:rsid w:val="002231F7"/>
    <w:rsid w:val="0022381B"/>
    <w:rsid w:val="00224500"/>
    <w:rsid w:val="00225CC2"/>
    <w:rsid w:val="002272EA"/>
    <w:rsid w:val="00227B97"/>
    <w:rsid w:val="00230E83"/>
    <w:rsid w:val="002338F3"/>
    <w:rsid w:val="00235D02"/>
    <w:rsid w:val="00240959"/>
    <w:rsid w:val="00240D39"/>
    <w:rsid w:val="0024168C"/>
    <w:rsid w:val="002437EC"/>
    <w:rsid w:val="00245B56"/>
    <w:rsid w:val="00247599"/>
    <w:rsid w:val="00250653"/>
    <w:rsid w:val="00252CFF"/>
    <w:rsid w:val="002538C5"/>
    <w:rsid w:val="00253903"/>
    <w:rsid w:val="00254583"/>
    <w:rsid w:val="0025742A"/>
    <w:rsid w:val="00261D5E"/>
    <w:rsid w:val="00262EDA"/>
    <w:rsid w:val="002630E0"/>
    <w:rsid w:val="00263AFF"/>
    <w:rsid w:val="00263F24"/>
    <w:rsid w:val="002655A0"/>
    <w:rsid w:val="002667EB"/>
    <w:rsid w:val="00266D78"/>
    <w:rsid w:val="0026700A"/>
    <w:rsid w:val="00267142"/>
    <w:rsid w:val="00270CDF"/>
    <w:rsid w:val="0027212B"/>
    <w:rsid w:val="00273C4A"/>
    <w:rsid w:val="00274688"/>
    <w:rsid w:val="002804D8"/>
    <w:rsid w:val="002817DE"/>
    <w:rsid w:val="00282B85"/>
    <w:rsid w:val="00284142"/>
    <w:rsid w:val="0028497E"/>
    <w:rsid w:val="00284CA5"/>
    <w:rsid w:val="0028628F"/>
    <w:rsid w:val="00293167"/>
    <w:rsid w:val="0029627A"/>
    <w:rsid w:val="002A2BAE"/>
    <w:rsid w:val="002A6199"/>
    <w:rsid w:val="002A6416"/>
    <w:rsid w:val="002B0620"/>
    <w:rsid w:val="002B4134"/>
    <w:rsid w:val="002B5BE4"/>
    <w:rsid w:val="002B737B"/>
    <w:rsid w:val="002B7CB4"/>
    <w:rsid w:val="002C04A4"/>
    <w:rsid w:val="002C1C9E"/>
    <w:rsid w:val="002C29B9"/>
    <w:rsid w:val="002C5605"/>
    <w:rsid w:val="002C584C"/>
    <w:rsid w:val="002C5A5A"/>
    <w:rsid w:val="002C5CB2"/>
    <w:rsid w:val="002C74FF"/>
    <w:rsid w:val="002D1552"/>
    <w:rsid w:val="002D1A4A"/>
    <w:rsid w:val="002D503E"/>
    <w:rsid w:val="002D5594"/>
    <w:rsid w:val="002E6409"/>
    <w:rsid w:val="002E68A3"/>
    <w:rsid w:val="002E718B"/>
    <w:rsid w:val="002F08AA"/>
    <w:rsid w:val="002F1BF9"/>
    <w:rsid w:val="002F5CC8"/>
    <w:rsid w:val="002F7BAC"/>
    <w:rsid w:val="0030226E"/>
    <w:rsid w:val="00303243"/>
    <w:rsid w:val="00303CAB"/>
    <w:rsid w:val="00304138"/>
    <w:rsid w:val="00311577"/>
    <w:rsid w:val="003118A0"/>
    <w:rsid w:val="00312120"/>
    <w:rsid w:val="00314323"/>
    <w:rsid w:val="00317ABC"/>
    <w:rsid w:val="00317EC8"/>
    <w:rsid w:val="00325482"/>
    <w:rsid w:val="00326C82"/>
    <w:rsid w:val="00330739"/>
    <w:rsid w:val="00330976"/>
    <w:rsid w:val="00334004"/>
    <w:rsid w:val="0033440F"/>
    <w:rsid w:val="0033466D"/>
    <w:rsid w:val="003347D6"/>
    <w:rsid w:val="003360AE"/>
    <w:rsid w:val="00341226"/>
    <w:rsid w:val="00342D87"/>
    <w:rsid w:val="0036170D"/>
    <w:rsid w:val="00361FE3"/>
    <w:rsid w:val="00362F80"/>
    <w:rsid w:val="00366D05"/>
    <w:rsid w:val="0037008C"/>
    <w:rsid w:val="00370349"/>
    <w:rsid w:val="003710BA"/>
    <w:rsid w:val="00373649"/>
    <w:rsid w:val="003739D5"/>
    <w:rsid w:val="00373D86"/>
    <w:rsid w:val="0037642C"/>
    <w:rsid w:val="0038038A"/>
    <w:rsid w:val="00380685"/>
    <w:rsid w:val="00380F1D"/>
    <w:rsid w:val="003839CA"/>
    <w:rsid w:val="00383C27"/>
    <w:rsid w:val="00386596"/>
    <w:rsid w:val="003870F8"/>
    <w:rsid w:val="00391633"/>
    <w:rsid w:val="003965DC"/>
    <w:rsid w:val="00397002"/>
    <w:rsid w:val="003A03AB"/>
    <w:rsid w:val="003A2A5C"/>
    <w:rsid w:val="003A4180"/>
    <w:rsid w:val="003A53C7"/>
    <w:rsid w:val="003B2562"/>
    <w:rsid w:val="003B35D5"/>
    <w:rsid w:val="003B3FF0"/>
    <w:rsid w:val="003B4A93"/>
    <w:rsid w:val="003B5328"/>
    <w:rsid w:val="003B59F4"/>
    <w:rsid w:val="003B5D2E"/>
    <w:rsid w:val="003B7654"/>
    <w:rsid w:val="003C006E"/>
    <w:rsid w:val="003C021D"/>
    <w:rsid w:val="003C0282"/>
    <w:rsid w:val="003C2CB0"/>
    <w:rsid w:val="003C48C0"/>
    <w:rsid w:val="003C61D9"/>
    <w:rsid w:val="003C6C3D"/>
    <w:rsid w:val="003D1A3C"/>
    <w:rsid w:val="003D49E8"/>
    <w:rsid w:val="003D5C44"/>
    <w:rsid w:val="003D5F69"/>
    <w:rsid w:val="003E0502"/>
    <w:rsid w:val="003E0F08"/>
    <w:rsid w:val="003E2662"/>
    <w:rsid w:val="003E39F1"/>
    <w:rsid w:val="003E5ADF"/>
    <w:rsid w:val="003F1B16"/>
    <w:rsid w:val="003F2224"/>
    <w:rsid w:val="003F60E8"/>
    <w:rsid w:val="00400A07"/>
    <w:rsid w:val="004047D6"/>
    <w:rsid w:val="004057D8"/>
    <w:rsid w:val="00411924"/>
    <w:rsid w:val="00413147"/>
    <w:rsid w:val="004152A1"/>
    <w:rsid w:val="0041662E"/>
    <w:rsid w:val="00416850"/>
    <w:rsid w:val="00417A8B"/>
    <w:rsid w:val="004213E4"/>
    <w:rsid w:val="004236DE"/>
    <w:rsid w:val="004278B6"/>
    <w:rsid w:val="00430C1E"/>
    <w:rsid w:val="0043109E"/>
    <w:rsid w:val="004319D1"/>
    <w:rsid w:val="004336D7"/>
    <w:rsid w:val="0043388F"/>
    <w:rsid w:val="004343DB"/>
    <w:rsid w:val="00435318"/>
    <w:rsid w:val="00435CBE"/>
    <w:rsid w:val="00440EB8"/>
    <w:rsid w:val="004413FD"/>
    <w:rsid w:val="00442755"/>
    <w:rsid w:val="004439E6"/>
    <w:rsid w:val="00443CEB"/>
    <w:rsid w:val="00443EE9"/>
    <w:rsid w:val="00444B8C"/>
    <w:rsid w:val="0044583E"/>
    <w:rsid w:val="0044667C"/>
    <w:rsid w:val="00447BE7"/>
    <w:rsid w:val="004530BB"/>
    <w:rsid w:val="004532C6"/>
    <w:rsid w:val="00454CBF"/>
    <w:rsid w:val="004565E0"/>
    <w:rsid w:val="0045692E"/>
    <w:rsid w:val="00456942"/>
    <w:rsid w:val="00457288"/>
    <w:rsid w:val="00457E6E"/>
    <w:rsid w:val="00460680"/>
    <w:rsid w:val="00461C56"/>
    <w:rsid w:val="00461F3D"/>
    <w:rsid w:val="00463F72"/>
    <w:rsid w:val="00464FDB"/>
    <w:rsid w:val="0046540B"/>
    <w:rsid w:val="0047061B"/>
    <w:rsid w:val="00470648"/>
    <w:rsid w:val="00470DB4"/>
    <w:rsid w:val="00474078"/>
    <w:rsid w:val="00477FBF"/>
    <w:rsid w:val="00480F39"/>
    <w:rsid w:val="0049001B"/>
    <w:rsid w:val="00493BF0"/>
    <w:rsid w:val="00494E9E"/>
    <w:rsid w:val="004A3BF1"/>
    <w:rsid w:val="004A4D3B"/>
    <w:rsid w:val="004A53A8"/>
    <w:rsid w:val="004A61B5"/>
    <w:rsid w:val="004A772F"/>
    <w:rsid w:val="004B092B"/>
    <w:rsid w:val="004B0DE7"/>
    <w:rsid w:val="004B0E76"/>
    <w:rsid w:val="004B3D6D"/>
    <w:rsid w:val="004B3F42"/>
    <w:rsid w:val="004B4904"/>
    <w:rsid w:val="004B4EB5"/>
    <w:rsid w:val="004B5491"/>
    <w:rsid w:val="004B5EBC"/>
    <w:rsid w:val="004B7283"/>
    <w:rsid w:val="004C0D32"/>
    <w:rsid w:val="004C11D1"/>
    <w:rsid w:val="004C45CA"/>
    <w:rsid w:val="004C5661"/>
    <w:rsid w:val="004D1E8A"/>
    <w:rsid w:val="004D33AE"/>
    <w:rsid w:val="004D57D2"/>
    <w:rsid w:val="004D5FA3"/>
    <w:rsid w:val="004D6337"/>
    <w:rsid w:val="004D6A33"/>
    <w:rsid w:val="004D6C9F"/>
    <w:rsid w:val="004E02BB"/>
    <w:rsid w:val="004E0421"/>
    <w:rsid w:val="004E0555"/>
    <w:rsid w:val="004E389D"/>
    <w:rsid w:val="004E5660"/>
    <w:rsid w:val="004E6768"/>
    <w:rsid w:val="004F11F3"/>
    <w:rsid w:val="004F4380"/>
    <w:rsid w:val="004F4BBD"/>
    <w:rsid w:val="004F5CB2"/>
    <w:rsid w:val="004F64F6"/>
    <w:rsid w:val="004F66CC"/>
    <w:rsid w:val="004F6818"/>
    <w:rsid w:val="00501643"/>
    <w:rsid w:val="00503C2C"/>
    <w:rsid w:val="00503E70"/>
    <w:rsid w:val="00504817"/>
    <w:rsid w:val="00506C93"/>
    <w:rsid w:val="00507659"/>
    <w:rsid w:val="005115AB"/>
    <w:rsid w:val="00515C10"/>
    <w:rsid w:val="00523B1F"/>
    <w:rsid w:val="00523D5F"/>
    <w:rsid w:val="005277D5"/>
    <w:rsid w:val="00530388"/>
    <w:rsid w:val="005332E6"/>
    <w:rsid w:val="005348B6"/>
    <w:rsid w:val="0053492D"/>
    <w:rsid w:val="00535032"/>
    <w:rsid w:val="005374C3"/>
    <w:rsid w:val="005413AE"/>
    <w:rsid w:val="00542ADC"/>
    <w:rsid w:val="00543C45"/>
    <w:rsid w:val="005450F1"/>
    <w:rsid w:val="00552AA3"/>
    <w:rsid w:val="0055751D"/>
    <w:rsid w:val="00557651"/>
    <w:rsid w:val="0056021A"/>
    <w:rsid w:val="0056289D"/>
    <w:rsid w:val="00563382"/>
    <w:rsid w:val="00563DEC"/>
    <w:rsid w:val="00564D41"/>
    <w:rsid w:val="005667CC"/>
    <w:rsid w:val="00566B43"/>
    <w:rsid w:val="00567F7D"/>
    <w:rsid w:val="00570077"/>
    <w:rsid w:val="00573540"/>
    <w:rsid w:val="005743C9"/>
    <w:rsid w:val="005762CC"/>
    <w:rsid w:val="00577F64"/>
    <w:rsid w:val="00581FC5"/>
    <w:rsid w:val="00582204"/>
    <w:rsid w:val="005856A2"/>
    <w:rsid w:val="005872A2"/>
    <w:rsid w:val="0059124D"/>
    <w:rsid w:val="0059226B"/>
    <w:rsid w:val="0059258D"/>
    <w:rsid w:val="0059341F"/>
    <w:rsid w:val="00595541"/>
    <w:rsid w:val="0059599B"/>
    <w:rsid w:val="005A07C0"/>
    <w:rsid w:val="005A0BF3"/>
    <w:rsid w:val="005A0D0B"/>
    <w:rsid w:val="005A1CAA"/>
    <w:rsid w:val="005A2079"/>
    <w:rsid w:val="005B08A4"/>
    <w:rsid w:val="005C0023"/>
    <w:rsid w:val="005C592D"/>
    <w:rsid w:val="005C774D"/>
    <w:rsid w:val="005C7FD2"/>
    <w:rsid w:val="005D2A8F"/>
    <w:rsid w:val="005D38FE"/>
    <w:rsid w:val="005D3B08"/>
    <w:rsid w:val="005D3BBF"/>
    <w:rsid w:val="005D4884"/>
    <w:rsid w:val="005D676A"/>
    <w:rsid w:val="005D7834"/>
    <w:rsid w:val="005D7CDF"/>
    <w:rsid w:val="005E005D"/>
    <w:rsid w:val="005E3A0A"/>
    <w:rsid w:val="005E40CD"/>
    <w:rsid w:val="005E5CE0"/>
    <w:rsid w:val="005F0111"/>
    <w:rsid w:val="005F0BE8"/>
    <w:rsid w:val="005F249F"/>
    <w:rsid w:val="005F2897"/>
    <w:rsid w:val="005F2ACC"/>
    <w:rsid w:val="005F626A"/>
    <w:rsid w:val="00601197"/>
    <w:rsid w:val="00602FC2"/>
    <w:rsid w:val="00605E4C"/>
    <w:rsid w:val="00606BA9"/>
    <w:rsid w:val="006074E5"/>
    <w:rsid w:val="0061192B"/>
    <w:rsid w:val="006127BF"/>
    <w:rsid w:val="006148FE"/>
    <w:rsid w:val="00615783"/>
    <w:rsid w:val="00621683"/>
    <w:rsid w:val="00623918"/>
    <w:rsid w:val="00623AE2"/>
    <w:rsid w:val="006244D3"/>
    <w:rsid w:val="006265FC"/>
    <w:rsid w:val="006336AC"/>
    <w:rsid w:val="006356D5"/>
    <w:rsid w:val="00637C6C"/>
    <w:rsid w:val="00641B14"/>
    <w:rsid w:val="00644F32"/>
    <w:rsid w:val="00646113"/>
    <w:rsid w:val="006461E7"/>
    <w:rsid w:val="00646CB3"/>
    <w:rsid w:val="00653AAD"/>
    <w:rsid w:val="00655726"/>
    <w:rsid w:val="006604DF"/>
    <w:rsid w:val="00660936"/>
    <w:rsid w:val="006613F2"/>
    <w:rsid w:val="00662927"/>
    <w:rsid w:val="00663371"/>
    <w:rsid w:val="00665498"/>
    <w:rsid w:val="00666A60"/>
    <w:rsid w:val="006708F6"/>
    <w:rsid w:val="00672A06"/>
    <w:rsid w:val="006743A9"/>
    <w:rsid w:val="00676EE1"/>
    <w:rsid w:val="00677317"/>
    <w:rsid w:val="00677768"/>
    <w:rsid w:val="00690CF2"/>
    <w:rsid w:val="0069305C"/>
    <w:rsid w:val="0069314C"/>
    <w:rsid w:val="006931C2"/>
    <w:rsid w:val="006931C3"/>
    <w:rsid w:val="00693F4D"/>
    <w:rsid w:val="006954B6"/>
    <w:rsid w:val="006A1FC7"/>
    <w:rsid w:val="006A40BA"/>
    <w:rsid w:val="006A4BDC"/>
    <w:rsid w:val="006B091F"/>
    <w:rsid w:val="006B1DD5"/>
    <w:rsid w:val="006B312D"/>
    <w:rsid w:val="006B4522"/>
    <w:rsid w:val="006B6427"/>
    <w:rsid w:val="006B7B98"/>
    <w:rsid w:val="006C1A6B"/>
    <w:rsid w:val="006C201D"/>
    <w:rsid w:val="006C4159"/>
    <w:rsid w:val="006C4C4C"/>
    <w:rsid w:val="006C6372"/>
    <w:rsid w:val="006C7285"/>
    <w:rsid w:val="006C7708"/>
    <w:rsid w:val="006D053D"/>
    <w:rsid w:val="006D0C8D"/>
    <w:rsid w:val="006E356B"/>
    <w:rsid w:val="006E6F94"/>
    <w:rsid w:val="006F1CE7"/>
    <w:rsid w:val="006F2543"/>
    <w:rsid w:val="006F2C3A"/>
    <w:rsid w:val="00700C61"/>
    <w:rsid w:val="0070115F"/>
    <w:rsid w:val="00702930"/>
    <w:rsid w:val="00703A06"/>
    <w:rsid w:val="007047C1"/>
    <w:rsid w:val="00705003"/>
    <w:rsid w:val="00706DBE"/>
    <w:rsid w:val="007076A6"/>
    <w:rsid w:val="00710034"/>
    <w:rsid w:val="00710794"/>
    <w:rsid w:val="00711FC3"/>
    <w:rsid w:val="007127F4"/>
    <w:rsid w:val="00715581"/>
    <w:rsid w:val="00716870"/>
    <w:rsid w:val="00720ADD"/>
    <w:rsid w:val="00720D68"/>
    <w:rsid w:val="00725395"/>
    <w:rsid w:val="0072698A"/>
    <w:rsid w:val="0072778D"/>
    <w:rsid w:val="007337C9"/>
    <w:rsid w:val="007347D1"/>
    <w:rsid w:val="0073656A"/>
    <w:rsid w:val="00737E76"/>
    <w:rsid w:val="00740430"/>
    <w:rsid w:val="00741B14"/>
    <w:rsid w:val="007437A6"/>
    <w:rsid w:val="00745549"/>
    <w:rsid w:val="00751D52"/>
    <w:rsid w:val="00751EE3"/>
    <w:rsid w:val="0075335A"/>
    <w:rsid w:val="00753FE4"/>
    <w:rsid w:val="007549AC"/>
    <w:rsid w:val="007558F6"/>
    <w:rsid w:val="00756084"/>
    <w:rsid w:val="007612C8"/>
    <w:rsid w:val="007617D8"/>
    <w:rsid w:val="00761EF4"/>
    <w:rsid w:val="00762291"/>
    <w:rsid w:val="00764127"/>
    <w:rsid w:val="00766E37"/>
    <w:rsid w:val="0076771D"/>
    <w:rsid w:val="00767D26"/>
    <w:rsid w:val="00770720"/>
    <w:rsid w:val="007709E4"/>
    <w:rsid w:val="007721E4"/>
    <w:rsid w:val="00775A5D"/>
    <w:rsid w:val="00776C23"/>
    <w:rsid w:val="00776C85"/>
    <w:rsid w:val="00777232"/>
    <w:rsid w:val="00777D5F"/>
    <w:rsid w:val="0078028E"/>
    <w:rsid w:val="007818B7"/>
    <w:rsid w:val="007832D1"/>
    <w:rsid w:val="007840B1"/>
    <w:rsid w:val="007853F9"/>
    <w:rsid w:val="0078734E"/>
    <w:rsid w:val="00792189"/>
    <w:rsid w:val="00794070"/>
    <w:rsid w:val="00794324"/>
    <w:rsid w:val="00794AF1"/>
    <w:rsid w:val="0079672B"/>
    <w:rsid w:val="00796CFA"/>
    <w:rsid w:val="00797DFE"/>
    <w:rsid w:val="007A03AA"/>
    <w:rsid w:val="007A0C1D"/>
    <w:rsid w:val="007A1367"/>
    <w:rsid w:val="007A2D3F"/>
    <w:rsid w:val="007A31C2"/>
    <w:rsid w:val="007A4ABD"/>
    <w:rsid w:val="007A4F6A"/>
    <w:rsid w:val="007A530F"/>
    <w:rsid w:val="007A59D7"/>
    <w:rsid w:val="007A6912"/>
    <w:rsid w:val="007A6932"/>
    <w:rsid w:val="007A7659"/>
    <w:rsid w:val="007A77C5"/>
    <w:rsid w:val="007A7C53"/>
    <w:rsid w:val="007B223E"/>
    <w:rsid w:val="007B3E87"/>
    <w:rsid w:val="007B6424"/>
    <w:rsid w:val="007B665F"/>
    <w:rsid w:val="007C280F"/>
    <w:rsid w:val="007C37F4"/>
    <w:rsid w:val="007C5727"/>
    <w:rsid w:val="007D15C3"/>
    <w:rsid w:val="007D2538"/>
    <w:rsid w:val="007D5213"/>
    <w:rsid w:val="007D5F55"/>
    <w:rsid w:val="007D65E9"/>
    <w:rsid w:val="007D7207"/>
    <w:rsid w:val="007D7252"/>
    <w:rsid w:val="007E1432"/>
    <w:rsid w:val="007E14A3"/>
    <w:rsid w:val="007E3984"/>
    <w:rsid w:val="007E4653"/>
    <w:rsid w:val="007E5CAE"/>
    <w:rsid w:val="007E7325"/>
    <w:rsid w:val="007F0C85"/>
    <w:rsid w:val="007F5E12"/>
    <w:rsid w:val="008013DC"/>
    <w:rsid w:val="00805C0D"/>
    <w:rsid w:val="00807775"/>
    <w:rsid w:val="00813342"/>
    <w:rsid w:val="008135B1"/>
    <w:rsid w:val="008216F4"/>
    <w:rsid w:val="00821824"/>
    <w:rsid w:val="00824675"/>
    <w:rsid w:val="0083064C"/>
    <w:rsid w:val="00830B42"/>
    <w:rsid w:val="00831090"/>
    <w:rsid w:val="00834790"/>
    <w:rsid w:val="00836D29"/>
    <w:rsid w:val="00841559"/>
    <w:rsid w:val="008425F3"/>
    <w:rsid w:val="0084356D"/>
    <w:rsid w:val="0084461E"/>
    <w:rsid w:val="008455AE"/>
    <w:rsid w:val="008457C4"/>
    <w:rsid w:val="00847289"/>
    <w:rsid w:val="00847626"/>
    <w:rsid w:val="00853C73"/>
    <w:rsid w:val="00855057"/>
    <w:rsid w:val="00857755"/>
    <w:rsid w:val="00857B2A"/>
    <w:rsid w:val="0086058B"/>
    <w:rsid w:val="00861559"/>
    <w:rsid w:val="00871736"/>
    <w:rsid w:val="008720BD"/>
    <w:rsid w:val="0088039E"/>
    <w:rsid w:val="00880AD6"/>
    <w:rsid w:val="008824BF"/>
    <w:rsid w:val="008826CB"/>
    <w:rsid w:val="00883E98"/>
    <w:rsid w:val="00884C5C"/>
    <w:rsid w:val="00886960"/>
    <w:rsid w:val="00887C3C"/>
    <w:rsid w:val="00890248"/>
    <w:rsid w:val="00890F48"/>
    <w:rsid w:val="00891555"/>
    <w:rsid w:val="008920F1"/>
    <w:rsid w:val="00892383"/>
    <w:rsid w:val="0089408A"/>
    <w:rsid w:val="0089686D"/>
    <w:rsid w:val="008A2ACD"/>
    <w:rsid w:val="008A35BE"/>
    <w:rsid w:val="008A4DBB"/>
    <w:rsid w:val="008A5C1C"/>
    <w:rsid w:val="008A7175"/>
    <w:rsid w:val="008B098B"/>
    <w:rsid w:val="008B0F00"/>
    <w:rsid w:val="008B14DB"/>
    <w:rsid w:val="008B15F0"/>
    <w:rsid w:val="008B1FDB"/>
    <w:rsid w:val="008B256A"/>
    <w:rsid w:val="008B25EB"/>
    <w:rsid w:val="008B5403"/>
    <w:rsid w:val="008B7358"/>
    <w:rsid w:val="008B73CF"/>
    <w:rsid w:val="008B7EB9"/>
    <w:rsid w:val="008C02C1"/>
    <w:rsid w:val="008C1DFE"/>
    <w:rsid w:val="008C2231"/>
    <w:rsid w:val="008C2568"/>
    <w:rsid w:val="008C3C4B"/>
    <w:rsid w:val="008C4146"/>
    <w:rsid w:val="008C48AF"/>
    <w:rsid w:val="008C59BA"/>
    <w:rsid w:val="008D10D6"/>
    <w:rsid w:val="008D155A"/>
    <w:rsid w:val="008D495C"/>
    <w:rsid w:val="008D4D36"/>
    <w:rsid w:val="008D6ECA"/>
    <w:rsid w:val="008D79D7"/>
    <w:rsid w:val="008E444A"/>
    <w:rsid w:val="008F391F"/>
    <w:rsid w:val="008F6E8F"/>
    <w:rsid w:val="008F73AB"/>
    <w:rsid w:val="00901991"/>
    <w:rsid w:val="00904C39"/>
    <w:rsid w:val="00905939"/>
    <w:rsid w:val="0090594E"/>
    <w:rsid w:val="009060E0"/>
    <w:rsid w:val="00906C6C"/>
    <w:rsid w:val="009076E1"/>
    <w:rsid w:val="00912242"/>
    <w:rsid w:val="00921670"/>
    <w:rsid w:val="009241F3"/>
    <w:rsid w:val="0092704A"/>
    <w:rsid w:val="00927270"/>
    <w:rsid w:val="0093046F"/>
    <w:rsid w:val="0093100D"/>
    <w:rsid w:val="009324CA"/>
    <w:rsid w:val="0093256E"/>
    <w:rsid w:val="00934AB7"/>
    <w:rsid w:val="00941928"/>
    <w:rsid w:val="00941A30"/>
    <w:rsid w:val="00941CB7"/>
    <w:rsid w:val="009424C9"/>
    <w:rsid w:val="00942C8F"/>
    <w:rsid w:val="0094452E"/>
    <w:rsid w:val="00946729"/>
    <w:rsid w:val="009522DD"/>
    <w:rsid w:val="00952566"/>
    <w:rsid w:val="00954685"/>
    <w:rsid w:val="00954977"/>
    <w:rsid w:val="00954CB2"/>
    <w:rsid w:val="00957DA7"/>
    <w:rsid w:val="009636C3"/>
    <w:rsid w:val="00964294"/>
    <w:rsid w:val="009643A0"/>
    <w:rsid w:val="0096463A"/>
    <w:rsid w:val="009653B0"/>
    <w:rsid w:val="00967033"/>
    <w:rsid w:val="00971EB2"/>
    <w:rsid w:val="00972D6B"/>
    <w:rsid w:val="0097330D"/>
    <w:rsid w:val="009750AE"/>
    <w:rsid w:val="009802D3"/>
    <w:rsid w:val="00981412"/>
    <w:rsid w:val="00982FB5"/>
    <w:rsid w:val="00983F77"/>
    <w:rsid w:val="0098495A"/>
    <w:rsid w:val="009872F9"/>
    <w:rsid w:val="00987989"/>
    <w:rsid w:val="00991D04"/>
    <w:rsid w:val="00992FFA"/>
    <w:rsid w:val="0099415E"/>
    <w:rsid w:val="0099477F"/>
    <w:rsid w:val="009A188C"/>
    <w:rsid w:val="009A2E1C"/>
    <w:rsid w:val="009A2F39"/>
    <w:rsid w:val="009B36FE"/>
    <w:rsid w:val="009B5212"/>
    <w:rsid w:val="009B76C9"/>
    <w:rsid w:val="009C0041"/>
    <w:rsid w:val="009C37B9"/>
    <w:rsid w:val="009C3B3E"/>
    <w:rsid w:val="009C5A7D"/>
    <w:rsid w:val="009C5E19"/>
    <w:rsid w:val="009C786A"/>
    <w:rsid w:val="009C7D69"/>
    <w:rsid w:val="009C7ECA"/>
    <w:rsid w:val="009D3265"/>
    <w:rsid w:val="009D4B02"/>
    <w:rsid w:val="009D5401"/>
    <w:rsid w:val="009D5BF4"/>
    <w:rsid w:val="009E23DB"/>
    <w:rsid w:val="009E3DEA"/>
    <w:rsid w:val="009E561B"/>
    <w:rsid w:val="009E7D17"/>
    <w:rsid w:val="009F1A4F"/>
    <w:rsid w:val="009F1B1A"/>
    <w:rsid w:val="009F2B13"/>
    <w:rsid w:val="009F2B42"/>
    <w:rsid w:val="009F3017"/>
    <w:rsid w:val="009F3B88"/>
    <w:rsid w:val="009F48AF"/>
    <w:rsid w:val="009F5089"/>
    <w:rsid w:val="009F5973"/>
    <w:rsid w:val="009F7DD8"/>
    <w:rsid w:val="00A01B32"/>
    <w:rsid w:val="00A01E56"/>
    <w:rsid w:val="00A047D2"/>
    <w:rsid w:val="00A05975"/>
    <w:rsid w:val="00A07A73"/>
    <w:rsid w:val="00A1096F"/>
    <w:rsid w:val="00A10F9F"/>
    <w:rsid w:val="00A116D9"/>
    <w:rsid w:val="00A11910"/>
    <w:rsid w:val="00A11ADA"/>
    <w:rsid w:val="00A11F73"/>
    <w:rsid w:val="00A12118"/>
    <w:rsid w:val="00A129FD"/>
    <w:rsid w:val="00A135F3"/>
    <w:rsid w:val="00A13A02"/>
    <w:rsid w:val="00A15FA4"/>
    <w:rsid w:val="00A16275"/>
    <w:rsid w:val="00A20325"/>
    <w:rsid w:val="00A21FD8"/>
    <w:rsid w:val="00A227B7"/>
    <w:rsid w:val="00A25B8A"/>
    <w:rsid w:val="00A27FA3"/>
    <w:rsid w:val="00A30995"/>
    <w:rsid w:val="00A33E35"/>
    <w:rsid w:val="00A34400"/>
    <w:rsid w:val="00A372EB"/>
    <w:rsid w:val="00A37B0E"/>
    <w:rsid w:val="00A43750"/>
    <w:rsid w:val="00A43844"/>
    <w:rsid w:val="00A45826"/>
    <w:rsid w:val="00A45BE9"/>
    <w:rsid w:val="00A46339"/>
    <w:rsid w:val="00A50925"/>
    <w:rsid w:val="00A50C5E"/>
    <w:rsid w:val="00A51F53"/>
    <w:rsid w:val="00A532D1"/>
    <w:rsid w:val="00A54A7A"/>
    <w:rsid w:val="00A54F9C"/>
    <w:rsid w:val="00A5615A"/>
    <w:rsid w:val="00A56814"/>
    <w:rsid w:val="00A56F97"/>
    <w:rsid w:val="00A6092C"/>
    <w:rsid w:val="00A6147E"/>
    <w:rsid w:val="00A70283"/>
    <w:rsid w:val="00A71448"/>
    <w:rsid w:val="00A7156D"/>
    <w:rsid w:val="00A71A2A"/>
    <w:rsid w:val="00A748D0"/>
    <w:rsid w:val="00A74FCD"/>
    <w:rsid w:val="00A75ABB"/>
    <w:rsid w:val="00A77E24"/>
    <w:rsid w:val="00A8041A"/>
    <w:rsid w:val="00A80F41"/>
    <w:rsid w:val="00A91C9E"/>
    <w:rsid w:val="00A93128"/>
    <w:rsid w:val="00A93AB4"/>
    <w:rsid w:val="00A948EC"/>
    <w:rsid w:val="00A94DEF"/>
    <w:rsid w:val="00A94EE1"/>
    <w:rsid w:val="00A96FCE"/>
    <w:rsid w:val="00AA1A72"/>
    <w:rsid w:val="00AA38F2"/>
    <w:rsid w:val="00AA3C2D"/>
    <w:rsid w:val="00AA44E7"/>
    <w:rsid w:val="00AA5215"/>
    <w:rsid w:val="00AB1C09"/>
    <w:rsid w:val="00AB23E0"/>
    <w:rsid w:val="00AB2FC6"/>
    <w:rsid w:val="00AB38A3"/>
    <w:rsid w:val="00AC0D20"/>
    <w:rsid w:val="00AC150E"/>
    <w:rsid w:val="00AC241C"/>
    <w:rsid w:val="00AC291E"/>
    <w:rsid w:val="00AC2F31"/>
    <w:rsid w:val="00AC346A"/>
    <w:rsid w:val="00AD040D"/>
    <w:rsid w:val="00AD0460"/>
    <w:rsid w:val="00AD39F7"/>
    <w:rsid w:val="00AD46CC"/>
    <w:rsid w:val="00AD6086"/>
    <w:rsid w:val="00AE196C"/>
    <w:rsid w:val="00AE3448"/>
    <w:rsid w:val="00AE60D8"/>
    <w:rsid w:val="00AF07BF"/>
    <w:rsid w:val="00AF1C48"/>
    <w:rsid w:val="00AF2F61"/>
    <w:rsid w:val="00AF77B2"/>
    <w:rsid w:val="00B00964"/>
    <w:rsid w:val="00B0235A"/>
    <w:rsid w:val="00B02BDD"/>
    <w:rsid w:val="00B03357"/>
    <w:rsid w:val="00B052C6"/>
    <w:rsid w:val="00B0585F"/>
    <w:rsid w:val="00B05957"/>
    <w:rsid w:val="00B06BB9"/>
    <w:rsid w:val="00B07207"/>
    <w:rsid w:val="00B12CAC"/>
    <w:rsid w:val="00B22EDB"/>
    <w:rsid w:val="00B23A8C"/>
    <w:rsid w:val="00B25345"/>
    <w:rsid w:val="00B26B8F"/>
    <w:rsid w:val="00B27A75"/>
    <w:rsid w:val="00B27CAE"/>
    <w:rsid w:val="00B308D0"/>
    <w:rsid w:val="00B3280B"/>
    <w:rsid w:val="00B328D2"/>
    <w:rsid w:val="00B32EA7"/>
    <w:rsid w:val="00B335D8"/>
    <w:rsid w:val="00B36C71"/>
    <w:rsid w:val="00B4486B"/>
    <w:rsid w:val="00B44AC9"/>
    <w:rsid w:val="00B4591F"/>
    <w:rsid w:val="00B45C0B"/>
    <w:rsid w:val="00B46623"/>
    <w:rsid w:val="00B46E42"/>
    <w:rsid w:val="00B46E7C"/>
    <w:rsid w:val="00B47603"/>
    <w:rsid w:val="00B47AB4"/>
    <w:rsid w:val="00B51EE7"/>
    <w:rsid w:val="00B52CF6"/>
    <w:rsid w:val="00B54F25"/>
    <w:rsid w:val="00B55469"/>
    <w:rsid w:val="00B5576D"/>
    <w:rsid w:val="00B569E2"/>
    <w:rsid w:val="00B61B4F"/>
    <w:rsid w:val="00B62663"/>
    <w:rsid w:val="00B66670"/>
    <w:rsid w:val="00B70A91"/>
    <w:rsid w:val="00B727B8"/>
    <w:rsid w:val="00B753FB"/>
    <w:rsid w:val="00B760AF"/>
    <w:rsid w:val="00B83BFF"/>
    <w:rsid w:val="00B86725"/>
    <w:rsid w:val="00B903B7"/>
    <w:rsid w:val="00B92C7E"/>
    <w:rsid w:val="00B9499F"/>
    <w:rsid w:val="00B951F3"/>
    <w:rsid w:val="00B96D00"/>
    <w:rsid w:val="00B96F04"/>
    <w:rsid w:val="00BA34AD"/>
    <w:rsid w:val="00BA4F86"/>
    <w:rsid w:val="00BA6452"/>
    <w:rsid w:val="00BA7175"/>
    <w:rsid w:val="00BB2B5C"/>
    <w:rsid w:val="00BB3EB1"/>
    <w:rsid w:val="00BB5A05"/>
    <w:rsid w:val="00BC4E71"/>
    <w:rsid w:val="00BC5D47"/>
    <w:rsid w:val="00BC72BB"/>
    <w:rsid w:val="00BC74A9"/>
    <w:rsid w:val="00BD32AD"/>
    <w:rsid w:val="00BD4704"/>
    <w:rsid w:val="00BD57C6"/>
    <w:rsid w:val="00BD5A9F"/>
    <w:rsid w:val="00BD5DEE"/>
    <w:rsid w:val="00BE2304"/>
    <w:rsid w:val="00BE368F"/>
    <w:rsid w:val="00BE3709"/>
    <w:rsid w:val="00BE71D1"/>
    <w:rsid w:val="00BF02F0"/>
    <w:rsid w:val="00BF2288"/>
    <w:rsid w:val="00BF23C8"/>
    <w:rsid w:val="00BF2DAD"/>
    <w:rsid w:val="00BF33BE"/>
    <w:rsid w:val="00BF3A2C"/>
    <w:rsid w:val="00BF3F20"/>
    <w:rsid w:val="00C02298"/>
    <w:rsid w:val="00C02323"/>
    <w:rsid w:val="00C026E6"/>
    <w:rsid w:val="00C031FB"/>
    <w:rsid w:val="00C0418F"/>
    <w:rsid w:val="00C17173"/>
    <w:rsid w:val="00C17A56"/>
    <w:rsid w:val="00C17CE5"/>
    <w:rsid w:val="00C21631"/>
    <w:rsid w:val="00C24039"/>
    <w:rsid w:val="00C24D22"/>
    <w:rsid w:val="00C2682E"/>
    <w:rsid w:val="00C30207"/>
    <w:rsid w:val="00C34396"/>
    <w:rsid w:val="00C34410"/>
    <w:rsid w:val="00C348EB"/>
    <w:rsid w:val="00C352EE"/>
    <w:rsid w:val="00C365CD"/>
    <w:rsid w:val="00C41B8C"/>
    <w:rsid w:val="00C46814"/>
    <w:rsid w:val="00C47577"/>
    <w:rsid w:val="00C50B80"/>
    <w:rsid w:val="00C50F5C"/>
    <w:rsid w:val="00C52682"/>
    <w:rsid w:val="00C545C0"/>
    <w:rsid w:val="00C5474C"/>
    <w:rsid w:val="00C54EE1"/>
    <w:rsid w:val="00C60CDA"/>
    <w:rsid w:val="00C615D1"/>
    <w:rsid w:val="00C615D6"/>
    <w:rsid w:val="00C6189E"/>
    <w:rsid w:val="00C62978"/>
    <w:rsid w:val="00C64C4B"/>
    <w:rsid w:val="00C70B14"/>
    <w:rsid w:val="00C70C02"/>
    <w:rsid w:val="00C7372F"/>
    <w:rsid w:val="00C73F36"/>
    <w:rsid w:val="00C748D9"/>
    <w:rsid w:val="00C74FCA"/>
    <w:rsid w:val="00C75F36"/>
    <w:rsid w:val="00C80783"/>
    <w:rsid w:val="00C81B44"/>
    <w:rsid w:val="00C83F55"/>
    <w:rsid w:val="00C85224"/>
    <w:rsid w:val="00C86DB7"/>
    <w:rsid w:val="00C87E7F"/>
    <w:rsid w:val="00C906BD"/>
    <w:rsid w:val="00C90B49"/>
    <w:rsid w:val="00C940E7"/>
    <w:rsid w:val="00C96807"/>
    <w:rsid w:val="00CA0216"/>
    <w:rsid w:val="00CA1033"/>
    <w:rsid w:val="00CA2C82"/>
    <w:rsid w:val="00CA36C1"/>
    <w:rsid w:val="00CA6531"/>
    <w:rsid w:val="00CB33FD"/>
    <w:rsid w:val="00CB376C"/>
    <w:rsid w:val="00CB582A"/>
    <w:rsid w:val="00CB65D1"/>
    <w:rsid w:val="00CC0A90"/>
    <w:rsid w:val="00CC0E4D"/>
    <w:rsid w:val="00CC1618"/>
    <w:rsid w:val="00CC1CD8"/>
    <w:rsid w:val="00CC4898"/>
    <w:rsid w:val="00CC539B"/>
    <w:rsid w:val="00CC5A23"/>
    <w:rsid w:val="00CC7266"/>
    <w:rsid w:val="00CD2CB7"/>
    <w:rsid w:val="00CD3F4D"/>
    <w:rsid w:val="00CD69C2"/>
    <w:rsid w:val="00CD6F0B"/>
    <w:rsid w:val="00CE277A"/>
    <w:rsid w:val="00CE2935"/>
    <w:rsid w:val="00CE6096"/>
    <w:rsid w:val="00CE6AC0"/>
    <w:rsid w:val="00CF1C6B"/>
    <w:rsid w:val="00CF1EBF"/>
    <w:rsid w:val="00CF20E7"/>
    <w:rsid w:val="00CF270E"/>
    <w:rsid w:val="00CF4099"/>
    <w:rsid w:val="00CF543E"/>
    <w:rsid w:val="00CF7936"/>
    <w:rsid w:val="00D05C40"/>
    <w:rsid w:val="00D0654F"/>
    <w:rsid w:val="00D068E2"/>
    <w:rsid w:val="00D14FDE"/>
    <w:rsid w:val="00D15461"/>
    <w:rsid w:val="00D1721C"/>
    <w:rsid w:val="00D17EE9"/>
    <w:rsid w:val="00D23BD8"/>
    <w:rsid w:val="00D26360"/>
    <w:rsid w:val="00D304AE"/>
    <w:rsid w:val="00D31C83"/>
    <w:rsid w:val="00D337BB"/>
    <w:rsid w:val="00D366B3"/>
    <w:rsid w:val="00D3778E"/>
    <w:rsid w:val="00D409F3"/>
    <w:rsid w:val="00D412DD"/>
    <w:rsid w:val="00D42285"/>
    <w:rsid w:val="00D43179"/>
    <w:rsid w:val="00D44E5C"/>
    <w:rsid w:val="00D45302"/>
    <w:rsid w:val="00D45E24"/>
    <w:rsid w:val="00D544D5"/>
    <w:rsid w:val="00D56353"/>
    <w:rsid w:val="00D57DBE"/>
    <w:rsid w:val="00D613C3"/>
    <w:rsid w:val="00D6265D"/>
    <w:rsid w:val="00D632C9"/>
    <w:rsid w:val="00D663B2"/>
    <w:rsid w:val="00D72122"/>
    <w:rsid w:val="00D750AD"/>
    <w:rsid w:val="00D75159"/>
    <w:rsid w:val="00D7682F"/>
    <w:rsid w:val="00D81B5F"/>
    <w:rsid w:val="00D82457"/>
    <w:rsid w:val="00D85AD9"/>
    <w:rsid w:val="00D865A0"/>
    <w:rsid w:val="00D86BD2"/>
    <w:rsid w:val="00D870A0"/>
    <w:rsid w:val="00D8775A"/>
    <w:rsid w:val="00D912A3"/>
    <w:rsid w:val="00D918DC"/>
    <w:rsid w:val="00D91E7F"/>
    <w:rsid w:val="00D927E7"/>
    <w:rsid w:val="00D929D9"/>
    <w:rsid w:val="00D94DEE"/>
    <w:rsid w:val="00DA0AD3"/>
    <w:rsid w:val="00DA0FBC"/>
    <w:rsid w:val="00DA2068"/>
    <w:rsid w:val="00DA29D0"/>
    <w:rsid w:val="00DA6B6D"/>
    <w:rsid w:val="00DA6CA3"/>
    <w:rsid w:val="00DB1092"/>
    <w:rsid w:val="00DB3AA5"/>
    <w:rsid w:val="00DB41D4"/>
    <w:rsid w:val="00DB4236"/>
    <w:rsid w:val="00DB61A4"/>
    <w:rsid w:val="00DC32D2"/>
    <w:rsid w:val="00DC6890"/>
    <w:rsid w:val="00DC69C0"/>
    <w:rsid w:val="00DC7C0D"/>
    <w:rsid w:val="00DC7EE8"/>
    <w:rsid w:val="00DD201B"/>
    <w:rsid w:val="00DD2CDB"/>
    <w:rsid w:val="00DD2FCC"/>
    <w:rsid w:val="00DD350A"/>
    <w:rsid w:val="00DD377C"/>
    <w:rsid w:val="00DD50C6"/>
    <w:rsid w:val="00DD5740"/>
    <w:rsid w:val="00DD584C"/>
    <w:rsid w:val="00DD5932"/>
    <w:rsid w:val="00DD6BF2"/>
    <w:rsid w:val="00DD7426"/>
    <w:rsid w:val="00DD768C"/>
    <w:rsid w:val="00DE0B9F"/>
    <w:rsid w:val="00DE0D9A"/>
    <w:rsid w:val="00DE3226"/>
    <w:rsid w:val="00DE5482"/>
    <w:rsid w:val="00DE6024"/>
    <w:rsid w:val="00DE7B8C"/>
    <w:rsid w:val="00DF166D"/>
    <w:rsid w:val="00DF1DCF"/>
    <w:rsid w:val="00DF31E0"/>
    <w:rsid w:val="00DF67C4"/>
    <w:rsid w:val="00DF6DF5"/>
    <w:rsid w:val="00E015EA"/>
    <w:rsid w:val="00E039CF"/>
    <w:rsid w:val="00E04498"/>
    <w:rsid w:val="00E04D6C"/>
    <w:rsid w:val="00E04F2A"/>
    <w:rsid w:val="00E0626C"/>
    <w:rsid w:val="00E065B8"/>
    <w:rsid w:val="00E07DF7"/>
    <w:rsid w:val="00E11EE1"/>
    <w:rsid w:val="00E1216D"/>
    <w:rsid w:val="00E12EF7"/>
    <w:rsid w:val="00E16D3B"/>
    <w:rsid w:val="00E20710"/>
    <w:rsid w:val="00E20F1F"/>
    <w:rsid w:val="00E20F8B"/>
    <w:rsid w:val="00E2505D"/>
    <w:rsid w:val="00E262D9"/>
    <w:rsid w:val="00E279D2"/>
    <w:rsid w:val="00E30DD5"/>
    <w:rsid w:val="00E312A9"/>
    <w:rsid w:val="00E3199A"/>
    <w:rsid w:val="00E3208B"/>
    <w:rsid w:val="00E41013"/>
    <w:rsid w:val="00E434BC"/>
    <w:rsid w:val="00E471AD"/>
    <w:rsid w:val="00E4735D"/>
    <w:rsid w:val="00E506C2"/>
    <w:rsid w:val="00E537F9"/>
    <w:rsid w:val="00E61625"/>
    <w:rsid w:val="00E61CEA"/>
    <w:rsid w:val="00E624C9"/>
    <w:rsid w:val="00E648FE"/>
    <w:rsid w:val="00E64C0D"/>
    <w:rsid w:val="00E67540"/>
    <w:rsid w:val="00E67822"/>
    <w:rsid w:val="00E70E3D"/>
    <w:rsid w:val="00E716D1"/>
    <w:rsid w:val="00E735B6"/>
    <w:rsid w:val="00E7419E"/>
    <w:rsid w:val="00E74805"/>
    <w:rsid w:val="00E764F3"/>
    <w:rsid w:val="00E769D1"/>
    <w:rsid w:val="00E76C45"/>
    <w:rsid w:val="00E8290F"/>
    <w:rsid w:val="00E84371"/>
    <w:rsid w:val="00E860DB"/>
    <w:rsid w:val="00E86D7D"/>
    <w:rsid w:val="00E87AB7"/>
    <w:rsid w:val="00E91B9A"/>
    <w:rsid w:val="00E938AE"/>
    <w:rsid w:val="00E93FAA"/>
    <w:rsid w:val="00E97E08"/>
    <w:rsid w:val="00EA0DC8"/>
    <w:rsid w:val="00EA0ED2"/>
    <w:rsid w:val="00EA1C25"/>
    <w:rsid w:val="00EA4E64"/>
    <w:rsid w:val="00EB0659"/>
    <w:rsid w:val="00EB1969"/>
    <w:rsid w:val="00EB1CAD"/>
    <w:rsid w:val="00EB264B"/>
    <w:rsid w:val="00EB3F57"/>
    <w:rsid w:val="00EB559F"/>
    <w:rsid w:val="00EB6061"/>
    <w:rsid w:val="00EC00FC"/>
    <w:rsid w:val="00EC0D19"/>
    <w:rsid w:val="00EC42C0"/>
    <w:rsid w:val="00ED064F"/>
    <w:rsid w:val="00ED0B0A"/>
    <w:rsid w:val="00ED2B7F"/>
    <w:rsid w:val="00ED304A"/>
    <w:rsid w:val="00ED4022"/>
    <w:rsid w:val="00ED5663"/>
    <w:rsid w:val="00ED6CC1"/>
    <w:rsid w:val="00EE03AF"/>
    <w:rsid w:val="00EE0DA7"/>
    <w:rsid w:val="00EE636F"/>
    <w:rsid w:val="00EE7BC1"/>
    <w:rsid w:val="00EF0693"/>
    <w:rsid w:val="00EF08D8"/>
    <w:rsid w:val="00EF1B0D"/>
    <w:rsid w:val="00EF38CA"/>
    <w:rsid w:val="00EF502F"/>
    <w:rsid w:val="00EF5665"/>
    <w:rsid w:val="00EF7817"/>
    <w:rsid w:val="00F00259"/>
    <w:rsid w:val="00F01773"/>
    <w:rsid w:val="00F0185E"/>
    <w:rsid w:val="00F04778"/>
    <w:rsid w:val="00F04C26"/>
    <w:rsid w:val="00F116AE"/>
    <w:rsid w:val="00F11ED7"/>
    <w:rsid w:val="00F20245"/>
    <w:rsid w:val="00F207A9"/>
    <w:rsid w:val="00F319C6"/>
    <w:rsid w:val="00F32993"/>
    <w:rsid w:val="00F3322C"/>
    <w:rsid w:val="00F35B20"/>
    <w:rsid w:val="00F37B3F"/>
    <w:rsid w:val="00F37FA4"/>
    <w:rsid w:val="00F432E8"/>
    <w:rsid w:val="00F43606"/>
    <w:rsid w:val="00F450FF"/>
    <w:rsid w:val="00F52EB4"/>
    <w:rsid w:val="00F54648"/>
    <w:rsid w:val="00F54C03"/>
    <w:rsid w:val="00F55C13"/>
    <w:rsid w:val="00F61CD8"/>
    <w:rsid w:val="00F6313E"/>
    <w:rsid w:val="00F65C49"/>
    <w:rsid w:val="00F65C73"/>
    <w:rsid w:val="00F6730D"/>
    <w:rsid w:val="00F70880"/>
    <w:rsid w:val="00F715D7"/>
    <w:rsid w:val="00F74DA9"/>
    <w:rsid w:val="00F763DD"/>
    <w:rsid w:val="00F827DD"/>
    <w:rsid w:val="00F8396F"/>
    <w:rsid w:val="00F850BF"/>
    <w:rsid w:val="00F876CA"/>
    <w:rsid w:val="00F90DF1"/>
    <w:rsid w:val="00F91BE0"/>
    <w:rsid w:val="00F95227"/>
    <w:rsid w:val="00FA2E9D"/>
    <w:rsid w:val="00FA64B2"/>
    <w:rsid w:val="00FB1B48"/>
    <w:rsid w:val="00FB5489"/>
    <w:rsid w:val="00FC282C"/>
    <w:rsid w:val="00FC4183"/>
    <w:rsid w:val="00FC73AA"/>
    <w:rsid w:val="00FC764F"/>
    <w:rsid w:val="00FD21F1"/>
    <w:rsid w:val="00FD4E00"/>
    <w:rsid w:val="00FD5F83"/>
    <w:rsid w:val="00FD79FD"/>
    <w:rsid w:val="00FD7CFA"/>
    <w:rsid w:val="00FD7F1F"/>
    <w:rsid w:val="00FE0D49"/>
    <w:rsid w:val="00FE3E8A"/>
    <w:rsid w:val="00FE412B"/>
    <w:rsid w:val="00FE4679"/>
    <w:rsid w:val="00FE66D3"/>
    <w:rsid w:val="00FE6F44"/>
    <w:rsid w:val="00FF0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7033"/>
    <w:rPr>
      <w:sz w:val="24"/>
      <w:szCs w:val="24"/>
      <w:lang w:val="en-US" w:eastAsia="en-US"/>
    </w:rPr>
  </w:style>
  <w:style w:type="paragraph" w:styleId="Heading2">
    <w:name w:val="heading 2"/>
    <w:next w:val="BodyA"/>
    <w:pPr>
      <w:keepNext/>
      <w:keepLines/>
      <w:suppressAutoHyphens/>
      <w:spacing w:before="300" w:after="120" w:line="380" w:lineRule="exact"/>
      <w:outlineLvl w:val="1"/>
    </w:pPr>
    <w:rPr>
      <w:rFonts w:ascii="Calibri" w:eastAsia="Calibri" w:hAnsi="Calibri" w:cs="Calibri"/>
      <w:caps/>
      <w:color w:val="495965"/>
      <w:sz w:val="38"/>
      <w:szCs w:val="38"/>
      <w:u w:color="49596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suppressAutoHyphens/>
      <w:spacing w:line="230" w:lineRule="atLeast"/>
      <w:jc w:val="right"/>
    </w:pPr>
    <w:rPr>
      <w:rFonts w:ascii="Calibri Light" w:eastAsia="Calibri Light" w:hAnsi="Calibri Light" w:cs="Calibri Light"/>
      <w:b/>
      <w:bCs/>
      <w:caps/>
      <w:color w:val="495965"/>
      <w:u w:color="495965"/>
      <w:lang w:val="en-US"/>
    </w:rPr>
  </w:style>
  <w:style w:type="paragraph" w:styleId="Footer">
    <w:name w:val="footer"/>
    <w:link w:val="FooterChar"/>
    <w:uiPriority w:val="99"/>
    <w:pPr>
      <w:suppressAutoHyphens/>
      <w:spacing w:line="240" w:lineRule="exact"/>
      <w:ind w:right="284"/>
      <w:jc w:val="right"/>
    </w:pPr>
    <w:rPr>
      <w:rFonts w:ascii="Calibri Light" w:eastAsia="Calibri Light" w:hAnsi="Calibri Light" w:cs="Calibri Light"/>
      <w:color w:val="FFFFFF"/>
      <w:sz w:val="22"/>
      <w:szCs w:val="22"/>
      <w:u w:color="FFFFFF"/>
      <w:lang w:val="en-US"/>
    </w:rPr>
  </w:style>
  <w:style w:type="paragraph" w:styleId="ListBullet">
    <w:name w:val="List Bullet"/>
    <w:pPr>
      <w:tabs>
        <w:tab w:val="left" w:pos="284"/>
      </w:tabs>
      <w:spacing w:after="120" w:line="280" w:lineRule="exact"/>
    </w:pPr>
    <w:rPr>
      <w:rFonts w:ascii="Franklin Gothic Book" w:eastAsia="Franklin Gothic Book" w:hAnsi="Franklin Gothic Book" w:cs="Franklin Gothic Book"/>
      <w:color w:val="000000"/>
      <w:sz w:val="21"/>
      <w:szCs w:val="21"/>
      <w:u w:color="000000"/>
      <w:lang w:val="en-US"/>
    </w:rPr>
  </w:style>
  <w:style w:type="paragraph" w:customStyle="1" w:styleId="BodyA">
    <w:name w:val="Body A"/>
    <w:pPr>
      <w:suppressAutoHyphens/>
      <w:spacing w:before="120" w:after="60" w:line="230" w:lineRule="atLeast"/>
    </w:pPr>
    <w:rPr>
      <w:rFonts w:ascii="Calibri Light" w:eastAsia="Calibri Light" w:hAnsi="Calibri Light" w:cs="Calibri Light"/>
      <w:color w:val="495965"/>
      <w:sz w:val="22"/>
      <w:szCs w:val="22"/>
      <w:u w:color="495965"/>
      <w:lang w:val="en-US"/>
    </w:rPr>
  </w:style>
  <w:style w:type="paragraph" w:styleId="Title">
    <w:name w:val="Title"/>
    <w:next w:val="BodyA"/>
    <w:link w:val="TitleChar"/>
    <w:pPr>
      <w:keepNext/>
      <w:keepLines/>
      <w:suppressAutoHyphens/>
      <w:spacing w:line="380" w:lineRule="exact"/>
      <w:outlineLvl w:val="0"/>
    </w:pPr>
    <w:rPr>
      <w:rFonts w:ascii="Calibri" w:eastAsia="Calibri" w:hAnsi="Calibri" w:cs="Calibri"/>
      <w:b/>
      <w:bCs/>
      <w:caps/>
      <w:color w:val="495965"/>
      <w:spacing w:val="-10"/>
      <w:kern w:val="28"/>
      <w:sz w:val="38"/>
      <w:szCs w:val="38"/>
      <w:u w:color="495965"/>
      <w:lang w:val="en-US"/>
    </w:rPr>
  </w:style>
  <w:style w:type="paragraph" w:customStyle="1" w:styleId="Footnote">
    <w:name w:val="Footnote"/>
    <w:rPr>
      <w:rFonts w:eastAsia="Times New Roman"/>
      <w:color w:val="000000"/>
      <w:sz w:val="22"/>
      <w:szCs w:val="22"/>
      <w:u w:color="000000"/>
      <w:lang w:val="en-US"/>
    </w:rPr>
  </w:style>
  <w:style w:type="paragraph" w:styleId="FootnoteText">
    <w:name w:val="footnote text"/>
    <w:link w:val="FootnoteTextChar"/>
    <w:rPr>
      <w:rFonts w:eastAsia="Times New Roman"/>
      <w:color w:val="000000"/>
      <w:u w:color="000000"/>
      <w:lang w:val="en-US"/>
    </w:rPr>
  </w:style>
  <w:style w:type="character" w:customStyle="1" w:styleId="None">
    <w:name w:val="None"/>
  </w:style>
  <w:style w:type="character" w:customStyle="1" w:styleId="Hyperlink0">
    <w:name w:val="Hyperlink.0"/>
    <w:basedOn w:val="None"/>
    <w:rPr>
      <w:lang w:val="en-US"/>
    </w:rPr>
  </w:style>
  <w:style w:type="paragraph" w:customStyle="1" w:styleId="NormalIndented">
    <w:name w:val="Normal Indented"/>
    <w:qFormat/>
    <w:pPr>
      <w:suppressAutoHyphens/>
      <w:spacing w:before="120" w:after="60" w:line="230" w:lineRule="atLeast"/>
      <w:ind w:left="284"/>
    </w:pPr>
    <w:rPr>
      <w:rFonts w:ascii="Calibri Light" w:eastAsia="Calibri Light" w:hAnsi="Calibri Light" w:cs="Calibri Light"/>
      <w:color w:val="495965"/>
      <w:sz w:val="22"/>
      <w:szCs w:val="22"/>
      <w:u w:color="495965"/>
      <w:lang w:val="en-US"/>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character" w:customStyle="1" w:styleId="Hyperlink1">
    <w:name w:val="Hyperlink.1"/>
    <w:basedOn w:val="None"/>
    <w:rPr>
      <w:rFonts w:ascii="Calibri Light" w:eastAsia="Calibri Light" w:hAnsi="Calibri Light" w:cs="Calibri Light"/>
      <w:b/>
      <w:bCs/>
      <w:lang w:val="en-US"/>
    </w:rPr>
  </w:style>
  <w:style w:type="character" w:customStyle="1" w:styleId="Hyperlink2">
    <w:name w:val="Hyperlink.2"/>
    <w:basedOn w:val="None"/>
    <w:rPr>
      <w:rFonts w:ascii="Calibri Light" w:eastAsia="Calibri Light" w:hAnsi="Calibri Light" w:cs="Calibri Light"/>
      <w:color w:val="000000"/>
      <w:u w:val="single" w:color="000000"/>
      <w:lang w:val="nl-NL"/>
    </w:rPr>
  </w:style>
  <w:style w:type="paragraph" w:styleId="Subtitle">
    <w:name w:val="Subtitle"/>
    <w:next w:val="BodyA"/>
    <w:pPr>
      <w:keepNext/>
      <w:keepLines/>
      <w:suppressAutoHyphens/>
      <w:spacing w:before="60" w:after="300" w:line="380" w:lineRule="exact"/>
      <w:outlineLvl w:val="0"/>
    </w:pPr>
    <w:rPr>
      <w:rFonts w:ascii="Calibri Light" w:eastAsia="Calibri Light" w:hAnsi="Calibri Light" w:cs="Calibri Light"/>
      <w:caps/>
      <w:color w:val="495965"/>
      <w:spacing w:val="-10"/>
      <w:kern w:val="28"/>
      <w:sz w:val="38"/>
      <w:szCs w:val="38"/>
      <w:u w:color="495965"/>
      <w:lang w:val="en-US"/>
    </w:rPr>
  </w:style>
  <w:style w:type="paragraph" w:customStyle="1" w:styleId="TableTextEntries">
    <w:name w:val="Table Text Entries"/>
    <w:pPr>
      <w:keepLines/>
      <w:suppressAutoHyphens/>
      <w:spacing w:before="40" w:after="40" w:line="200" w:lineRule="atLeast"/>
    </w:pPr>
    <w:rPr>
      <w:rFonts w:ascii="Franklin Gothic Book" w:eastAsia="Franklin Gothic Book" w:hAnsi="Franklin Gothic Book" w:cs="Franklin Gothic Book"/>
      <w:color w:val="000000"/>
      <w:sz w:val="17"/>
      <w:szCs w:val="17"/>
      <w:u w:color="000000"/>
      <w:lang w:val="en-US"/>
    </w:rPr>
  </w:style>
  <w:style w:type="character" w:customStyle="1" w:styleId="Hyperlink3">
    <w:name w:val="Hyperlink.3"/>
    <w:basedOn w:val="None"/>
    <w:rPr>
      <w:rFonts w:ascii="Calibri Light" w:eastAsia="Calibri Light" w:hAnsi="Calibri Light" w:cs="Calibri Light"/>
      <w:b/>
      <w:bCs/>
      <w:color w:val="000000"/>
      <w:u w:val="none" w:color="000000"/>
      <w:lang w:val="it-IT"/>
    </w:rPr>
  </w:style>
  <w:style w:type="character" w:styleId="FootnoteReference">
    <w:name w:val="footnote reference"/>
    <w:basedOn w:val="DefaultParagraphFont"/>
    <w:uiPriority w:val="99"/>
    <w:semiHidden/>
    <w:unhideWhenUsed/>
    <w:rsid w:val="001E283F"/>
    <w:rPr>
      <w:vertAlign w:val="superscript"/>
    </w:rPr>
  </w:style>
  <w:style w:type="paragraph" w:customStyle="1" w:styleId="Default">
    <w:name w:val="Default"/>
    <w:rsid w:val="00CD69C2"/>
    <w:rPr>
      <w:rFonts w:ascii="Helvetica Neue" w:hAnsi="Helvetica Neue" w:cs="Arial Unicode MS"/>
      <w:color w:val="000000"/>
      <w:sz w:val="22"/>
      <w:szCs w:val="22"/>
    </w:rPr>
  </w:style>
  <w:style w:type="numbering" w:customStyle="1" w:styleId="Dash">
    <w:name w:val="Dash"/>
    <w:rsid w:val="00CD69C2"/>
    <w:pPr>
      <w:numPr>
        <w:numId w:val="7"/>
      </w:numPr>
    </w:pPr>
  </w:style>
  <w:style w:type="table" w:customStyle="1" w:styleId="APPR">
    <w:name w:val="APPR"/>
    <w:basedOn w:val="TableNormal"/>
    <w:uiPriority w:val="99"/>
    <w:rsid w:val="005D4884"/>
    <w:pPr>
      <w:pBdr>
        <w:top w:val="none" w:sz="0" w:space="0" w:color="auto"/>
        <w:left w:val="none" w:sz="0" w:space="0" w:color="auto"/>
        <w:bottom w:val="none" w:sz="0" w:space="0" w:color="auto"/>
        <w:right w:val="none" w:sz="0" w:space="0" w:color="auto"/>
        <w:between w:val="none" w:sz="0" w:space="0" w:color="auto"/>
        <w:bar w:val="none" w:sz="0" w:color="auto"/>
      </w:pBdr>
    </w:pPr>
    <w:rPr>
      <w:rFonts w:ascii="Franklin Gothic Book" w:eastAsia="Calibri Light" w:hAnsi="Franklin Gothic Book"/>
      <w:sz w:val="17"/>
      <w:szCs w:val="22"/>
      <w:bdr w:val="none" w:sz="0" w:space="0" w:color="auto"/>
    </w:rPr>
    <w:tblPr>
      <w:tblStyleRowBandSize w:val="1"/>
      <w:tblCellSpacing w:w="14" w:type="dxa"/>
      <w:tblBorders>
        <w:top w:val="single" w:sz="12" w:space="0" w:color="000000"/>
        <w:bottom w:val="single" w:sz="12" w:space="0" w:color="000000"/>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C96807"/>
    <w:rPr>
      <w:sz w:val="16"/>
      <w:szCs w:val="16"/>
    </w:rPr>
  </w:style>
  <w:style w:type="paragraph" w:styleId="CommentText">
    <w:name w:val="annotation text"/>
    <w:basedOn w:val="Normal"/>
    <w:link w:val="CommentTextChar"/>
    <w:uiPriority w:val="99"/>
    <w:unhideWhenUsed/>
    <w:rsid w:val="00C96807"/>
    <w:rPr>
      <w:sz w:val="20"/>
      <w:szCs w:val="20"/>
    </w:rPr>
  </w:style>
  <w:style w:type="character" w:customStyle="1" w:styleId="CommentTextChar">
    <w:name w:val="Comment Text Char"/>
    <w:basedOn w:val="DefaultParagraphFont"/>
    <w:link w:val="CommentText"/>
    <w:uiPriority w:val="99"/>
    <w:rsid w:val="00C96807"/>
    <w:rPr>
      <w:lang w:val="en-US" w:eastAsia="en-US"/>
    </w:rPr>
  </w:style>
  <w:style w:type="paragraph" w:styleId="CommentSubject">
    <w:name w:val="annotation subject"/>
    <w:basedOn w:val="CommentText"/>
    <w:next w:val="CommentText"/>
    <w:link w:val="CommentSubjectChar"/>
    <w:uiPriority w:val="99"/>
    <w:semiHidden/>
    <w:unhideWhenUsed/>
    <w:rsid w:val="00C96807"/>
    <w:rPr>
      <w:b/>
      <w:bCs/>
    </w:rPr>
  </w:style>
  <w:style w:type="character" w:customStyle="1" w:styleId="CommentSubjectChar">
    <w:name w:val="Comment Subject Char"/>
    <w:basedOn w:val="CommentTextChar"/>
    <w:link w:val="CommentSubject"/>
    <w:uiPriority w:val="99"/>
    <w:semiHidden/>
    <w:rsid w:val="00C96807"/>
    <w:rPr>
      <w:b/>
      <w:bCs/>
      <w:lang w:val="en-US" w:eastAsia="en-US"/>
    </w:rPr>
  </w:style>
  <w:style w:type="paragraph" w:styleId="BalloonText">
    <w:name w:val="Balloon Text"/>
    <w:basedOn w:val="Normal"/>
    <w:link w:val="BalloonTextChar"/>
    <w:uiPriority w:val="99"/>
    <w:semiHidden/>
    <w:unhideWhenUsed/>
    <w:rsid w:val="00C96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807"/>
    <w:rPr>
      <w:rFonts w:ascii="Segoe UI" w:hAnsi="Segoe UI" w:cs="Segoe UI"/>
      <w:sz w:val="18"/>
      <w:szCs w:val="18"/>
      <w:lang w:val="en-US" w:eastAsia="en-US"/>
    </w:rPr>
  </w:style>
  <w:style w:type="paragraph" w:styleId="NormalWeb">
    <w:name w:val="Normal (Web)"/>
    <w:basedOn w:val="Normal"/>
    <w:uiPriority w:val="99"/>
    <w:semiHidden/>
    <w:unhideWhenUsed/>
    <w:rsid w:val="00AD6086"/>
  </w:style>
  <w:style w:type="paragraph" w:styleId="ListParagraph">
    <w:name w:val="List Paragraph"/>
    <w:basedOn w:val="Normal"/>
    <w:uiPriority w:val="34"/>
    <w:qFormat/>
    <w:rsid w:val="004A3BF1"/>
    <w:pPr>
      <w:ind w:left="720"/>
      <w:contextualSpacing/>
    </w:pPr>
  </w:style>
  <w:style w:type="paragraph" w:customStyle="1" w:styleId="Body">
    <w:name w:val="Body"/>
    <w:rsid w:val="004A3BF1"/>
    <w:pPr>
      <w:suppressAutoHyphens/>
      <w:spacing w:before="120" w:after="60" w:line="230" w:lineRule="atLeast"/>
    </w:pPr>
    <w:rPr>
      <w:rFonts w:ascii="Calibri Light" w:eastAsia="Calibri Light" w:hAnsi="Calibri Light" w:cs="Calibri Light"/>
      <w:color w:val="495965"/>
      <w:sz w:val="22"/>
      <w:szCs w:val="22"/>
      <w:u w:color="495965"/>
    </w:rPr>
  </w:style>
  <w:style w:type="character" w:customStyle="1" w:styleId="TitleChar">
    <w:name w:val="Title Char"/>
    <w:basedOn w:val="DefaultParagraphFont"/>
    <w:link w:val="Title"/>
    <w:rsid w:val="004B0E76"/>
    <w:rPr>
      <w:rFonts w:ascii="Calibri" w:eastAsia="Calibri" w:hAnsi="Calibri" w:cs="Calibri"/>
      <w:b/>
      <w:bCs/>
      <w:caps/>
      <w:color w:val="495965"/>
      <w:spacing w:val="-10"/>
      <w:kern w:val="28"/>
      <w:sz w:val="38"/>
      <w:szCs w:val="38"/>
      <w:u w:color="495965"/>
      <w:lang w:val="en-US"/>
    </w:rPr>
  </w:style>
  <w:style w:type="character" w:customStyle="1" w:styleId="FootnoteTextChar">
    <w:name w:val="Footnote Text Char"/>
    <w:basedOn w:val="DefaultParagraphFont"/>
    <w:link w:val="FootnoteText"/>
    <w:rsid w:val="00523D5F"/>
    <w:rPr>
      <w:rFonts w:eastAsia="Times New Roman"/>
      <w:color w:val="000000"/>
      <w:u w:color="000000"/>
      <w:lang w:val="en-US"/>
    </w:rPr>
  </w:style>
  <w:style w:type="character" w:customStyle="1" w:styleId="NoneA">
    <w:name w:val="None A"/>
    <w:rsid w:val="00523D5F"/>
  </w:style>
  <w:style w:type="table" w:customStyle="1" w:styleId="DFATTable">
    <w:name w:val="DFAT Table"/>
    <w:basedOn w:val="TableNormal"/>
    <w:uiPriority w:val="99"/>
    <w:rsid w:val="00523D5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stheme="minorBidi"/>
      <w:sz w:val="17"/>
      <w:szCs w:val="22"/>
      <w:bdr w:val="none" w:sz="0" w:space="0" w:color="auto"/>
    </w:rPr>
    <w:tblPr>
      <w:tblBorders>
        <w:top w:val="single" w:sz="12" w:space="0" w:color="auto"/>
        <w:bottom w:val="single" w:sz="12" w:space="0" w:color="auto"/>
      </w:tblBorders>
    </w:tblPr>
  </w:style>
  <w:style w:type="character" w:customStyle="1" w:styleId="FooterChar">
    <w:name w:val="Footer Char"/>
    <w:basedOn w:val="DefaultParagraphFont"/>
    <w:link w:val="Footer"/>
    <w:uiPriority w:val="99"/>
    <w:rsid w:val="00D75159"/>
    <w:rPr>
      <w:rFonts w:ascii="Calibri Light" w:eastAsia="Calibri Light" w:hAnsi="Calibri Light" w:cs="Calibri Light"/>
      <w:color w:val="FFFFFF"/>
      <w:sz w:val="22"/>
      <w:szCs w:val="22"/>
      <w:u w:color="FFFFFF"/>
      <w:lang w:val="en-US"/>
    </w:rPr>
  </w:style>
  <w:style w:type="paragraph" w:styleId="Revision">
    <w:name w:val="Revision"/>
    <w:hidden/>
    <w:uiPriority w:val="99"/>
    <w:semiHidden/>
    <w:rsid w:val="001371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tyleAuto">
    <w:name w:val="Style Auto"/>
    <w:basedOn w:val="DefaultParagraphFont"/>
    <w:rsid w:val="00AD39F7"/>
    <w:rPr>
      <w:rFonts w:ascii="Arial" w:hAnsi="Arial"/>
      <w:color w:val="auto"/>
      <w:sz w:val="22"/>
    </w:rPr>
  </w:style>
  <w:style w:type="numbering" w:customStyle="1" w:styleId="ImportedStyle11">
    <w:name w:val="Imported Style 11"/>
    <w:rsid w:val="00270CDF"/>
    <w:pPr>
      <w:numPr>
        <w:numId w:val="17"/>
      </w:numPr>
    </w:pPr>
  </w:style>
  <w:style w:type="numbering" w:customStyle="1" w:styleId="ImportedStyle10">
    <w:name w:val="Imported Style 1.0"/>
    <w:rsid w:val="00567F7D"/>
    <w:pPr>
      <w:numPr>
        <w:numId w:val="19"/>
      </w:numPr>
    </w:pPr>
  </w:style>
  <w:style w:type="numbering" w:customStyle="1" w:styleId="Bullets1">
    <w:name w:val="Bullets1"/>
    <w:rsid w:val="0017743B"/>
    <w:pPr>
      <w:numPr>
        <w:numId w:val="21"/>
      </w:numPr>
    </w:pPr>
  </w:style>
  <w:style w:type="numbering" w:customStyle="1" w:styleId="ImportedStyle21">
    <w:name w:val="Imported Style 21"/>
    <w:rsid w:val="0069314C"/>
    <w:pPr>
      <w:numPr>
        <w:numId w:val="23"/>
      </w:numPr>
    </w:pPr>
  </w:style>
  <w:style w:type="paragraph" w:styleId="EndnoteText">
    <w:name w:val="endnote text"/>
    <w:basedOn w:val="Normal"/>
    <w:link w:val="EndnoteTextChar"/>
    <w:uiPriority w:val="99"/>
    <w:semiHidden/>
    <w:unhideWhenUsed/>
    <w:rsid w:val="00A93AB4"/>
    <w:rPr>
      <w:sz w:val="20"/>
      <w:szCs w:val="20"/>
    </w:rPr>
  </w:style>
  <w:style w:type="character" w:customStyle="1" w:styleId="EndnoteTextChar">
    <w:name w:val="Endnote Text Char"/>
    <w:basedOn w:val="DefaultParagraphFont"/>
    <w:link w:val="EndnoteText"/>
    <w:uiPriority w:val="99"/>
    <w:semiHidden/>
    <w:rsid w:val="00A93AB4"/>
    <w:rPr>
      <w:lang w:val="en-US" w:eastAsia="en-US"/>
    </w:rPr>
  </w:style>
  <w:style w:type="character" w:styleId="EndnoteReference">
    <w:name w:val="endnote reference"/>
    <w:basedOn w:val="DefaultParagraphFont"/>
    <w:uiPriority w:val="99"/>
    <w:semiHidden/>
    <w:unhideWhenUsed/>
    <w:rsid w:val="00A93AB4"/>
    <w:rPr>
      <w:vertAlign w:val="superscript"/>
    </w:rPr>
  </w:style>
  <w:style w:type="character" w:styleId="FollowedHyperlink">
    <w:name w:val="FollowedHyperlink"/>
    <w:basedOn w:val="DefaultParagraphFont"/>
    <w:uiPriority w:val="99"/>
    <w:semiHidden/>
    <w:unhideWhenUsed/>
    <w:rsid w:val="002630E0"/>
    <w:rPr>
      <w:color w:val="FF00FF" w:themeColor="followedHyperlink"/>
      <w:u w:val="single"/>
    </w:rPr>
  </w:style>
  <w:style w:type="paragraph" w:customStyle="1" w:styleId="Bullet1">
    <w:name w:val="Bullet 1"/>
    <w:basedOn w:val="ListParagraph"/>
    <w:qFormat/>
    <w:rsid w:val="00967033"/>
    <w:pPr>
      <w:numPr>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num" w:pos="360"/>
      </w:tabs>
      <w:ind w:left="720" w:firstLine="0"/>
    </w:pPr>
    <w:rPr>
      <w:rFonts w:asciiTheme="minorHAnsi" w:eastAsia="Times New Roman" w:hAnsiTheme="minorHAnsi"/>
      <w:bdr w:val="none" w:sz="0" w:space="0" w:color="auto"/>
      <w:lang w:val="en-AU"/>
    </w:rPr>
  </w:style>
  <w:style w:type="paragraph" w:customStyle="1" w:styleId="Bullet2">
    <w:name w:val="Bullet 2"/>
    <w:basedOn w:val="Bullet1"/>
    <w:qFormat/>
    <w:rsid w:val="00967033"/>
    <w:pPr>
      <w:numPr>
        <w:ilvl w:val="1"/>
      </w:numPr>
      <w:tabs>
        <w:tab w:val="clear" w:pos="1134"/>
        <w:tab w:val="num" w:pos="360"/>
      </w:tabs>
    </w:pPr>
  </w:style>
  <w:style w:type="paragraph" w:customStyle="1" w:styleId="Bullet3">
    <w:name w:val="Bullet 3"/>
    <w:basedOn w:val="Bullet2"/>
    <w:qFormat/>
    <w:rsid w:val="00967033"/>
    <w:pPr>
      <w:numPr>
        <w:ilvl w:val="2"/>
      </w:numPr>
      <w:tabs>
        <w:tab w:val="clear" w:pos="1701"/>
        <w:tab w:val="num" w:pos="360"/>
      </w:tabs>
    </w:pPr>
  </w:style>
  <w:style w:type="numbering" w:customStyle="1" w:styleId="BulletsList">
    <w:name w:val="Bullets List"/>
    <w:uiPriority w:val="99"/>
    <w:rsid w:val="0059341F"/>
    <w:pPr>
      <w:numPr>
        <w:numId w:val="33"/>
      </w:numPr>
    </w:pPr>
  </w:style>
  <w:style w:type="character" w:customStyle="1" w:styleId="HeaderChar">
    <w:name w:val="Header Char"/>
    <w:basedOn w:val="DefaultParagraphFont"/>
    <w:link w:val="Header"/>
    <w:uiPriority w:val="99"/>
    <w:rsid w:val="00A34400"/>
    <w:rPr>
      <w:rFonts w:ascii="Calibri Light" w:eastAsia="Calibri Light" w:hAnsi="Calibri Light" w:cs="Calibri Light"/>
      <w:b/>
      <w:bCs/>
      <w:caps/>
      <w:color w:val="495965"/>
      <w:u w:color="49596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1949">
      <w:bodyDiv w:val="1"/>
      <w:marLeft w:val="0"/>
      <w:marRight w:val="0"/>
      <w:marTop w:val="0"/>
      <w:marBottom w:val="0"/>
      <w:divBdr>
        <w:top w:val="none" w:sz="0" w:space="0" w:color="auto"/>
        <w:left w:val="none" w:sz="0" w:space="0" w:color="auto"/>
        <w:bottom w:val="none" w:sz="0" w:space="0" w:color="auto"/>
        <w:right w:val="none" w:sz="0" w:space="0" w:color="auto"/>
      </w:divBdr>
    </w:div>
    <w:div w:id="431779634">
      <w:bodyDiv w:val="1"/>
      <w:marLeft w:val="0"/>
      <w:marRight w:val="0"/>
      <w:marTop w:val="0"/>
      <w:marBottom w:val="0"/>
      <w:divBdr>
        <w:top w:val="none" w:sz="0" w:space="0" w:color="auto"/>
        <w:left w:val="none" w:sz="0" w:space="0" w:color="auto"/>
        <w:bottom w:val="none" w:sz="0" w:space="0" w:color="auto"/>
        <w:right w:val="none" w:sz="0" w:space="0" w:color="auto"/>
      </w:divBdr>
    </w:div>
    <w:div w:id="433937284">
      <w:bodyDiv w:val="1"/>
      <w:marLeft w:val="0"/>
      <w:marRight w:val="0"/>
      <w:marTop w:val="0"/>
      <w:marBottom w:val="0"/>
      <w:divBdr>
        <w:top w:val="none" w:sz="0" w:space="0" w:color="auto"/>
        <w:left w:val="none" w:sz="0" w:space="0" w:color="auto"/>
        <w:bottom w:val="none" w:sz="0" w:space="0" w:color="auto"/>
        <w:right w:val="none" w:sz="0" w:space="0" w:color="auto"/>
      </w:divBdr>
      <w:divsChild>
        <w:div w:id="1943343342">
          <w:marLeft w:val="3840"/>
          <w:marRight w:val="0"/>
          <w:marTop w:val="0"/>
          <w:marBottom w:val="0"/>
          <w:divBdr>
            <w:top w:val="single" w:sz="6" w:space="12" w:color="E1E9F2"/>
            <w:left w:val="none" w:sz="0" w:space="0" w:color="auto"/>
            <w:bottom w:val="none" w:sz="0" w:space="0" w:color="auto"/>
            <w:right w:val="none" w:sz="0" w:space="0" w:color="auto"/>
          </w:divBdr>
        </w:div>
      </w:divsChild>
    </w:div>
    <w:div w:id="813258658">
      <w:bodyDiv w:val="1"/>
      <w:marLeft w:val="0"/>
      <w:marRight w:val="0"/>
      <w:marTop w:val="0"/>
      <w:marBottom w:val="0"/>
      <w:divBdr>
        <w:top w:val="none" w:sz="0" w:space="0" w:color="auto"/>
        <w:left w:val="none" w:sz="0" w:space="0" w:color="auto"/>
        <w:bottom w:val="none" w:sz="0" w:space="0" w:color="auto"/>
        <w:right w:val="none" w:sz="0" w:space="0" w:color="auto"/>
      </w:divBdr>
    </w:div>
    <w:div w:id="1116096442">
      <w:bodyDiv w:val="1"/>
      <w:marLeft w:val="0"/>
      <w:marRight w:val="0"/>
      <w:marTop w:val="0"/>
      <w:marBottom w:val="0"/>
      <w:divBdr>
        <w:top w:val="none" w:sz="0" w:space="0" w:color="auto"/>
        <w:left w:val="none" w:sz="0" w:space="0" w:color="auto"/>
        <w:bottom w:val="none" w:sz="0" w:space="0" w:color="auto"/>
        <w:right w:val="none" w:sz="0" w:space="0" w:color="auto"/>
      </w:divBdr>
    </w:div>
    <w:div w:id="1155998205">
      <w:bodyDiv w:val="1"/>
      <w:marLeft w:val="0"/>
      <w:marRight w:val="0"/>
      <w:marTop w:val="0"/>
      <w:marBottom w:val="0"/>
      <w:divBdr>
        <w:top w:val="none" w:sz="0" w:space="0" w:color="auto"/>
        <w:left w:val="none" w:sz="0" w:space="0" w:color="auto"/>
        <w:bottom w:val="none" w:sz="0" w:space="0" w:color="auto"/>
        <w:right w:val="none" w:sz="0" w:space="0" w:color="auto"/>
      </w:divBdr>
    </w:div>
    <w:div w:id="1234512505">
      <w:bodyDiv w:val="1"/>
      <w:marLeft w:val="0"/>
      <w:marRight w:val="0"/>
      <w:marTop w:val="0"/>
      <w:marBottom w:val="0"/>
      <w:divBdr>
        <w:top w:val="none" w:sz="0" w:space="0" w:color="auto"/>
        <w:left w:val="none" w:sz="0" w:space="0" w:color="auto"/>
        <w:bottom w:val="none" w:sz="0" w:space="0" w:color="auto"/>
        <w:right w:val="none" w:sz="0" w:space="0" w:color="auto"/>
      </w:divBdr>
    </w:div>
    <w:div w:id="1304893920">
      <w:bodyDiv w:val="1"/>
      <w:marLeft w:val="0"/>
      <w:marRight w:val="0"/>
      <w:marTop w:val="0"/>
      <w:marBottom w:val="0"/>
      <w:divBdr>
        <w:top w:val="none" w:sz="0" w:space="0" w:color="auto"/>
        <w:left w:val="none" w:sz="0" w:space="0" w:color="auto"/>
        <w:bottom w:val="none" w:sz="0" w:space="0" w:color="auto"/>
        <w:right w:val="none" w:sz="0" w:space="0" w:color="auto"/>
      </w:divBdr>
    </w:div>
    <w:div w:id="1315260782">
      <w:bodyDiv w:val="1"/>
      <w:marLeft w:val="0"/>
      <w:marRight w:val="0"/>
      <w:marTop w:val="0"/>
      <w:marBottom w:val="0"/>
      <w:divBdr>
        <w:top w:val="none" w:sz="0" w:space="0" w:color="auto"/>
        <w:left w:val="none" w:sz="0" w:space="0" w:color="auto"/>
        <w:bottom w:val="none" w:sz="0" w:space="0" w:color="auto"/>
        <w:right w:val="none" w:sz="0" w:space="0" w:color="auto"/>
      </w:divBdr>
    </w:div>
    <w:div w:id="1379282480">
      <w:bodyDiv w:val="1"/>
      <w:marLeft w:val="0"/>
      <w:marRight w:val="0"/>
      <w:marTop w:val="0"/>
      <w:marBottom w:val="0"/>
      <w:divBdr>
        <w:top w:val="none" w:sz="0" w:space="0" w:color="auto"/>
        <w:left w:val="none" w:sz="0" w:space="0" w:color="auto"/>
        <w:bottom w:val="none" w:sz="0" w:space="0" w:color="auto"/>
        <w:right w:val="none" w:sz="0" w:space="0" w:color="auto"/>
      </w:divBdr>
    </w:div>
    <w:div w:id="1559894728">
      <w:bodyDiv w:val="1"/>
      <w:marLeft w:val="0"/>
      <w:marRight w:val="0"/>
      <w:marTop w:val="0"/>
      <w:marBottom w:val="0"/>
      <w:divBdr>
        <w:top w:val="none" w:sz="0" w:space="0" w:color="auto"/>
        <w:left w:val="none" w:sz="0" w:space="0" w:color="auto"/>
        <w:bottom w:val="none" w:sz="0" w:space="0" w:color="auto"/>
        <w:right w:val="none" w:sz="0" w:space="0" w:color="auto"/>
      </w:divBdr>
      <w:divsChild>
        <w:div w:id="376049894">
          <w:marLeft w:val="0"/>
          <w:marRight w:val="0"/>
          <w:marTop w:val="0"/>
          <w:marBottom w:val="0"/>
          <w:divBdr>
            <w:top w:val="none" w:sz="0" w:space="0" w:color="auto"/>
            <w:left w:val="none" w:sz="0" w:space="0" w:color="auto"/>
            <w:bottom w:val="none" w:sz="0" w:space="0" w:color="auto"/>
            <w:right w:val="none" w:sz="0" w:space="0" w:color="auto"/>
          </w:divBdr>
          <w:divsChild>
            <w:div w:id="342361726">
              <w:marLeft w:val="0"/>
              <w:marRight w:val="0"/>
              <w:marTop w:val="300"/>
              <w:marBottom w:val="100"/>
              <w:divBdr>
                <w:top w:val="none" w:sz="0" w:space="0" w:color="auto"/>
                <w:left w:val="none" w:sz="0" w:space="0" w:color="auto"/>
                <w:bottom w:val="none" w:sz="0" w:space="0" w:color="auto"/>
                <w:right w:val="none" w:sz="0" w:space="0" w:color="auto"/>
              </w:divBdr>
              <w:divsChild>
                <w:div w:id="1205826235">
                  <w:marLeft w:val="0"/>
                  <w:marRight w:val="0"/>
                  <w:marTop w:val="0"/>
                  <w:marBottom w:val="0"/>
                  <w:divBdr>
                    <w:top w:val="none" w:sz="0" w:space="0" w:color="auto"/>
                    <w:left w:val="none" w:sz="0" w:space="0" w:color="auto"/>
                    <w:bottom w:val="none" w:sz="0" w:space="0" w:color="auto"/>
                    <w:right w:val="none" w:sz="0" w:space="0" w:color="auto"/>
                  </w:divBdr>
                  <w:divsChild>
                    <w:div w:id="2046447033">
                      <w:marLeft w:val="0"/>
                      <w:marRight w:val="0"/>
                      <w:marTop w:val="0"/>
                      <w:marBottom w:val="0"/>
                      <w:divBdr>
                        <w:top w:val="none" w:sz="0" w:space="0" w:color="auto"/>
                        <w:left w:val="none" w:sz="0" w:space="0" w:color="auto"/>
                        <w:bottom w:val="none" w:sz="0" w:space="0" w:color="auto"/>
                        <w:right w:val="none" w:sz="0" w:space="0" w:color="auto"/>
                      </w:divBdr>
                      <w:divsChild>
                        <w:div w:id="20073179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056995">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928536870">
      <w:bodyDiv w:val="1"/>
      <w:marLeft w:val="0"/>
      <w:marRight w:val="0"/>
      <w:marTop w:val="0"/>
      <w:marBottom w:val="0"/>
      <w:divBdr>
        <w:top w:val="none" w:sz="0" w:space="0" w:color="auto"/>
        <w:left w:val="none" w:sz="0" w:space="0" w:color="auto"/>
        <w:bottom w:val="none" w:sz="0" w:space="0" w:color="auto"/>
        <w:right w:val="none" w:sz="0" w:space="0" w:color="auto"/>
      </w:divBdr>
    </w:div>
    <w:div w:id="1940290224">
      <w:bodyDiv w:val="1"/>
      <w:marLeft w:val="0"/>
      <w:marRight w:val="0"/>
      <w:marTop w:val="0"/>
      <w:marBottom w:val="0"/>
      <w:divBdr>
        <w:top w:val="none" w:sz="0" w:space="0" w:color="auto"/>
        <w:left w:val="none" w:sz="0" w:space="0" w:color="auto"/>
        <w:bottom w:val="none" w:sz="0" w:space="0" w:color="auto"/>
        <w:right w:val="none" w:sz="0" w:space="0" w:color="auto"/>
      </w:divBdr>
    </w:div>
    <w:div w:id="214461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png"/><Relationship Id="rId29" Type="http://schemas.openxmlformats.org/officeDocument/2006/relationships/footer" Target="footer4.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footer" Target="footer6.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header" Target="header4.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hyperlink" Target="https://www.redr.org.au/news/latest-news/engineering-a-food-solution-for-rohingya-refugees-in-bangladesh/" TargetMode="External"/><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3.png"/><Relationship Id="rId33" Type="http://schemas.openxmlformats.org/officeDocument/2006/relationships/header" Target="header6.xml"/><Relationship Id="rId38"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5.png"/></Relationships>
</file>

<file path=word/_rels/footer8.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s://mof.portal.gov.bd/site/page/32220b73-846f-4a33-b4c0-a6650c918e25/Safety-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FF00FF"/>
      </a:folHlink>
    </a:clrScheme>
    <a:fontScheme name="Office Theme">
      <a:majorFont>
        <a:latin typeface="Calibri"/>
        <a:ea typeface="Calibri"/>
        <a:cs typeface="Calibri"/>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FBA54-5A5C-46CD-BA85-5AD15EF388BB}"/>
</file>

<file path=customXml/itemProps2.xml><?xml version="1.0" encoding="utf-8"?>
<ds:datastoreItem xmlns:ds="http://schemas.openxmlformats.org/officeDocument/2006/customXml" ds:itemID="{0FAE4BEA-2C03-45FC-B4CF-A5EC27F8B1AE}"/>
</file>

<file path=customXml/itemProps3.xml><?xml version="1.0" encoding="utf-8"?>
<ds:datastoreItem xmlns:ds="http://schemas.openxmlformats.org/officeDocument/2006/customXml" ds:itemID="{BF010F9F-B571-4F99-94FD-7B0670F0460E}"/>
</file>

<file path=customXml/itemProps4.xml><?xml version="1.0" encoding="utf-8"?>
<ds:datastoreItem xmlns:ds="http://schemas.openxmlformats.org/officeDocument/2006/customXml" ds:itemID="{8382742A-0092-4226-9BF8-A12869B73180}"/>
</file>

<file path=docProps/app.xml><?xml version="1.0" encoding="utf-8"?>
<Properties xmlns="http://schemas.openxmlformats.org/officeDocument/2006/extended-properties" xmlns:vt="http://schemas.openxmlformats.org/officeDocument/2006/docPropsVTypes">
  <Template>Normal.dotm</Template>
  <TotalTime>0</TotalTime>
  <Pages>39</Pages>
  <Words>16258</Words>
  <Characters>92677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2018-09-26T21:02:00Z</dcterms:created>
  <dcterms:modified xsi:type="dcterms:W3CDTF">2018-09-26T21:03:00Z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4ce610b9-1c6b-4a7c-9711-1f558315fde3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