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1C708" w14:textId="77777777" w:rsidR="0059146A" w:rsidRDefault="0059146A" w:rsidP="005B5769">
      <w:pPr>
        <w:pStyle w:val="ListBullet"/>
        <w:tabs>
          <w:tab w:val="clear" w:pos="284"/>
        </w:tabs>
      </w:pPr>
      <w:bookmarkStart w:id="0" w:name="_GoBack"/>
      <w:bookmarkEnd w:id="0"/>
    </w:p>
    <w:p w14:paraId="587D6C20" w14:textId="77777777" w:rsidR="0059146A" w:rsidRDefault="0059146A" w:rsidP="005B5769">
      <w:pPr>
        <w:pStyle w:val="ListBullet"/>
        <w:tabs>
          <w:tab w:val="clear" w:pos="284"/>
        </w:tabs>
      </w:pPr>
    </w:p>
    <w:p w14:paraId="5EA9E8E1" w14:textId="77777777" w:rsidR="0059146A" w:rsidRPr="0059146A" w:rsidRDefault="0059146A" w:rsidP="005B5769">
      <w:pPr>
        <w:pStyle w:val="ListBullet"/>
        <w:tabs>
          <w:tab w:val="clear" w:pos="284"/>
        </w:tabs>
      </w:pPr>
    </w:p>
    <w:p w14:paraId="3757F71A" w14:textId="77777777" w:rsidR="00A56F14" w:rsidRPr="0059146A" w:rsidRDefault="00A56F14" w:rsidP="0059146A">
      <w:pPr>
        <w:pStyle w:val="ListBullet"/>
        <w:tabs>
          <w:tab w:val="clear" w:pos="284"/>
        </w:tabs>
      </w:pPr>
    </w:p>
    <w:p w14:paraId="44AF617C" w14:textId="77777777" w:rsidR="00A56F14" w:rsidRDefault="00A56F14" w:rsidP="00A56F14">
      <w:pPr>
        <w:spacing w:after="200" w:line="276" w:lineRule="auto"/>
        <w:rPr>
          <w:b/>
        </w:rPr>
      </w:pPr>
    </w:p>
    <w:p w14:paraId="173B9F00" w14:textId="77777777" w:rsidR="00A56F14" w:rsidRDefault="00A56F14" w:rsidP="00A56F14">
      <w:pPr>
        <w:spacing w:after="200" w:line="276" w:lineRule="auto"/>
        <w:rPr>
          <w:b/>
        </w:rPr>
      </w:pPr>
    </w:p>
    <w:p w14:paraId="654F8B61" w14:textId="77777777" w:rsidR="00C6626C" w:rsidRDefault="00C6626C" w:rsidP="00A56F14"/>
    <w:p w14:paraId="37A2F3E9" w14:textId="77777777" w:rsidR="00C6626C" w:rsidRDefault="00C6626C" w:rsidP="00A56F14"/>
    <w:p w14:paraId="01740C29" w14:textId="77777777" w:rsidR="00C6626C" w:rsidRDefault="00C6626C" w:rsidP="00A56F14"/>
    <w:p w14:paraId="5C03448E" w14:textId="77777777" w:rsidR="00C6626C" w:rsidRDefault="00C6626C" w:rsidP="00A56F14"/>
    <w:p w14:paraId="0469D641" w14:textId="77777777" w:rsidR="00C6626C" w:rsidRDefault="00C6626C" w:rsidP="00A56F14"/>
    <w:p w14:paraId="6B4D324F" w14:textId="77777777" w:rsidR="00C6626C" w:rsidRDefault="00C6626C" w:rsidP="00A56F14"/>
    <w:p w14:paraId="0B8FF178" w14:textId="77777777" w:rsidR="00C6626C" w:rsidRDefault="00C6626C" w:rsidP="00A56F14"/>
    <w:p w14:paraId="2C2F4A4F" w14:textId="77777777" w:rsidR="00C6626C" w:rsidRDefault="00C6626C" w:rsidP="00A56F14"/>
    <w:p w14:paraId="2D4277A4" w14:textId="77777777" w:rsidR="00C6626C" w:rsidRDefault="00C6626C" w:rsidP="00A56F14"/>
    <w:p w14:paraId="69F4983B" w14:textId="77777777" w:rsidR="00C6626C" w:rsidRDefault="00C6626C" w:rsidP="00A56F14"/>
    <w:p w14:paraId="6780FE7A" w14:textId="77777777" w:rsidR="00C6626C" w:rsidRDefault="00C6626C" w:rsidP="00A56F14"/>
    <w:p w14:paraId="5AAF6F80" w14:textId="77777777" w:rsidR="00C6626C" w:rsidRDefault="00C6626C" w:rsidP="00A56F14"/>
    <w:p w14:paraId="175571E5" w14:textId="77777777" w:rsidR="00C6626C" w:rsidRDefault="00C6626C" w:rsidP="00A56F14"/>
    <w:p w14:paraId="43FF235A" w14:textId="77777777" w:rsidR="00C6626C" w:rsidRDefault="00C6626C" w:rsidP="00A56F14"/>
    <w:p w14:paraId="2DFC0046" w14:textId="77777777" w:rsidR="00C6626C" w:rsidRDefault="00C6626C" w:rsidP="00A56F14"/>
    <w:p w14:paraId="37A34955" w14:textId="77777777" w:rsidR="00C6626C" w:rsidRDefault="00C6626C" w:rsidP="00A56F14"/>
    <w:p w14:paraId="0E411BCC" w14:textId="77777777" w:rsidR="00C6626C" w:rsidRDefault="00C6626C" w:rsidP="00A56F14"/>
    <w:p w14:paraId="72D41362" w14:textId="77777777" w:rsidR="00C6626C" w:rsidRDefault="00C6626C" w:rsidP="00A56F14"/>
    <w:p w14:paraId="4CF8923C" w14:textId="77777777" w:rsidR="00C6626C" w:rsidRDefault="00C6626C" w:rsidP="00A56F14"/>
    <w:p w14:paraId="770ED68B" w14:textId="77777777" w:rsidR="00C6626C" w:rsidRDefault="00C6626C" w:rsidP="00A56F14"/>
    <w:p w14:paraId="0F498F08" w14:textId="77777777" w:rsidR="00C6626C" w:rsidRDefault="00C6626C" w:rsidP="00A56F14"/>
    <w:p w14:paraId="1400D530" w14:textId="77777777" w:rsidR="00A56F14" w:rsidRPr="002A51CA" w:rsidRDefault="00A56F14" w:rsidP="002A51CA">
      <w:pPr>
        <w:pStyle w:val="Title"/>
        <w:spacing w:after="120" w:line="600" w:lineRule="exact"/>
        <w:rPr>
          <w:spacing w:val="-20"/>
          <w:sz w:val="60"/>
        </w:rPr>
      </w:pPr>
      <w:r w:rsidRPr="002A51CA">
        <w:rPr>
          <w:noProof/>
          <w:spacing w:val="-20"/>
          <w:sz w:val="60"/>
          <w:lang w:val="en-AU" w:eastAsia="en-AU"/>
        </w:rPr>
        <w:drawing>
          <wp:anchor distT="0" distB="0" distL="114300" distR="114300" simplePos="0" relativeHeight="251664384" behindDoc="1" locked="1" layoutInCell="1" allowOverlap="1" wp14:anchorId="15227820" wp14:editId="666720B1">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2A51CA">
        <w:rPr>
          <w:noProof/>
          <w:spacing w:val="-20"/>
          <w:sz w:val="60"/>
          <w:lang w:val="en-AU" w:eastAsia="en-AU"/>
        </w:rPr>
        <w:drawing>
          <wp:anchor distT="0" distB="0" distL="114300" distR="114300" simplePos="0" relativeHeight="251663360" behindDoc="1" locked="1" layoutInCell="1" allowOverlap="1" wp14:anchorId="1D5E0191" wp14:editId="3A6ED44B">
            <wp:simplePos x="0" y="0"/>
            <wp:positionH relativeFrom="page">
              <wp:posOffset>7620</wp:posOffset>
            </wp:positionH>
            <wp:positionV relativeFrom="page">
              <wp:posOffset>-7620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10">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C6626C" w:rsidRPr="002A51CA">
        <w:rPr>
          <w:spacing w:val="-20"/>
          <w:sz w:val="60"/>
        </w:rPr>
        <w:t xml:space="preserve">Aid Program Performance </w:t>
      </w:r>
    </w:p>
    <w:p w14:paraId="7EFF5D83" w14:textId="77777777" w:rsidR="00C6626C" w:rsidRPr="002A51CA" w:rsidRDefault="00C6626C" w:rsidP="002A51CA">
      <w:pPr>
        <w:pStyle w:val="Title"/>
        <w:spacing w:after="120" w:line="600" w:lineRule="exact"/>
        <w:rPr>
          <w:spacing w:val="-20"/>
          <w:sz w:val="60"/>
        </w:rPr>
      </w:pPr>
      <w:r w:rsidRPr="002A51CA">
        <w:rPr>
          <w:spacing w:val="-20"/>
          <w:sz w:val="60"/>
        </w:rPr>
        <w:t>Report 201</w:t>
      </w:r>
      <w:r w:rsidR="002309D8">
        <w:rPr>
          <w:spacing w:val="-20"/>
          <w:sz w:val="60"/>
        </w:rPr>
        <w:t>6</w:t>
      </w:r>
      <w:r w:rsidRPr="002A51CA">
        <w:rPr>
          <w:spacing w:val="-20"/>
          <w:sz w:val="60"/>
        </w:rPr>
        <w:t>-1</w:t>
      </w:r>
      <w:r w:rsidR="002309D8">
        <w:rPr>
          <w:spacing w:val="-20"/>
          <w:sz w:val="60"/>
        </w:rPr>
        <w:t>7</w:t>
      </w:r>
    </w:p>
    <w:p w14:paraId="25B36AF2" w14:textId="77777777" w:rsidR="004C3322" w:rsidRDefault="004C3322" w:rsidP="00A56F14">
      <w:pPr>
        <w:rPr>
          <w:sz w:val="24"/>
        </w:rPr>
      </w:pPr>
      <w:r>
        <w:rPr>
          <w:sz w:val="24"/>
        </w:rPr>
        <w:t xml:space="preserve">BANGLADESH </w:t>
      </w:r>
    </w:p>
    <w:p w14:paraId="668FF8E9" w14:textId="0FDE74C6" w:rsidR="00C6626C" w:rsidRDefault="00C6626C" w:rsidP="00A56F14">
      <w:pPr>
        <w:sectPr w:rsidR="00C6626C" w:rsidSect="00C6626C">
          <w:headerReference w:type="even" r:id="rId11"/>
          <w:headerReference w:type="default" r:id="rId12"/>
          <w:footerReference w:type="even" r:id="rId13"/>
          <w:footerReference w:type="default" r:id="rId14"/>
          <w:headerReference w:type="first" r:id="rId15"/>
          <w:footerReference w:type="first" r:id="rId16"/>
          <w:pgSz w:w="11906" w:h="16838" w:code="9"/>
          <w:pgMar w:top="1952" w:right="1134" w:bottom="851" w:left="1134" w:header="1814" w:footer="567" w:gutter="0"/>
          <w:cols w:space="397"/>
          <w:docGrid w:linePitch="360"/>
        </w:sectPr>
      </w:pPr>
      <w:r w:rsidRPr="002A51CA">
        <w:rPr>
          <w:sz w:val="24"/>
        </w:rPr>
        <w:t>September 201</w:t>
      </w:r>
      <w:r w:rsidR="002309D8">
        <w:rPr>
          <w:sz w:val="24"/>
        </w:rPr>
        <w:t>7</w:t>
      </w:r>
    </w:p>
    <w:p w14:paraId="3C4CF3DD" w14:textId="77777777" w:rsidR="00C6626C" w:rsidRPr="00680678" w:rsidRDefault="00C6626C" w:rsidP="002A51CA">
      <w:pPr>
        <w:pStyle w:val="ListBullet"/>
        <w:tabs>
          <w:tab w:val="clear" w:pos="284"/>
        </w:tabs>
        <w:spacing w:before="360"/>
        <w:rPr>
          <w:rFonts w:asciiTheme="majorHAnsi" w:hAnsiTheme="majorHAnsi"/>
          <w:kern w:val="28"/>
        </w:rPr>
      </w:pPr>
      <w:r w:rsidRPr="00680678">
        <w:rPr>
          <w:rFonts w:asciiTheme="majorHAnsi" w:eastAsiaTheme="majorEastAsia" w:hAnsiTheme="majorHAnsi" w:cstheme="majorBidi"/>
          <w:caps/>
          <w:color w:val="495965" w:themeColor="text2"/>
          <w:sz w:val="38"/>
          <w:szCs w:val="26"/>
          <w:lang w:val="en-GB" w:eastAsia="en-US"/>
        </w:rPr>
        <w:lastRenderedPageBreak/>
        <w:t>Key Messages</w:t>
      </w:r>
      <w:r w:rsidRPr="00680678">
        <w:rPr>
          <w:rFonts w:asciiTheme="majorHAnsi" w:hAnsiTheme="majorHAnsi" w:cs="Arial"/>
          <w:color w:val="007FAD"/>
          <w:kern w:val="28"/>
          <w:sz w:val="28"/>
          <w:szCs w:val="28"/>
        </w:rPr>
        <w:tab/>
      </w:r>
      <w:r w:rsidRPr="00680678">
        <w:rPr>
          <w:rFonts w:asciiTheme="majorHAnsi" w:hAnsiTheme="majorHAnsi" w:cs="Arial"/>
          <w:color w:val="007FAD"/>
          <w:kern w:val="28"/>
          <w:sz w:val="24"/>
          <w:szCs w:val="28"/>
        </w:rPr>
        <w:tab/>
      </w:r>
      <w:r w:rsidRPr="00680678">
        <w:rPr>
          <w:rFonts w:asciiTheme="majorHAnsi" w:hAnsiTheme="majorHAnsi" w:cs="Arial"/>
          <w:color w:val="007FAD"/>
          <w:kern w:val="28"/>
          <w:sz w:val="32"/>
          <w:szCs w:val="32"/>
        </w:rPr>
        <w:tab/>
      </w:r>
      <w:r w:rsidRPr="00680678">
        <w:rPr>
          <w:rFonts w:asciiTheme="majorHAnsi" w:hAnsiTheme="majorHAnsi" w:cs="Arial"/>
          <w:color w:val="007FAD"/>
          <w:kern w:val="28"/>
          <w:sz w:val="32"/>
          <w:szCs w:val="32"/>
        </w:rPr>
        <w:tab/>
      </w:r>
      <w:r w:rsidRPr="00680678">
        <w:rPr>
          <w:rFonts w:asciiTheme="majorHAnsi" w:hAnsiTheme="majorHAnsi" w:cs="Arial"/>
          <w:color w:val="007FAD"/>
          <w:kern w:val="28"/>
          <w:sz w:val="32"/>
          <w:szCs w:val="32"/>
        </w:rPr>
        <w:tab/>
      </w:r>
      <w:r w:rsidRPr="00680678">
        <w:rPr>
          <w:rFonts w:asciiTheme="majorHAnsi" w:hAnsiTheme="majorHAnsi" w:cs="Arial"/>
          <w:color w:val="007FAD"/>
          <w:kern w:val="28"/>
          <w:sz w:val="32"/>
          <w:szCs w:val="32"/>
        </w:rPr>
        <w:tab/>
      </w:r>
    </w:p>
    <w:p w14:paraId="6F342A5E" w14:textId="4E1C518D" w:rsidR="00773D55" w:rsidRPr="00773D55" w:rsidRDefault="00385DFD" w:rsidP="00026AE0">
      <w:pPr>
        <w:jc w:val="both"/>
      </w:pPr>
      <w:r w:rsidRPr="007C7418">
        <w:t xml:space="preserve">This report summarises the performance of Australia’s aid program in </w:t>
      </w:r>
      <w:r w:rsidR="006A2C7B">
        <w:t>Bangladesh</w:t>
      </w:r>
      <w:r w:rsidRPr="007C7418">
        <w:t xml:space="preserve"> from July 2016 to June 2017 against the </w:t>
      </w:r>
      <w:r w:rsidR="00896C41">
        <w:t>Bangla</w:t>
      </w:r>
      <w:r w:rsidR="006A2C7B">
        <w:t>desh</w:t>
      </w:r>
      <w:r w:rsidRPr="007C7418">
        <w:t xml:space="preserve"> Aid Inves</w:t>
      </w:r>
      <w:r w:rsidR="006B0AB0">
        <w:t>tment Pla</w:t>
      </w:r>
      <w:r w:rsidR="00AC6BEB">
        <w:t xml:space="preserve">n </w:t>
      </w:r>
      <w:r w:rsidR="005E4CDD">
        <w:t>2015-16 to 2018-</w:t>
      </w:r>
      <w:r w:rsidR="00896C41">
        <w:t>19</w:t>
      </w:r>
      <w:r w:rsidR="006B0AB0">
        <w:t xml:space="preserve"> (AIP).</w:t>
      </w:r>
      <w:r w:rsidR="00773D55" w:rsidRPr="00773D55">
        <w:t xml:space="preserve"> Australia</w:t>
      </w:r>
      <w:r w:rsidR="00AC6BEB">
        <w:t>n aid in Bangladesh</w:t>
      </w:r>
      <w:r w:rsidR="00773D55" w:rsidRPr="00773D55">
        <w:t xml:space="preserve"> reflects the priorities of the Governments of Australia and Bangladesh, investing in human development, skills and productivity, and women’s economic empowerment.</w:t>
      </w:r>
      <w:r w:rsidR="00773D55">
        <w:t xml:space="preserve"> </w:t>
      </w:r>
      <w:r w:rsidR="00773D55" w:rsidRPr="00773D55">
        <w:t xml:space="preserve">Progress is measured using a Performance Assessment Framework (PAF), incorporating performance indicators for the two strategic objectives of the program: </w:t>
      </w:r>
      <w:r w:rsidR="00773D55" w:rsidRPr="00D54C3B">
        <w:rPr>
          <w:i/>
        </w:rPr>
        <w:t>improving education access, equity, efficiency and learning outcomes</w:t>
      </w:r>
      <w:r w:rsidR="00773D55" w:rsidRPr="00773D55">
        <w:t xml:space="preserve"> and </w:t>
      </w:r>
      <w:r w:rsidR="00773D55" w:rsidRPr="00D54C3B">
        <w:rPr>
          <w:i/>
        </w:rPr>
        <w:t>building resilience by reducing vulnerability and improving inclusion in the growing economy</w:t>
      </w:r>
      <w:r w:rsidR="00773D55" w:rsidRPr="00773D55">
        <w:t xml:space="preserve">. </w:t>
      </w:r>
    </w:p>
    <w:p w14:paraId="3F4A441F" w14:textId="292CF261" w:rsidR="00B506CB" w:rsidRPr="00B506CB" w:rsidRDefault="00773D55" w:rsidP="00026AE0">
      <w:pPr>
        <w:jc w:val="both"/>
        <w:rPr>
          <w:lang w:val="en-US"/>
        </w:rPr>
      </w:pPr>
      <w:r>
        <w:t>During the reporting period, t</w:t>
      </w:r>
      <w:r w:rsidR="00B506CB">
        <w:rPr>
          <w:lang w:val="en-US"/>
        </w:rPr>
        <w:t xml:space="preserve">he </w:t>
      </w:r>
      <w:r w:rsidR="00B506CB" w:rsidRPr="00B506CB">
        <w:rPr>
          <w:lang w:val="en-US"/>
        </w:rPr>
        <w:t xml:space="preserve">assumptions underpinning the </w:t>
      </w:r>
      <w:r w:rsidR="00AC6BEB">
        <w:rPr>
          <w:lang w:val="en-US"/>
        </w:rPr>
        <w:t>AIP</w:t>
      </w:r>
      <w:r w:rsidR="00B506CB" w:rsidRPr="00B506CB">
        <w:rPr>
          <w:lang w:val="en-US"/>
        </w:rPr>
        <w:t xml:space="preserve"> remain</w:t>
      </w:r>
      <w:r w:rsidR="0022770E">
        <w:rPr>
          <w:lang w:val="en-US"/>
        </w:rPr>
        <w:t>ed</w:t>
      </w:r>
      <w:r w:rsidR="00B506CB" w:rsidRPr="00B506CB">
        <w:rPr>
          <w:lang w:val="en-US"/>
        </w:rPr>
        <w:t xml:space="preserve"> valid, with sustained </w:t>
      </w:r>
      <w:r w:rsidR="00B506CB" w:rsidRPr="001F64FF">
        <w:t>economic growth and relative political stability supporting progress o</w:t>
      </w:r>
      <w:r w:rsidR="00C345D5" w:rsidRPr="001F64FF">
        <w:t xml:space="preserve">n poverty reduction and development indicators. This upward </w:t>
      </w:r>
      <w:r w:rsidR="008554FF" w:rsidRPr="001F64FF">
        <w:t xml:space="preserve">development trajectory is </w:t>
      </w:r>
      <w:r w:rsidR="00C345D5" w:rsidRPr="001F64FF">
        <w:t xml:space="preserve">increasingly </w:t>
      </w:r>
      <w:r w:rsidR="008554FF" w:rsidRPr="001F64FF">
        <w:t xml:space="preserve">subject to pressure from </w:t>
      </w:r>
      <w:r w:rsidR="00B506CB" w:rsidRPr="001F64FF">
        <w:t>security</w:t>
      </w:r>
      <w:r w:rsidR="00886CB2" w:rsidRPr="001F64FF">
        <w:t xml:space="preserve"> and governance challenges</w:t>
      </w:r>
      <w:r w:rsidR="00B506CB" w:rsidRPr="001F64FF">
        <w:t xml:space="preserve">, </w:t>
      </w:r>
      <w:r w:rsidR="00EA0FA0" w:rsidRPr="001F64FF">
        <w:t xml:space="preserve">income inequality, </w:t>
      </w:r>
      <w:r w:rsidR="0022770E" w:rsidRPr="001F64FF">
        <w:t>the impacts of climate change</w:t>
      </w:r>
      <w:r w:rsidR="00B15112" w:rsidRPr="001F64FF">
        <w:t>,</w:t>
      </w:r>
      <w:r w:rsidR="00EA0FA0" w:rsidRPr="001F64FF">
        <w:t xml:space="preserve"> new laws regulating civil society activity </w:t>
      </w:r>
      <w:r w:rsidR="001F64FF">
        <w:t>and domestic political developments</w:t>
      </w:r>
      <w:r w:rsidR="00B506CB" w:rsidRPr="001F64FF">
        <w:t>.</w:t>
      </w:r>
    </w:p>
    <w:p w14:paraId="1F24295D" w14:textId="1B500C2C" w:rsidR="0022770E" w:rsidRPr="00F83324" w:rsidRDefault="00F83324" w:rsidP="00026AE0">
      <w:pPr>
        <w:jc w:val="both"/>
      </w:pPr>
      <w:r>
        <w:t>Australia’s aid program</w:t>
      </w:r>
      <w:r w:rsidR="00F412B3">
        <w:t xml:space="preserve"> in Bangladesh</w:t>
      </w:r>
      <w:r w:rsidR="00D90CEB">
        <w:t xml:space="preserve"> is </w:t>
      </w:r>
      <w:r w:rsidR="00F412B3">
        <w:t>delivered through a consolidate</w:t>
      </w:r>
      <w:r w:rsidR="00A1158F">
        <w:t>d</w:t>
      </w:r>
      <w:r w:rsidR="00F412B3">
        <w:t xml:space="preserve"> set of </w:t>
      </w:r>
      <w:r w:rsidR="005E4CDD" w:rsidRPr="005E4CDD">
        <w:t>strategic partne</w:t>
      </w:r>
      <w:r w:rsidR="003C4725">
        <w:t>rships</w:t>
      </w:r>
      <w:r w:rsidR="005E4CDD" w:rsidRPr="005E4CDD">
        <w:t xml:space="preserve">. </w:t>
      </w:r>
      <w:r w:rsidR="0075323C">
        <w:t>Australia’s</w:t>
      </w:r>
      <w:r w:rsidR="005E4CDD" w:rsidRPr="005E4CDD">
        <w:t xml:space="preserve"> partnerships with the </w:t>
      </w:r>
      <w:r w:rsidR="00231514">
        <w:t>Government of Bangladesh</w:t>
      </w:r>
      <w:r w:rsidR="00D90CEB">
        <w:t xml:space="preserve">, </w:t>
      </w:r>
      <w:r w:rsidR="005E4CDD" w:rsidRPr="005E4CDD">
        <w:t>World Food Programme (WFP) and the UK Department for International Development (DFID)</w:t>
      </w:r>
      <w:r w:rsidR="007768DF">
        <w:t xml:space="preserve"> operate in sectors where results can be achieved </w:t>
      </w:r>
      <w:r w:rsidR="00991988">
        <w:t>at scale</w:t>
      </w:r>
      <w:r w:rsidR="005E4CDD" w:rsidRPr="005E4CDD">
        <w:t xml:space="preserve"> and </w:t>
      </w:r>
      <w:r>
        <w:t xml:space="preserve">where aid </w:t>
      </w:r>
      <w:r w:rsidR="00991988">
        <w:t xml:space="preserve">resources can be </w:t>
      </w:r>
      <w:r w:rsidR="005E4CDD" w:rsidRPr="005E4CDD">
        <w:t>effectively deployed.</w:t>
      </w:r>
      <w:r w:rsidR="0058426E">
        <w:t xml:space="preserve"> Australia</w:t>
      </w:r>
      <w:r w:rsidR="00B47169">
        <w:t xml:space="preserve">’s </w:t>
      </w:r>
      <w:r w:rsidR="007768DF">
        <w:t xml:space="preserve">partnership with the </w:t>
      </w:r>
      <w:r w:rsidR="00AC6BEB" w:rsidRPr="001F64FF">
        <w:t>BRA</w:t>
      </w:r>
      <w:r w:rsidR="00AC6BEB">
        <w:t>C</w:t>
      </w:r>
      <w:r w:rsidR="00D90CEB">
        <w:t xml:space="preserve"> NGO</w:t>
      </w:r>
      <w:r w:rsidR="00AC6BEB">
        <w:t xml:space="preserve"> capitalise</w:t>
      </w:r>
      <w:r w:rsidR="00B47169">
        <w:t>d</w:t>
      </w:r>
      <w:r w:rsidR="00AC6BEB">
        <w:t xml:space="preserve"> on </w:t>
      </w:r>
      <w:r w:rsidR="00B47169">
        <w:t xml:space="preserve">their </w:t>
      </w:r>
      <w:r w:rsidR="0058426E">
        <w:t xml:space="preserve">well-established capacity </w:t>
      </w:r>
      <w:r w:rsidR="00AC6BEB">
        <w:t>and scale</w:t>
      </w:r>
      <w:r w:rsidR="00B47169">
        <w:t>, f</w:t>
      </w:r>
      <w:r w:rsidR="00AC6BEB">
        <w:t>or example</w:t>
      </w:r>
      <w:r w:rsidR="00B47169">
        <w:t xml:space="preserve"> supporting</w:t>
      </w:r>
      <w:r w:rsidR="0058426E" w:rsidRPr="00FC4871">
        <w:t xml:space="preserve"> 1,510,128 extreme poor households </w:t>
      </w:r>
      <w:r w:rsidR="003C4725">
        <w:t xml:space="preserve">previously </w:t>
      </w:r>
      <w:r w:rsidR="00AC6BEB">
        <w:t>unable</w:t>
      </w:r>
      <w:r w:rsidR="0058426E" w:rsidRPr="00FC4871">
        <w:t xml:space="preserve"> to </w:t>
      </w:r>
      <w:r w:rsidR="00B47169">
        <w:t>access</w:t>
      </w:r>
      <w:r w:rsidR="0058426E" w:rsidRPr="00FC4871">
        <w:t xml:space="preserve"> traditional development interventions</w:t>
      </w:r>
      <w:r w:rsidR="003C4725">
        <w:t xml:space="preserve"> such as </w:t>
      </w:r>
      <w:r w:rsidR="0058426E" w:rsidRPr="00FC4871">
        <w:t>microfinance.</w:t>
      </w:r>
      <w:r w:rsidR="005E4CDD" w:rsidRPr="005E4CDD">
        <w:t xml:space="preserve"> </w:t>
      </w:r>
      <w:r w:rsidR="00AC6BEB">
        <w:t>I</w:t>
      </w:r>
      <w:r w:rsidR="00A1158F">
        <w:t xml:space="preserve">n 2016-17, </w:t>
      </w:r>
      <w:r w:rsidR="00270CF2" w:rsidRPr="001F64FF">
        <w:t>Australia</w:t>
      </w:r>
      <w:r w:rsidR="007173BA">
        <w:t xml:space="preserve"> supported the</w:t>
      </w:r>
      <w:r w:rsidR="00253F39">
        <w:t xml:space="preserve"> </w:t>
      </w:r>
      <w:r w:rsidR="007173BA">
        <w:t xml:space="preserve">design of two </w:t>
      </w:r>
      <w:r w:rsidR="00253F39">
        <w:t>new phase</w:t>
      </w:r>
      <w:r w:rsidR="00AD001E">
        <w:t>s of</w:t>
      </w:r>
      <w:r w:rsidR="00253F39">
        <w:t xml:space="preserve"> </w:t>
      </w:r>
      <w:r w:rsidR="007173BA">
        <w:t xml:space="preserve">investments </w:t>
      </w:r>
      <w:r w:rsidR="003A1737">
        <w:t xml:space="preserve">in </w:t>
      </w:r>
      <w:r w:rsidR="001F64FF">
        <w:t>primary education and humanitarian support</w:t>
      </w:r>
      <w:r w:rsidR="0022770E">
        <w:t>.</w:t>
      </w:r>
      <w:r w:rsidR="00A1158F">
        <w:t xml:space="preserve"> </w:t>
      </w:r>
    </w:p>
    <w:p w14:paraId="49538EEE" w14:textId="156A100B" w:rsidR="00C82573" w:rsidRPr="00ED351F" w:rsidRDefault="00F83324" w:rsidP="00026AE0">
      <w:pPr>
        <w:jc w:val="both"/>
      </w:pPr>
      <w:r>
        <w:t xml:space="preserve">The </w:t>
      </w:r>
      <w:r w:rsidR="00AC6BEB">
        <w:t xml:space="preserve">Australia NGO Cooperation Program (ANCP) and </w:t>
      </w:r>
      <w:r w:rsidR="00247AC6" w:rsidRPr="00247AC6">
        <w:t>Au</w:t>
      </w:r>
      <w:r>
        <w:t xml:space="preserve">stralia Awards </w:t>
      </w:r>
      <w:r w:rsidR="00EA7A90">
        <w:t xml:space="preserve">remain </w:t>
      </w:r>
      <w:r w:rsidR="00B47169">
        <w:t xml:space="preserve">effective, </w:t>
      </w:r>
      <w:r w:rsidR="00247AC6" w:rsidRPr="00247AC6">
        <w:t>high profile tool</w:t>
      </w:r>
      <w:r w:rsidR="00AC6BEB">
        <w:t>s</w:t>
      </w:r>
      <w:r w:rsidR="00247AC6" w:rsidRPr="00247AC6">
        <w:t xml:space="preserve"> in </w:t>
      </w:r>
      <w:r w:rsidR="0075323C">
        <w:t xml:space="preserve">the </w:t>
      </w:r>
      <w:r w:rsidR="00247AC6" w:rsidRPr="00247AC6">
        <w:t>relationship with the Bangladesh Government</w:t>
      </w:r>
      <w:r w:rsidR="00AC6BEB">
        <w:t xml:space="preserve"> and community</w:t>
      </w:r>
      <w:r w:rsidR="00247AC6" w:rsidRPr="00247AC6">
        <w:t xml:space="preserve">. </w:t>
      </w:r>
      <w:r w:rsidR="003C4725">
        <w:t>Thirteen</w:t>
      </w:r>
      <w:r w:rsidR="00B47169" w:rsidRPr="000B022F">
        <w:t xml:space="preserve"> Australian NGOs delivered 24 projects across multiple sectors through ANCP, directly benefitting 700,000 poor women, men and children</w:t>
      </w:r>
      <w:r w:rsidR="009B3626">
        <w:rPr>
          <w:rStyle w:val="FootnoteReference"/>
        </w:rPr>
        <w:footnoteReference w:id="1"/>
      </w:r>
      <w:r w:rsidR="00B47169" w:rsidRPr="000B022F">
        <w:t xml:space="preserve">. </w:t>
      </w:r>
      <w:r w:rsidR="00247AC6" w:rsidRPr="00247AC6">
        <w:t>Australia Award</w:t>
      </w:r>
      <w:r w:rsidR="00B47169">
        <w:t>s</w:t>
      </w:r>
      <w:r w:rsidR="00AC6BEB">
        <w:t>,</w:t>
      </w:r>
      <w:r w:rsidR="000B215F">
        <w:t xml:space="preserve"> suspended </w:t>
      </w:r>
      <w:r w:rsidR="008554FF">
        <w:t xml:space="preserve">during the </w:t>
      </w:r>
      <w:r w:rsidR="00991988">
        <w:t>las</w:t>
      </w:r>
      <w:r w:rsidR="000B215F">
        <w:t>t reporting period</w:t>
      </w:r>
      <w:r w:rsidR="00AC6BEB">
        <w:t>,</w:t>
      </w:r>
      <w:r w:rsidR="000B215F">
        <w:t xml:space="preserve"> </w:t>
      </w:r>
      <w:r w:rsidR="00991988">
        <w:t>resumed in 2016-17</w:t>
      </w:r>
      <w:r w:rsidR="008D44F6">
        <w:t>,</w:t>
      </w:r>
      <w:r w:rsidR="00B47169">
        <w:t xml:space="preserve"> </w:t>
      </w:r>
      <w:r w:rsidR="00247AC6">
        <w:t>deliver</w:t>
      </w:r>
      <w:r w:rsidR="00B47169">
        <w:t>ing</w:t>
      </w:r>
      <w:r w:rsidR="00247AC6">
        <w:t xml:space="preserve"> </w:t>
      </w:r>
      <w:r w:rsidR="00B47169">
        <w:t>64 post-graduate</w:t>
      </w:r>
      <w:r w:rsidR="00B47169" w:rsidRPr="00247AC6">
        <w:t xml:space="preserve"> </w:t>
      </w:r>
      <w:r w:rsidR="00247AC6" w:rsidRPr="00247AC6">
        <w:t>scholarships</w:t>
      </w:r>
      <w:r w:rsidR="00B47169">
        <w:t xml:space="preserve"> and 7 </w:t>
      </w:r>
      <w:r w:rsidR="00402CCE" w:rsidRPr="001F64FF">
        <w:t>short courses</w:t>
      </w:r>
      <w:r w:rsidR="00B47169">
        <w:t xml:space="preserve">, </w:t>
      </w:r>
      <w:r w:rsidR="00C345D5" w:rsidRPr="001F64FF">
        <w:t>strategically support</w:t>
      </w:r>
      <w:r w:rsidR="00B47169">
        <w:t>ing</w:t>
      </w:r>
      <w:r w:rsidR="00C345D5" w:rsidRPr="001F64FF">
        <w:t xml:space="preserve"> </w:t>
      </w:r>
      <w:r w:rsidR="0075323C">
        <w:t>Australia’s</w:t>
      </w:r>
      <w:r w:rsidR="00C345D5" w:rsidRPr="001F64FF">
        <w:t xml:space="preserve"> </w:t>
      </w:r>
      <w:r w:rsidR="00402CCE" w:rsidRPr="001F64FF">
        <w:t xml:space="preserve">broader bilateral </w:t>
      </w:r>
      <w:r w:rsidR="00AB02A8" w:rsidRPr="001F64FF">
        <w:t>interests</w:t>
      </w:r>
      <w:r w:rsidR="00247AC6" w:rsidRPr="001F64FF">
        <w:t>, including in countering violent extremism</w:t>
      </w:r>
      <w:r w:rsidR="00C345D5" w:rsidRPr="001F64FF">
        <w:t xml:space="preserve"> and</w:t>
      </w:r>
      <w:r w:rsidR="00270CF2" w:rsidRPr="001F64FF">
        <w:t xml:space="preserve"> </w:t>
      </w:r>
      <w:r w:rsidR="00EC6DF0">
        <w:t xml:space="preserve">promoting </w:t>
      </w:r>
      <w:r w:rsidR="00402CCE" w:rsidRPr="001F64FF">
        <w:t>economic diplomacy</w:t>
      </w:r>
      <w:r w:rsidR="00247AC6" w:rsidRPr="001F64FF">
        <w:t>.</w:t>
      </w:r>
      <w:r w:rsidR="00747DB4">
        <w:t xml:space="preserve"> </w:t>
      </w:r>
    </w:p>
    <w:p w14:paraId="637BD0BF" w14:textId="35290841" w:rsidR="00773D55" w:rsidRPr="00773D55" w:rsidRDefault="00D94455" w:rsidP="00026AE0">
      <w:pPr>
        <w:jc w:val="both"/>
      </w:pPr>
      <w:r w:rsidRPr="00810A8E">
        <w:t xml:space="preserve">Australia’s </w:t>
      </w:r>
      <w:r w:rsidR="00925E0C" w:rsidRPr="00810A8E">
        <w:t xml:space="preserve">investments </w:t>
      </w:r>
      <w:r w:rsidR="00E41563" w:rsidRPr="00810A8E">
        <w:t xml:space="preserve">in </w:t>
      </w:r>
      <w:r w:rsidR="00405F23" w:rsidRPr="00810A8E">
        <w:t xml:space="preserve">Bangladesh </w:t>
      </w:r>
      <w:r w:rsidRPr="00810A8E">
        <w:t xml:space="preserve">performed strongly </w:t>
      </w:r>
      <w:r w:rsidR="00AC6BEB" w:rsidRPr="00810A8E">
        <w:t>against</w:t>
      </w:r>
      <w:r w:rsidRPr="00810A8E">
        <w:t xml:space="preserve"> gender</w:t>
      </w:r>
      <w:r w:rsidR="00AC6BEB" w:rsidRPr="00810A8E">
        <w:t xml:space="preserve"> indicators</w:t>
      </w:r>
      <w:r w:rsidR="00405F23" w:rsidRPr="00810A8E">
        <w:t>, exceeding</w:t>
      </w:r>
      <w:r w:rsidR="00C015D1" w:rsidRPr="00810A8E">
        <w:t xml:space="preserve"> Australia’s strategic target</w:t>
      </w:r>
      <w:r w:rsidRPr="00810A8E">
        <w:t xml:space="preserve"> for gender equality</w:t>
      </w:r>
      <w:r w:rsidR="00405F23" w:rsidRPr="00810A8E">
        <w:rPr>
          <w:vertAlign w:val="superscript"/>
        </w:rPr>
        <w:footnoteReference w:id="2"/>
      </w:r>
      <w:r w:rsidR="00C015D1" w:rsidRPr="00810A8E">
        <w:rPr>
          <w:vertAlign w:val="superscript"/>
        </w:rPr>
        <w:t>.</w:t>
      </w:r>
      <w:r w:rsidR="00C015D1" w:rsidRPr="00ED351F">
        <w:t xml:space="preserve"> </w:t>
      </w:r>
      <w:r w:rsidR="008278CB">
        <w:t>There was</w:t>
      </w:r>
      <w:r w:rsidR="00773D55" w:rsidRPr="00773D55">
        <w:t xml:space="preserve"> good progress against AIP object</w:t>
      </w:r>
      <w:r w:rsidR="00402CCE">
        <w:t xml:space="preserve">ives, </w:t>
      </w:r>
      <w:r w:rsidR="007669E6">
        <w:t>with 14</w:t>
      </w:r>
      <w:r w:rsidR="00A65A1A">
        <w:t xml:space="preserve"> out of</w:t>
      </w:r>
      <w:r w:rsidR="001F64FF">
        <w:t xml:space="preserve"> 15</w:t>
      </w:r>
      <w:r w:rsidR="00A65A1A">
        <w:t xml:space="preserve"> PAF </w:t>
      </w:r>
      <w:r w:rsidR="001F64FF">
        <w:t>annual progress targets (PAF targets)</w:t>
      </w:r>
      <w:r w:rsidR="007669E6">
        <w:t xml:space="preserve"> and 6</w:t>
      </w:r>
      <w:r w:rsidR="001F64FF">
        <w:t xml:space="preserve"> out of 7</w:t>
      </w:r>
      <w:r w:rsidR="00270CF2">
        <w:t xml:space="preserve"> Performance Benchmarks </w:t>
      </w:r>
      <w:r w:rsidR="00027BD1">
        <w:t>(PB)</w:t>
      </w:r>
      <w:r w:rsidR="009B3626">
        <w:t xml:space="preserve"> </w:t>
      </w:r>
      <w:r w:rsidR="001F64FF">
        <w:t xml:space="preserve">being </w:t>
      </w:r>
      <w:r w:rsidR="00270CF2">
        <w:t xml:space="preserve">met. </w:t>
      </w:r>
      <w:r w:rsidR="00773D55" w:rsidRPr="00773D55">
        <w:t>Key achievements in 2016-17 include:</w:t>
      </w:r>
    </w:p>
    <w:p w14:paraId="20041EF5" w14:textId="5D46DBC6" w:rsidR="00773D55" w:rsidRPr="00773D55" w:rsidRDefault="00773D55" w:rsidP="00026AE0">
      <w:pPr>
        <w:numPr>
          <w:ilvl w:val="0"/>
          <w:numId w:val="24"/>
        </w:numPr>
        <w:jc w:val="both"/>
      </w:pPr>
      <w:r w:rsidRPr="00773D55">
        <w:t>supporting the Bangladesh Government’s primary education program to improve the quality of education through distribution of textbooks, increased competency based questions in test</w:t>
      </w:r>
      <w:r w:rsidR="008278CB">
        <w:t>ing</w:t>
      </w:r>
      <w:r w:rsidRPr="00773D55">
        <w:t>, and increased access to quality education in areas where government schools are not operating;</w:t>
      </w:r>
    </w:p>
    <w:p w14:paraId="5924623D" w14:textId="62A225C1" w:rsidR="00773D55" w:rsidRPr="00773D55" w:rsidRDefault="00773D55" w:rsidP="00026AE0">
      <w:pPr>
        <w:numPr>
          <w:ilvl w:val="0"/>
          <w:numId w:val="24"/>
        </w:numPr>
        <w:jc w:val="both"/>
      </w:pPr>
      <w:r w:rsidRPr="00773D55">
        <w:t>providing 117,416 schoolchildren in 500 schools with high-energy biscuits in the Cox’s Bazar District,</w:t>
      </w:r>
      <w:r w:rsidR="008D44F6">
        <w:t xml:space="preserve"> which</w:t>
      </w:r>
      <w:r w:rsidRPr="00773D55">
        <w:t xml:space="preserve"> contribut</w:t>
      </w:r>
      <w:r w:rsidR="008D44F6">
        <w:t>ed</w:t>
      </w:r>
      <w:r w:rsidRPr="00773D55">
        <w:t xml:space="preserve"> to increased enrolment and attendance in schools</w:t>
      </w:r>
      <w:r w:rsidR="00BC446E">
        <w:rPr>
          <w:rStyle w:val="FootnoteReference"/>
        </w:rPr>
        <w:footnoteReference w:id="3"/>
      </w:r>
      <w:r w:rsidR="00462A8C">
        <w:t>;</w:t>
      </w:r>
      <w:r w:rsidRPr="00773D55">
        <w:t xml:space="preserve">  </w:t>
      </w:r>
    </w:p>
    <w:p w14:paraId="63D991B4" w14:textId="04672135" w:rsidR="00773D55" w:rsidRPr="00773D55" w:rsidRDefault="00773D55" w:rsidP="00026AE0">
      <w:pPr>
        <w:numPr>
          <w:ilvl w:val="0"/>
          <w:numId w:val="24"/>
        </w:numPr>
        <w:jc w:val="both"/>
      </w:pPr>
      <w:r w:rsidRPr="00773D55">
        <w:rPr>
          <w:lang w:val="en-US"/>
        </w:rPr>
        <w:t xml:space="preserve">helping </w:t>
      </w:r>
      <w:r w:rsidR="00AD001E">
        <w:rPr>
          <w:lang w:val="en-US"/>
        </w:rPr>
        <w:t>86,975</w:t>
      </w:r>
      <w:r w:rsidRPr="00773D55">
        <w:rPr>
          <w:lang w:val="en-US"/>
        </w:rPr>
        <w:t xml:space="preserve"> women and their families </w:t>
      </w:r>
      <w:r w:rsidR="00886CB2">
        <w:rPr>
          <w:lang w:val="en-US"/>
        </w:rPr>
        <w:t>to graduate from ultra-poverty, through</w:t>
      </w:r>
      <w:r w:rsidRPr="00773D55">
        <w:rPr>
          <w:lang w:val="en-US"/>
        </w:rPr>
        <w:t xml:space="preserve"> establish</w:t>
      </w:r>
      <w:r w:rsidR="00886CB2">
        <w:rPr>
          <w:lang w:val="en-US"/>
        </w:rPr>
        <w:t>ing</w:t>
      </w:r>
      <w:r w:rsidRPr="00773D55">
        <w:rPr>
          <w:lang w:val="en-US"/>
        </w:rPr>
        <w:t xml:space="preserve"> </w:t>
      </w:r>
      <w:r w:rsidR="00886CB2">
        <w:rPr>
          <w:lang w:val="en-US"/>
        </w:rPr>
        <w:t>sustainable livelihoods and improving a</w:t>
      </w:r>
      <w:r w:rsidRPr="00773D55">
        <w:rPr>
          <w:lang w:val="en-US"/>
        </w:rPr>
        <w:t xml:space="preserve">ccess </w:t>
      </w:r>
      <w:r w:rsidR="00886CB2">
        <w:rPr>
          <w:lang w:val="en-US"/>
        </w:rPr>
        <w:t xml:space="preserve">to </w:t>
      </w:r>
      <w:r w:rsidRPr="00773D55">
        <w:rPr>
          <w:lang w:val="en-US"/>
        </w:rPr>
        <w:t>mainstream development programs</w:t>
      </w:r>
      <w:r w:rsidR="00FB5CE6">
        <w:rPr>
          <w:rStyle w:val="FootnoteReference"/>
          <w:lang w:val="en-US"/>
        </w:rPr>
        <w:footnoteReference w:id="4"/>
      </w:r>
      <w:r w:rsidR="00027BD1">
        <w:rPr>
          <w:lang w:val="en-US"/>
        </w:rPr>
        <w:t>;</w:t>
      </w:r>
    </w:p>
    <w:p w14:paraId="2CB79489" w14:textId="6489168B" w:rsidR="00463F12" w:rsidRDefault="00773D55" w:rsidP="00026AE0">
      <w:pPr>
        <w:numPr>
          <w:ilvl w:val="0"/>
          <w:numId w:val="24"/>
        </w:numPr>
        <w:jc w:val="both"/>
      </w:pPr>
      <w:r w:rsidRPr="00773D55">
        <w:t xml:space="preserve">providing </w:t>
      </w:r>
      <w:r w:rsidR="008D44F6">
        <w:t xml:space="preserve">vocational </w:t>
      </w:r>
      <w:r w:rsidRPr="00773D55">
        <w:t>skills t</w:t>
      </w:r>
      <w:r w:rsidR="00886CB2">
        <w:t xml:space="preserve">raining to </w:t>
      </w:r>
      <w:r w:rsidR="00AD001E">
        <w:t>33,240</w:t>
      </w:r>
      <w:r w:rsidR="00886CB2">
        <w:t xml:space="preserve"> disadvantaged</w:t>
      </w:r>
      <w:r w:rsidRPr="00773D55">
        <w:t xml:space="preserve"> youths</w:t>
      </w:r>
      <w:r w:rsidR="00303D35" w:rsidRPr="00773D55">
        <w:t>, including mobile p</w:t>
      </w:r>
      <w:r w:rsidRPr="00773D55">
        <w:t>hone servicing, tailoring and business management</w:t>
      </w:r>
      <w:r w:rsidR="00667EB4">
        <w:rPr>
          <w:rStyle w:val="FootnoteReference"/>
        </w:rPr>
        <w:footnoteReference w:id="5"/>
      </w:r>
      <w:r w:rsidR="00027BD1">
        <w:t>; and</w:t>
      </w:r>
      <w:r w:rsidRPr="00773D55">
        <w:t xml:space="preserve"> </w:t>
      </w:r>
    </w:p>
    <w:p w14:paraId="19CA2610" w14:textId="479EFD95" w:rsidR="00886CB2" w:rsidRDefault="00886CB2" w:rsidP="00026AE0">
      <w:pPr>
        <w:pStyle w:val="ListParagraph"/>
        <w:numPr>
          <w:ilvl w:val="0"/>
          <w:numId w:val="24"/>
        </w:numPr>
        <w:jc w:val="both"/>
        <w:rPr>
          <w:rFonts w:asciiTheme="minorHAnsi" w:eastAsiaTheme="minorHAnsi" w:hAnsiTheme="minorHAnsi" w:cstheme="minorBidi"/>
          <w:color w:val="495965" w:themeColor="text2"/>
          <w:sz w:val="22"/>
          <w:szCs w:val="22"/>
          <w:lang w:val="en-GB"/>
        </w:rPr>
      </w:pPr>
      <w:r w:rsidRPr="00886CB2">
        <w:rPr>
          <w:rFonts w:asciiTheme="minorHAnsi" w:eastAsiaTheme="minorHAnsi" w:hAnsiTheme="minorHAnsi" w:cstheme="minorBidi"/>
          <w:color w:val="495965" w:themeColor="text2"/>
          <w:sz w:val="22"/>
          <w:szCs w:val="22"/>
          <w:lang w:val="en-GB"/>
        </w:rPr>
        <w:t xml:space="preserve">supporting the </w:t>
      </w:r>
      <w:r w:rsidR="008278CB">
        <w:rPr>
          <w:rFonts w:asciiTheme="minorHAnsi" w:eastAsiaTheme="minorHAnsi" w:hAnsiTheme="minorHAnsi" w:cstheme="minorBidi"/>
          <w:color w:val="495965" w:themeColor="text2"/>
          <w:sz w:val="22"/>
          <w:szCs w:val="22"/>
          <w:lang w:val="en-GB"/>
        </w:rPr>
        <w:t xml:space="preserve">Bangladesh </w:t>
      </w:r>
      <w:r w:rsidRPr="00886CB2">
        <w:rPr>
          <w:rFonts w:asciiTheme="minorHAnsi" w:eastAsiaTheme="minorHAnsi" w:hAnsiTheme="minorHAnsi" w:cstheme="minorBidi"/>
          <w:color w:val="495965" w:themeColor="text2"/>
          <w:sz w:val="22"/>
          <w:szCs w:val="22"/>
          <w:lang w:val="en-GB"/>
        </w:rPr>
        <w:t xml:space="preserve">Government to </w:t>
      </w:r>
      <w:r w:rsidR="00027BD1">
        <w:rPr>
          <w:rFonts w:asciiTheme="minorHAnsi" w:eastAsiaTheme="minorHAnsi" w:hAnsiTheme="minorHAnsi" w:cstheme="minorBidi"/>
          <w:color w:val="495965" w:themeColor="text2"/>
          <w:sz w:val="22"/>
          <w:szCs w:val="22"/>
          <w:lang w:val="en-GB"/>
        </w:rPr>
        <w:t>embed</w:t>
      </w:r>
      <w:r w:rsidR="008278CB" w:rsidRPr="00886CB2">
        <w:rPr>
          <w:rFonts w:asciiTheme="minorHAnsi" w:eastAsiaTheme="minorHAnsi" w:hAnsiTheme="minorHAnsi" w:cstheme="minorBidi"/>
          <w:color w:val="495965" w:themeColor="text2"/>
          <w:sz w:val="22"/>
          <w:szCs w:val="22"/>
          <w:lang w:val="en-GB"/>
        </w:rPr>
        <w:t xml:space="preserve"> </w:t>
      </w:r>
      <w:r w:rsidRPr="00886CB2">
        <w:rPr>
          <w:rFonts w:asciiTheme="minorHAnsi" w:eastAsiaTheme="minorHAnsi" w:hAnsiTheme="minorHAnsi" w:cstheme="minorBidi"/>
          <w:color w:val="495965" w:themeColor="text2"/>
          <w:sz w:val="22"/>
          <w:szCs w:val="22"/>
          <w:lang w:val="en-GB"/>
        </w:rPr>
        <w:t>a Budget Management Unit within the Ministry of Finance to improve the targeting and management of social protection programs</w:t>
      </w:r>
      <w:r w:rsidR="00FB5CE6">
        <w:rPr>
          <w:rStyle w:val="FootnoteReference"/>
          <w:rFonts w:asciiTheme="minorHAnsi" w:eastAsiaTheme="minorHAnsi" w:hAnsiTheme="minorHAnsi" w:cstheme="minorBidi"/>
          <w:color w:val="495965" w:themeColor="text2"/>
          <w:sz w:val="22"/>
          <w:szCs w:val="22"/>
          <w:lang w:val="en-GB"/>
        </w:rPr>
        <w:footnoteReference w:id="6"/>
      </w:r>
      <w:r w:rsidRPr="00886CB2">
        <w:rPr>
          <w:rFonts w:asciiTheme="minorHAnsi" w:eastAsiaTheme="minorHAnsi" w:hAnsiTheme="minorHAnsi" w:cstheme="minorBidi"/>
          <w:color w:val="495965" w:themeColor="text2"/>
          <w:sz w:val="22"/>
          <w:szCs w:val="22"/>
          <w:lang w:val="en-GB"/>
        </w:rPr>
        <w:t xml:space="preserve">. </w:t>
      </w:r>
    </w:p>
    <w:p w14:paraId="045ABBB5" w14:textId="77777777" w:rsidR="00C6626C" w:rsidRPr="0015064F" w:rsidRDefault="00C6626C" w:rsidP="0015064F">
      <w:pPr>
        <w:suppressAutoHyphens w:val="0"/>
        <w:spacing w:before="0" w:after="120" w:line="440" w:lineRule="atLeast"/>
        <w:rPr>
          <w:rFonts w:asciiTheme="majorHAnsi" w:eastAsiaTheme="majorEastAsia" w:hAnsiTheme="majorHAnsi" w:cstheme="majorBidi"/>
          <w:caps/>
          <w:sz w:val="38"/>
          <w:szCs w:val="26"/>
        </w:rPr>
      </w:pPr>
      <w:r w:rsidRPr="002A51CA">
        <w:rPr>
          <w:rFonts w:asciiTheme="majorHAnsi" w:eastAsiaTheme="majorEastAsia" w:hAnsiTheme="majorHAnsi" w:cstheme="majorBidi"/>
          <w:caps/>
          <w:sz w:val="38"/>
          <w:szCs w:val="26"/>
        </w:rPr>
        <w:lastRenderedPageBreak/>
        <w:t xml:space="preserve">Context </w:t>
      </w:r>
      <w:r w:rsidRPr="002A51CA">
        <w:rPr>
          <w:rFonts w:asciiTheme="majorHAnsi" w:eastAsiaTheme="majorEastAsia" w:hAnsiTheme="majorHAnsi" w:cstheme="majorBidi"/>
          <w:caps/>
          <w:sz w:val="38"/>
          <w:szCs w:val="26"/>
        </w:rPr>
        <w:tab/>
      </w:r>
      <w:r w:rsidRPr="00C61187">
        <w:rPr>
          <w:rFonts w:ascii="Helvetica" w:hAnsi="Helvetica" w:cs="Arial"/>
          <w:color w:val="007FAD"/>
          <w:kern w:val="28"/>
          <w:sz w:val="32"/>
          <w:szCs w:val="32"/>
        </w:rPr>
        <w:tab/>
      </w:r>
      <w:r w:rsidRPr="00C61187">
        <w:rPr>
          <w:color w:val="007FAD"/>
          <w:kern w:val="28"/>
        </w:rPr>
        <w:tab/>
      </w:r>
      <w:r w:rsidRPr="00C61187">
        <w:rPr>
          <w:color w:val="007FAD"/>
          <w:kern w:val="28"/>
        </w:rPr>
        <w:tab/>
      </w:r>
      <w:r w:rsidRPr="00C61187">
        <w:rPr>
          <w:color w:val="007FAD"/>
          <w:kern w:val="28"/>
        </w:rPr>
        <w:tab/>
      </w:r>
      <w:r w:rsidRPr="00C61187">
        <w:rPr>
          <w:color w:val="007FAD"/>
          <w:kern w:val="28"/>
        </w:rPr>
        <w:tab/>
      </w:r>
      <w:r w:rsidRPr="00C61187">
        <w:rPr>
          <w:color w:val="007FAD"/>
          <w:kern w:val="28"/>
        </w:rPr>
        <w:tab/>
      </w:r>
    </w:p>
    <w:p w14:paraId="27DFB8F1" w14:textId="77777777" w:rsidR="009349A7" w:rsidRDefault="000B215F" w:rsidP="00026AE0">
      <w:pPr>
        <w:jc w:val="both"/>
        <w:rPr>
          <w:lang w:val="en-US"/>
        </w:rPr>
      </w:pPr>
      <w:r w:rsidRPr="000B215F">
        <w:rPr>
          <w:lang w:val="en-US"/>
        </w:rPr>
        <w:t>The assumptions underpinning the Aid Investment Plan remained valid in 2016-17, with economic growth and relative political stability supporting progress towards poverty reduction and improvements in development indicators. Howeve</w:t>
      </w:r>
      <w:r w:rsidR="00EF7DFA">
        <w:rPr>
          <w:lang w:val="en-US"/>
        </w:rPr>
        <w:t xml:space="preserve">r, challenges to growth, widening </w:t>
      </w:r>
      <w:r w:rsidRPr="000B215F">
        <w:rPr>
          <w:lang w:val="en-US"/>
        </w:rPr>
        <w:t>income inequality, a</w:t>
      </w:r>
      <w:r w:rsidR="00EF7DFA">
        <w:rPr>
          <w:lang w:val="en-US"/>
        </w:rPr>
        <w:t>nd a</w:t>
      </w:r>
      <w:r w:rsidRPr="000B215F">
        <w:rPr>
          <w:lang w:val="en-US"/>
        </w:rPr>
        <w:t xml:space="preserve"> changing security environment </w:t>
      </w:r>
      <w:r w:rsidR="001F64FF" w:rsidRPr="001F64FF">
        <w:rPr>
          <w:lang w:val="en-US"/>
        </w:rPr>
        <w:t xml:space="preserve">is placing </w:t>
      </w:r>
      <w:r w:rsidR="00F4459F" w:rsidRPr="001F64FF">
        <w:rPr>
          <w:lang w:val="en-US"/>
        </w:rPr>
        <w:t>pressure on</w:t>
      </w:r>
      <w:r w:rsidR="00F4459F">
        <w:rPr>
          <w:lang w:val="en-US"/>
        </w:rPr>
        <w:t xml:space="preserve"> </w:t>
      </w:r>
      <w:r w:rsidRPr="000B215F">
        <w:rPr>
          <w:lang w:val="en-US"/>
        </w:rPr>
        <w:t>developmen</w:t>
      </w:r>
      <w:r w:rsidR="000C0140">
        <w:rPr>
          <w:lang w:val="en-US"/>
        </w:rPr>
        <w:t xml:space="preserve">t gains. </w:t>
      </w:r>
    </w:p>
    <w:p w14:paraId="4CC6B324" w14:textId="5A1A8243" w:rsidR="000B215F" w:rsidRPr="000B215F" w:rsidRDefault="000C0140" w:rsidP="00026AE0">
      <w:pPr>
        <w:jc w:val="both"/>
        <w:rPr>
          <w:lang w:val="en-US"/>
        </w:rPr>
      </w:pPr>
      <w:r w:rsidRPr="001F64FF">
        <w:rPr>
          <w:lang w:val="en-US"/>
        </w:rPr>
        <w:t>Despite these pressures</w:t>
      </w:r>
      <w:r>
        <w:rPr>
          <w:lang w:val="en-US"/>
        </w:rPr>
        <w:t>,</w:t>
      </w:r>
      <w:r w:rsidR="000B215F" w:rsidRPr="000B215F">
        <w:rPr>
          <w:lang w:val="en-US"/>
        </w:rPr>
        <w:t xml:space="preserve"> in 2016 the national poverty rate dropped to 23.2 per</w:t>
      </w:r>
      <w:r w:rsidR="008F5516">
        <w:rPr>
          <w:lang w:val="en-US"/>
        </w:rPr>
        <w:t xml:space="preserve"> </w:t>
      </w:r>
      <w:r w:rsidR="000B215F" w:rsidRPr="000B215F">
        <w:rPr>
          <w:lang w:val="en-US"/>
        </w:rPr>
        <w:t>c</w:t>
      </w:r>
      <w:r w:rsidR="004B75E7">
        <w:rPr>
          <w:lang w:val="en-US"/>
        </w:rPr>
        <w:t>ent from 31.5 per</w:t>
      </w:r>
      <w:r w:rsidR="008F5516">
        <w:rPr>
          <w:lang w:val="en-US"/>
        </w:rPr>
        <w:t xml:space="preserve"> </w:t>
      </w:r>
      <w:r w:rsidR="004B75E7">
        <w:rPr>
          <w:lang w:val="en-US"/>
        </w:rPr>
        <w:t>cent (in 2010)</w:t>
      </w:r>
      <w:r w:rsidR="00EF7DFA">
        <w:rPr>
          <w:rStyle w:val="FootnoteReference"/>
          <w:lang w:val="en-US"/>
        </w:rPr>
        <w:footnoteReference w:id="7"/>
      </w:r>
      <w:r w:rsidR="000B215F" w:rsidRPr="000B215F">
        <w:rPr>
          <w:lang w:val="en-US"/>
        </w:rPr>
        <w:t>. Bangladesh a</w:t>
      </w:r>
      <w:r w:rsidR="000948C4">
        <w:rPr>
          <w:lang w:val="en-US"/>
        </w:rPr>
        <w:t>lso moved up three places in the</w:t>
      </w:r>
      <w:r w:rsidR="000B215F" w:rsidRPr="000B215F">
        <w:rPr>
          <w:lang w:val="en-US"/>
        </w:rPr>
        <w:t xml:space="preserve"> Human Development Index in 2016 to rank 139 globally (out of 188 countries) due to improvements in</w:t>
      </w:r>
      <w:r w:rsidR="0015064F">
        <w:rPr>
          <w:lang w:val="en-US"/>
        </w:rPr>
        <w:t xml:space="preserve"> life expectancy and per capita</w:t>
      </w:r>
      <w:r w:rsidR="000B215F" w:rsidRPr="000B215F">
        <w:rPr>
          <w:lang w:val="en-US"/>
        </w:rPr>
        <w:t xml:space="preserve"> income</w:t>
      </w:r>
      <w:r w:rsidR="00EF7DFA">
        <w:rPr>
          <w:rStyle w:val="FootnoteReference"/>
          <w:lang w:val="en-US"/>
        </w:rPr>
        <w:footnoteReference w:id="8"/>
      </w:r>
      <w:r w:rsidR="000B215F" w:rsidRPr="000B215F">
        <w:rPr>
          <w:lang w:val="en-US"/>
        </w:rPr>
        <w:t xml:space="preserve">. </w:t>
      </w:r>
    </w:p>
    <w:p w14:paraId="7DD351C1" w14:textId="47762509" w:rsidR="000B215F" w:rsidRPr="000B215F" w:rsidRDefault="007768DF" w:rsidP="00026AE0">
      <w:pPr>
        <w:jc w:val="both"/>
        <w:rPr>
          <w:lang w:val="en"/>
        </w:rPr>
      </w:pPr>
      <w:r>
        <w:rPr>
          <w:lang w:val="en"/>
        </w:rPr>
        <w:t>Bangladesh’s economic performance remained strong</w:t>
      </w:r>
      <w:r w:rsidR="000B215F" w:rsidRPr="000B215F">
        <w:rPr>
          <w:lang w:val="en"/>
        </w:rPr>
        <w:t xml:space="preserve"> in 2016-17, underpinned</w:t>
      </w:r>
      <w:r w:rsidR="009A2811">
        <w:rPr>
          <w:lang w:val="en"/>
        </w:rPr>
        <w:t xml:space="preserve"> by macroeconomic stability, and </w:t>
      </w:r>
      <w:r w:rsidR="000B215F" w:rsidRPr="000B215F">
        <w:rPr>
          <w:lang w:val="en"/>
        </w:rPr>
        <w:t>st</w:t>
      </w:r>
      <w:r w:rsidR="000948C4">
        <w:rPr>
          <w:lang w:val="en"/>
        </w:rPr>
        <w:t>rong domestic demand</w:t>
      </w:r>
      <w:r w:rsidR="008F5516">
        <w:rPr>
          <w:lang w:val="en"/>
        </w:rPr>
        <w:t xml:space="preserve">, with </w:t>
      </w:r>
      <w:r w:rsidR="000B215F" w:rsidRPr="000B215F">
        <w:rPr>
          <w:lang w:val="en"/>
        </w:rPr>
        <w:t>continued growth in Gr</w:t>
      </w:r>
      <w:r>
        <w:rPr>
          <w:lang w:val="en"/>
        </w:rPr>
        <w:t>oss Domestic Product (</w:t>
      </w:r>
      <w:r w:rsidR="000B215F" w:rsidRPr="000B215F">
        <w:rPr>
          <w:lang w:val="en"/>
        </w:rPr>
        <w:t>7.24 per cent), services (growth of 6.5 per cent) and industry (growth of 10.5 per cent)</w:t>
      </w:r>
      <w:r w:rsidR="00EF7DFA">
        <w:rPr>
          <w:rStyle w:val="FootnoteReference"/>
          <w:lang w:val="en"/>
        </w:rPr>
        <w:footnoteReference w:id="9"/>
      </w:r>
      <w:r w:rsidR="000C0140">
        <w:rPr>
          <w:lang w:val="en"/>
        </w:rPr>
        <w:t xml:space="preserve">. This </w:t>
      </w:r>
      <w:r w:rsidR="000B215F" w:rsidRPr="000B215F">
        <w:rPr>
          <w:lang w:val="en"/>
        </w:rPr>
        <w:t>puts Bangladesh among the top economic per</w:t>
      </w:r>
      <w:r w:rsidR="000C0140">
        <w:rPr>
          <w:lang w:val="en"/>
        </w:rPr>
        <w:t>formers in South Asia during the reporting period</w:t>
      </w:r>
      <w:r w:rsidR="000B215F" w:rsidRPr="000B215F">
        <w:rPr>
          <w:lang w:val="en"/>
        </w:rPr>
        <w:t xml:space="preserve">. </w:t>
      </w:r>
    </w:p>
    <w:p w14:paraId="2EF4459C" w14:textId="32568AA6" w:rsidR="000B215F" w:rsidRDefault="00393F69" w:rsidP="00026AE0">
      <w:pPr>
        <w:jc w:val="both"/>
        <w:rPr>
          <w:lang w:val="en-US"/>
        </w:rPr>
      </w:pPr>
      <w:r>
        <w:rPr>
          <w:lang w:val="en"/>
        </w:rPr>
        <w:t xml:space="preserve">However, challenges emerged and </w:t>
      </w:r>
      <w:r w:rsidR="0078327A">
        <w:rPr>
          <w:lang w:val="en"/>
        </w:rPr>
        <w:t xml:space="preserve">continued </w:t>
      </w:r>
      <w:r w:rsidR="00EF7DFA">
        <w:rPr>
          <w:lang w:val="en"/>
        </w:rPr>
        <w:t xml:space="preserve">during 2016-17. Falling </w:t>
      </w:r>
      <w:r w:rsidR="000B215F" w:rsidRPr="000B215F">
        <w:rPr>
          <w:lang w:val="en"/>
        </w:rPr>
        <w:t>remitt</w:t>
      </w:r>
      <w:r w:rsidR="00EF7DFA">
        <w:rPr>
          <w:lang w:val="en"/>
        </w:rPr>
        <w:t>ances</w:t>
      </w:r>
      <w:r w:rsidR="00EF7DFA">
        <w:rPr>
          <w:rStyle w:val="FootnoteReference"/>
          <w:lang w:val="en"/>
        </w:rPr>
        <w:footnoteReference w:id="10"/>
      </w:r>
      <w:r w:rsidR="00EF7DFA">
        <w:rPr>
          <w:lang w:val="en"/>
        </w:rPr>
        <w:t xml:space="preserve">; </w:t>
      </w:r>
      <w:r w:rsidR="000B215F" w:rsidRPr="000B215F">
        <w:rPr>
          <w:lang w:val="en"/>
        </w:rPr>
        <w:t xml:space="preserve">a decline in export growth and private sector investment; </w:t>
      </w:r>
      <w:r w:rsidR="00680AD7">
        <w:rPr>
          <w:lang w:val="en"/>
        </w:rPr>
        <w:t xml:space="preserve">impacts of climate change; </w:t>
      </w:r>
      <w:r w:rsidR="000B215F" w:rsidRPr="000B215F">
        <w:rPr>
          <w:lang w:val="en"/>
        </w:rPr>
        <w:t>poor infrastructure</w:t>
      </w:r>
      <w:r w:rsidR="000948C4">
        <w:rPr>
          <w:lang w:val="en"/>
        </w:rPr>
        <w:t>;</w:t>
      </w:r>
      <w:r w:rsidR="000B215F" w:rsidRPr="000B215F">
        <w:rPr>
          <w:lang w:val="en"/>
        </w:rPr>
        <w:t xml:space="preserve"> </w:t>
      </w:r>
      <w:r w:rsidR="000948C4">
        <w:rPr>
          <w:lang w:val="en"/>
        </w:rPr>
        <w:t>and i</w:t>
      </w:r>
      <w:r w:rsidR="000B215F" w:rsidRPr="000B215F">
        <w:rPr>
          <w:lang w:val="en"/>
        </w:rPr>
        <w:t xml:space="preserve">nadequate energy supply </w:t>
      </w:r>
      <w:r w:rsidR="009A2811">
        <w:rPr>
          <w:lang w:val="en"/>
        </w:rPr>
        <w:t>all impacted</w:t>
      </w:r>
      <w:r w:rsidR="00783122">
        <w:rPr>
          <w:lang w:val="en"/>
        </w:rPr>
        <w:t xml:space="preserve"> </w:t>
      </w:r>
      <w:r w:rsidR="009A2811">
        <w:rPr>
          <w:lang w:val="en"/>
        </w:rPr>
        <w:t>on</w:t>
      </w:r>
      <w:r w:rsidR="007768DF">
        <w:rPr>
          <w:lang w:val="en"/>
        </w:rPr>
        <w:t xml:space="preserve"> growth</w:t>
      </w:r>
      <w:r w:rsidR="00EF7DFA">
        <w:rPr>
          <w:rStyle w:val="FootnoteReference"/>
          <w:lang w:val="en-US"/>
        </w:rPr>
        <w:footnoteReference w:id="11"/>
      </w:r>
      <w:r w:rsidR="000B215F" w:rsidRPr="000B215F">
        <w:rPr>
          <w:lang w:val="en"/>
        </w:rPr>
        <w:t>. A gender gap in labour participation rate remains</w:t>
      </w:r>
      <w:r w:rsidR="0015064F">
        <w:rPr>
          <w:lang w:val="en"/>
        </w:rPr>
        <w:t>,</w:t>
      </w:r>
      <w:r w:rsidR="000B215F" w:rsidRPr="000B215F">
        <w:rPr>
          <w:lang w:val="en"/>
        </w:rPr>
        <w:t xml:space="preserve"> with </w:t>
      </w:r>
      <w:r w:rsidR="0078327A">
        <w:rPr>
          <w:lang w:val="en"/>
        </w:rPr>
        <w:t xml:space="preserve">only </w:t>
      </w:r>
      <w:r w:rsidR="00F66ED0">
        <w:rPr>
          <w:lang w:val="en"/>
        </w:rPr>
        <w:t>35.6</w:t>
      </w:r>
      <w:r w:rsidR="0028169A">
        <w:rPr>
          <w:lang w:val="en"/>
        </w:rPr>
        <w:t xml:space="preserve"> per cent </w:t>
      </w:r>
      <w:r w:rsidR="00172C21">
        <w:rPr>
          <w:lang w:val="en"/>
        </w:rPr>
        <w:t>of women active in the fo</w:t>
      </w:r>
      <w:r w:rsidR="0028169A">
        <w:rPr>
          <w:lang w:val="en"/>
        </w:rPr>
        <w:t xml:space="preserve">rmal economy, compared to </w:t>
      </w:r>
      <w:r w:rsidR="00F66ED0">
        <w:rPr>
          <w:lang w:val="en"/>
        </w:rPr>
        <w:t>81.9</w:t>
      </w:r>
      <w:r w:rsidR="0028169A">
        <w:rPr>
          <w:lang w:val="en"/>
        </w:rPr>
        <w:t xml:space="preserve"> per cent </w:t>
      </w:r>
      <w:r w:rsidR="00172C21">
        <w:rPr>
          <w:lang w:val="en"/>
        </w:rPr>
        <w:t>for men</w:t>
      </w:r>
      <w:r w:rsidR="00F66ED0">
        <w:rPr>
          <w:lang w:val="en"/>
        </w:rPr>
        <w:t xml:space="preserve"> as of 2015-16</w:t>
      </w:r>
      <w:r w:rsidR="00EF7DFA">
        <w:rPr>
          <w:rStyle w:val="FootnoteReference"/>
          <w:lang w:val="en"/>
        </w:rPr>
        <w:footnoteReference w:id="12"/>
      </w:r>
      <w:r w:rsidR="00172C21">
        <w:rPr>
          <w:lang w:val="en"/>
        </w:rPr>
        <w:t xml:space="preserve">. </w:t>
      </w:r>
      <w:r w:rsidR="00DD4D68">
        <w:rPr>
          <w:lang w:val="en"/>
        </w:rPr>
        <w:t xml:space="preserve"> Changes</w:t>
      </w:r>
      <w:r w:rsidR="000B215F" w:rsidRPr="000B215F">
        <w:rPr>
          <w:lang w:val="en-US"/>
        </w:rPr>
        <w:t xml:space="preserve"> to the Child Marriag</w:t>
      </w:r>
      <w:r w:rsidR="000B516B">
        <w:rPr>
          <w:lang w:val="en-US"/>
        </w:rPr>
        <w:t xml:space="preserve">e </w:t>
      </w:r>
      <w:r w:rsidR="000948C4">
        <w:rPr>
          <w:lang w:val="en-US"/>
        </w:rPr>
        <w:t xml:space="preserve">Restraint </w:t>
      </w:r>
      <w:r w:rsidR="000B516B">
        <w:rPr>
          <w:lang w:val="en-US"/>
        </w:rPr>
        <w:t>Act in 2016</w:t>
      </w:r>
      <w:r w:rsidR="000948C4">
        <w:rPr>
          <w:lang w:val="en-US"/>
        </w:rPr>
        <w:t>,</w:t>
      </w:r>
      <w:r w:rsidR="000B516B">
        <w:rPr>
          <w:lang w:val="en-US"/>
        </w:rPr>
        <w:t xml:space="preserve"> </w:t>
      </w:r>
      <w:r w:rsidR="000948C4">
        <w:rPr>
          <w:lang w:val="en-US"/>
        </w:rPr>
        <w:t>permitting</w:t>
      </w:r>
      <w:r w:rsidR="009A2811">
        <w:rPr>
          <w:lang w:val="en-US"/>
        </w:rPr>
        <w:t xml:space="preserve"> girls under 18</w:t>
      </w:r>
      <w:r w:rsidR="00A51AC5">
        <w:rPr>
          <w:lang w:val="en-US"/>
        </w:rPr>
        <w:t xml:space="preserve"> years</w:t>
      </w:r>
      <w:r w:rsidR="009A2811">
        <w:rPr>
          <w:lang w:val="en-US"/>
        </w:rPr>
        <w:t xml:space="preserve"> to marry in</w:t>
      </w:r>
      <w:r w:rsidR="000B516B">
        <w:rPr>
          <w:lang w:val="en-US"/>
        </w:rPr>
        <w:t xml:space="preserve"> </w:t>
      </w:r>
      <w:r w:rsidR="00925E0C">
        <w:rPr>
          <w:lang w:val="en-US"/>
        </w:rPr>
        <w:t>‘special cases</w:t>
      </w:r>
      <w:r w:rsidR="008F5516">
        <w:rPr>
          <w:lang w:val="en-US"/>
        </w:rPr>
        <w:t>,’</w:t>
      </w:r>
      <w:r w:rsidR="00925E0C">
        <w:rPr>
          <w:lang w:val="en-US"/>
        </w:rPr>
        <w:t xml:space="preserve"> may</w:t>
      </w:r>
      <w:r w:rsidR="009C7469">
        <w:rPr>
          <w:lang w:val="en-US"/>
        </w:rPr>
        <w:t xml:space="preserve"> exacerbate</w:t>
      </w:r>
      <w:r w:rsidR="00925E0C">
        <w:rPr>
          <w:lang w:val="en-US"/>
        </w:rPr>
        <w:t xml:space="preserve"> </w:t>
      </w:r>
      <w:r w:rsidR="000B215F" w:rsidRPr="000B215F">
        <w:rPr>
          <w:lang w:val="en-US"/>
        </w:rPr>
        <w:t xml:space="preserve">women’s </w:t>
      </w:r>
      <w:r w:rsidR="008D44F6">
        <w:rPr>
          <w:lang w:val="en-US"/>
        </w:rPr>
        <w:t xml:space="preserve">limited </w:t>
      </w:r>
      <w:r w:rsidR="000B215F" w:rsidRPr="000B215F">
        <w:rPr>
          <w:lang w:val="en-US"/>
        </w:rPr>
        <w:t xml:space="preserve">economic participation. </w:t>
      </w:r>
    </w:p>
    <w:p w14:paraId="6C1F4C1C" w14:textId="7F798B69" w:rsidR="000B215F" w:rsidRPr="000B215F" w:rsidRDefault="000C0140" w:rsidP="00026AE0">
      <w:pPr>
        <w:jc w:val="both"/>
        <w:rPr>
          <w:lang w:val="en-US"/>
        </w:rPr>
      </w:pPr>
      <w:r>
        <w:rPr>
          <w:lang w:val="en-US"/>
        </w:rPr>
        <w:t xml:space="preserve">Income inequality has </w:t>
      </w:r>
      <w:r w:rsidR="000B215F" w:rsidRPr="000B215F">
        <w:rPr>
          <w:lang w:val="en-US"/>
        </w:rPr>
        <w:t>persisted</w:t>
      </w:r>
      <w:r w:rsidR="0015064F">
        <w:rPr>
          <w:lang w:val="en-US"/>
        </w:rPr>
        <w:t>, even though</w:t>
      </w:r>
      <w:r w:rsidR="000B516B">
        <w:rPr>
          <w:lang w:val="en-US"/>
        </w:rPr>
        <w:t xml:space="preserve"> </w:t>
      </w:r>
      <w:r w:rsidR="000B215F" w:rsidRPr="000B215F">
        <w:rPr>
          <w:lang w:val="en-US"/>
        </w:rPr>
        <w:t>pove</w:t>
      </w:r>
      <w:r w:rsidR="00961453">
        <w:rPr>
          <w:lang w:val="en-US"/>
        </w:rPr>
        <w:t>rty ra</w:t>
      </w:r>
      <w:r w:rsidR="009A2811">
        <w:rPr>
          <w:lang w:val="en-US"/>
        </w:rPr>
        <w:t>tes have</w:t>
      </w:r>
      <w:r w:rsidR="0015064F">
        <w:rPr>
          <w:lang w:val="en-US"/>
        </w:rPr>
        <w:t xml:space="preserve"> dropped</w:t>
      </w:r>
      <w:r w:rsidR="008F5516">
        <w:rPr>
          <w:rStyle w:val="FootnoteReference"/>
          <w:lang w:val="en-US"/>
        </w:rPr>
        <w:footnoteReference w:id="13"/>
      </w:r>
      <w:r w:rsidR="000B215F" w:rsidRPr="000B215F">
        <w:rPr>
          <w:lang w:val="en-US"/>
        </w:rPr>
        <w:t>. Continued low levels of public spending on health, education</w:t>
      </w:r>
      <w:r w:rsidR="004B75E7">
        <w:rPr>
          <w:lang w:val="en-US"/>
        </w:rPr>
        <w:t xml:space="preserve"> and social protection and ongoing </w:t>
      </w:r>
      <w:r w:rsidR="000B215F" w:rsidRPr="000B215F">
        <w:rPr>
          <w:lang w:val="en-US"/>
        </w:rPr>
        <w:t>governance</w:t>
      </w:r>
      <w:r w:rsidR="004B75E7">
        <w:rPr>
          <w:lang w:val="en-US"/>
        </w:rPr>
        <w:t xml:space="preserve"> challenges</w:t>
      </w:r>
      <w:r w:rsidR="000B215F" w:rsidRPr="000B215F">
        <w:rPr>
          <w:lang w:val="en-US"/>
        </w:rPr>
        <w:t xml:space="preserve"> are some of the major factors behind the widening income inequality</w:t>
      </w:r>
      <w:r w:rsidR="00BD4F66" w:rsidRPr="00ED351F">
        <w:rPr>
          <w:rStyle w:val="FootnoteReference"/>
          <w:lang w:val="en-US"/>
        </w:rPr>
        <w:footnoteReference w:id="14"/>
      </w:r>
      <w:r w:rsidR="000B215F" w:rsidRPr="00ED351F">
        <w:rPr>
          <w:lang w:val="en-US"/>
        </w:rPr>
        <w:t xml:space="preserve">. </w:t>
      </w:r>
      <w:r w:rsidR="00062E9A" w:rsidRPr="009A2811">
        <w:rPr>
          <w:lang w:val="en-US"/>
        </w:rPr>
        <w:t>Bangladesh was ranked 145</w:t>
      </w:r>
      <w:r w:rsidR="00062E9A" w:rsidRPr="009A2811">
        <w:rPr>
          <w:vertAlign w:val="superscript"/>
          <w:lang w:val="en-US"/>
        </w:rPr>
        <w:t>th</w:t>
      </w:r>
      <w:r w:rsidR="00062E9A" w:rsidRPr="009A2811">
        <w:rPr>
          <w:lang w:val="en-US"/>
        </w:rPr>
        <w:t xml:space="preserve"> out of the 176 countries on Transparency International 2016 Corruption Perceptions Index, reaffirming that corruption continues to have an impact on development </w:t>
      </w:r>
      <w:r w:rsidR="00253F39" w:rsidRPr="009A2811">
        <w:rPr>
          <w:lang w:val="en-US"/>
        </w:rPr>
        <w:t xml:space="preserve">and economic </w:t>
      </w:r>
      <w:r w:rsidR="00062E9A" w:rsidRPr="009A2811">
        <w:rPr>
          <w:lang w:val="en-US"/>
        </w:rPr>
        <w:t>outcomes</w:t>
      </w:r>
      <w:r w:rsidR="00062E9A" w:rsidRPr="009A2811">
        <w:rPr>
          <w:rStyle w:val="FootnoteReference"/>
          <w:lang w:val="en-US"/>
        </w:rPr>
        <w:footnoteReference w:id="15"/>
      </w:r>
      <w:r w:rsidR="00062E9A" w:rsidRPr="009A2811">
        <w:rPr>
          <w:lang w:val="en-US"/>
        </w:rPr>
        <w:t>.</w:t>
      </w:r>
      <w:r w:rsidR="00062E9A">
        <w:rPr>
          <w:lang w:val="en-US"/>
        </w:rPr>
        <w:t xml:space="preserve"> </w:t>
      </w:r>
    </w:p>
    <w:p w14:paraId="07B7B13B" w14:textId="66ED3774" w:rsidR="00673290" w:rsidRDefault="000B215F" w:rsidP="00026AE0">
      <w:pPr>
        <w:jc w:val="both"/>
        <w:rPr>
          <w:lang w:val="en"/>
        </w:rPr>
      </w:pPr>
      <w:r w:rsidRPr="00BD4F66">
        <w:rPr>
          <w:lang w:val="en"/>
        </w:rPr>
        <w:t>The operational environment for aid delivery in Ba</w:t>
      </w:r>
      <w:r w:rsidR="00961453" w:rsidRPr="00BD4F66">
        <w:rPr>
          <w:lang w:val="en"/>
        </w:rPr>
        <w:t>ngl</w:t>
      </w:r>
      <w:r w:rsidR="00C47820">
        <w:rPr>
          <w:lang w:val="en"/>
        </w:rPr>
        <w:t xml:space="preserve">adesh remained complex, </w:t>
      </w:r>
      <w:r w:rsidR="00AF4063" w:rsidRPr="00BD4F66">
        <w:rPr>
          <w:lang w:val="en"/>
        </w:rPr>
        <w:t xml:space="preserve">particularly following the </w:t>
      </w:r>
      <w:r w:rsidR="00961453" w:rsidRPr="00961453">
        <w:rPr>
          <w:lang w:val="en"/>
        </w:rPr>
        <w:t>1</w:t>
      </w:r>
      <w:r w:rsidR="009349A7">
        <w:rPr>
          <w:lang w:val="en"/>
        </w:rPr>
        <w:t>-2</w:t>
      </w:r>
      <w:r w:rsidR="00961453" w:rsidRPr="00961453">
        <w:rPr>
          <w:lang w:val="en"/>
        </w:rPr>
        <w:t xml:space="preserve"> July 2016 </w:t>
      </w:r>
      <w:r w:rsidR="00273778">
        <w:rPr>
          <w:lang w:val="en"/>
        </w:rPr>
        <w:t xml:space="preserve">terrorist </w:t>
      </w:r>
      <w:r w:rsidR="00961453" w:rsidRPr="00961453">
        <w:rPr>
          <w:lang w:val="en"/>
        </w:rPr>
        <w:t>attack on the Holey Artisan Bakery</w:t>
      </w:r>
      <w:r w:rsidR="00273778">
        <w:rPr>
          <w:lang w:val="en"/>
        </w:rPr>
        <w:t xml:space="preserve"> in Dhaka</w:t>
      </w:r>
      <w:r w:rsidR="00AF4063">
        <w:rPr>
          <w:lang w:val="en"/>
        </w:rPr>
        <w:t xml:space="preserve">. It </w:t>
      </w:r>
      <w:r w:rsidR="00961453" w:rsidRPr="00961453">
        <w:rPr>
          <w:lang w:val="en"/>
        </w:rPr>
        <w:t>exacerbated security concerns</w:t>
      </w:r>
      <w:r w:rsidR="00273778">
        <w:rPr>
          <w:lang w:val="en"/>
        </w:rPr>
        <w:t>, with implementing</w:t>
      </w:r>
      <w:r w:rsidR="00AF4063">
        <w:rPr>
          <w:lang w:val="en"/>
        </w:rPr>
        <w:t xml:space="preserve"> partners restricting</w:t>
      </w:r>
      <w:r w:rsidR="00961453" w:rsidRPr="00961453">
        <w:rPr>
          <w:lang w:val="en"/>
        </w:rPr>
        <w:t xml:space="preserve"> international staff m</w:t>
      </w:r>
      <w:r w:rsidR="009E4468">
        <w:rPr>
          <w:lang w:val="en"/>
        </w:rPr>
        <w:t>ovements</w:t>
      </w:r>
      <w:r w:rsidR="004D6039">
        <w:rPr>
          <w:lang w:val="en"/>
        </w:rPr>
        <w:t xml:space="preserve"> in turn </w:t>
      </w:r>
      <w:r w:rsidR="00384B5E">
        <w:rPr>
          <w:lang w:val="en"/>
        </w:rPr>
        <w:t>affect</w:t>
      </w:r>
      <w:r w:rsidR="00673290">
        <w:rPr>
          <w:lang w:val="en"/>
        </w:rPr>
        <w:t>ing</w:t>
      </w:r>
      <w:r w:rsidR="00384B5E">
        <w:rPr>
          <w:lang w:val="en"/>
        </w:rPr>
        <w:t xml:space="preserve"> </w:t>
      </w:r>
      <w:r w:rsidR="00273778">
        <w:rPr>
          <w:lang w:val="en"/>
        </w:rPr>
        <w:t>monitoring efforts</w:t>
      </w:r>
      <w:r w:rsidR="00673290">
        <w:rPr>
          <w:lang w:val="en"/>
        </w:rPr>
        <w:t xml:space="preserve"> and implementation timelines</w:t>
      </w:r>
      <w:r w:rsidR="00273778">
        <w:rPr>
          <w:lang w:val="en"/>
        </w:rPr>
        <w:t xml:space="preserve">. </w:t>
      </w:r>
      <w:r w:rsidR="00253F39">
        <w:rPr>
          <w:lang w:val="en"/>
        </w:rPr>
        <w:t>P</w:t>
      </w:r>
      <w:r w:rsidR="00273778">
        <w:rPr>
          <w:lang w:val="en"/>
        </w:rPr>
        <w:t xml:space="preserve">artners also experienced </w:t>
      </w:r>
      <w:r w:rsidR="00961453" w:rsidRPr="00961453">
        <w:rPr>
          <w:lang w:val="en"/>
        </w:rPr>
        <w:t>challenges recruit</w:t>
      </w:r>
      <w:r w:rsidR="00673290">
        <w:rPr>
          <w:lang w:val="en"/>
        </w:rPr>
        <w:t>ing</w:t>
      </w:r>
      <w:r w:rsidR="00961453" w:rsidRPr="00961453">
        <w:rPr>
          <w:lang w:val="en"/>
        </w:rPr>
        <w:t xml:space="preserve"> international expertise required to support aid implementation.</w:t>
      </w:r>
      <w:r w:rsidR="00AF4063">
        <w:rPr>
          <w:lang w:val="en"/>
        </w:rPr>
        <w:t xml:space="preserve"> </w:t>
      </w:r>
    </w:p>
    <w:p w14:paraId="2D16DD02" w14:textId="7BDEE8A9" w:rsidR="00253F39" w:rsidRDefault="009C7469" w:rsidP="00026AE0">
      <w:pPr>
        <w:jc w:val="both"/>
        <w:rPr>
          <w:lang w:val="en"/>
        </w:rPr>
      </w:pPr>
      <w:r>
        <w:rPr>
          <w:lang w:val="en"/>
        </w:rPr>
        <w:t>The</w:t>
      </w:r>
      <w:r w:rsidR="009E4468">
        <w:rPr>
          <w:lang w:val="en"/>
        </w:rPr>
        <w:t xml:space="preserve"> operational conte</w:t>
      </w:r>
      <w:r w:rsidR="00273778">
        <w:rPr>
          <w:lang w:val="en"/>
        </w:rPr>
        <w:t xml:space="preserve">xt was </w:t>
      </w:r>
      <w:r w:rsidR="008F5516">
        <w:rPr>
          <w:lang w:val="en"/>
        </w:rPr>
        <w:t xml:space="preserve">further </w:t>
      </w:r>
      <w:r w:rsidR="009E4468">
        <w:rPr>
          <w:lang w:val="en"/>
        </w:rPr>
        <w:t>complica</w:t>
      </w:r>
      <w:r w:rsidR="00273778">
        <w:rPr>
          <w:lang w:val="en"/>
        </w:rPr>
        <w:t xml:space="preserve">ted </w:t>
      </w:r>
      <w:r w:rsidR="009E4468">
        <w:rPr>
          <w:lang w:val="en"/>
        </w:rPr>
        <w:t xml:space="preserve">by the </w:t>
      </w:r>
      <w:r w:rsidR="00E07B71" w:rsidRPr="00051C25">
        <w:rPr>
          <w:lang w:val="en"/>
        </w:rPr>
        <w:t>influx of over 74,000 Rohingya</w:t>
      </w:r>
      <w:r w:rsidR="00273778">
        <w:rPr>
          <w:lang w:val="en"/>
        </w:rPr>
        <w:t xml:space="preserve"> refugees</w:t>
      </w:r>
      <w:r w:rsidR="00384B5E">
        <w:rPr>
          <w:lang w:val="en"/>
        </w:rPr>
        <w:t xml:space="preserve"> in</w:t>
      </w:r>
      <w:r w:rsidR="00AF4063" w:rsidRPr="00051C25">
        <w:rPr>
          <w:lang w:val="en"/>
        </w:rPr>
        <w:t>to Cox’s Bazar</w:t>
      </w:r>
      <w:r w:rsidR="00273778">
        <w:rPr>
          <w:lang w:val="en"/>
        </w:rPr>
        <w:t xml:space="preserve"> District</w:t>
      </w:r>
      <w:r w:rsidR="00BD4F66" w:rsidRPr="00051C25">
        <w:rPr>
          <w:lang w:val="en"/>
        </w:rPr>
        <w:t xml:space="preserve"> </w:t>
      </w:r>
      <w:r w:rsidR="009A2811">
        <w:rPr>
          <w:lang w:val="en"/>
        </w:rPr>
        <w:t>in late</w:t>
      </w:r>
      <w:r w:rsidR="008D44F6">
        <w:rPr>
          <w:lang w:val="en"/>
        </w:rPr>
        <w:t xml:space="preserve"> 2016, </w:t>
      </w:r>
      <w:r w:rsidR="00BD4F66" w:rsidRPr="00051C25">
        <w:rPr>
          <w:lang w:val="en"/>
        </w:rPr>
        <w:t>requiring additional response measure</w:t>
      </w:r>
      <w:r w:rsidR="009E4468">
        <w:rPr>
          <w:lang w:val="en"/>
        </w:rPr>
        <w:t>s</w:t>
      </w:r>
      <w:r w:rsidR="00673290">
        <w:rPr>
          <w:lang w:val="en"/>
        </w:rPr>
        <w:t>, including by Australia’s strategic partner</w:t>
      </w:r>
      <w:r w:rsidR="00253F39">
        <w:rPr>
          <w:lang w:val="en"/>
        </w:rPr>
        <w:t>,</w:t>
      </w:r>
      <w:r w:rsidR="00673290">
        <w:rPr>
          <w:lang w:val="en"/>
        </w:rPr>
        <w:t xml:space="preserve"> W</w:t>
      </w:r>
      <w:r w:rsidR="009A2811">
        <w:rPr>
          <w:lang w:val="en"/>
        </w:rPr>
        <w:t xml:space="preserve">orld </w:t>
      </w:r>
      <w:r w:rsidR="00673290">
        <w:rPr>
          <w:lang w:val="en"/>
        </w:rPr>
        <w:t>F</w:t>
      </w:r>
      <w:r w:rsidR="009A2811">
        <w:rPr>
          <w:lang w:val="en"/>
        </w:rPr>
        <w:t xml:space="preserve">ood </w:t>
      </w:r>
      <w:r w:rsidR="00673290">
        <w:rPr>
          <w:lang w:val="en"/>
        </w:rPr>
        <w:t>P</w:t>
      </w:r>
      <w:r w:rsidR="009A2811">
        <w:rPr>
          <w:lang w:val="en"/>
        </w:rPr>
        <w:t>rogamme (WFP)</w:t>
      </w:r>
      <w:r w:rsidR="00253F39">
        <w:rPr>
          <w:lang w:val="en"/>
        </w:rPr>
        <w:t xml:space="preserve">. </w:t>
      </w:r>
    </w:p>
    <w:p w14:paraId="2D328803" w14:textId="35B9CE1E" w:rsidR="000B215F" w:rsidRPr="009A2811" w:rsidRDefault="000B215F" w:rsidP="009A2811">
      <w:pPr>
        <w:jc w:val="both"/>
        <w:rPr>
          <w:b/>
          <w:bCs/>
          <w:lang w:val="en-US"/>
        </w:rPr>
      </w:pPr>
      <w:r w:rsidRPr="00865578">
        <w:rPr>
          <w:rFonts w:asciiTheme="majorHAnsi" w:hAnsiTheme="majorHAnsi"/>
          <w:b/>
          <w:bCs/>
          <w:lang w:val="en-US"/>
        </w:rPr>
        <w:t>Australia’s Aid Program in Bangladesh</w:t>
      </w:r>
    </w:p>
    <w:p w14:paraId="0698B95A" w14:textId="2DAE60D7" w:rsidR="000B215F" w:rsidRPr="000B215F" w:rsidRDefault="000B215F" w:rsidP="00026AE0">
      <w:pPr>
        <w:jc w:val="both"/>
        <w:rPr>
          <w:lang w:val="en-US"/>
        </w:rPr>
      </w:pPr>
      <w:r w:rsidRPr="000B215F">
        <w:rPr>
          <w:lang w:val="en-US"/>
        </w:rPr>
        <w:t xml:space="preserve">Australia supports Bangladesh’s </w:t>
      </w:r>
      <w:r w:rsidR="0075323C">
        <w:rPr>
          <w:lang w:val="en-US"/>
        </w:rPr>
        <w:t>progress towards</w:t>
      </w:r>
      <w:r w:rsidR="0004771F">
        <w:rPr>
          <w:lang w:val="en-US"/>
        </w:rPr>
        <w:t xml:space="preserve"> middle-income status. </w:t>
      </w:r>
      <w:r w:rsidR="0004771F" w:rsidRPr="0004771F">
        <w:rPr>
          <w:lang w:val="en-US"/>
        </w:rPr>
        <w:t xml:space="preserve">Through our aid investments we are seeking to increase human capacity in support of continued economic growth. The underlying logic behind </w:t>
      </w:r>
      <w:r w:rsidR="0004771F">
        <w:rPr>
          <w:lang w:val="en-US"/>
        </w:rPr>
        <w:t>Australia’</w:t>
      </w:r>
      <w:r w:rsidR="003459C1">
        <w:rPr>
          <w:lang w:val="en-US"/>
        </w:rPr>
        <w:t xml:space="preserve">s aid investments is around </w:t>
      </w:r>
      <w:r w:rsidR="0004771F" w:rsidRPr="0004771F">
        <w:rPr>
          <w:lang w:val="en-US"/>
        </w:rPr>
        <w:t xml:space="preserve">building the productive capacity of Bangladesh’s workforce and supporting the poor to participate in and contribute to the growing economy. </w:t>
      </w:r>
    </w:p>
    <w:p w14:paraId="2C0B7881" w14:textId="6931E074" w:rsidR="00253F39" w:rsidRDefault="000B215F" w:rsidP="00026AE0">
      <w:pPr>
        <w:jc w:val="both"/>
        <w:rPr>
          <w:lang w:val="en-US"/>
        </w:rPr>
      </w:pPr>
      <w:r w:rsidRPr="000B215F">
        <w:rPr>
          <w:lang w:val="en-US"/>
        </w:rPr>
        <w:lastRenderedPageBreak/>
        <w:t>A</w:t>
      </w:r>
      <w:r w:rsidR="0004771F">
        <w:rPr>
          <w:lang w:val="en-US"/>
        </w:rPr>
        <w:t>ustralia’s aid program supported</w:t>
      </w:r>
      <w:r w:rsidRPr="000B215F">
        <w:rPr>
          <w:lang w:val="en-US"/>
        </w:rPr>
        <w:t xml:space="preserve"> strategic partners to promote economic growth, to address inequality and</w:t>
      </w:r>
      <w:r w:rsidR="003459C1">
        <w:rPr>
          <w:lang w:val="en-US"/>
        </w:rPr>
        <w:t xml:space="preserve"> deliver essential services </w:t>
      </w:r>
      <w:r w:rsidRPr="000B215F">
        <w:rPr>
          <w:lang w:val="en-US"/>
        </w:rPr>
        <w:t xml:space="preserve">for the ultra-poor. </w:t>
      </w:r>
      <w:r w:rsidR="0075323C">
        <w:rPr>
          <w:lang w:val="en-US"/>
        </w:rPr>
        <w:t>Australia’s</w:t>
      </w:r>
      <w:r w:rsidRPr="000B215F">
        <w:rPr>
          <w:lang w:val="en-US"/>
        </w:rPr>
        <w:t xml:space="preserve"> partners deliver outcomes in key sectors, including primary education, skills development, social prote</w:t>
      </w:r>
      <w:r w:rsidR="009208D1">
        <w:rPr>
          <w:lang w:val="en-US"/>
        </w:rPr>
        <w:t xml:space="preserve">ction and women’s empowerment. </w:t>
      </w:r>
    </w:p>
    <w:p w14:paraId="32FDA590" w14:textId="4E6F90A8" w:rsidR="0061159B" w:rsidRDefault="000B215F" w:rsidP="004D6039">
      <w:pPr>
        <w:jc w:val="both"/>
        <w:rPr>
          <w:lang w:val="en"/>
        </w:rPr>
      </w:pPr>
      <w:r w:rsidRPr="000B215F">
        <w:rPr>
          <w:lang w:val="en"/>
        </w:rPr>
        <w:t>Australian O</w:t>
      </w:r>
      <w:r w:rsidR="004D6039">
        <w:rPr>
          <w:lang w:val="en"/>
        </w:rPr>
        <w:t xml:space="preserve">fficial </w:t>
      </w:r>
      <w:r w:rsidRPr="000B215F">
        <w:rPr>
          <w:lang w:val="en"/>
        </w:rPr>
        <w:t>D</w:t>
      </w:r>
      <w:r w:rsidR="004D6039">
        <w:rPr>
          <w:lang w:val="en"/>
        </w:rPr>
        <w:t xml:space="preserve">evelopment </w:t>
      </w:r>
      <w:r w:rsidRPr="000B215F">
        <w:rPr>
          <w:lang w:val="en"/>
        </w:rPr>
        <w:t>A</w:t>
      </w:r>
      <w:r w:rsidR="004D6039">
        <w:rPr>
          <w:lang w:val="en"/>
        </w:rPr>
        <w:t>ssistance (ODA)</w:t>
      </w:r>
      <w:r w:rsidRPr="000B215F">
        <w:rPr>
          <w:lang w:val="en"/>
        </w:rPr>
        <w:t xml:space="preserve"> </w:t>
      </w:r>
      <w:r w:rsidR="0026127F">
        <w:rPr>
          <w:lang w:val="en"/>
        </w:rPr>
        <w:t>to Bangladesh in 2016-17 was $57.7</w:t>
      </w:r>
      <w:r w:rsidRPr="000B215F">
        <w:rPr>
          <w:lang w:val="en"/>
        </w:rPr>
        <w:t xml:space="preserve"> million and bilateral aid was </w:t>
      </w:r>
      <w:r w:rsidR="00AD001E">
        <w:rPr>
          <w:lang w:val="en"/>
        </w:rPr>
        <w:t xml:space="preserve">approximately </w:t>
      </w:r>
      <w:r w:rsidRPr="000B215F">
        <w:rPr>
          <w:lang w:val="en"/>
        </w:rPr>
        <w:t>$42.4 million</w:t>
      </w:r>
      <w:r w:rsidR="00FE4769">
        <w:rPr>
          <w:lang w:val="en"/>
        </w:rPr>
        <w:t xml:space="preserve">. </w:t>
      </w:r>
      <w:r w:rsidR="00DB7F71">
        <w:rPr>
          <w:lang w:val="en"/>
        </w:rPr>
        <w:t xml:space="preserve">The </w:t>
      </w:r>
      <w:r w:rsidR="009208D1">
        <w:rPr>
          <w:lang w:val="en"/>
        </w:rPr>
        <w:t xml:space="preserve">total </w:t>
      </w:r>
      <w:r w:rsidR="00A60B97">
        <w:rPr>
          <w:lang w:val="en"/>
        </w:rPr>
        <w:t xml:space="preserve">all donor </w:t>
      </w:r>
      <w:r w:rsidR="009208D1">
        <w:rPr>
          <w:lang w:val="en"/>
        </w:rPr>
        <w:t xml:space="preserve">ODA to GDP </w:t>
      </w:r>
      <w:r w:rsidR="00A60B97">
        <w:rPr>
          <w:lang w:val="en"/>
        </w:rPr>
        <w:t xml:space="preserve">ratio </w:t>
      </w:r>
      <w:r w:rsidR="009208D1">
        <w:rPr>
          <w:lang w:val="en"/>
        </w:rPr>
        <w:t xml:space="preserve">in </w:t>
      </w:r>
      <w:r w:rsidR="00CF74BB">
        <w:rPr>
          <w:lang w:val="en"/>
        </w:rPr>
        <w:t>Bangladesh</w:t>
      </w:r>
      <w:r w:rsidR="009208D1">
        <w:rPr>
          <w:lang w:val="en"/>
        </w:rPr>
        <w:t xml:space="preserve"> remained at approximately two percent</w:t>
      </w:r>
      <w:r w:rsidR="00DB7F71">
        <w:rPr>
          <w:rStyle w:val="FootnoteReference"/>
          <w:lang w:val="en"/>
        </w:rPr>
        <w:footnoteReference w:id="16"/>
      </w:r>
      <w:r w:rsidR="00DB7F71">
        <w:rPr>
          <w:lang w:val="en"/>
        </w:rPr>
        <w:t xml:space="preserve">. </w:t>
      </w:r>
    </w:p>
    <w:p w14:paraId="492F566E" w14:textId="01A38DF3" w:rsidR="004D6039" w:rsidRPr="000B215F" w:rsidRDefault="00472C03" w:rsidP="004D6039">
      <w:pPr>
        <w:jc w:val="both"/>
        <w:rPr>
          <w:lang w:val="en"/>
        </w:rPr>
      </w:pPr>
      <w:r>
        <w:rPr>
          <w:lang w:val="en"/>
        </w:rPr>
        <w:t xml:space="preserve">Australia’s aid program is </w:t>
      </w:r>
      <w:r w:rsidR="000B215F" w:rsidRPr="000B215F">
        <w:rPr>
          <w:lang w:val="en"/>
        </w:rPr>
        <w:t xml:space="preserve">aligned </w:t>
      </w:r>
      <w:r w:rsidR="00253F39">
        <w:rPr>
          <w:lang w:val="en"/>
        </w:rPr>
        <w:t>with</w:t>
      </w:r>
      <w:r w:rsidR="000B215F" w:rsidRPr="000B215F">
        <w:rPr>
          <w:lang w:val="en"/>
        </w:rPr>
        <w:t xml:space="preserve"> the 2030 Agenda on Sustainable Development</w:t>
      </w:r>
      <w:r w:rsidR="006C5053">
        <w:rPr>
          <w:lang w:val="en"/>
        </w:rPr>
        <w:t>, particularly the Sustainable Development Goals (SDGs)</w:t>
      </w:r>
      <w:r w:rsidR="000B215F" w:rsidRPr="000B215F">
        <w:rPr>
          <w:lang w:val="en"/>
        </w:rPr>
        <w:t>. The Government of Bangladesh has demonstrated commitment to this Agenda, including through active participation in the 2017 voluntary national re</w:t>
      </w:r>
      <w:r w:rsidR="003459C1">
        <w:rPr>
          <w:lang w:val="en"/>
        </w:rPr>
        <w:t>v</w:t>
      </w:r>
      <w:r w:rsidR="0061159B">
        <w:rPr>
          <w:lang w:val="en"/>
        </w:rPr>
        <w:t>iew</w:t>
      </w:r>
      <w:r w:rsidR="004875B2">
        <w:rPr>
          <w:lang w:val="en"/>
        </w:rPr>
        <w:t>. Of the seventeen SDGs, eight</w:t>
      </w:r>
      <w:r w:rsidR="00953D92">
        <w:rPr>
          <w:rStyle w:val="FootnoteReference"/>
          <w:lang w:val="en"/>
        </w:rPr>
        <w:footnoteReference w:id="17"/>
      </w:r>
      <w:r w:rsidR="0061159B">
        <w:rPr>
          <w:lang w:val="en"/>
        </w:rPr>
        <w:t xml:space="preserve"> were incorporated into the Bangladesh Government’s </w:t>
      </w:r>
      <w:r w:rsidR="00953D92">
        <w:rPr>
          <w:lang w:val="en"/>
        </w:rPr>
        <w:t xml:space="preserve">national </w:t>
      </w:r>
      <w:r w:rsidR="0061159B">
        <w:rPr>
          <w:lang w:val="en"/>
        </w:rPr>
        <w:t>development planning document, the Seventh Five Year Plan</w:t>
      </w:r>
      <w:r w:rsidR="00953D92">
        <w:rPr>
          <w:lang w:val="en"/>
        </w:rPr>
        <w:t xml:space="preserve">. </w:t>
      </w:r>
      <w:r w:rsidR="004D6039" w:rsidRPr="004D6039">
        <w:t>Australia’s aid program in Bangladesh alig</w:t>
      </w:r>
      <w:r w:rsidR="0061159B">
        <w:t>ns with six of these development</w:t>
      </w:r>
      <w:r w:rsidR="004D6039" w:rsidRPr="004D6039">
        <w:t xml:space="preserve"> goals</w:t>
      </w:r>
      <w:r w:rsidR="0061159B">
        <w:t>, namely SDG 1,</w:t>
      </w:r>
      <w:r w:rsidR="004D6039" w:rsidRPr="004D6039">
        <w:t xml:space="preserve"> 2, 4, 8, 10 and 13</w:t>
      </w:r>
      <w:r w:rsidR="004D6039">
        <w:t xml:space="preserve">. </w:t>
      </w:r>
    </w:p>
    <w:p w14:paraId="5F9D69C6" w14:textId="77777777" w:rsidR="00C6626C" w:rsidRPr="002A51CA" w:rsidRDefault="00C6626C"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Expenditure</w:t>
      </w:r>
    </w:p>
    <w:p w14:paraId="34EFA8D2" w14:textId="62CE4D76" w:rsidR="00DE5714" w:rsidRDefault="00500E79" w:rsidP="00DE5714">
      <w:pPr>
        <w:pStyle w:val="BodyA"/>
      </w:pPr>
      <w:r>
        <w:t xml:space="preserve">Table 1 </w:t>
      </w:r>
      <w:r w:rsidR="00DE5714">
        <w:t xml:space="preserve">lists the Bangladesh 2016-17 Financial Year bilateral expenditure for each aid objective, for regional and global programs, and </w:t>
      </w:r>
      <w:r w:rsidR="00A60B97">
        <w:t xml:space="preserve">by </w:t>
      </w:r>
      <w:r w:rsidR="006C34D4">
        <w:t>o</w:t>
      </w:r>
      <w:r w:rsidR="00DE5714">
        <w:t xml:space="preserve">ther Government Departments. </w:t>
      </w:r>
    </w:p>
    <w:p w14:paraId="692C5C99" w14:textId="77777777" w:rsidR="00DE5714" w:rsidRDefault="00DE5714" w:rsidP="00DE5714">
      <w:pPr>
        <w:pStyle w:val="BodyA"/>
      </w:pPr>
    </w:p>
    <w:p w14:paraId="65E95164" w14:textId="77777777" w:rsidR="00DE5714" w:rsidRPr="00362A89" w:rsidRDefault="00DE5714" w:rsidP="00DE5714">
      <w:pPr>
        <w:pStyle w:val="BodyA"/>
        <w:rPr>
          <w:rStyle w:val="NoneA"/>
          <w:rFonts w:asciiTheme="minorHAnsi" w:eastAsia="Helvetica" w:hAnsiTheme="minorHAnsi" w:cs="Helvetica"/>
          <w:b/>
          <w:bCs/>
          <w:sz w:val="24"/>
          <w:szCs w:val="24"/>
        </w:rPr>
      </w:pPr>
      <w:r w:rsidRPr="00362A89">
        <w:rPr>
          <w:rStyle w:val="NoneA"/>
          <w:rFonts w:asciiTheme="minorHAnsi" w:hAnsiTheme="minorHAnsi"/>
          <w:b/>
          <w:bCs/>
          <w:sz w:val="24"/>
          <w:szCs w:val="24"/>
        </w:rPr>
        <w:t xml:space="preserve">Table 1 Total ODA Expenditure in FY </w:t>
      </w:r>
      <w:r w:rsidR="000860C7" w:rsidRPr="00362A89">
        <w:rPr>
          <w:rStyle w:val="NoneA"/>
          <w:rFonts w:asciiTheme="minorHAnsi" w:hAnsiTheme="minorHAnsi"/>
          <w:b/>
          <w:bCs/>
          <w:sz w:val="24"/>
          <w:szCs w:val="24"/>
        </w:rPr>
        <w:t>2016-17</w:t>
      </w:r>
    </w:p>
    <w:tbl>
      <w:tblPr>
        <w:tblW w:w="877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1E9E4"/>
        <w:tblLayout w:type="fixed"/>
        <w:tblLook w:val="04A0" w:firstRow="1" w:lastRow="0" w:firstColumn="1" w:lastColumn="0" w:noHBand="0" w:noVBand="1"/>
      </w:tblPr>
      <w:tblGrid>
        <w:gridCol w:w="5238"/>
        <w:gridCol w:w="1701"/>
        <w:gridCol w:w="851"/>
        <w:gridCol w:w="982"/>
      </w:tblGrid>
      <w:tr w:rsidR="00DE5714" w14:paraId="46384178" w14:textId="77777777" w:rsidTr="0037212A">
        <w:trPr>
          <w:trHeight w:val="595"/>
        </w:trPr>
        <w:tc>
          <w:tcPr>
            <w:tcW w:w="5238" w:type="dxa"/>
            <w:tcBorders>
              <w:top w:val="single" w:sz="12" w:space="0" w:color="000000"/>
              <w:left w:val="nil"/>
              <w:bottom w:val="nil"/>
              <w:right w:val="nil"/>
            </w:tcBorders>
            <w:shd w:val="clear" w:color="auto" w:fill="auto"/>
            <w:tcMar>
              <w:top w:w="80" w:type="dxa"/>
              <w:left w:w="364" w:type="dxa"/>
              <w:bottom w:w="80" w:type="dxa"/>
              <w:right w:w="80" w:type="dxa"/>
            </w:tcMar>
          </w:tcPr>
          <w:p w14:paraId="42E4542D" w14:textId="77777777" w:rsidR="00DE5714" w:rsidRPr="00601DA5" w:rsidRDefault="00DE5714" w:rsidP="0037212A">
            <w:pPr>
              <w:pStyle w:val="NormalIndented"/>
              <w:ind w:left="0"/>
            </w:pPr>
            <w:r>
              <w:rPr>
                <w:rStyle w:val="NoneA"/>
                <w:sz w:val="20"/>
                <w:szCs w:val="20"/>
              </w:rPr>
              <w:t>Objective</w:t>
            </w:r>
          </w:p>
        </w:tc>
        <w:tc>
          <w:tcPr>
            <w:tcW w:w="1701" w:type="dxa"/>
            <w:tcBorders>
              <w:top w:val="single" w:sz="12" w:space="0" w:color="000000"/>
              <w:left w:val="nil"/>
              <w:bottom w:val="nil"/>
              <w:right w:val="nil"/>
            </w:tcBorders>
            <w:shd w:val="clear" w:color="auto" w:fill="auto"/>
            <w:tcMar>
              <w:top w:w="80" w:type="dxa"/>
              <w:left w:w="364" w:type="dxa"/>
              <w:bottom w:w="80" w:type="dxa"/>
              <w:right w:w="80" w:type="dxa"/>
            </w:tcMar>
          </w:tcPr>
          <w:p w14:paraId="4C7E1CEF" w14:textId="77777777" w:rsidR="00DE5714" w:rsidRDefault="00DE5714" w:rsidP="009F1413">
            <w:pPr>
              <w:pStyle w:val="NormalIndented"/>
              <w:jc w:val="center"/>
            </w:pPr>
            <w:r>
              <w:rPr>
                <w:rStyle w:val="NoneA"/>
                <w:sz w:val="20"/>
                <w:szCs w:val="20"/>
              </w:rPr>
              <w:t>A$million</w:t>
            </w:r>
          </w:p>
        </w:tc>
        <w:tc>
          <w:tcPr>
            <w:tcW w:w="1833" w:type="dxa"/>
            <w:gridSpan w:val="2"/>
            <w:tcBorders>
              <w:top w:val="single" w:sz="12" w:space="0" w:color="000000"/>
              <w:left w:val="nil"/>
              <w:bottom w:val="nil"/>
              <w:right w:val="nil"/>
            </w:tcBorders>
            <w:shd w:val="clear" w:color="auto" w:fill="auto"/>
            <w:tcMar>
              <w:top w:w="80" w:type="dxa"/>
              <w:left w:w="364" w:type="dxa"/>
              <w:bottom w:w="80" w:type="dxa"/>
              <w:right w:w="80" w:type="dxa"/>
            </w:tcMar>
          </w:tcPr>
          <w:p w14:paraId="1D28EDD2" w14:textId="77777777" w:rsidR="00DE5714" w:rsidRDefault="00DE5714" w:rsidP="009F1413">
            <w:pPr>
              <w:pStyle w:val="NormalIndented"/>
              <w:jc w:val="center"/>
            </w:pPr>
            <w:r>
              <w:rPr>
                <w:rStyle w:val="NoneA"/>
                <w:sz w:val="20"/>
                <w:szCs w:val="20"/>
              </w:rPr>
              <w:t>% of total ODA</w:t>
            </w:r>
          </w:p>
        </w:tc>
      </w:tr>
      <w:tr w:rsidR="00DE5714" w14:paraId="4ECD2A59" w14:textId="77777777" w:rsidTr="0037212A">
        <w:trPr>
          <w:trHeight w:val="15"/>
        </w:trPr>
        <w:tc>
          <w:tcPr>
            <w:tcW w:w="5238" w:type="dxa"/>
            <w:tcBorders>
              <w:top w:val="nil"/>
              <w:left w:val="nil"/>
              <w:bottom w:val="nil"/>
              <w:right w:val="nil"/>
            </w:tcBorders>
            <w:shd w:val="clear" w:color="auto" w:fill="auto"/>
            <w:tcMar>
              <w:top w:w="80" w:type="dxa"/>
              <w:left w:w="364" w:type="dxa"/>
              <w:bottom w:w="80" w:type="dxa"/>
              <w:right w:w="80" w:type="dxa"/>
            </w:tcMar>
          </w:tcPr>
          <w:p w14:paraId="77346A90" w14:textId="77777777" w:rsidR="00DE5714" w:rsidRDefault="00DE5714" w:rsidP="0037212A">
            <w:pPr>
              <w:pStyle w:val="NormalIndented"/>
              <w:ind w:left="0"/>
            </w:pPr>
            <w:r>
              <w:rPr>
                <w:rStyle w:val="NoneA"/>
                <w:i/>
                <w:iCs/>
                <w:sz w:val="20"/>
                <w:szCs w:val="20"/>
              </w:rPr>
              <w:t xml:space="preserve">Bilateral </w:t>
            </w:r>
          </w:p>
        </w:tc>
        <w:tc>
          <w:tcPr>
            <w:tcW w:w="2552" w:type="dxa"/>
            <w:gridSpan w:val="2"/>
            <w:tcBorders>
              <w:top w:val="nil"/>
              <w:left w:val="nil"/>
              <w:bottom w:val="nil"/>
              <w:right w:val="nil"/>
            </w:tcBorders>
            <w:shd w:val="clear" w:color="auto" w:fill="auto"/>
            <w:tcMar>
              <w:top w:w="80" w:type="dxa"/>
              <w:left w:w="80" w:type="dxa"/>
              <w:bottom w:w="80" w:type="dxa"/>
              <w:right w:w="80" w:type="dxa"/>
            </w:tcMar>
          </w:tcPr>
          <w:p w14:paraId="30E90B94" w14:textId="77777777" w:rsidR="00DE5714" w:rsidRDefault="00DE5714" w:rsidP="009F1413">
            <w:pPr>
              <w:jc w:val="center"/>
            </w:pPr>
          </w:p>
        </w:tc>
        <w:tc>
          <w:tcPr>
            <w:tcW w:w="982" w:type="dxa"/>
            <w:tcBorders>
              <w:top w:val="nil"/>
              <w:left w:val="nil"/>
              <w:bottom w:val="nil"/>
              <w:right w:val="nil"/>
            </w:tcBorders>
            <w:shd w:val="clear" w:color="auto" w:fill="auto"/>
            <w:tcMar>
              <w:top w:w="80" w:type="dxa"/>
              <w:left w:w="80" w:type="dxa"/>
              <w:bottom w:w="80" w:type="dxa"/>
              <w:right w:w="80" w:type="dxa"/>
            </w:tcMar>
          </w:tcPr>
          <w:p w14:paraId="776DEA94" w14:textId="77777777" w:rsidR="00DE5714" w:rsidRDefault="00DE5714" w:rsidP="009F1413">
            <w:pPr>
              <w:jc w:val="center"/>
            </w:pPr>
          </w:p>
        </w:tc>
      </w:tr>
      <w:tr w:rsidR="00DE5714" w14:paraId="4E06277E" w14:textId="77777777" w:rsidTr="0037212A">
        <w:trPr>
          <w:trHeight w:val="238"/>
        </w:trPr>
        <w:tc>
          <w:tcPr>
            <w:tcW w:w="5238" w:type="dxa"/>
            <w:tcBorders>
              <w:top w:val="nil"/>
              <w:left w:val="nil"/>
              <w:bottom w:val="nil"/>
              <w:right w:val="nil"/>
            </w:tcBorders>
            <w:shd w:val="clear" w:color="auto" w:fill="auto"/>
            <w:tcMar>
              <w:top w:w="80" w:type="dxa"/>
              <w:left w:w="364" w:type="dxa"/>
              <w:bottom w:w="80" w:type="dxa"/>
              <w:right w:w="80" w:type="dxa"/>
            </w:tcMar>
          </w:tcPr>
          <w:p w14:paraId="2FDE7877" w14:textId="77777777" w:rsidR="00DE5714" w:rsidRDefault="00DE5714" w:rsidP="0037212A">
            <w:pPr>
              <w:pStyle w:val="NormalIndented"/>
              <w:ind w:left="0"/>
            </w:pPr>
            <w:r>
              <w:rPr>
                <w:rStyle w:val="NoneA"/>
                <w:sz w:val="20"/>
                <w:szCs w:val="20"/>
              </w:rPr>
              <w:t>Objective 1: Improving education access, equity, efficiency and learning outcomes</w:t>
            </w:r>
          </w:p>
        </w:tc>
        <w:tc>
          <w:tcPr>
            <w:tcW w:w="2552" w:type="dxa"/>
            <w:gridSpan w:val="2"/>
            <w:tcBorders>
              <w:top w:val="nil"/>
              <w:left w:val="nil"/>
              <w:bottom w:val="nil"/>
              <w:right w:val="nil"/>
            </w:tcBorders>
            <w:shd w:val="clear" w:color="auto" w:fill="auto"/>
            <w:tcMar>
              <w:top w:w="80" w:type="dxa"/>
              <w:left w:w="80" w:type="dxa"/>
              <w:bottom w:w="80" w:type="dxa"/>
              <w:right w:w="80" w:type="dxa"/>
            </w:tcMar>
          </w:tcPr>
          <w:p w14:paraId="04C048CC" w14:textId="214853EF" w:rsidR="00DE5714" w:rsidRPr="00E44C07" w:rsidRDefault="000860C7" w:rsidP="009F1413">
            <w:pPr>
              <w:pStyle w:val="NormalIndented"/>
              <w:ind w:left="0"/>
              <w:jc w:val="center"/>
              <w:rPr>
                <w:rStyle w:val="NoneA"/>
                <w:sz w:val="20"/>
                <w:szCs w:val="20"/>
              </w:rPr>
            </w:pPr>
            <w:r>
              <w:rPr>
                <w:rStyle w:val="NoneA"/>
                <w:sz w:val="20"/>
                <w:szCs w:val="20"/>
              </w:rPr>
              <w:t>19.3</w:t>
            </w:r>
          </w:p>
        </w:tc>
        <w:tc>
          <w:tcPr>
            <w:tcW w:w="982" w:type="dxa"/>
            <w:tcBorders>
              <w:top w:val="nil"/>
              <w:left w:val="nil"/>
              <w:bottom w:val="nil"/>
              <w:right w:val="nil"/>
            </w:tcBorders>
            <w:shd w:val="clear" w:color="auto" w:fill="auto"/>
            <w:tcMar>
              <w:top w:w="80" w:type="dxa"/>
              <w:left w:w="80" w:type="dxa"/>
              <w:bottom w:w="80" w:type="dxa"/>
              <w:right w:w="80" w:type="dxa"/>
            </w:tcMar>
          </w:tcPr>
          <w:p w14:paraId="5FB56C3C" w14:textId="4C0AD337" w:rsidR="00DE5714" w:rsidRPr="00E44C07" w:rsidRDefault="0026127F" w:rsidP="009F1413">
            <w:pPr>
              <w:pStyle w:val="NormalIndented"/>
              <w:ind w:left="0"/>
              <w:jc w:val="center"/>
              <w:rPr>
                <w:rStyle w:val="NoneA"/>
                <w:sz w:val="20"/>
                <w:szCs w:val="20"/>
              </w:rPr>
            </w:pPr>
            <w:r>
              <w:rPr>
                <w:rStyle w:val="NoneA"/>
                <w:sz w:val="20"/>
                <w:szCs w:val="20"/>
              </w:rPr>
              <w:t>33.4</w:t>
            </w:r>
          </w:p>
        </w:tc>
      </w:tr>
      <w:tr w:rsidR="00DE5714" w14:paraId="5E865D3F" w14:textId="77777777" w:rsidTr="0037212A">
        <w:trPr>
          <w:trHeight w:val="310"/>
        </w:trPr>
        <w:tc>
          <w:tcPr>
            <w:tcW w:w="5238" w:type="dxa"/>
            <w:tcBorders>
              <w:top w:val="nil"/>
              <w:left w:val="nil"/>
              <w:bottom w:val="nil"/>
              <w:right w:val="nil"/>
            </w:tcBorders>
            <w:shd w:val="clear" w:color="auto" w:fill="auto"/>
            <w:tcMar>
              <w:top w:w="80" w:type="dxa"/>
              <w:left w:w="364" w:type="dxa"/>
              <w:bottom w:w="80" w:type="dxa"/>
              <w:right w:w="80" w:type="dxa"/>
            </w:tcMar>
          </w:tcPr>
          <w:p w14:paraId="5D25E39D" w14:textId="77777777" w:rsidR="00DE5714" w:rsidRDefault="00DE5714" w:rsidP="0037212A">
            <w:pPr>
              <w:pStyle w:val="NormalIndented"/>
              <w:ind w:left="0"/>
              <w:rPr>
                <w:rStyle w:val="NoneA"/>
                <w:sz w:val="20"/>
                <w:szCs w:val="20"/>
              </w:rPr>
            </w:pPr>
            <w:r>
              <w:rPr>
                <w:rStyle w:val="NoneA"/>
                <w:sz w:val="20"/>
                <w:szCs w:val="20"/>
              </w:rPr>
              <w:t>Objective 2: Building resilience by reducing vulnerability and improving inclusion in the growing economy</w:t>
            </w:r>
          </w:p>
          <w:p w14:paraId="1199EBE2" w14:textId="77777777" w:rsidR="000860C7" w:rsidRDefault="000860C7" w:rsidP="00BF27DB">
            <w:pPr>
              <w:pStyle w:val="NormalIndented"/>
              <w:ind w:left="0"/>
            </w:pPr>
            <w:r>
              <w:rPr>
                <w:rStyle w:val="NoneA"/>
                <w:sz w:val="20"/>
                <w:szCs w:val="20"/>
              </w:rPr>
              <w:t>Other: Australia Awards, , Gender Equality Fund</w:t>
            </w:r>
            <w:r w:rsidR="00BF27DB">
              <w:rPr>
                <w:rStyle w:val="NoneA"/>
                <w:sz w:val="20"/>
                <w:szCs w:val="20"/>
              </w:rPr>
              <w:t xml:space="preserve">, </w:t>
            </w:r>
            <w:r>
              <w:rPr>
                <w:rStyle w:val="NoneA"/>
                <w:sz w:val="20"/>
                <w:szCs w:val="20"/>
              </w:rPr>
              <w:t xml:space="preserve"> The Asia Foundation</w:t>
            </w:r>
            <w:r w:rsidR="00BF27DB">
              <w:rPr>
                <w:rStyle w:val="NoneA"/>
                <w:sz w:val="20"/>
                <w:szCs w:val="20"/>
              </w:rPr>
              <w:t>, and Post Management</w:t>
            </w:r>
          </w:p>
        </w:tc>
        <w:tc>
          <w:tcPr>
            <w:tcW w:w="2552" w:type="dxa"/>
            <w:gridSpan w:val="2"/>
            <w:tcBorders>
              <w:top w:val="nil"/>
              <w:left w:val="nil"/>
              <w:bottom w:val="nil"/>
              <w:right w:val="nil"/>
            </w:tcBorders>
            <w:shd w:val="clear" w:color="auto" w:fill="auto"/>
            <w:tcMar>
              <w:top w:w="80" w:type="dxa"/>
              <w:left w:w="80" w:type="dxa"/>
              <w:bottom w:w="80" w:type="dxa"/>
              <w:right w:w="80" w:type="dxa"/>
            </w:tcMar>
          </w:tcPr>
          <w:p w14:paraId="58FAFB84" w14:textId="5C77EC3F" w:rsidR="000860C7" w:rsidRDefault="000860C7" w:rsidP="009F1413">
            <w:pPr>
              <w:pStyle w:val="NormalIndented"/>
              <w:ind w:left="0"/>
              <w:jc w:val="center"/>
              <w:rPr>
                <w:rStyle w:val="NoneA"/>
                <w:sz w:val="20"/>
                <w:szCs w:val="20"/>
              </w:rPr>
            </w:pPr>
            <w:r w:rsidRPr="009F1413">
              <w:rPr>
                <w:rStyle w:val="NoneA"/>
                <w:sz w:val="20"/>
                <w:szCs w:val="20"/>
              </w:rPr>
              <w:t>18.3</w:t>
            </w:r>
          </w:p>
          <w:p w14:paraId="2F8FDC8F" w14:textId="77777777" w:rsidR="000860C7" w:rsidRDefault="000860C7" w:rsidP="009F1413">
            <w:pPr>
              <w:pStyle w:val="NormalIndented"/>
              <w:ind w:left="0"/>
              <w:jc w:val="center"/>
              <w:rPr>
                <w:rStyle w:val="NoneA"/>
                <w:sz w:val="20"/>
                <w:szCs w:val="20"/>
              </w:rPr>
            </w:pPr>
          </w:p>
          <w:p w14:paraId="3D0D191D" w14:textId="7FAF1209" w:rsidR="00DE5714" w:rsidRPr="009F1413" w:rsidRDefault="00D356F9" w:rsidP="009F1413">
            <w:pPr>
              <w:pStyle w:val="NormalIndented"/>
              <w:ind w:left="0"/>
              <w:jc w:val="center"/>
              <w:rPr>
                <w:rStyle w:val="NoneA"/>
                <w:sz w:val="20"/>
                <w:szCs w:val="20"/>
              </w:rPr>
            </w:pPr>
            <w:r w:rsidRPr="009F1413">
              <w:rPr>
                <w:rStyle w:val="NoneA"/>
                <w:sz w:val="20"/>
                <w:szCs w:val="20"/>
              </w:rPr>
              <w:t>4.8</w:t>
            </w:r>
          </w:p>
        </w:tc>
        <w:tc>
          <w:tcPr>
            <w:tcW w:w="982" w:type="dxa"/>
            <w:tcBorders>
              <w:top w:val="nil"/>
              <w:left w:val="nil"/>
              <w:bottom w:val="nil"/>
              <w:right w:val="nil"/>
            </w:tcBorders>
            <w:shd w:val="clear" w:color="auto" w:fill="auto"/>
            <w:tcMar>
              <w:top w:w="80" w:type="dxa"/>
              <w:left w:w="80" w:type="dxa"/>
              <w:bottom w:w="80" w:type="dxa"/>
              <w:right w:w="80" w:type="dxa"/>
            </w:tcMar>
          </w:tcPr>
          <w:p w14:paraId="3A894C18" w14:textId="657DC9C3" w:rsidR="00680678" w:rsidRPr="009F1413" w:rsidRDefault="0026127F" w:rsidP="009F1413">
            <w:pPr>
              <w:pStyle w:val="NormalIndented"/>
              <w:ind w:left="0"/>
              <w:jc w:val="center"/>
              <w:rPr>
                <w:rStyle w:val="NoneA"/>
                <w:sz w:val="20"/>
                <w:szCs w:val="20"/>
              </w:rPr>
            </w:pPr>
            <w:r>
              <w:rPr>
                <w:rStyle w:val="NoneA"/>
                <w:sz w:val="20"/>
                <w:szCs w:val="20"/>
              </w:rPr>
              <w:t>31.7</w:t>
            </w:r>
          </w:p>
          <w:p w14:paraId="40391766" w14:textId="77777777" w:rsidR="00680678" w:rsidRPr="009F1413" w:rsidRDefault="00680678" w:rsidP="009F1413">
            <w:pPr>
              <w:jc w:val="center"/>
              <w:rPr>
                <w:rStyle w:val="NoneA"/>
                <w:sz w:val="20"/>
                <w:szCs w:val="20"/>
              </w:rPr>
            </w:pPr>
          </w:p>
          <w:p w14:paraId="6943865C" w14:textId="7A53EBB6" w:rsidR="00DE5714" w:rsidRPr="009F1413" w:rsidRDefault="00D52C69" w:rsidP="009F1413">
            <w:pPr>
              <w:pStyle w:val="NormalIndented"/>
              <w:ind w:left="0"/>
              <w:jc w:val="center"/>
              <w:rPr>
                <w:rStyle w:val="NoneA"/>
                <w:sz w:val="20"/>
                <w:szCs w:val="20"/>
              </w:rPr>
            </w:pPr>
            <w:r w:rsidRPr="009F1413">
              <w:rPr>
                <w:rStyle w:val="NoneA"/>
                <w:sz w:val="20"/>
                <w:szCs w:val="20"/>
              </w:rPr>
              <w:t>8.3</w:t>
            </w:r>
          </w:p>
        </w:tc>
      </w:tr>
      <w:tr w:rsidR="00DE5714" w:rsidRPr="009F1413" w14:paraId="0D153671" w14:textId="77777777" w:rsidTr="0037212A">
        <w:trPr>
          <w:trHeight w:val="310"/>
        </w:trPr>
        <w:tc>
          <w:tcPr>
            <w:tcW w:w="5238" w:type="dxa"/>
            <w:tcBorders>
              <w:top w:val="nil"/>
              <w:left w:val="nil"/>
              <w:bottom w:val="nil"/>
              <w:right w:val="nil"/>
            </w:tcBorders>
            <w:shd w:val="clear" w:color="auto" w:fill="auto"/>
            <w:tcMar>
              <w:top w:w="80" w:type="dxa"/>
              <w:left w:w="364" w:type="dxa"/>
              <w:bottom w:w="80" w:type="dxa"/>
              <w:right w:w="80" w:type="dxa"/>
            </w:tcMar>
          </w:tcPr>
          <w:p w14:paraId="63B43451" w14:textId="77777777" w:rsidR="00DE5714" w:rsidRPr="00564DB4" w:rsidRDefault="00DE5714" w:rsidP="0037212A">
            <w:pPr>
              <w:pStyle w:val="NormalIndented"/>
              <w:ind w:left="0"/>
              <w:rPr>
                <w:b/>
              </w:rPr>
            </w:pPr>
            <w:r w:rsidRPr="00564DB4">
              <w:rPr>
                <w:rStyle w:val="NoneA"/>
                <w:b/>
                <w:sz w:val="20"/>
                <w:szCs w:val="20"/>
              </w:rPr>
              <w:t>Sub-Total Bilateral</w:t>
            </w:r>
          </w:p>
        </w:tc>
        <w:tc>
          <w:tcPr>
            <w:tcW w:w="2552" w:type="dxa"/>
            <w:gridSpan w:val="2"/>
            <w:tcBorders>
              <w:top w:val="nil"/>
              <w:left w:val="nil"/>
              <w:bottom w:val="nil"/>
              <w:right w:val="nil"/>
            </w:tcBorders>
            <w:shd w:val="clear" w:color="auto" w:fill="auto"/>
            <w:tcMar>
              <w:top w:w="80" w:type="dxa"/>
              <w:left w:w="80" w:type="dxa"/>
              <w:bottom w:w="80" w:type="dxa"/>
              <w:right w:w="80" w:type="dxa"/>
            </w:tcMar>
          </w:tcPr>
          <w:p w14:paraId="1347FFFD" w14:textId="00869C7B" w:rsidR="00DE5714" w:rsidRPr="009F1413" w:rsidRDefault="00D356F9" w:rsidP="009F1413">
            <w:pPr>
              <w:pStyle w:val="NormalIndented"/>
              <w:ind w:left="0"/>
              <w:jc w:val="center"/>
              <w:rPr>
                <w:rStyle w:val="NoneA"/>
                <w:b/>
                <w:sz w:val="20"/>
                <w:szCs w:val="20"/>
              </w:rPr>
            </w:pPr>
            <w:r w:rsidRPr="009F1413">
              <w:rPr>
                <w:rStyle w:val="NoneA"/>
                <w:b/>
                <w:sz w:val="20"/>
                <w:szCs w:val="20"/>
              </w:rPr>
              <w:t>42.4</w:t>
            </w:r>
          </w:p>
        </w:tc>
        <w:tc>
          <w:tcPr>
            <w:tcW w:w="982" w:type="dxa"/>
            <w:tcBorders>
              <w:top w:val="nil"/>
              <w:left w:val="nil"/>
              <w:bottom w:val="nil"/>
              <w:right w:val="nil"/>
            </w:tcBorders>
            <w:shd w:val="clear" w:color="auto" w:fill="auto"/>
            <w:tcMar>
              <w:top w:w="80" w:type="dxa"/>
              <w:left w:w="80" w:type="dxa"/>
              <w:bottom w:w="80" w:type="dxa"/>
              <w:right w:w="80" w:type="dxa"/>
            </w:tcMar>
          </w:tcPr>
          <w:p w14:paraId="4C344A5A" w14:textId="60799199" w:rsidR="00DE5714" w:rsidRPr="009F1413" w:rsidRDefault="0026127F" w:rsidP="009F1413">
            <w:pPr>
              <w:pStyle w:val="NormalIndented"/>
              <w:ind w:left="0"/>
              <w:jc w:val="center"/>
              <w:rPr>
                <w:rStyle w:val="NoneA"/>
                <w:b/>
                <w:sz w:val="20"/>
                <w:szCs w:val="20"/>
              </w:rPr>
            </w:pPr>
            <w:r>
              <w:rPr>
                <w:rStyle w:val="NoneA"/>
                <w:b/>
                <w:sz w:val="20"/>
                <w:szCs w:val="20"/>
              </w:rPr>
              <w:t>73.4</w:t>
            </w:r>
          </w:p>
        </w:tc>
      </w:tr>
      <w:tr w:rsidR="00DE5714" w:rsidRPr="009F1413" w14:paraId="4C6F1E37" w14:textId="77777777" w:rsidTr="0037212A">
        <w:trPr>
          <w:trHeight w:val="310"/>
        </w:trPr>
        <w:tc>
          <w:tcPr>
            <w:tcW w:w="5238" w:type="dxa"/>
            <w:tcBorders>
              <w:top w:val="nil"/>
              <w:left w:val="nil"/>
              <w:bottom w:val="nil"/>
              <w:right w:val="nil"/>
            </w:tcBorders>
            <w:shd w:val="clear" w:color="auto" w:fill="auto"/>
            <w:tcMar>
              <w:top w:w="80" w:type="dxa"/>
              <w:left w:w="364" w:type="dxa"/>
              <w:bottom w:w="80" w:type="dxa"/>
              <w:right w:w="80" w:type="dxa"/>
            </w:tcMar>
          </w:tcPr>
          <w:p w14:paraId="01D63511" w14:textId="77777777" w:rsidR="00DE5714" w:rsidRDefault="00DE5714" w:rsidP="0037212A">
            <w:pPr>
              <w:pStyle w:val="NormalIndented"/>
              <w:ind w:left="0"/>
            </w:pPr>
            <w:r>
              <w:rPr>
                <w:rStyle w:val="NoneA"/>
                <w:sz w:val="20"/>
                <w:szCs w:val="20"/>
              </w:rPr>
              <w:t>Regional and Global</w:t>
            </w:r>
          </w:p>
        </w:tc>
        <w:tc>
          <w:tcPr>
            <w:tcW w:w="2552" w:type="dxa"/>
            <w:gridSpan w:val="2"/>
            <w:tcBorders>
              <w:top w:val="nil"/>
              <w:left w:val="nil"/>
              <w:bottom w:val="nil"/>
              <w:right w:val="nil"/>
            </w:tcBorders>
            <w:shd w:val="clear" w:color="auto" w:fill="auto"/>
            <w:tcMar>
              <w:top w:w="80" w:type="dxa"/>
              <w:left w:w="80" w:type="dxa"/>
              <w:bottom w:w="80" w:type="dxa"/>
              <w:right w:w="80" w:type="dxa"/>
            </w:tcMar>
          </w:tcPr>
          <w:p w14:paraId="11BE8081" w14:textId="37CCEB1B" w:rsidR="00DE5714" w:rsidRPr="00564DB4" w:rsidRDefault="0026127F" w:rsidP="009F1413">
            <w:pPr>
              <w:pStyle w:val="NormalIndented"/>
              <w:ind w:left="0"/>
              <w:jc w:val="center"/>
              <w:rPr>
                <w:rStyle w:val="NoneA"/>
                <w:sz w:val="20"/>
                <w:szCs w:val="20"/>
              </w:rPr>
            </w:pPr>
            <w:r>
              <w:rPr>
                <w:rStyle w:val="NoneA"/>
                <w:sz w:val="20"/>
                <w:szCs w:val="20"/>
              </w:rPr>
              <w:t>13.8</w:t>
            </w:r>
          </w:p>
        </w:tc>
        <w:tc>
          <w:tcPr>
            <w:tcW w:w="982" w:type="dxa"/>
            <w:tcBorders>
              <w:top w:val="nil"/>
              <w:left w:val="nil"/>
              <w:bottom w:val="nil"/>
              <w:right w:val="nil"/>
            </w:tcBorders>
            <w:shd w:val="clear" w:color="auto" w:fill="auto"/>
            <w:tcMar>
              <w:top w:w="80" w:type="dxa"/>
              <w:left w:w="80" w:type="dxa"/>
              <w:bottom w:w="80" w:type="dxa"/>
              <w:right w:w="80" w:type="dxa"/>
            </w:tcMar>
          </w:tcPr>
          <w:p w14:paraId="5454989A" w14:textId="48802E44" w:rsidR="00DE5714" w:rsidRPr="009F1413" w:rsidRDefault="0026127F" w:rsidP="009F1413">
            <w:pPr>
              <w:jc w:val="center"/>
              <w:rPr>
                <w:rStyle w:val="NoneA"/>
                <w:sz w:val="20"/>
                <w:szCs w:val="20"/>
              </w:rPr>
            </w:pPr>
            <w:r>
              <w:rPr>
                <w:rStyle w:val="NoneA"/>
                <w:sz w:val="20"/>
                <w:szCs w:val="20"/>
              </w:rPr>
              <w:t>23.9</w:t>
            </w:r>
          </w:p>
        </w:tc>
      </w:tr>
      <w:tr w:rsidR="00DE5714" w:rsidRPr="009F1413" w14:paraId="17710E88" w14:textId="77777777" w:rsidTr="0037212A">
        <w:trPr>
          <w:trHeight w:val="310"/>
        </w:trPr>
        <w:tc>
          <w:tcPr>
            <w:tcW w:w="5238" w:type="dxa"/>
            <w:tcBorders>
              <w:top w:val="nil"/>
              <w:left w:val="nil"/>
              <w:bottom w:val="nil"/>
              <w:right w:val="nil"/>
            </w:tcBorders>
            <w:shd w:val="clear" w:color="auto" w:fill="auto"/>
            <w:tcMar>
              <w:top w:w="80" w:type="dxa"/>
              <w:left w:w="364" w:type="dxa"/>
              <w:bottom w:w="80" w:type="dxa"/>
              <w:right w:w="80" w:type="dxa"/>
            </w:tcMar>
          </w:tcPr>
          <w:p w14:paraId="5DE70EC0" w14:textId="77777777" w:rsidR="00DE5714" w:rsidRDefault="00DE5714" w:rsidP="0037212A">
            <w:pPr>
              <w:pStyle w:val="NormalIndented"/>
              <w:ind w:left="0"/>
            </w:pPr>
            <w:r>
              <w:rPr>
                <w:rStyle w:val="NoneA"/>
                <w:sz w:val="20"/>
                <w:szCs w:val="20"/>
              </w:rPr>
              <w:t>Other Government Departments</w:t>
            </w:r>
          </w:p>
        </w:tc>
        <w:tc>
          <w:tcPr>
            <w:tcW w:w="2552" w:type="dxa"/>
            <w:gridSpan w:val="2"/>
            <w:tcBorders>
              <w:top w:val="nil"/>
              <w:left w:val="nil"/>
              <w:bottom w:val="nil"/>
              <w:right w:val="nil"/>
            </w:tcBorders>
            <w:shd w:val="clear" w:color="auto" w:fill="auto"/>
            <w:tcMar>
              <w:top w:w="80" w:type="dxa"/>
              <w:left w:w="80" w:type="dxa"/>
              <w:bottom w:w="80" w:type="dxa"/>
              <w:right w:w="80" w:type="dxa"/>
            </w:tcMar>
          </w:tcPr>
          <w:p w14:paraId="042DD5BD" w14:textId="7ABA8399" w:rsidR="00DE5714" w:rsidRPr="00E44C07" w:rsidRDefault="00DE5714" w:rsidP="009F1413">
            <w:pPr>
              <w:pStyle w:val="NormalIndented"/>
              <w:ind w:left="0"/>
              <w:jc w:val="center"/>
              <w:rPr>
                <w:rStyle w:val="NoneA"/>
                <w:sz w:val="20"/>
                <w:szCs w:val="20"/>
              </w:rPr>
            </w:pPr>
            <w:r w:rsidRPr="00E44C07">
              <w:rPr>
                <w:rStyle w:val="NoneA"/>
                <w:sz w:val="20"/>
                <w:szCs w:val="20"/>
              </w:rPr>
              <w:t>1.5</w:t>
            </w:r>
          </w:p>
        </w:tc>
        <w:tc>
          <w:tcPr>
            <w:tcW w:w="982" w:type="dxa"/>
            <w:tcBorders>
              <w:top w:val="nil"/>
              <w:left w:val="nil"/>
              <w:bottom w:val="nil"/>
              <w:right w:val="nil"/>
            </w:tcBorders>
            <w:shd w:val="clear" w:color="auto" w:fill="auto"/>
            <w:tcMar>
              <w:top w:w="80" w:type="dxa"/>
              <w:left w:w="80" w:type="dxa"/>
              <w:bottom w:w="80" w:type="dxa"/>
              <w:right w:w="80" w:type="dxa"/>
            </w:tcMar>
          </w:tcPr>
          <w:p w14:paraId="6D6D5C0B" w14:textId="54BF1CB0" w:rsidR="00DE5714" w:rsidRPr="00E44C07" w:rsidRDefault="0026127F" w:rsidP="009F1413">
            <w:pPr>
              <w:pStyle w:val="NormalIndented"/>
              <w:ind w:left="0"/>
              <w:jc w:val="center"/>
              <w:rPr>
                <w:rStyle w:val="NoneA"/>
                <w:sz w:val="20"/>
                <w:szCs w:val="20"/>
              </w:rPr>
            </w:pPr>
            <w:r>
              <w:rPr>
                <w:rStyle w:val="NoneA"/>
                <w:sz w:val="20"/>
                <w:szCs w:val="20"/>
              </w:rPr>
              <w:t>2.7</w:t>
            </w:r>
          </w:p>
        </w:tc>
      </w:tr>
      <w:tr w:rsidR="00DE5714" w:rsidRPr="009F1413" w14:paraId="2BA616A9" w14:textId="77777777" w:rsidTr="0037212A">
        <w:trPr>
          <w:trHeight w:val="315"/>
        </w:trPr>
        <w:tc>
          <w:tcPr>
            <w:tcW w:w="5238" w:type="dxa"/>
            <w:tcBorders>
              <w:top w:val="nil"/>
              <w:left w:val="nil"/>
              <w:bottom w:val="single" w:sz="12" w:space="0" w:color="000000"/>
              <w:right w:val="nil"/>
            </w:tcBorders>
            <w:shd w:val="clear" w:color="auto" w:fill="auto"/>
            <w:tcMar>
              <w:top w:w="80" w:type="dxa"/>
              <w:left w:w="364" w:type="dxa"/>
              <w:bottom w:w="80" w:type="dxa"/>
              <w:right w:w="80" w:type="dxa"/>
            </w:tcMar>
          </w:tcPr>
          <w:p w14:paraId="674726AF" w14:textId="77777777" w:rsidR="00DE5714" w:rsidRPr="00564DB4" w:rsidRDefault="00DE5714" w:rsidP="0037212A">
            <w:pPr>
              <w:pStyle w:val="NormalIndented"/>
              <w:ind w:left="0"/>
              <w:rPr>
                <w:b/>
              </w:rPr>
            </w:pPr>
            <w:r w:rsidRPr="00564DB4">
              <w:rPr>
                <w:rStyle w:val="NoneA"/>
                <w:b/>
                <w:sz w:val="20"/>
                <w:szCs w:val="20"/>
              </w:rPr>
              <w:t>Total ODA Expenditure</w:t>
            </w:r>
          </w:p>
        </w:tc>
        <w:tc>
          <w:tcPr>
            <w:tcW w:w="2552" w:type="dxa"/>
            <w:gridSpan w:val="2"/>
            <w:tcBorders>
              <w:top w:val="nil"/>
              <w:left w:val="nil"/>
              <w:bottom w:val="single" w:sz="12" w:space="0" w:color="000000"/>
              <w:right w:val="nil"/>
            </w:tcBorders>
            <w:shd w:val="clear" w:color="auto" w:fill="auto"/>
            <w:tcMar>
              <w:top w:w="80" w:type="dxa"/>
              <w:left w:w="80" w:type="dxa"/>
              <w:bottom w:w="80" w:type="dxa"/>
              <w:right w:w="80" w:type="dxa"/>
            </w:tcMar>
          </w:tcPr>
          <w:p w14:paraId="2FA3F904" w14:textId="51D6E73D" w:rsidR="00DE5714" w:rsidRPr="009F1413" w:rsidRDefault="0026127F" w:rsidP="009F1413">
            <w:pPr>
              <w:pStyle w:val="NormalIndented"/>
              <w:ind w:left="0"/>
              <w:jc w:val="center"/>
              <w:rPr>
                <w:rStyle w:val="NoneA"/>
                <w:b/>
                <w:sz w:val="20"/>
                <w:szCs w:val="20"/>
              </w:rPr>
            </w:pPr>
            <w:r>
              <w:rPr>
                <w:rStyle w:val="NoneA"/>
                <w:b/>
                <w:sz w:val="20"/>
                <w:szCs w:val="20"/>
              </w:rPr>
              <w:t>57.7</w:t>
            </w:r>
          </w:p>
        </w:tc>
        <w:tc>
          <w:tcPr>
            <w:tcW w:w="982" w:type="dxa"/>
            <w:tcBorders>
              <w:top w:val="nil"/>
              <w:left w:val="nil"/>
              <w:bottom w:val="single" w:sz="12" w:space="0" w:color="000000"/>
              <w:right w:val="nil"/>
            </w:tcBorders>
            <w:shd w:val="clear" w:color="auto" w:fill="auto"/>
            <w:tcMar>
              <w:top w:w="80" w:type="dxa"/>
              <w:left w:w="80" w:type="dxa"/>
              <w:bottom w:w="80" w:type="dxa"/>
              <w:right w:w="80" w:type="dxa"/>
            </w:tcMar>
          </w:tcPr>
          <w:p w14:paraId="4094E871" w14:textId="1B555EA9" w:rsidR="00DE5714" w:rsidRPr="009F1413" w:rsidRDefault="00DE5714" w:rsidP="009F1413">
            <w:pPr>
              <w:pStyle w:val="NormalIndented"/>
              <w:ind w:left="0"/>
              <w:jc w:val="center"/>
              <w:rPr>
                <w:rStyle w:val="NoneA"/>
                <w:b/>
                <w:sz w:val="20"/>
                <w:szCs w:val="20"/>
              </w:rPr>
            </w:pPr>
            <w:r w:rsidRPr="009F1413">
              <w:rPr>
                <w:rStyle w:val="NoneA"/>
                <w:b/>
                <w:sz w:val="20"/>
                <w:szCs w:val="20"/>
              </w:rPr>
              <w:t>100.00</w:t>
            </w:r>
          </w:p>
        </w:tc>
      </w:tr>
    </w:tbl>
    <w:p w14:paraId="7002B41A" w14:textId="30EFFFFE" w:rsidR="009A2811" w:rsidRDefault="009A2811"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p>
    <w:p w14:paraId="023C8626" w14:textId="77777777" w:rsidR="0061159B" w:rsidRDefault="0061159B"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p>
    <w:p w14:paraId="6EF9FD78" w14:textId="1F8FF04E" w:rsidR="002A51CA" w:rsidRPr="002A51CA" w:rsidRDefault="002A51CA" w:rsidP="00A20FBD">
      <w:pPr>
        <w:pStyle w:val="ListBullet"/>
        <w:tabs>
          <w:tab w:val="clear" w:pos="284"/>
        </w:tabs>
        <w:spacing w:before="360" w:line="240" w:lineRule="auto"/>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lastRenderedPageBreak/>
        <w:t xml:space="preserve">Progress towards </w:t>
      </w:r>
      <w:r w:rsidR="00162218">
        <w:rPr>
          <w:rFonts w:asciiTheme="majorHAnsi" w:eastAsiaTheme="majorEastAsia" w:hAnsiTheme="majorHAnsi" w:cstheme="majorBidi"/>
          <w:caps/>
          <w:color w:val="495965" w:themeColor="text2"/>
          <w:sz w:val="38"/>
          <w:szCs w:val="26"/>
          <w:lang w:val="en-GB" w:eastAsia="en-US"/>
        </w:rPr>
        <w:t xml:space="preserve">AIP </w:t>
      </w:r>
      <w:r w:rsidRPr="002A51CA">
        <w:rPr>
          <w:rFonts w:asciiTheme="majorHAnsi" w:eastAsiaTheme="majorEastAsia" w:hAnsiTheme="majorHAnsi" w:cstheme="majorBidi"/>
          <w:caps/>
          <w:color w:val="495965" w:themeColor="text2"/>
          <w:sz w:val="38"/>
          <w:szCs w:val="26"/>
          <w:lang w:val="en-GB" w:eastAsia="en-US"/>
        </w:rPr>
        <w:t>Objectives</w:t>
      </w:r>
      <w:r w:rsidRPr="002A51CA">
        <w:rPr>
          <w:rFonts w:asciiTheme="majorHAnsi" w:eastAsiaTheme="majorEastAsia" w:hAnsiTheme="majorHAnsi" w:cstheme="majorBidi"/>
          <w:caps/>
          <w:color w:val="495965" w:themeColor="text2"/>
          <w:sz w:val="38"/>
          <w:szCs w:val="26"/>
          <w:lang w:val="en-GB" w:eastAsia="en-US"/>
        </w:rPr>
        <w:tab/>
      </w:r>
    </w:p>
    <w:p w14:paraId="338041F3" w14:textId="021B70D1" w:rsidR="00026AE0" w:rsidRDefault="00DE5714" w:rsidP="009A6EB9">
      <w:pPr>
        <w:keepNext/>
        <w:pBdr>
          <w:top w:val="nil"/>
          <w:left w:val="nil"/>
          <w:bottom w:val="nil"/>
          <w:right w:val="nil"/>
          <w:between w:val="nil"/>
          <w:bar w:val="nil"/>
        </w:pBdr>
        <w:spacing w:before="80" w:after="80" w:line="280" w:lineRule="atLeast"/>
        <w:jc w:val="both"/>
        <w:rPr>
          <w:rFonts w:ascii="Helvetica" w:eastAsia="Calibri Light" w:hAnsi="Helvetica" w:cs="Calibri Light"/>
          <w:b/>
          <w:bCs/>
          <w:color w:val="495965"/>
          <w:sz w:val="24"/>
          <w:szCs w:val="24"/>
          <w:u w:color="495965"/>
          <w:bdr w:val="nil"/>
          <w:lang w:val="en-US" w:eastAsia="en-AU"/>
        </w:rPr>
      </w:pPr>
      <w:r w:rsidRPr="00DE5714">
        <w:rPr>
          <w:rFonts w:ascii="Calibri Light" w:eastAsia="Calibri Light" w:hAnsi="Calibri Light" w:cs="Calibri Light"/>
          <w:bCs/>
          <w:color w:val="495965"/>
          <w:u w:color="495965"/>
          <w:bdr w:val="nil"/>
          <w:lang w:val="en-US" w:eastAsia="en-AU"/>
        </w:rPr>
        <w:t xml:space="preserve">This report assesses progress and results against the </w:t>
      </w:r>
      <w:r w:rsidR="00BD4F66">
        <w:rPr>
          <w:rFonts w:ascii="Calibri Light" w:eastAsia="Calibri Light" w:hAnsi="Calibri Light" w:cs="Calibri Light"/>
          <w:bCs/>
          <w:color w:val="495965"/>
          <w:u w:color="495965"/>
          <w:bdr w:val="nil"/>
          <w:lang w:val="en-US" w:eastAsia="en-AU"/>
        </w:rPr>
        <w:t xml:space="preserve">two strategic objectives in the </w:t>
      </w:r>
      <w:r w:rsidRPr="00DE5714">
        <w:rPr>
          <w:rFonts w:ascii="Calibri Light" w:eastAsia="Calibri Light" w:hAnsi="Calibri Light" w:cs="Calibri Light"/>
          <w:bCs/>
          <w:color w:val="495965"/>
          <w:u w:color="495965"/>
          <w:bdr w:val="nil"/>
          <w:lang w:val="en-US" w:eastAsia="en-AU"/>
        </w:rPr>
        <w:t>Bangl</w:t>
      </w:r>
      <w:r w:rsidR="0041585A">
        <w:rPr>
          <w:rFonts w:ascii="Calibri Light" w:eastAsia="Calibri Light" w:hAnsi="Calibri Light" w:cs="Calibri Light"/>
          <w:bCs/>
          <w:color w:val="495965"/>
          <w:u w:color="495965"/>
          <w:bdr w:val="nil"/>
          <w:lang w:val="en-US" w:eastAsia="en-AU"/>
        </w:rPr>
        <w:t xml:space="preserve">adesh Aid Investment Plan (AIP) </w:t>
      </w:r>
      <w:r w:rsidR="00BB0B31">
        <w:rPr>
          <w:rFonts w:ascii="Calibri Light" w:eastAsia="Calibri Light" w:hAnsi="Calibri Light" w:cs="Calibri Light"/>
          <w:bCs/>
          <w:color w:val="495965"/>
          <w:u w:color="495965"/>
          <w:bdr w:val="nil"/>
          <w:lang w:val="en-US" w:eastAsia="en-AU"/>
        </w:rPr>
        <w:t>2015-16 to 2018-1</w:t>
      </w:r>
      <w:r w:rsidR="00BD4F66">
        <w:rPr>
          <w:rFonts w:ascii="Calibri Light" w:eastAsia="Calibri Light" w:hAnsi="Calibri Light" w:cs="Calibri Light"/>
          <w:bCs/>
          <w:color w:val="495965"/>
          <w:u w:color="495965"/>
          <w:bdr w:val="nil"/>
          <w:lang w:val="en-US" w:eastAsia="en-AU"/>
        </w:rPr>
        <w:t>9</w:t>
      </w:r>
      <w:r w:rsidRPr="00DE5714">
        <w:rPr>
          <w:rFonts w:ascii="Calibri Light" w:eastAsia="Calibri Light" w:hAnsi="Calibri Light" w:cs="Calibri Light"/>
          <w:bCs/>
          <w:color w:val="495965"/>
          <w:u w:color="495965"/>
          <w:bdr w:val="nil"/>
          <w:lang w:val="en-US" w:eastAsia="en-AU"/>
        </w:rPr>
        <w:t>. Ratings are based on assessment against the AIP’s Perfor</w:t>
      </w:r>
      <w:r w:rsidR="003A770E">
        <w:rPr>
          <w:rFonts w:ascii="Calibri Light" w:eastAsia="Calibri Light" w:hAnsi="Calibri Light" w:cs="Calibri Light"/>
          <w:bCs/>
          <w:color w:val="495965"/>
          <w:u w:color="495965"/>
          <w:bdr w:val="nil"/>
          <w:lang w:val="en-US" w:eastAsia="en-AU"/>
        </w:rPr>
        <w:t>mance Assessment Framework</w:t>
      </w:r>
      <w:r w:rsidR="006C5053">
        <w:rPr>
          <w:rFonts w:ascii="Calibri Light" w:eastAsia="Calibri Light" w:hAnsi="Calibri Light" w:cs="Calibri Light"/>
          <w:bCs/>
          <w:color w:val="495965"/>
          <w:u w:color="495965"/>
          <w:bdr w:val="nil"/>
          <w:lang w:val="en-US" w:eastAsia="en-AU"/>
        </w:rPr>
        <w:t>, the Performance Benchmarks</w:t>
      </w:r>
      <w:r w:rsidRPr="00DE5714">
        <w:rPr>
          <w:rFonts w:ascii="Calibri Light" w:eastAsia="Calibri Light" w:hAnsi="Calibri Light" w:cs="Calibri Light"/>
          <w:bCs/>
          <w:color w:val="495965"/>
          <w:u w:color="495965"/>
          <w:bdr w:val="nil"/>
          <w:lang w:val="en-US" w:eastAsia="en-AU"/>
        </w:rPr>
        <w:t xml:space="preserve"> and investment quality reporting. </w:t>
      </w:r>
    </w:p>
    <w:p w14:paraId="71C3C057" w14:textId="77777777" w:rsidR="009A6EB9" w:rsidRPr="009A6EB9" w:rsidRDefault="009A6EB9" w:rsidP="009A6EB9">
      <w:pPr>
        <w:keepNext/>
        <w:pBdr>
          <w:top w:val="nil"/>
          <w:left w:val="nil"/>
          <w:bottom w:val="nil"/>
          <w:right w:val="nil"/>
          <w:between w:val="nil"/>
          <w:bar w:val="nil"/>
        </w:pBdr>
        <w:spacing w:before="80" w:after="80" w:line="280" w:lineRule="atLeast"/>
        <w:jc w:val="both"/>
        <w:rPr>
          <w:rFonts w:ascii="Helvetica" w:eastAsia="Calibri Light" w:hAnsi="Helvetica" w:cs="Calibri Light"/>
          <w:b/>
          <w:bCs/>
          <w:color w:val="495965"/>
          <w:sz w:val="24"/>
          <w:szCs w:val="24"/>
          <w:u w:color="495965"/>
          <w:bdr w:val="nil"/>
          <w:lang w:val="en-US" w:eastAsia="en-AU"/>
        </w:rPr>
      </w:pPr>
    </w:p>
    <w:p w14:paraId="04C2C138" w14:textId="7CCC211D" w:rsidR="009A6EB9" w:rsidRPr="009A6EB9" w:rsidRDefault="009A6EB9" w:rsidP="009A6EB9">
      <w:pPr>
        <w:rPr>
          <w:b/>
          <w:sz w:val="24"/>
        </w:rPr>
      </w:pPr>
      <w:r w:rsidRPr="009A6EB9">
        <w:rPr>
          <w:b/>
          <w:sz w:val="24"/>
        </w:rPr>
        <w:t xml:space="preserve">Table </w:t>
      </w:r>
      <w:r w:rsidRPr="009A6EB9">
        <w:rPr>
          <w:b/>
          <w:sz w:val="24"/>
        </w:rPr>
        <w:fldChar w:fldCharType="begin"/>
      </w:r>
      <w:r w:rsidRPr="009A6EB9">
        <w:rPr>
          <w:b/>
          <w:sz w:val="24"/>
        </w:rPr>
        <w:instrText xml:space="preserve"> SEQ Table \* ARABIC </w:instrText>
      </w:r>
      <w:r w:rsidRPr="009A6EB9">
        <w:rPr>
          <w:b/>
          <w:sz w:val="24"/>
        </w:rPr>
        <w:fldChar w:fldCharType="separate"/>
      </w:r>
      <w:r w:rsidR="001A2666">
        <w:rPr>
          <w:b/>
          <w:noProof/>
          <w:sz w:val="24"/>
        </w:rPr>
        <w:t>1</w:t>
      </w:r>
      <w:r w:rsidRPr="009A6EB9">
        <w:rPr>
          <w:b/>
          <w:noProof/>
          <w:sz w:val="24"/>
        </w:rPr>
        <w:fldChar w:fldCharType="end"/>
      </w:r>
      <w:r w:rsidRPr="009A6EB9">
        <w:rPr>
          <w:b/>
          <w:sz w:val="24"/>
        </w:rPr>
        <w:t xml:space="preserve"> Rating of the Program's Progress towards Australia’s Aid Objectives</w:t>
      </w:r>
    </w:p>
    <w:tbl>
      <w:tblPr>
        <w:tblStyle w:val="APPR2"/>
        <w:tblW w:w="4854" w:type="pct"/>
        <w:tblLook w:val="0000" w:firstRow="0" w:lastRow="0" w:firstColumn="0" w:lastColumn="0" w:noHBand="0" w:noVBand="0"/>
      </w:tblPr>
      <w:tblGrid>
        <w:gridCol w:w="6759"/>
        <w:gridCol w:w="1321"/>
        <w:gridCol w:w="1277"/>
      </w:tblGrid>
      <w:tr w:rsidR="009A6EB9" w:rsidRPr="009A6EB9" w14:paraId="209CFB5A" w14:textId="77777777" w:rsidTr="007C5C3C">
        <w:trPr>
          <w:cnfStyle w:val="000000010000" w:firstRow="0" w:lastRow="0" w:firstColumn="0" w:lastColumn="0" w:oddVBand="0" w:evenVBand="0" w:oddHBand="0" w:evenHBand="1" w:firstRowFirstColumn="0" w:firstRowLastColumn="0" w:lastRowFirstColumn="0" w:lastRowLastColumn="0"/>
          <w:trHeight w:val="651"/>
        </w:trPr>
        <w:tc>
          <w:tcPr>
            <w:tcW w:w="6717" w:type="dxa"/>
          </w:tcPr>
          <w:p w14:paraId="3E7B25E9" w14:textId="77777777" w:rsidR="009A6EB9" w:rsidRPr="009A6EB9" w:rsidRDefault="009A6EB9" w:rsidP="009A6EB9">
            <w:pPr>
              <w:ind w:left="284"/>
              <w:rPr>
                <w:rFonts w:asciiTheme="minorHAnsi" w:hAnsiTheme="minorHAnsi"/>
                <w:sz w:val="18"/>
                <w:szCs w:val="18"/>
                <w:lang w:eastAsia="en-US"/>
              </w:rPr>
            </w:pPr>
            <w:r w:rsidRPr="009A6EB9">
              <w:rPr>
                <w:noProof/>
                <w:sz w:val="18"/>
                <w:szCs w:val="18"/>
                <w:lang w:val="en-AU"/>
              </w:rPr>
              <w:drawing>
                <wp:anchor distT="0" distB="0" distL="114300" distR="114300" simplePos="0" relativeHeight="251703296" behindDoc="0" locked="0" layoutInCell="1" allowOverlap="1" wp14:anchorId="01E04897" wp14:editId="144D82B4">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6EB9">
              <w:rPr>
                <w:rFonts w:asciiTheme="minorHAnsi" w:hAnsiTheme="minorHAnsi"/>
                <w:sz w:val="18"/>
                <w:szCs w:val="18"/>
                <w:lang w:eastAsia="en-US"/>
              </w:rPr>
              <w:t>Objective</w:t>
            </w:r>
          </w:p>
        </w:tc>
        <w:tc>
          <w:tcPr>
            <w:tcW w:w="1293" w:type="dxa"/>
          </w:tcPr>
          <w:p w14:paraId="156A27B3" w14:textId="77777777" w:rsidR="009A6EB9" w:rsidRPr="009A6EB9" w:rsidRDefault="009A6EB9" w:rsidP="009A6EB9">
            <w:pPr>
              <w:ind w:left="284"/>
              <w:rPr>
                <w:sz w:val="18"/>
                <w:lang w:eastAsia="en-US"/>
              </w:rPr>
            </w:pPr>
            <w:r w:rsidRPr="009A6EB9">
              <w:rPr>
                <w:sz w:val="18"/>
                <w:lang w:eastAsia="en-US"/>
              </w:rPr>
              <w:t>Previous Rating</w:t>
            </w:r>
          </w:p>
        </w:tc>
        <w:tc>
          <w:tcPr>
            <w:tcW w:w="1235" w:type="dxa"/>
          </w:tcPr>
          <w:p w14:paraId="2481BF84" w14:textId="77777777" w:rsidR="009A6EB9" w:rsidRPr="009A6EB9" w:rsidRDefault="009A6EB9" w:rsidP="009A6EB9">
            <w:pPr>
              <w:ind w:left="284"/>
              <w:rPr>
                <w:sz w:val="18"/>
                <w:lang w:eastAsia="en-US"/>
              </w:rPr>
            </w:pPr>
            <w:r w:rsidRPr="009A6EB9">
              <w:rPr>
                <w:sz w:val="18"/>
                <w:lang w:eastAsia="en-US"/>
              </w:rPr>
              <w:t>Current Rating</w:t>
            </w:r>
          </w:p>
        </w:tc>
      </w:tr>
      <w:tr w:rsidR="009A6EB9" w:rsidRPr="009A6EB9" w14:paraId="3128E4F0" w14:textId="77777777" w:rsidTr="009A6EB9">
        <w:trPr>
          <w:cnfStyle w:val="000000010000" w:firstRow="0" w:lastRow="0" w:firstColumn="0" w:lastColumn="0" w:oddVBand="0" w:evenVBand="0" w:oddHBand="0" w:evenHBand="1" w:firstRowFirstColumn="0" w:firstRowLastColumn="0" w:lastRowFirstColumn="0" w:lastRowLastColumn="0"/>
        </w:trPr>
        <w:tc>
          <w:tcPr>
            <w:tcW w:w="6717" w:type="dxa"/>
          </w:tcPr>
          <w:p w14:paraId="416381B7" w14:textId="3C8A7F9E" w:rsidR="009A6EB9" w:rsidRPr="009A6EB9" w:rsidRDefault="009A6EB9" w:rsidP="009A6EB9">
            <w:pPr>
              <w:ind w:left="284"/>
              <w:rPr>
                <w:rFonts w:asciiTheme="minorHAnsi" w:hAnsiTheme="minorHAnsi"/>
                <w:sz w:val="18"/>
                <w:szCs w:val="18"/>
                <w:lang w:eastAsia="en-US"/>
              </w:rPr>
            </w:pPr>
            <w:r w:rsidRPr="00717BCB">
              <w:rPr>
                <w:rFonts w:asciiTheme="minorHAnsi" w:hAnsiTheme="minorHAnsi"/>
                <w:sz w:val="18"/>
                <w:szCs w:val="18"/>
                <w:lang w:eastAsia="en-US"/>
              </w:rPr>
              <w:t>Objective 1: Improving education access, equity, efficiency and learning outcomes</w:t>
            </w:r>
          </w:p>
        </w:tc>
        <w:tc>
          <w:tcPr>
            <w:tcW w:w="1293" w:type="dxa"/>
            <w:shd w:val="clear" w:color="auto" w:fill="7FB64D" w:themeFill="accent3" w:themeFillShade="BF"/>
            <w:noWrap/>
          </w:tcPr>
          <w:p w14:paraId="2174110A" w14:textId="77777777" w:rsidR="009A6EB9" w:rsidRPr="009A6EB9" w:rsidRDefault="009A6EB9" w:rsidP="009A6EB9">
            <w:pPr>
              <w:ind w:left="284"/>
              <w:rPr>
                <w:color w:val="FFFFFF" w:themeColor="background1"/>
                <w:sz w:val="16"/>
                <w:lang w:eastAsia="en-US"/>
              </w:rPr>
            </w:pPr>
            <w:r w:rsidRPr="009A6EB9">
              <w:rPr>
                <w:color w:val="FFFFFF" w:themeColor="background1"/>
                <w:sz w:val="16"/>
                <w:lang w:eastAsia="en-US"/>
              </w:rPr>
              <w:t>Green</w:t>
            </w:r>
          </w:p>
        </w:tc>
        <w:tc>
          <w:tcPr>
            <w:tcW w:w="1235" w:type="dxa"/>
            <w:shd w:val="clear" w:color="auto" w:fill="7FB64D" w:themeFill="accent3" w:themeFillShade="BF"/>
            <w:noWrap/>
          </w:tcPr>
          <w:p w14:paraId="7CBE7203" w14:textId="41B01E52" w:rsidR="009A6EB9" w:rsidRPr="009A6EB9" w:rsidRDefault="009A6EB9" w:rsidP="009A6EB9">
            <w:pPr>
              <w:ind w:left="284"/>
              <w:rPr>
                <w:color w:val="FFFFFF" w:themeColor="background1"/>
                <w:sz w:val="16"/>
                <w:lang w:eastAsia="en-US"/>
              </w:rPr>
            </w:pPr>
            <w:r>
              <w:rPr>
                <w:color w:val="FFFFFF" w:themeColor="background1"/>
                <w:sz w:val="16"/>
                <w:lang w:eastAsia="en-US"/>
              </w:rPr>
              <w:t>Green</w:t>
            </w:r>
          </w:p>
        </w:tc>
      </w:tr>
      <w:tr w:rsidR="009A6EB9" w:rsidRPr="009A6EB9" w14:paraId="31FC45C5" w14:textId="77777777" w:rsidTr="009A6EB9">
        <w:trPr>
          <w:cnfStyle w:val="000000010000" w:firstRow="0" w:lastRow="0" w:firstColumn="0" w:lastColumn="0" w:oddVBand="0" w:evenVBand="0" w:oddHBand="0" w:evenHBand="1" w:firstRowFirstColumn="0" w:firstRowLastColumn="0" w:lastRowFirstColumn="0" w:lastRowLastColumn="0"/>
        </w:trPr>
        <w:tc>
          <w:tcPr>
            <w:tcW w:w="6717" w:type="dxa"/>
          </w:tcPr>
          <w:p w14:paraId="08E38ACE" w14:textId="2BC293F7" w:rsidR="009A6EB9" w:rsidRPr="009A6EB9" w:rsidRDefault="009A6EB9" w:rsidP="009A6EB9">
            <w:pPr>
              <w:ind w:left="284"/>
              <w:rPr>
                <w:rFonts w:asciiTheme="minorHAnsi" w:hAnsiTheme="minorHAnsi"/>
                <w:sz w:val="18"/>
                <w:szCs w:val="18"/>
                <w:lang w:eastAsia="en-US"/>
              </w:rPr>
            </w:pPr>
            <w:r w:rsidRPr="009A6EB9">
              <w:rPr>
                <w:rFonts w:asciiTheme="minorHAnsi" w:hAnsiTheme="minorHAnsi"/>
                <w:sz w:val="18"/>
                <w:szCs w:val="18"/>
                <w:lang w:eastAsia="en-US"/>
              </w:rPr>
              <w:t>Objective 2</w:t>
            </w:r>
            <w:r w:rsidRPr="00717BCB">
              <w:rPr>
                <w:rFonts w:asciiTheme="minorHAnsi" w:hAnsiTheme="minorHAnsi"/>
                <w:sz w:val="18"/>
                <w:szCs w:val="18"/>
                <w:lang w:eastAsia="en-US"/>
              </w:rPr>
              <w:t>: Building resilience by reducing vulnerability and improving inclusion in the growing economic</w:t>
            </w:r>
          </w:p>
        </w:tc>
        <w:tc>
          <w:tcPr>
            <w:tcW w:w="1293" w:type="dxa"/>
            <w:shd w:val="clear" w:color="auto" w:fill="7FB64D" w:themeFill="accent3" w:themeFillShade="BF"/>
            <w:noWrap/>
          </w:tcPr>
          <w:p w14:paraId="1C50BC7B" w14:textId="7D2D85D9" w:rsidR="009A6EB9" w:rsidRPr="009A6EB9" w:rsidRDefault="009A6EB9" w:rsidP="009A6EB9">
            <w:pPr>
              <w:ind w:left="284"/>
              <w:rPr>
                <w:color w:val="FFFFFF" w:themeColor="background1"/>
                <w:sz w:val="16"/>
                <w:lang w:eastAsia="en-US"/>
              </w:rPr>
            </w:pPr>
            <w:r>
              <w:rPr>
                <w:color w:val="FFFFFF" w:themeColor="background1"/>
                <w:sz w:val="16"/>
                <w:lang w:eastAsia="en-US"/>
              </w:rPr>
              <w:t>Green</w:t>
            </w:r>
          </w:p>
        </w:tc>
        <w:tc>
          <w:tcPr>
            <w:tcW w:w="1235" w:type="dxa"/>
            <w:shd w:val="clear" w:color="auto" w:fill="72AF2F"/>
            <w:noWrap/>
          </w:tcPr>
          <w:p w14:paraId="605B84A3" w14:textId="77777777" w:rsidR="009A6EB9" w:rsidRPr="009A6EB9" w:rsidRDefault="009A6EB9" w:rsidP="009A6EB9">
            <w:pPr>
              <w:ind w:left="284"/>
              <w:rPr>
                <w:color w:val="FFFFFF" w:themeColor="background1"/>
                <w:sz w:val="16"/>
                <w:lang w:eastAsia="en-US"/>
              </w:rPr>
            </w:pPr>
            <w:r w:rsidRPr="009A6EB9">
              <w:rPr>
                <w:color w:val="FFFFFF" w:themeColor="background1"/>
                <w:sz w:val="16"/>
                <w:lang w:eastAsia="en-US"/>
              </w:rPr>
              <w:t>Green</w:t>
            </w:r>
          </w:p>
        </w:tc>
      </w:tr>
    </w:tbl>
    <w:p w14:paraId="71BE570A" w14:textId="77777777" w:rsidR="009A6EB9" w:rsidRPr="009A6EB9" w:rsidRDefault="009A6EB9" w:rsidP="009A6EB9">
      <w:pPr>
        <w:ind w:left="284"/>
        <w:rPr>
          <w:sz w:val="18"/>
          <w:szCs w:val="18"/>
        </w:rPr>
      </w:pPr>
      <w:r w:rsidRPr="009A6EB9">
        <w:rPr>
          <w:color w:val="72AF2F"/>
          <w:sz w:val="16"/>
        </w:rPr>
        <w:sym w:font="Webdings" w:char="F067"/>
      </w:r>
      <w:r w:rsidRPr="009A6EB9">
        <w:rPr>
          <w:sz w:val="16"/>
        </w:rPr>
        <w:t> </w:t>
      </w:r>
      <w:r w:rsidRPr="009A6EB9">
        <w:rPr>
          <w:sz w:val="16"/>
        </w:rPr>
        <w:t xml:space="preserve"> </w:t>
      </w:r>
      <w:r w:rsidRPr="009A6EB9">
        <w:rPr>
          <w:b/>
          <w:sz w:val="16"/>
        </w:rPr>
        <w:t>Green</w:t>
      </w:r>
      <w:r w:rsidRPr="009A6EB9">
        <w:rPr>
          <w:sz w:val="16"/>
        </w:rPr>
        <w:t xml:space="preserve">. </w:t>
      </w:r>
      <w:r w:rsidRPr="009A6EB9">
        <w:rPr>
          <w:sz w:val="18"/>
          <w:szCs w:val="18"/>
        </w:rPr>
        <w:t>Progress is as expected at this stage of implementation and it is likely that the objective will be achieved. Standard program management practices are sufficient.</w:t>
      </w:r>
    </w:p>
    <w:p w14:paraId="2E1E0D33" w14:textId="77777777" w:rsidR="009A6EB9" w:rsidRPr="009A6EB9" w:rsidRDefault="009A6EB9" w:rsidP="009A6EB9">
      <w:pPr>
        <w:ind w:left="284"/>
        <w:rPr>
          <w:sz w:val="18"/>
          <w:szCs w:val="18"/>
        </w:rPr>
      </w:pPr>
      <w:r w:rsidRPr="009A6EB9">
        <w:rPr>
          <w:color w:val="E36C0A"/>
          <w:sz w:val="18"/>
          <w:szCs w:val="18"/>
        </w:rPr>
        <w:sym w:font="Webdings" w:char="F067"/>
      </w:r>
      <w:r w:rsidRPr="009A6EB9">
        <w:rPr>
          <w:sz w:val="18"/>
          <w:szCs w:val="18"/>
        </w:rPr>
        <w:t> </w:t>
      </w:r>
      <w:r w:rsidRPr="009A6EB9">
        <w:rPr>
          <w:sz w:val="18"/>
          <w:szCs w:val="18"/>
        </w:rPr>
        <w:t xml:space="preserve"> </w:t>
      </w:r>
      <w:r w:rsidRPr="009A6EB9">
        <w:rPr>
          <w:b/>
          <w:sz w:val="18"/>
          <w:szCs w:val="18"/>
        </w:rPr>
        <w:t>Amber</w:t>
      </w:r>
      <w:r w:rsidRPr="009A6EB9">
        <w:rPr>
          <w:sz w:val="18"/>
          <w:szCs w:val="18"/>
        </w:rPr>
        <w:t>. Progress is somewhat less than expected at this stage of implementation and restorative action will be necessary if the objective is to be achieved. Close performance monitoring is recommended.</w:t>
      </w:r>
    </w:p>
    <w:p w14:paraId="55203D53" w14:textId="6B6922EC" w:rsidR="00026AE0" w:rsidRPr="00717BCB" w:rsidRDefault="009A6EB9" w:rsidP="009A6EB9">
      <w:pPr>
        <w:ind w:left="284"/>
        <w:rPr>
          <w:sz w:val="18"/>
          <w:szCs w:val="18"/>
        </w:rPr>
      </w:pPr>
      <w:r w:rsidRPr="009A6EB9">
        <w:rPr>
          <w:color w:val="FF0000"/>
          <w:sz w:val="18"/>
          <w:szCs w:val="18"/>
        </w:rPr>
        <w:sym w:font="Webdings" w:char="F067"/>
      </w:r>
      <w:r w:rsidRPr="009A6EB9">
        <w:rPr>
          <w:sz w:val="18"/>
          <w:szCs w:val="18"/>
        </w:rPr>
        <w:t> </w:t>
      </w:r>
      <w:r w:rsidRPr="009A6EB9">
        <w:rPr>
          <w:sz w:val="18"/>
          <w:szCs w:val="18"/>
        </w:rPr>
        <w:t xml:space="preserve"> </w:t>
      </w:r>
      <w:r w:rsidRPr="009A6EB9">
        <w:rPr>
          <w:b/>
          <w:sz w:val="18"/>
          <w:szCs w:val="18"/>
        </w:rPr>
        <w:t>Red.</w:t>
      </w:r>
      <w:r w:rsidRPr="009A6EB9">
        <w:rPr>
          <w:sz w:val="18"/>
          <w:szCs w:val="18"/>
        </w:rPr>
        <w:t xml:space="preserve"> Progress is significantly less than expected at this stage of implementation and the objective is not likely to be met given available resources and priorities. Recasting the objective may be required.</w:t>
      </w:r>
    </w:p>
    <w:p w14:paraId="3B6DAEF2" w14:textId="77777777" w:rsidR="009A6EB9" w:rsidRPr="009A6EB9" w:rsidRDefault="009A6EB9" w:rsidP="009A6EB9">
      <w:pPr>
        <w:ind w:left="284"/>
        <w:rPr>
          <w:sz w:val="16"/>
        </w:rPr>
      </w:pPr>
    </w:p>
    <w:p w14:paraId="0E006FFD" w14:textId="2C4C927B" w:rsidR="00DE5714" w:rsidRPr="00865578" w:rsidRDefault="00DE5714" w:rsidP="00DE5714">
      <w:pPr>
        <w:pBdr>
          <w:top w:val="nil"/>
          <w:left w:val="nil"/>
          <w:bottom w:val="nil"/>
          <w:right w:val="nil"/>
          <w:between w:val="nil"/>
          <w:bar w:val="nil"/>
        </w:pBdr>
        <w:spacing w:after="120" w:line="280" w:lineRule="exact"/>
        <w:rPr>
          <w:rFonts w:asciiTheme="majorHAnsi" w:eastAsia="Calibri Light" w:hAnsiTheme="majorHAnsi" w:cs="Calibri Light"/>
          <w:b/>
          <w:bCs/>
          <w:color w:val="495965"/>
          <w:sz w:val="28"/>
          <w:szCs w:val="28"/>
          <w:u w:color="495965"/>
          <w:bdr w:val="nil"/>
          <w:lang w:val="en-US" w:eastAsia="en-AU"/>
        </w:rPr>
      </w:pPr>
      <w:r w:rsidRPr="00865578">
        <w:rPr>
          <w:rFonts w:asciiTheme="majorHAnsi" w:eastAsia="Calibri Light" w:hAnsiTheme="majorHAnsi" w:cs="Calibri Light"/>
          <w:b/>
          <w:bCs/>
          <w:color w:val="495965"/>
          <w:sz w:val="28"/>
          <w:szCs w:val="28"/>
          <w:u w:color="495965"/>
          <w:bdr w:val="nil"/>
          <w:lang w:val="en-US" w:eastAsia="en-AU"/>
        </w:rPr>
        <w:t>OBJECTIVE 1: Improving education access, equity, efficiency and learning outcomes</w:t>
      </w:r>
    </w:p>
    <w:p w14:paraId="41D4FF4C" w14:textId="49142C8C" w:rsidR="000C3DB8" w:rsidRDefault="009A6EB9" w:rsidP="00DE5714">
      <w:pPr>
        <w:pBdr>
          <w:top w:val="nil"/>
          <w:left w:val="nil"/>
          <w:bottom w:val="nil"/>
          <w:right w:val="nil"/>
          <w:between w:val="nil"/>
          <w:bar w:val="nil"/>
        </w:pBdr>
        <w:spacing w:after="120" w:line="280" w:lineRule="exact"/>
        <w:rPr>
          <w:rFonts w:ascii="Helvetica" w:eastAsia="Calibri Light" w:hAnsi="Helvetica" w:cs="Calibri Light"/>
          <w:b/>
          <w:bCs/>
          <w:color w:val="495965"/>
          <w:sz w:val="28"/>
          <w:szCs w:val="28"/>
          <w:u w:color="495965"/>
          <w:bdr w:val="nil"/>
          <w:lang w:val="en-US" w:eastAsia="en-AU"/>
        </w:rPr>
      </w:pPr>
      <w:r>
        <w:rPr>
          <w:rFonts w:ascii="Helvetica" w:eastAsia="Calibri Light" w:hAnsi="Helvetica" w:cs="Calibri Light"/>
          <w:b/>
          <w:bCs/>
          <w:noProof/>
          <w:color w:val="495965"/>
          <w:sz w:val="28"/>
          <w:szCs w:val="28"/>
          <w:u w:color="495965"/>
          <w:bdr w:val="nil"/>
          <w:lang w:val="en-AU" w:eastAsia="en-AU"/>
        </w:rPr>
        <w:drawing>
          <wp:anchor distT="0" distB="0" distL="114300" distR="114300" simplePos="0" relativeHeight="251701248" behindDoc="0" locked="0" layoutInCell="1" allowOverlap="1" wp14:anchorId="48D31910" wp14:editId="5615354D">
            <wp:simplePos x="0" y="0"/>
            <wp:positionH relativeFrom="column">
              <wp:posOffset>3035935</wp:posOffset>
            </wp:positionH>
            <wp:positionV relativeFrom="paragraph">
              <wp:posOffset>56515</wp:posOffset>
            </wp:positionV>
            <wp:extent cx="742315" cy="543560"/>
            <wp:effectExtent l="0" t="0" r="635" b="889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2315" cy="54356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eastAsia="Calibri Light" w:hAnsi="Helvetica" w:cs="Calibri Light"/>
          <w:b/>
          <w:bCs/>
          <w:noProof/>
          <w:color w:val="495965"/>
          <w:sz w:val="28"/>
          <w:szCs w:val="28"/>
          <w:u w:color="495965"/>
          <w:bdr w:val="nil"/>
          <w:lang w:val="en-AU" w:eastAsia="en-AU"/>
        </w:rPr>
        <w:drawing>
          <wp:anchor distT="0" distB="0" distL="114300" distR="114300" simplePos="0" relativeHeight="251700224" behindDoc="0" locked="0" layoutInCell="1" allowOverlap="1" wp14:anchorId="6090E419" wp14:editId="4EBE1C67">
            <wp:simplePos x="0" y="0"/>
            <wp:positionH relativeFrom="column">
              <wp:posOffset>2121535</wp:posOffset>
            </wp:positionH>
            <wp:positionV relativeFrom="paragraph">
              <wp:posOffset>48260</wp:posOffset>
            </wp:positionV>
            <wp:extent cx="800735" cy="551815"/>
            <wp:effectExtent l="0" t="0" r="0" b="63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0735" cy="55181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eastAsia="Calibri Light" w:hAnsi="Helvetica" w:cs="Calibri Light"/>
          <w:b/>
          <w:bCs/>
          <w:noProof/>
          <w:color w:val="495965"/>
          <w:sz w:val="28"/>
          <w:szCs w:val="28"/>
          <w:u w:color="495965"/>
          <w:bdr w:val="nil"/>
          <w:lang w:val="en-AU" w:eastAsia="en-AU"/>
        </w:rPr>
        <w:drawing>
          <wp:anchor distT="0" distB="0" distL="114300" distR="114300" simplePos="0" relativeHeight="251699200" behindDoc="0" locked="0" layoutInCell="1" allowOverlap="1" wp14:anchorId="4F5C8EB2" wp14:editId="3C1F05C4">
            <wp:simplePos x="0" y="0"/>
            <wp:positionH relativeFrom="column">
              <wp:posOffset>1264920</wp:posOffset>
            </wp:positionH>
            <wp:positionV relativeFrom="paragraph">
              <wp:posOffset>48260</wp:posOffset>
            </wp:positionV>
            <wp:extent cx="771525" cy="551815"/>
            <wp:effectExtent l="0" t="0" r="9525" b="635"/>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71525" cy="55181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eastAsia="Calibri Light" w:hAnsi="Helvetica" w:cs="Calibri Light"/>
          <w:b/>
          <w:bCs/>
          <w:noProof/>
          <w:color w:val="495965"/>
          <w:sz w:val="28"/>
          <w:szCs w:val="28"/>
          <w:u w:color="495965"/>
          <w:bdr w:val="nil"/>
          <w:lang w:val="en-AU" w:eastAsia="en-AU"/>
        </w:rPr>
        <w:drawing>
          <wp:anchor distT="0" distB="0" distL="114300" distR="114300" simplePos="0" relativeHeight="251698176" behindDoc="0" locked="0" layoutInCell="1" allowOverlap="1" wp14:anchorId="6DB04939" wp14:editId="2F9815BC">
            <wp:simplePos x="0" y="0"/>
            <wp:positionH relativeFrom="margin">
              <wp:posOffset>-3810</wp:posOffset>
            </wp:positionH>
            <wp:positionV relativeFrom="paragraph">
              <wp:posOffset>31750</wp:posOffset>
            </wp:positionV>
            <wp:extent cx="1139825" cy="568325"/>
            <wp:effectExtent l="0" t="0" r="3175" b="317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39825" cy="568325"/>
                    </a:xfrm>
                    <a:prstGeom prst="rect">
                      <a:avLst/>
                    </a:prstGeom>
                    <a:noFill/>
                  </pic:spPr>
                </pic:pic>
              </a:graphicData>
            </a:graphic>
            <wp14:sizeRelH relativeFrom="page">
              <wp14:pctWidth>0</wp14:pctWidth>
            </wp14:sizeRelH>
            <wp14:sizeRelV relativeFrom="page">
              <wp14:pctHeight>0</wp14:pctHeight>
            </wp14:sizeRelV>
          </wp:anchor>
        </w:drawing>
      </w:r>
    </w:p>
    <w:p w14:paraId="2352DDE7" w14:textId="77777777" w:rsidR="000C3DB8" w:rsidRPr="00DE5714" w:rsidRDefault="000C3DB8" w:rsidP="00DE5714">
      <w:pPr>
        <w:pBdr>
          <w:top w:val="nil"/>
          <w:left w:val="nil"/>
          <w:bottom w:val="nil"/>
          <w:right w:val="nil"/>
          <w:between w:val="nil"/>
          <w:bar w:val="nil"/>
        </w:pBdr>
        <w:spacing w:after="120" w:line="280" w:lineRule="exact"/>
        <w:rPr>
          <w:rFonts w:ascii="Helvetica" w:eastAsia="Calibri Light" w:hAnsi="Helvetica" w:cs="Calibri Light"/>
          <w:b/>
          <w:bCs/>
          <w:color w:val="495965"/>
          <w:sz w:val="28"/>
          <w:szCs w:val="28"/>
          <w:u w:color="495965"/>
          <w:bdr w:val="nil"/>
          <w:lang w:val="en-US" w:eastAsia="en-AU"/>
        </w:rPr>
      </w:pPr>
    </w:p>
    <w:p w14:paraId="3D17B1D9" w14:textId="77777777" w:rsidR="000C3DB8" w:rsidRDefault="000C3DB8" w:rsidP="00DE5714">
      <w:pPr>
        <w:pBdr>
          <w:top w:val="nil"/>
          <w:left w:val="nil"/>
          <w:bottom w:val="nil"/>
          <w:right w:val="nil"/>
          <w:between w:val="nil"/>
          <w:bar w:val="nil"/>
        </w:pBdr>
        <w:spacing w:after="120" w:line="280" w:lineRule="exact"/>
        <w:rPr>
          <w:rFonts w:ascii="Calibri Light" w:eastAsia="Calibri Light" w:hAnsi="Calibri Light" w:cs="Calibri Light"/>
          <w:color w:val="495965"/>
          <w:u w:color="495965"/>
          <w:bdr w:val="nil"/>
          <w:lang w:val="en-US" w:eastAsia="en-AU"/>
        </w:rPr>
      </w:pPr>
    </w:p>
    <w:p w14:paraId="510E9DE2" w14:textId="0D4B5C47" w:rsidR="00DE5714" w:rsidRPr="0035542F" w:rsidRDefault="00DE5714" w:rsidP="00DE5714">
      <w:pPr>
        <w:pBdr>
          <w:top w:val="nil"/>
          <w:left w:val="nil"/>
          <w:bottom w:val="nil"/>
          <w:right w:val="nil"/>
          <w:between w:val="nil"/>
          <w:bar w:val="nil"/>
        </w:pBdr>
        <w:spacing w:after="120" w:line="280" w:lineRule="exact"/>
        <w:rPr>
          <w:rFonts w:asciiTheme="majorHAnsi" w:hAnsiTheme="majorHAnsi"/>
          <w:b/>
          <w:lang w:val="en-US"/>
        </w:rPr>
      </w:pPr>
      <w:r w:rsidRPr="0035542F">
        <w:rPr>
          <w:rFonts w:asciiTheme="majorHAnsi" w:hAnsiTheme="majorHAnsi"/>
          <w:b/>
          <w:lang w:val="en-US"/>
        </w:rPr>
        <w:t xml:space="preserve">Rating - </w:t>
      </w:r>
      <w:r w:rsidR="00A20FBD">
        <w:rPr>
          <w:rFonts w:asciiTheme="majorHAnsi" w:hAnsiTheme="majorHAnsi"/>
          <w:b/>
          <w:lang w:val="en-US"/>
        </w:rPr>
        <w:t>G</w:t>
      </w:r>
      <w:r w:rsidRPr="0035542F">
        <w:rPr>
          <w:rFonts w:asciiTheme="majorHAnsi" w:hAnsiTheme="majorHAnsi"/>
          <w:b/>
          <w:lang w:val="en-US"/>
        </w:rPr>
        <w:t>reen</w:t>
      </w:r>
    </w:p>
    <w:p w14:paraId="2A781C73" w14:textId="1AB2EEAF" w:rsidR="00026AE0" w:rsidRDefault="00122F0B" w:rsidP="00865578">
      <w:pPr>
        <w:pBdr>
          <w:top w:val="nil"/>
          <w:left w:val="nil"/>
          <w:bottom w:val="nil"/>
          <w:right w:val="nil"/>
          <w:between w:val="nil"/>
          <w:bar w:val="nil"/>
        </w:pBdr>
        <w:spacing w:after="120" w:line="280" w:lineRule="exact"/>
        <w:jc w:val="both"/>
        <w:rPr>
          <w:rFonts w:eastAsia="Calibri Light" w:cs="Calibri Light"/>
          <w:b/>
          <w:bCs/>
          <w:color w:val="495965"/>
          <w:u w:color="495965"/>
          <w:bdr w:val="nil"/>
          <w:lang w:val="en-US" w:eastAsia="en-AU"/>
        </w:rPr>
      </w:pPr>
      <w:r w:rsidRPr="00051C25">
        <w:rPr>
          <w:rFonts w:ascii="Calibri Light" w:eastAsia="Calibri Light" w:hAnsi="Calibri Light" w:cs="Calibri Light"/>
          <w:color w:val="495965"/>
          <w:u w:color="495965"/>
          <w:bdr w:val="nil"/>
          <w:lang w:val="en-US" w:eastAsia="en-AU"/>
        </w:rPr>
        <w:t>There are</w:t>
      </w:r>
      <w:r w:rsidR="00DE5714" w:rsidRPr="00051C25">
        <w:rPr>
          <w:rFonts w:ascii="Calibri Light" w:eastAsia="Calibri Light" w:hAnsi="Calibri Light" w:cs="Calibri Light"/>
          <w:color w:val="495965"/>
          <w:u w:color="495965"/>
          <w:bdr w:val="nil"/>
          <w:lang w:val="en-US" w:eastAsia="en-AU"/>
        </w:rPr>
        <w:t xml:space="preserve"> strong results against the Performance Assessment Framework (PAF) for Australia</w:t>
      </w:r>
      <w:r w:rsidR="00327740">
        <w:rPr>
          <w:rFonts w:ascii="Calibri Light" w:eastAsia="Calibri Light" w:hAnsi="Calibri Light" w:cs="Calibri Light"/>
          <w:color w:val="495965"/>
          <w:u w:color="495965"/>
          <w:bdr w:val="nil"/>
          <w:lang w:val="en-US" w:eastAsia="en-AU"/>
        </w:rPr>
        <w:t>’s Aid Investment Plan 2015-2019</w:t>
      </w:r>
      <w:r w:rsidR="00840238">
        <w:rPr>
          <w:rFonts w:ascii="Calibri Light" w:eastAsia="Calibri Light" w:hAnsi="Calibri Light" w:cs="Calibri Light"/>
          <w:color w:val="495965"/>
          <w:u w:color="495965"/>
          <w:bdr w:val="nil"/>
          <w:lang w:val="en-US" w:eastAsia="en-AU"/>
        </w:rPr>
        <w:t xml:space="preserve">. All </w:t>
      </w:r>
      <w:r w:rsidR="00916CA1">
        <w:rPr>
          <w:rFonts w:ascii="Calibri Light" w:eastAsia="Calibri Light" w:hAnsi="Calibri Light" w:cs="Calibri Light"/>
          <w:color w:val="495965"/>
          <w:u w:color="495965"/>
          <w:bdr w:val="nil"/>
          <w:lang w:val="en-US" w:eastAsia="en-AU"/>
        </w:rPr>
        <w:t>four Performance Benchmarks</w:t>
      </w:r>
      <w:r w:rsidR="00865578">
        <w:rPr>
          <w:rFonts w:ascii="Calibri Light" w:eastAsia="Calibri Light" w:hAnsi="Calibri Light" w:cs="Calibri Light"/>
          <w:color w:val="495965"/>
          <w:u w:color="495965"/>
          <w:bdr w:val="nil"/>
          <w:lang w:val="en-US" w:eastAsia="en-AU"/>
        </w:rPr>
        <w:t xml:space="preserve"> (PB)</w:t>
      </w:r>
      <w:r w:rsidR="00916CA1">
        <w:rPr>
          <w:rFonts w:ascii="Calibri Light" w:eastAsia="Calibri Light" w:hAnsi="Calibri Light" w:cs="Calibri Light"/>
          <w:color w:val="495965"/>
          <w:u w:color="495965"/>
          <w:bdr w:val="nil"/>
          <w:lang w:val="en-US" w:eastAsia="en-AU"/>
        </w:rPr>
        <w:t xml:space="preserve"> </w:t>
      </w:r>
      <w:r w:rsidR="00840238">
        <w:rPr>
          <w:rFonts w:ascii="Calibri Light" w:eastAsia="Calibri Light" w:hAnsi="Calibri Light" w:cs="Calibri Light"/>
          <w:color w:val="495965"/>
          <w:u w:color="495965"/>
          <w:bdr w:val="nil"/>
          <w:lang w:val="en-US" w:eastAsia="en-AU"/>
        </w:rPr>
        <w:t xml:space="preserve">and </w:t>
      </w:r>
      <w:r w:rsidR="00916CA1">
        <w:rPr>
          <w:rFonts w:ascii="Calibri Light" w:eastAsia="Calibri Light" w:hAnsi="Calibri Light" w:cs="Calibri Light"/>
          <w:color w:val="495965"/>
          <w:u w:color="495965"/>
          <w:bdr w:val="nil"/>
          <w:lang w:val="en-US" w:eastAsia="en-AU"/>
        </w:rPr>
        <w:t>eight PAF targets</w:t>
      </w:r>
      <w:r w:rsidR="00840238">
        <w:rPr>
          <w:rFonts w:ascii="Calibri Light" w:eastAsia="Calibri Light" w:hAnsi="Calibri Light" w:cs="Calibri Light"/>
          <w:color w:val="495965"/>
          <w:u w:color="495965"/>
          <w:bdr w:val="nil"/>
          <w:lang w:val="en-US" w:eastAsia="en-AU"/>
        </w:rPr>
        <w:t xml:space="preserve"> were </w:t>
      </w:r>
      <w:r w:rsidR="00BD4F66" w:rsidRPr="00051C25">
        <w:rPr>
          <w:rFonts w:ascii="Calibri Light" w:eastAsia="Calibri Light" w:hAnsi="Calibri Light" w:cs="Calibri Light"/>
          <w:color w:val="495965"/>
          <w:u w:color="495965"/>
          <w:bdr w:val="nil"/>
          <w:lang w:val="en-US" w:eastAsia="en-AU"/>
        </w:rPr>
        <w:t>met</w:t>
      </w:r>
      <w:r w:rsidR="00840238">
        <w:rPr>
          <w:rFonts w:ascii="Calibri Light" w:eastAsia="Calibri Light" w:hAnsi="Calibri Light" w:cs="Calibri Light"/>
          <w:color w:val="495965"/>
          <w:u w:color="495965"/>
          <w:bdr w:val="nil"/>
          <w:lang w:val="en-US" w:eastAsia="en-AU"/>
        </w:rPr>
        <w:t xml:space="preserve"> in 2016-17</w:t>
      </w:r>
      <w:r w:rsidR="006C5053" w:rsidRPr="00051C25">
        <w:rPr>
          <w:rFonts w:ascii="Calibri Light" w:eastAsia="Calibri Light" w:hAnsi="Calibri Light" w:cs="Calibri Light"/>
          <w:color w:val="495965"/>
          <w:u w:color="495965"/>
          <w:bdr w:val="nil"/>
          <w:lang w:val="en-US" w:eastAsia="en-AU"/>
        </w:rPr>
        <w:t xml:space="preserve">. </w:t>
      </w:r>
      <w:r w:rsidR="00DE5714" w:rsidRPr="00051C25">
        <w:rPr>
          <w:rFonts w:ascii="Calibri Light" w:eastAsia="Calibri Light" w:hAnsi="Calibri Light" w:cs="Calibri Light"/>
          <w:color w:val="495965"/>
          <w:u w:color="495965"/>
          <w:bdr w:val="nil"/>
          <w:lang w:val="en-US" w:eastAsia="en-AU"/>
        </w:rPr>
        <w:t xml:space="preserve">See </w:t>
      </w:r>
      <w:r w:rsidR="00DE5714" w:rsidRPr="00D13811">
        <w:rPr>
          <w:rFonts w:ascii="Calibri Light" w:eastAsia="Calibri Light" w:hAnsi="Calibri Light" w:cs="Calibri Light"/>
          <w:b/>
          <w:color w:val="495965"/>
          <w:u w:color="495965"/>
          <w:bdr w:val="nil"/>
          <w:lang w:val="en-US" w:eastAsia="en-AU"/>
        </w:rPr>
        <w:t xml:space="preserve">Annex </w:t>
      </w:r>
      <w:r w:rsidR="006C5053" w:rsidRPr="00D13811">
        <w:rPr>
          <w:rFonts w:ascii="Calibri Light" w:eastAsia="Calibri Light" w:hAnsi="Calibri Light" w:cs="Calibri Light"/>
          <w:b/>
          <w:color w:val="495965"/>
          <w:u w:color="495965"/>
          <w:bdr w:val="nil"/>
          <w:lang w:val="en-US" w:eastAsia="en-AU"/>
        </w:rPr>
        <w:t>B</w:t>
      </w:r>
      <w:r w:rsidR="006C5053" w:rsidRPr="00051C25">
        <w:rPr>
          <w:rFonts w:ascii="Calibri Light" w:eastAsia="Calibri Light" w:hAnsi="Calibri Light" w:cs="Calibri Light"/>
          <w:color w:val="495965"/>
          <w:u w:color="495965"/>
          <w:bdr w:val="nil"/>
          <w:lang w:val="en-US" w:eastAsia="en-AU"/>
        </w:rPr>
        <w:t xml:space="preserve"> and </w:t>
      </w:r>
      <w:r w:rsidR="00865578" w:rsidRPr="00865578">
        <w:rPr>
          <w:rFonts w:ascii="Calibri Light" w:eastAsia="Calibri Light" w:hAnsi="Calibri Light" w:cs="Calibri Light"/>
          <w:b/>
          <w:color w:val="495965"/>
          <w:u w:color="495965"/>
          <w:bdr w:val="nil"/>
          <w:lang w:val="en-US" w:eastAsia="en-AU"/>
        </w:rPr>
        <w:t xml:space="preserve">Annex </w:t>
      </w:r>
      <w:r w:rsidR="00DE5714" w:rsidRPr="00865578">
        <w:rPr>
          <w:rFonts w:ascii="Calibri Light" w:eastAsia="Calibri Light" w:hAnsi="Calibri Light" w:cs="Calibri Light"/>
          <w:b/>
          <w:color w:val="495965"/>
          <w:u w:color="495965"/>
          <w:bdr w:val="nil"/>
          <w:lang w:val="en-US" w:eastAsia="en-AU"/>
        </w:rPr>
        <w:t>E</w:t>
      </w:r>
      <w:r w:rsidR="00DE5714" w:rsidRPr="00051C25">
        <w:rPr>
          <w:rFonts w:ascii="Calibri Light" w:eastAsia="Calibri Light" w:hAnsi="Calibri Light" w:cs="Calibri Light"/>
          <w:color w:val="495965"/>
          <w:u w:color="495965"/>
          <w:bdr w:val="nil"/>
          <w:lang w:val="en-US" w:eastAsia="en-AU"/>
        </w:rPr>
        <w:t xml:space="preserve"> for details. </w:t>
      </w:r>
    </w:p>
    <w:p w14:paraId="117F50A7" w14:textId="6E7A0C5A" w:rsidR="00DE5714" w:rsidRPr="0035542F" w:rsidRDefault="00DE5714" w:rsidP="00DE5714">
      <w:pPr>
        <w:pBdr>
          <w:top w:val="nil"/>
          <w:left w:val="nil"/>
          <w:bottom w:val="nil"/>
          <w:right w:val="nil"/>
          <w:between w:val="nil"/>
          <w:bar w:val="nil"/>
        </w:pBdr>
        <w:spacing w:after="120" w:line="280" w:lineRule="exact"/>
        <w:rPr>
          <w:rFonts w:asciiTheme="majorHAnsi" w:eastAsia="Helvetica" w:hAnsiTheme="majorHAnsi" w:cs="Helvetica"/>
          <w:b/>
          <w:bCs/>
          <w:color w:val="495965"/>
          <w:u w:color="495965"/>
          <w:bdr w:val="nil"/>
          <w:lang w:val="en-US" w:eastAsia="en-AU"/>
        </w:rPr>
      </w:pPr>
      <w:r w:rsidRPr="0035542F">
        <w:rPr>
          <w:rFonts w:asciiTheme="majorHAnsi" w:eastAsia="Calibri Light" w:hAnsiTheme="majorHAnsi" w:cs="Calibri Light"/>
          <w:b/>
          <w:bCs/>
          <w:color w:val="495965"/>
          <w:u w:color="495965"/>
          <w:bdr w:val="nil"/>
          <w:lang w:val="en-US" w:eastAsia="en-AU"/>
        </w:rPr>
        <w:t>Outcome 1:   More girls and boys attain improved literary, numeracy and the core competencies identified at each level of primary education.</w:t>
      </w:r>
    </w:p>
    <w:p w14:paraId="5C45DE39" w14:textId="02B478A1" w:rsidR="00916CA1" w:rsidRDefault="00166281" w:rsidP="00026AE0">
      <w:pPr>
        <w:jc w:val="both"/>
        <w:rPr>
          <w:rFonts w:ascii="Calibri Light" w:eastAsia="Calibri Light" w:hAnsi="Calibri Light" w:cs="Calibri Light"/>
          <w:color w:val="495965"/>
          <w:u w:color="495965"/>
          <w:bdr w:val="nil"/>
          <w:lang w:val="en-US" w:eastAsia="en-AU"/>
        </w:rPr>
      </w:pPr>
      <w:r>
        <w:rPr>
          <w:rFonts w:ascii="Calibri Light" w:eastAsia="Calibri Light" w:hAnsi="Calibri Light" w:cs="Calibri Light"/>
          <w:color w:val="495965"/>
          <w:u w:color="495965"/>
          <w:bdr w:val="nil"/>
          <w:lang w:val="en-US" w:eastAsia="en-AU"/>
        </w:rPr>
        <w:t>Australia</w:t>
      </w:r>
      <w:r w:rsidR="00DE5714" w:rsidRPr="00DE5714">
        <w:rPr>
          <w:rFonts w:ascii="Calibri Light" w:eastAsia="Calibri Light" w:hAnsi="Calibri Light" w:cs="Calibri Light"/>
          <w:color w:val="495965"/>
          <w:u w:color="495965"/>
          <w:bdr w:val="nil"/>
          <w:lang w:val="en-US" w:eastAsia="en-AU"/>
        </w:rPr>
        <w:t xml:space="preserve"> </w:t>
      </w:r>
      <w:r w:rsidR="00122F0B">
        <w:rPr>
          <w:rFonts w:ascii="Calibri Light" w:eastAsia="Calibri Light" w:hAnsi="Calibri Light" w:cs="Calibri Light"/>
          <w:color w:val="495965"/>
          <w:u w:color="495965"/>
          <w:bdr w:val="nil"/>
          <w:lang w:val="en-US" w:eastAsia="en-AU"/>
        </w:rPr>
        <w:t>invested in</w:t>
      </w:r>
      <w:r w:rsidR="00DE5714" w:rsidRPr="00DE5714">
        <w:rPr>
          <w:rFonts w:ascii="Calibri Light" w:eastAsia="Calibri Light" w:hAnsi="Calibri Light" w:cs="Calibri Light"/>
          <w:color w:val="495965"/>
          <w:u w:color="495965"/>
          <w:bdr w:val="nil"/>
          <w:lang w:val="en-US" w:eastAsia="en-AU"/>
        </w:rPr>
        <w:t xml:space="preserve"> the Bangladesh Government’s </w:t>
      </w:r>
      <w:r w:rsidR="00775586">
        <w:rPr>
          <w:rFonts w:ascii="Calibri Light" w:eastAsia="Calibri Light" w:hAnsi="Calibri Light" w:cs="Calibri Light"/>
          <w:color w:val="495965"/>
          <w:u w:color="495965"/>
          <w:bdr w:val="nil"/>
          <w:lang w:val="en-US" w:eastAsia="en-AU"/>
        </w:rPr>
        <w:t xml:space="preserve">own </w:t>
      </w:r>
      <w:r w:rsidR="00DE5714" w:rsidRPr="00DE5714">
        <w:rPr>
          <w:rFonts w:ascii="Calibri Light" w:eastAsia="Calibri Light" w:hAnsi="Calibri Light" w:cs="Calibri Light"/>
          <w:color w:val="495965"/>
          <w:u w:color="495965"/>
          <w:bdr w:val="nil"/>
          <w:lang w:val="en-US" w:eastAsia="en-AU"/>
        </w:rPr>
        <w:t xml:space="preserve">Third Primary Education </w:t>
      </w:r>
      <w:r w:rsidR="00FB3AE0">
        <w:rPr>
          <w:rFonts w:ascii="Calibri Light" w:eastAsia="Calibri Light" w:hAnsi="Calibri Light" w:cs="Calibri Light"/>
          <w:color w:val="495965"/>
          <w:u w:color="495965"/>
          <w:bdr w:val="nil"/>
          <w:lang w:val="en-US" w:eastAsia="en-AU"/>
        </w:rPr>
        <w:t xml:space="preserve">Development </w:t>
      </w:r>
      <w:r w:rsidR="00DE5714" w:rsidRPr="00DE5714">
        <w:rPr>
          <w:rFonts w:ascii="Calibri Light" w:eastAsia="Calibri Light" w:hAnsi="Calibri Light" w:cs="Calibri Light"/>
          <w:color w:val="495965"/>
          <w:u w:color="495965"/>
          <w:bdr w:val="nil"/>
          <w:lang w:val="en-US" w:eastAsia="en-AU"/>
        </w:rPr>
        <w:t xml:space="preserve">Program (PEDP3), a $10 billion dollar sector wide initiative </w:t>
      </w:r>
      <w:r w:rsidR="00292CF0">
        <w:rPr>
          <w:rFonts w:ascii="Calibri Light" w:eastAsia="Calibri Light" w:hAnsi="Calibri Light" w:cs="Calibri Light"/>
          <w:color w:val="495965"/>
          <w:u w:color="495965"/>
          <w:bdr w:val="nil"/>
          <w:lang w:val="en-US" w:eastAsia="en-AU"/>
        </w:rPr>
        <w:t xml:space="preserve">in </w:t>
      </w:r>
      <w:r w:rsidR="00122F0B">
        <w:rPr>
          <w:rFonts w:ascii="Calibri Light" w:eastAsia="Calibri Light" w:hAnsi="Calibri Light" w:cs="Calibri Light"/>
          <w:color w:val="495965"/>
          <w:u w:color="495965"/>
          <w:bdr w:val="nil"/>
          <w:lang w:val="en-US" w:eastAsia="en-AU"/>
        </w:rPr>
        <w:t xml:space="preserve">government </w:t>
      </w:r>
      <w:r w:rsidR="00DE5714" w:rsidRPr="00DE5714">
        <w:rPr>
          <w:rFonts w:ascii="Calibri Light" w:eastAsia="Calibri Light" w:hAnsi="Calibri Light" w:cs="Calibri Light"/>
          <w:color w:val="495965"/>
          <w:u w:color="495965"/>
          <w:bdr w:val="nil"/>
          <w:lang w:val="en-US" w:eastAsia="en-AU"/>
        </w:rPr>
        <w:t xml:space="preserve">pre-primary and primary education </w:t>
      </w:r>
      <w:r w:rsidR="00292CF0">
        <w:rPr>
          <w:rFonts w:ascii="Calibri Light" w:eastAsia="Calibri Light" w:hAnsi="Calibri Light" w:cs="Calibri Light"/>
          <w:color w:val="495965"/>
          <w:u w:color="495965"/>
          <w:bdr w:val="nil"/>
          <w:lang w:val="en-US" w:eastAsia="en-AU"/>
        </w:rPr>
        <w:t>reform for</w:t>
      </w:r>
      <w:r w:rsidR="00DE5714" w:rsidRPr="00DE5714">
        <w:rPr>
          <w:rFonts w:ascii="Calibri Light" w:eastAsia="Calibri Light" w:hAnsi="Calibri Light" w:cs="Calibri Light"/>
          <w:color w:val="495965"/>
          <w:u w:color="495965"/>
          <w:bdr w:val="nil"/>
          <w:lang w:val="en-US" w:eastAsia="en-AU"/>
        </w:rPr>
        <w:t xml:space="preserve"> </w:t>
      </w:r>
      <w:r w:rsidR="00D42BD6" w:rsidRPr="00D42BD6">
        <w:rPr>
          <w:rFonts w:ascii="Calibri Light" w:eastAsia="Calibri Light" w:hAnsi="Calibri Light" w:cs="Calibri Light"/>
          <w:color w:val="495965"/>
          <w:u w:color="495965"/>
          <w:bdr w:val="nil"/>
          <w:lang w:val="en-US" w:eastAsia="en-AU"/>
        </w:rPr>
        <w:t xml:space="preserve">20 million children through </w:t>
      </w:r>
      <w:r w:rsidR="00D42BD6" w:rsidRPr="00864648">
        <w:rPr>
          <w:rFonts w:ascii="Calibri Light" w:eastAsia="Calibri Light" w:hAnsi="Calibri Light" w:cs="Calibri Light"/>
          <w:color w:val="495965"/>
          <w:u w:color="495965"/>
          <w:bdr w:val="nil"/>
          <w:lang w:val="en-US" w:eastAsia="en-AU"/>
        </w:rPr>
        <w:t>122,176 primary schools</w:t>
      </w:r>
      <w:r w:rsidR="00BF5886" w:rsidRPr="00864648">
        <w:rPr>
          <w:rStyle w:val="FootnoteReference"/>
          <w:rFonts w:ascii="Calibri Light" w:eastAsia="Calibri Light" w:hAnsi="Calibri Light" w:cs="Calibri Light"/>
          <w:color w:val="495965"/>
          <w:u w:color="495965"/>
          <w:bdr w:val="nil"/>
          <w:lang w:val="en-US" w:eastAsia="en-AU"/>
        </w:rPr>
        <w:footnoteReference w:id="18"/>
      </w:r>
      <w:r w:rsidR="00462A8C" w:rsidRPr="00864648">
        <w:rPr>
          <w:rFonts w:ascii="Calibri Light" w:eastAsia="Calibri Light" w:hAnsi="Calibri Light" w:cs="Calibri Light"/>
          <w:color w:val="495965"/>
          <w:u w:color="495965"/>
          <w:bdr w:val="nil"/>
          <w:lang w:val="en-US" w:eastAsia="en-AU"/>
        </w:rPr>
        <w:t>.</w:t>
      </w:r>
      <w:r w:rsidR="00D42BD6" w:rsidRPr="00D42BD6">
        <w:rPr>
          <w:rFonts w:ascii="Calibri Light" w:eastAsia="Calibri Light" w:hAnsi="Calibri Light" w:cs="Calibri Light"/>
          <w:color w:val="495965"/>
          <w:u w:color="495965"/>
          <w:bdr w:val="nil"/>
          <w:lang w:val="en-US" w:eastAsia="en-AU"/>
        </w:rPr>
        <w:t xml:space="preserve"> Australia </w:t>
      </w:r>
      <w:r w:rsidR="00FB3AE0">
        <w:rPr>
          <w:rFonts w:ascii="Calibri Light" w:eastAsia="Calibri Light" w:hAnsi="Calibri Light" w:cs="Calibri Light"/>
          <w:color w:val="495965"/>
          <w:u w:color="495965"/>
          <w:bdr w:val="nil"/>
          <w:lang w:val="en-US" w:eastAsia="en-AU"/>
        </w:rPr>
        <w:t xml:space="preserve">is </w:t>
      </w:r>
      <w:r w:rsidR="00D42BD6" w:rsidRPr="00D42BD6">
        <w:rPr>
          <w:rFonts w:ascii="Calibri Light" w:eastAsia="Calibri Light" w:hAnsi="Calibri Light" w:cs="Calibri Light"/>
          <w:color w:val="495965"/>
          <w:u w:color="495965"/>
          <w:bdr w:val="nil"/>
          <w:lang w:val="en-US" w:eastAsia="en-AU"/>
        </w:rPr>
        <w:t>one of nine donors</w:t>
      </w:r>
      <w:r w:rsidR="00292CF0">
        <w:rPr>
          <w:rFonts w:ascii="Calibri Light" w:eastAsia="Calibri Light" w:hAnsi="Calibri Light" w:cs="Calibri Light"/>
          <w:color w:val="495965"/>
          <w:u w:color="495965"/>
          <w:bdr w:val="nil"/>
          <w:lang w:val="en-US" w:eastAsia="en-AU"/>
        </w:rPr>
        <w:t xml:space="preserve"> and </w:t>
      </w:r>
      <w:r w:rsidR="00BB0B31">
        <w:rPr>
          <w:rFonts w:ascii="Calibri Light" w:eastAsia="Calibri Light" w:hAnsi="Calibri Light" w:cs="Calibri Light"/>
          <w:color w:val="495965"/>
          <w:u w:color="495965"/>
          <w:bdr w:val="nil"/>
          <w:lang w:val="en-US" w:eastAsia="en-AU"/>
        </w:rPr>
        <w:t xml:space="preserve">in 2016-17 </w:t>
      </w:r>
      <w:r w:rsidR="00B54A33" w:rsidRPr="00D42BD6">
        <w:rPr>
          <w:rFonts w:ascii="Calibri Light" w:eastAsia="Calibri Light" w:hAnsi="Calibri Light" w:cs="Calibri Light"/>
          <w:color w:val="495965"/>
          <w:u w:color="495965"/>
          <w:bdr w:val="nil"/>
          <w:lang w:val="en-US" w:eastAsia="en-AU"/>
        </w:rPr>
        <w:t>contribut</w:t>
      </w:r>
      <w:r w:rsidR="00292CF0">
        <w:rPr>
          <w:rFonts w:ascii="Calibri Light" w:eastAsia="Calibri Light" w:hAnsi="Calibri Light" w:cs="Calibri Light"/>
          <w:color w:val="495965"/>
          <w:u w:color="495965"/>
          <w:bdr w:val="nil"/>
          <w:lang w:val="en-US" w:eastAsia="en-AU"/>
        </w:rPr>
        <w:t>ed</w:t>
      </w:r>
      <w:r w:rsidR="00BB0B31" w:rsidRPr="00BB0B31">
        <w:rPr>
          <w:rFonts w:ascii="Calibri Light" w:eastAsia="Calibri Light" w:hAnsi="Calibri Light" w:cs="Calibri Light"/>
          <w:color w:val="495965"/>
          <w:u w:color="495965"/>
          <w:bdr w:val="nil"/>
          <w:lang w:val="en-US" w:eastAsia="en-AU"/>
        </w:rPr>
        <w:t xml:space="preserve"> $7,044,721 million</w:t>
      </w:r>
      <w:r w:rsidR="00BB0B31">
        <w:rPr>
          <w:rFonts w:ascii="Calibri Light" w:eastAsia="Calibri Light" w:hAnsi="Calibri Light" w:cs="Calibri Light"/>
          <w:color w:val="495965"/>
          <w:u w:color="495965"/>
          <w:bdr w:val="nil"/>
          <w:lang w:val="en-US" w:eastAsia="en-AU"/>
        </w:rPr>
        <w:t xml:space="preserve"> </w:t>
      </w:r>
      <w:r w:rsidR="00BB0B31" w:rsidRPr="00BB0B31">
        <w:rPr>
          <w:rFonts w:ascii="Calibri Light" w:eastAsia="Calibri Light" w:hAnsi="Calibri Light" w:cs="Calibri Light"/>
          <w:color w:val="495965"/>
          <w:u w:color="495965"/>
          <w:bdr w:val="nil"/>
          <w:lang w:val="en-US" w:eastAsia="en-AU"/>
        </w:rPr>
        <w:t>to PEDP</w:t>
      </w:r>
      <w:r w:rsidR="00775586">
        <w:rPr>
          <w:rFonts w:ascii="Calibri Light" w:eastAsia="Calibri Light" w:hAnsi="Calibri Light" w:cs="Calibri Light"/>
          <w:color w:val="495965"/>
          <w:u w:color="495965"/>
          <w:bdr w:val="nil"/>
          <w:lang w:val="en-US" w:eastAsia="en-AU"/>
        </w:rPr>
        <w:t>3 including</w:t>
      </w:r>
      <w:r w:rsidR="004B0334">
        <w:rPr>
          <w:rFonts w:ascii="Calibri Light" w:eastAsia="Calibri Light" w:hAnsi="Calibri Light" w:cs="Calibri Light"/>
          <w:color w:val="495965"/>
          <w:u w:color="495965"/>
          <w:bdr w:val="nil"/>
          <w:lang w:val="en-US" w:eastAsia="en-AU"/>
        </w:rPr>
        <w:t xml:space="preserve"> to</w:t>
      </w:r>
      <w:r w:rsidR="00645BB7">
        <w:rPr>
          <w:rFonts w:ascii="Calibri Light" w:eastAsia="Calibri Light" w:hAnsi="Calibri Light" w:cs="Calibri Light"/>
          <w:color w:val="495965"/>
          <w:u w:color="495965"/>
          <w:bdr w:val="nil"/>
          <w:lang w:val="en-US" w:eastAsia="en-AU"/>
        </w:rPr>
        <w:t xml:space="preserve"> </w:t>
      </w:r>
      <w:r w:rsidR="00B54A33">
        <w:rPr>
          <w:rFonts w:ascii="Calibri Light" w:eastAsia="Calibri Light" w:hAnsi="Calibri Light" w:cs="Calibri Light"/>
          <w:color w:val="495965"/>
          <w:u w:color="495965"/>
          <w:bdr w:val="nil"/>
          <w:lang w:val="en-US" w:eastAsia="en-AU"/>
        </w:rPr>
        <w:t>t</w:t>
      </w:r>
      <w:r w:rsidR="00D42BD6" w:rsidRPr="00D42BD6">
        <w:rPr>
          <w:rFonts w:ascii="Calibri Light" w:eastAsia="Calibri Light" w:hAnsi="Calibri Light" w:cs="Calibri Light"/>
          <w:color w:val="495965"/>
          <w:u w:color="495965"/>
          <w:bdr w:val="nil"/>
          <w:lang w:val="en-US" w:eastAsia="en-AU"/>
        </w:rPr>
        <w:t>echnical assistance through UNICEF and the World Bank</w:t>
      </w:r>
      <w:r w:rsidR="00122F0B">
        <w:rPr>
          <w:rFonts w:ascii="Calibri Light" w:eastAsia="Calibri Light" w:hAnsi="Calibri Light" w:cs="Calibri Light"/>
          <w:color w:val="495965"/>
          <w:u w:color="495965"/>
          <w:bdr w:val="nil"/>
          <w:lang w:val="en-US" w:eastAsia="en-AU"/>
        </w:rPr>
        <w:t xml:space="preserve">. </w:t>
      </w:r>
      <w:r w:rsidR="00D42BD6" w:rsidRPr="00D42BD6">
        <w:rPr>
          <w:rFonts w:ascii="Calibri Light" w:eastAsia="Calibri Light" w:hAnsi="Calibri Light" w:cs="Calibri Light"/>
          <w:color w:val="495965"/>
          <w:u w:color="495965"/>
          <w:bdr w:val="nil"/>
          <w:lang w:val="en-US" w:eastAsia="en-AU"/>
        </w:rPr>
        <w:t>Au</w:t>
      </w:r>
      <w:r w:rsidR="00775586">
        <w:rPr>
          <w:rFonts w:ascii="Calibri Light" w:eastAsia="Calibri Light" w:hAnsi="Calibri Light" w:cs="Calibri Light"/>
          <w:color w:val="495965"/>
          <w:u w:color="495965"/>
          <w:bdr w:val="nil"/>
          <w:lang w:val="en-US" w:eastAsia="en-AU"/>
        </w:rPr>
        <w:t xml:space="preserve">stralia’s contribution </w:t>
      </w:r>
      <w:r w:rsidR="00D42BD6" w:rsidRPr="00D42BD6">
        <w:rPr>
          <w:rFonts w:ascii="Calibri Light" w:eastAsia="Calibri Light" w:hAnsi="Calibri Light" w:cs="Calibri Light"/>
          <w:color w:val="495965"/>
          <w:u w:color="495965"/>
          <w:bdr w:val="nil"/>
          <w:lang w:val="en-US" w:eastAsia="en-AU"/>
        </w:rPr>
        <w:t>is strategic and focused i</w:t>
      </w:r>
      <w:r w:rsidR="00775586">
        <w:rPr>
          <w:rFonts w:ascii="Calibri Light" w:eastAsia="Calibri Light" w:hAnsi="Calibri Light" w:cs="Calibri Light"/>
          <w:color w:val="495965"/>
          <w:u w:color="495965"/>
          <w:bdr w:val="nil"/>
          <w:lang w:val="en-US" w:eastAsia="en-AU"/>
        </w:rPr>
        <w:t>n niche areas</w:t>
      </w:r>
      <w:r w:rsidR="00B54A33">
        <w:rPr>
          <w:rFonts w:ascii="Calibri Light" w:eastAsia="Calibri Light" w:hAnsi="Calibri Light" w:cs="Calibri Light"/>
          <w:color w:val="495965"/>
          <w:u w:color="495965"/>
          <w:bdr w:val="nil"/>
          <w:lang w:val="en-US" w:eastAsia="en-AU"/>
        </w:rPr>
        <w:t xml:space="preserve"> - </w:t>
      </w:r>
      <w:r w:rsidR="00D42BD6" w:rsidRPr="00D42BD6">
        <w:rPr>
          <w:rFonts w:ascii="Calibri Light" w:eastAsia="Calibri Light" w:hAnsi="Calibri Light" w:cs="Calibri Light"/>
          <w:color w:val="495965"/>
          <w:u w:color="495965"/>
          <w:bdr w:val="nil"/>
          <w:lang w:val="en-US" w:eastAsia="en-AU"/>
        </w:rPr>
        <w:t xml:space="preserve">quality, </w:t>
      </w:r>
      <w:r w:rsidR="00775586">
        <w:rPr>
          <w:rFonts w:ascii="Calibri Light" w:eastAsia="Calibri Light" w:hAnsi="Calibri Light" w:cs="Calibri Light"/>
          <w:color w:val="495965"/>
          <w:u w:color="495965"/>
          <w:bdr w:val="nil"/>
          <w:lang w:val="en-US" w:eastAsia="en-AU"/>
        </w:rPr>
        <w:t>inclusiveness</w:t>
      </w:r>
      <w:r w:rsidR="00B54A33">
        <w:rPr>
          <w:rFonts w:ascii="Calibri Light" w:eastAsia="Calibri Light" w:hAnsi="Calibri Light" w:cs="Calibri Light"/>
          <w:color w:val="495965"/>
          <w:u w:color="495965"/>
          <w:bdr w:val="nil"/>
          <w:lang w:val="en-US" w:eastAsia="en-AU"/>
        </w:rPr>
        <w:t xml:space="preserve">, </w:t>
      </w:r>
      <w:r w:rsidR="00D42BD6" w:rsidRPr="00D42BD6">
        <w:rPr>
          <w:rFonts w:ascii="Calibri Light" w:eastAsia="Calibri Light" w:hAnsi="Calibri Light" w:cs="Calibri Light"/>
          <w:color w:val="495965"/>
          <w:u w:color="495965"/>
          <w:bdr w:val="nil"/>
          <w:lang w:val="en-US" w:eastAsia="en-AU"/>
        </w:rPr>
        <w:t>and public financial management</w:t>
      </w:r>
      <w:r w:rsidR="00122F0B">
        <w:rPr>
          <w:rFonts w:ascii="Calibri Light" w:eastAsia="Calibri Light" w:hAnsi="Calibri Light" w:cs="Calibri Light"/>
          <w:color w:val="495965"/>
          <w:u w:color="495965"/>
          <w:bdr w:val="nil"/>
          <w:lang w:val="en-US" w:eastAsia="en-AU"/>
        </w:rPr>
        <w:t xml:space="preserve">. Joining other donors </w:t>
      </w:r>
      <w:r w:rsidR="0059078E">
        <w:rPr>
          <w:rFonts w:ascii="Calibri Light" w:eastAsia="Calibri Light" w:hAnsi="Calibri Light" w:cs="Calibri Light"/>
          <w:color w:val="495965"/>
          <w:u w:color="495965"/>
          <w:bdr w:val="nil"/>
          <w:lang w:val="en-US" w:eastAsia="en-AU"/>
        </w:rPr>
        <w:t xml:space="preserve">in a sector wide approach </w:t>
      </w:r>
      <w:r w:rsidR="009D048A">
        <w:rPr>
          <w:rFonts w:ascii="Calibri Light" w:eastAsia="Calibri Light" w:hAnsi="Calibri Light" w:cs="Calibri Light"/>
          <w:color w:val="495965"/>
          <w:u w:color="495965"/>
          <w:bdr w:val="nil"/>
          <w:lang w:val="en-US" w:eastAsia="en-AU"/>
        </w:rPr>
        <w:t>enables Australia to achieve outcomes at scale.</w:t>
      </w:r>
    </w:p>
    <w:p w14:paraId="292EBA87" w14:textId="77777777" w:rsidR="00284978" w:rsidRDefault="00284978" w:rsidP="00DE5714">
      <w:pPr>
        <w:pBdr>
          <w:top w:val="nil"/>
          <w:left w:val="nil"/>
          <w:bottom w:val="nil"/>
          <w:right w:val="nil"/>
          <w:between w:val="nil"/>
          <w:bar w:val="nil"/>
        </w:pBdr>
        <w:spacing w:after="120" w:line="280" w:lineRule="exact"/>
        <w:rPr>
          <w:rFonts w:ascii="Calibri Light" w:eastAsia="Calibri Light" w:hAnsi="Calibri Light" w:cs="Calibri Light"/>
          <w:color w:val="495965"/>
          <w:u w:color="495965"/>
          <w:bdr w:val="nil"/>
          <w:lang w:val="en-US" w:eastAsia="en-AU"/>
        </w:rPr>
      </w:pPr>
    </w:p>
    <w:p w14:paraId="29B125EC" w14:textId="77777777" w:rsidR="00284978" w:rsidRDefault="00284978" w:rsidP="00DE5714">
      <w:pPr>
        <w:pBdr>
          <w:top w:val="nil"/>
          <w:left w:val="nil"/>
          <w:bottom w:val="nil"/>
          <w:right w:val="nil"/>
          <w:between w:val="nil"/>
          <w:bar w:val="nil"/>
        </w:pBdr>
        <w:spacing w:after="120" w:line="280" w:lineRule="exact"/>
        <w:rPr>
          <w:rFonts w:ascii="Calibri Light" w:eastAsia="Calibri Light" w:hAnsi="Calibri Light" w:cs="Calibri Light"/>
          <w:color w:val="495965"/>
          <w:u w:color="495965"/>
          <w:bdr w:val="nil"/>
          <w:lang w:val="en-US" w:eastAsia="en-AU"/>
        </w:rPr>
      </w:pPr>
    </w:p>
    <w:p w14:paraId="0A703696" w14:textId="77777777" w:rsidR="00284978" w:rsidRDefault="00284978" w:rsidP="00DE5714">
      <w:pPr>
        <w:pBdr>
          <w:top w:val="nil"/>
          <w:left w:val="nil"/>
          <w:bottom w:val="nil"/>
          <w:right w:val="nil"/>
          <w:between w:val="nil"/>
          <w:bar w:val="nil"/>
        </w:pBdr>
        <w:spacing w:after="120" w:line="280" w:lineRule="exact"/>
        <w:rPr>
          <w:rFonts w:ascii="Calibri Light" w:eastAsia="Calibri Light" w:hAnsi="Calibri Light" w:cs="Calibri Light"/>
          <w:color w:val="495965"/>
          <w:u w:color="495965"/>
          <w:bdr w:val="nil"/>
          <w:lang w:val="en-US" w:eastAsia="en-AU"/>
        </w:rPr>
      </w:pPr>
    </w:p>
    <w:p w14:paraId="5CDB62C9" w14:textId="77777777" w:rsidR="00284978" w:rsidRDefault="00284978" w:rsidP="00DE5714">
      <w:pPr>
        <w:pBdr>
          <w:top w:val="nil"/>
          <w:left w:val="nil"/>
          <w:bottom w:val="nil"/>
          <w:right w:val="nil"/>
          <w:between w:val="nil"/>
          <w:bar w:val="nil"/>
        </w:pBdr>
        <w:spacing w:after="120" w:line="280" w:lineRule="exact"/>
        <w:rPr>
          <w:rFonts w:ascii="Calibri Light" w:eastAsia="Calibri Light" w:hAnsi="Calibri Light" w:cs="Calibri Light"/>
          <w:color w:val="495965"/>
          <w:u w:color="495965"/>
          <w:bdr w:val="nil"/>
          <w:lang w:val="en-US" w:eastAsia="en-AU"/>
        </w:rPr>
      </w:pPr>
    </w:p>
    <w:p w14:paraId="7F6B1C73" w14:textId="39C1DA2A" w:rsidR="00DE5714" w:rsidRPr="00DE5714" w:rsidRDefault="00DE5714" w:rsidP="00DE5714">
      <w:pPr>
        <w:pBdr>
          <w:top w:val="nil"/>
          <w:left w:val="nil"/>
          <w:bottom w:val="nil"/>
          <w:right w:val="nil"/>
          <w:between w:val="nil"/>
          <w:bar w:val="nil"/>
        </w:pBdr>
        <w:spacing w:after="120" w:line="280" w:lineRule="exact"/>
        <w:rPr>
          <w:rFonts w:ascii="Calibri Light" w:eastAsia="Calibri Light" w:hAnsi="Calibri Light" w:cs="Calibri Light"/>
          <w:color w:val="495965"/>
          <w:u w:color="495965"/>
          <w:bdr w:val="nil"/>
          <w:lang w:val="en-US" w:eastAsia="en-AU"/>
        </w:rPr>
      </w:pPr>
      <w:r w:rsidRPr="00DE5714">
        <w:rPr>
          <w:rFonts w:ascii="Calibri Light" w:eastAsia="Calibri Light" w:hAnsi="Calibri Light" w:cs="Calibri Light"/>
          <w:color w:val="495965"/>
          <w:u w:color="495965"/>
          <w:bdr w:val="nil"/>
          <w:lang w:val="en-US" w:eastAsia="en-AU"/>
        </w:rPr>
        <w:lastRenderedPageBreak/>
        <w:t xml:space="preserve">During the reporting period, Australia contributed </w:t>
      </w:r>
      <w:r w:rsidR="00A60B97">
        <w:rPr>
          <w:rFonts w:ascii="Calibri Light" w:eastAsia="Calibri Light" w:hAnsi="Calibri Light" w:cs="Calibri Light"/>
          <w:color w:val="495965"/>
          <w:u w:color="495965"/>
          <w:bdr w:val="nil"/>
          <w:lang w:val="en-US" w:eastAsia="en-AU"/>
        </w:rPr>
        <w:t>as follows</w:t>
      </w:r>
      <w:r w:rsidRPr="00DE5714">
        <w:rPr>
          <w:rFonts w:ascii="Calibri Light" w:eastAsia="Calibri Light" w:hAnsi="Calibri Light" w:cs="Calibri Light"/>
          <w:color w:val="495965"/>
          <w:u w:color="495965"/>
          <w:bdr w:val="nil"/>
          <w:lang w:val="en-US" w:eastAsia="en-AU"/>
        </w:rPr>
        <w:t xml:space="preserve">: </w:t>
      </w:r>
    </w:p>
    <w:p w14:paraId="4B2F6F9F" w14:textId="61A6AF3B" w:rsidR="00D42BD6" w:rsidRPr="00DE5714" w:rsidRDefault="00935885" w:rsidP="00026AE0">
      <w:pPr>
        <w:numPr>
          <w:ilvl w:val="0"/>
          <w:numId w:val="17"/>
        </w:numPr>
        <w:pBdr>
          <w:top w:val="nil"/>
          <w:left w:val="nil"/>
          <w:bottom w:val="nil"/>
          <w:right w:val="nil"/>
          <w:between w:val="nil"/>
          <w:bar w:val="nil"/>
        </w:pBdr>
        <w:suppressAutoHyphens w:val="0"/>
        <w:spacing w:before="0" w:after="120" w:line="280" w:lineRule="exact"/>
        <w:jc w:val="both"/>
        <w:rPr>
          <w:rFonts w:ascii="Calibri Light" w:eastAsia="Calibri Light" w:hAnsi="Calibri Light" w:cs="Calibri Light"/>
          <w:color w:val="495965"/>
          <w:u w:color="495965"/>
          <w:bdr w:val="nil"/>
          <w:lang w:val="en-US" w:eastAsia="en-AU"/>
        </w:rPr>
      </w:pPr>
      <w:r>
        <w:rPr>
          <w:rFonts w:ascii="Calibri Light" w:eastAsia="Calibri Light" w:hAnsi="Calibri Light" w:cs="Calibri Light"/>
          <w:color w:val="495965"/>
          <w:u w:color="495965"/>
          <w:bdr w:val="nil"/>
          <w:lang w:val="en-US" w:eastAsia="en-AU"/>
        </w:rPr>
        <w:t xml:space="preserve">Quality primary textbooks were provided to </w:t>
      </w:r>
      <w:r w:rsidR="0028169A" w:rsidRPr="00864648">
        <w:rPr>
          <w:rFonts w:ascii="Calibri Light" w:eastAsia="Calibri Light" w:hAnsi="Calibri Light" w:cs="Calibri Light"/>
          <w:color w:val="495965"/>
          <w:u w:color="495965"/>
          <w:bdr w:val="nil"/>
          <w:lang w:val="en-US" w:eastAsia="en-AU"/>
        </w:rPr>
        <w:t>99.9 per cent</w:t>
      </w:r>
      <w:r w:rsidR="008C0146" w:rsidRPr="00B4365A">
        <w:rPr>
          <w:rFonts w:ascii="Calibri Light" w:eastAsia="Calibri Light" w:hAnsi="Calibri Light" w:cs="Calibri Light"/>
          <w:color w:val="495965"/>
          <w:u w:color="495965"/>
          <w:bdr w:val="nil"/>
          <w:lang w:val="en-US" w:eastAsia="en-AU"/>
        </w:rPr>
        <w:t xml:space="preserve"> </w:t>
      </w:r>
      <w:r w:rsidR="00550D33" w:rsidRPr="00864648">
        <w:rPr>
          <w:rFonts w:ascii="Calibri Light" w:eastAsia="Calibri Light" w:hAnsi="Calibri Light" w:cs="Calibri Light"/>
          <w:color w:val="495965"/>
          <w:u w:color="495965"/>
          <w:bdr w:val="nil"/>
          <w:lang w:val="en-US" w:eastAsia="en-AU"/>
        </w:rPr>
        <w:t xml:space="preserve">of </w:t>
      </w:r>
      <w:r w:rsidR="00D42BD6" w:rsidRPr="00864648">
        <w:rPr>
          <w:rFonts w:ascii="Calibri Light" w:eastAsia="Calibri Light" w:hAnsi="Calibri Light" w:cs="Calibri Light"/>
          <w:color w:val="495965"/>
          <w:u w:color="495965"/>
          <w:bdr w:val="nil"/>
          <w:lang w:val="en-US" w:eastAsia="en-AU"/>
        </w:rPr>
        <w:t>schools on time</w:t>
      </w:r>
      <w:r w:rsidR="00D42BD6" w:rsidRPr="00DE5714">
        <w:rPr>
          <w:rFonts w:ascii="Calibri Light" w:eastAsia="Calibri Light" w:hAnsi="Calibri Light" w:cs="Calibri Light"/>
          <w:color w:val="495965"/>
          <w:u w:color="495965"/>
          <w:bdr w:val="nil"/>
          <w:lang w:val="en-US" w:eastAsia="en-AU"/>
        </w:rPr>
        <w:t xml:space="preserve"> (in line with the PAF target)</w:t>
      </w:r>
      <w:r w:rsidR="008C0146">
        <w:rPr>
          <w:rStyle w:val="FootnoteReference"/>
          <w:rFonts w:ascii="Calibri Light" w:eastAsia="Calibri Light" w:hAnsi="Calibri Light" w:cs="Calibri Light"/>
          <w:color w:val="495965"/>
          <w:u w:color="495965"/>
          <w:bdr w:val="nil"/>
          <w:lang w:val="en-US" w:eastAsia="en-AU"/>
        </w:rPr>
        <w:footnoteReference w:id="19"/>
      </w:r>
      <w:r w:rsidR="00D42BD6" w:rsidRPr="00DE5714">
        <w:rPr>
          <w:rFonts w:ascii="Calibri Light" w:eastAsia="Calibri Light" w:hAnsi="Calibri Light" w:cs="Calibri Light"/>
          <w:color w:val="495965"/>
          <w:u w:color="495965"/>
          <w:bdr w:val="nil"/>
          <w:lang w:val="en-US" w:eastAsia="en-AU"/>
        </w:rPr>
        <w:t xml:space="preserve">. Compared to </w:t>
      </w:r>
      <w:r w:rsidR="00810A8E">
        <w:rPr>
          <w:rFonts w:ascii="Calibri Light" w:eastAsia="Calibri Light" w:hAnsi="Calibri Light" w:cs="Calibri Light"/>
          <w:color w:val="495965"/>
          <w:u w:color="495965"/>
          <w:bdr w:val="nil"/>
          <w:lang w:val="en-US" w:eastAsia="en-AU"/>
        </w:rPr>
        <w:t>2014</w:t>
      </w:r>
      <w:r w:rsidR="00815E6D">
        <w:rPr>
          <w:rFonts w:ascii="Calibri Light" w:eastAsia="Calibri Light" w:hAnsi="Calibri Light" w:cs="Calibri Light"/>
          <w:color w:val="495965"/>
          <w:u w:color="495965"/>
          <w:bdr w:val="nil"/>
          <w:lang w:val="en-US" w:eastAsia="en-AU"/>
        </w:rPr>
        <w:t>,</w:t>
      </w:r>
      <w:r w:rsidR="00810A8E">
        <w:rPr>
          <w:rFonts w:ascii="Calibri Light" w:eastAsia="Calibri Light" w:hAnsi="Calibri Light" w:cs="Calibri Light"/>
          <w:color w:val="495965"/>
          <w:u w:color="495965"/>
          <w:bdr w:val="nil"/>
          <w:lang w:val="en-US" w:eastAsia="en-AU"/>
        </w:rPr>
        <w:t xml:space="preserve"> textbook</w:t>
      </w:r>
      <w:r w:rsidR="00550D33">
        <w:rPr>
          <w:rFonts w:ascii="Calibri Light" w:eastAsia="Calibri Light" w:hAnsi="Calibri Light" w:cs="Calibri Light"/>
          <w:color w:val="495965"/>
          <w:u w:color="495965"/>
          <w:bdr w:val="nil"/>
          <w:lang w:val="en-US" w:eastAsia="en-AU"/>
        </w:rPr>
        <w:t xml:space="preserve"> quality </w:t>
      </w:r>
      <w:r w:rsidR="00D42BD6" w:rsidRPr="00DE5714">
        <w:rPr>
          <w:rFonts w:ascii="Calibri Light" w:eastAsia="Calibri Light" w:hAnsi="Calibri Light" w:cs="Calibri Light"/>
          <w:color w:val="495965"/>
          <w:u w:color="495965"/>
          <w:bdr w:val="nil"/>
          <w:lang w:val="en-US" w:eastAsia="en-AU"/>
        </w:rPr>
        <w:t xml:space="preserve">improved, with fewer errors, </w:t>
      </w:r>
      <w:r w:rsidR="00550D33">
        <w:rPr>
          <w:rFonts w:ascii="Calibri Light" w:eastAsia="Calibri Light" w:hAnsi="Calibri Light" w:cs="Calibri Light"/>
          <w:color w:val="495965"/>
          <w:u w:color="495965"/>
          <w:bdr w:val="nil"/>
          <w:lang w:val="en-US" w:eastAsia="en-AU"/>
        </w:rPr>
        <w:t>simplified format and language and better print quality</w:t>
      </w:r>
      <w:r w:rsidR="00D42BD6" w:rsidRPr="00DE5714">
        <w:rPr>
          <w:rFonts w:ascii="Calibri Light" w:eastAsia="Calibri Light" w:hAnsi="Calibri Light" w:cs="Calibri Light"/>
          <w:color w:val="495965"/>
          <w:u w:color="495965"/>
          <w:bdr w:val="nil"/>
          <w:lang w:val="en-US" w:eastAsia="en-AU"/>
        </w:rPr>
        <w:t xml:space="preserve">.  </w:t>
      </w:r>
    </w:p>
    <w:p w14:paraId="75DA0CBC" w14:textId="4B8869F1" w:rsidR="00D42BD6" w:rsidRPr="00DE5714" w:rsidRDefault="00935885" w:rsidP="00026AE0">
      <w:pPr>
        <w:numPr>
          <w:ilvl w:val="0"/>
          <w:numId w:val="17"/>
        </w:numPr>
        <w:pBdr>
          <w:top w:val="nil"/>
          <w:left w:val="nil"/>
          <w:bottom w:val="nil"/>
          <w:right w:val="nil"/>
          <w:between w:val="nil"/>
          <w:bar w:val="nil"/>
        </w:pBdr>
        <w:suppressAutoHyphens w:val="0"/>
        <w:spacing w:before="0" w:after="120" w:line="280" w:lineRule="exact"/>
        <w:jc w:val="both"/>
        <w:rPr>
          <w:rFonts w:ascii="Calibri Light" w:eastAsia="Calibri Light" w:hAnsi="Calibri Light" w:cs="Calibri Light"/>
          <w:color w:val="495965"/>
          <w:u w:color="495965"/>
          <w:bdr w:val="nil"/>
          <w:lang w:val="en-US" w:eastAsia="en-AU"/>
        </w:rPr>
      </w:pPr>
      <w:r>
        <w:rPr>
          <w:rFonts w:ascii="Calibri Light" w:eastAsia="Calibri Light" w:hAnsi="Calibri Light" w:cs="Calibri Light"/>
          <w:color w:val="495965"/>
          <w:u w:color="495965"/>
          <w:bdr w:val="nil"/>
          <w:lang w:val="en-US" w:eastAsia="en-AU"/>
        </w:rPr>
        <w:t xml:space="preserve">The 2015 Grade 5 completion exam structured such that </w:t>
      </w:r>
      <w:r w:rsidR="00550D33">
        <w:rPr>
          <w:rFonts w:ascii="Calibri Light" w:eastAsia="Calibri Light" w:hAnsi="Calibri Light" w:cs="Calibri Light"/>
          <w:color w:val="495965"/>
          <w:u w:color="495965"/>
          <w:bdr w:val="nil"/>
          <w:lang w:val="en-US" w:eastAsia="en-AU"/>
        </w:rPr>
        <w:t>50 per</w:t>
      </w:r>
      <w:r w:rsidR="00D42BD6" w:rsidRPr="00DE5714">
        <w:rPr>
          <w:rFonts w:ascii="Calibri Light" w:eastAsia="Calibri Light" w:hAnsi="Calibri Light" w:cs="Calibri Light"/>
          <w:color w:val="495965"/>
          <w:u w:color="495965"/>
          <w:bdr w:val="nil"/>
          <w:lang w:val="en-US" w:eastAsia="en-AU"/>
        </w:rPr>
        <w:t xml:space="preserve">cent of questions </w:t>
      </w:r>
      <w:r>
        <w:rPr>
          <w:rFonts w:ascii="Calibri Light" w:eastAsia="Calibri Light" w:hAnsi="Calibri Light" w:cs="Calibri Light"/>
          <w:color w:val="495965"/>
          <w:u w:color="495965"/>
          <w:bdr w:val="nil"/>
          <w:lang w:val="en-US" w:eastAsia="en-AU"/>
        </w:rPr>
        <w:t xml:space="preserve">were </w:t>
      </w:r>
      <w:r w:rsidR="00550D33">
        <w:rPr>
          <w:rFonts w:ascii="Calibri Light" w:eastAsia="Calibri Light" w:hAnsi="Calibri Light" w:cs="Calibri Light"/>
          <w:color w:val="495965"/>
          <w:u w:color="495965"/>
          <w:bdr w:val="nil"/>
          <w:lang w:val="en-US" w:eastAsia="en-AU"/>
        </w:rPr>
        <w:t>competency-</w:t>
      </w:r>
      <w:r w:rsidR="00D42BD6" w:rsidRPr="00DE5714">
        <w:rPr>
          <w:rFonts w:ascii="Calibri Light" w:eastAsia="Calibri Light" w:hAnsi="Calibri Light" w:cs="Calibri Light"/>
          <w:color w:val="495965"/>
          <w:u w:color="495965"/>
          <w:bdr w:val="nil"/>
          <w:lang w:val="en-US" w:eastAsia="en-AU"/>
        </w:rPr>
        <w:t>based</w:t>
      </w:r>
      <w:r w:rsidR="00D42BD6">
        <w:rPr>
          <w:rFonts w:ascii="Calibri Light" w:eastAsia="Calibri Light" w:hAnsi="Calibri Light" w:cs="Calibri Light"/>
          <w:color w:val="495965"/>
          <w:u w:color="495965"/>
          <w:bdr w:val="nil"/>
          <w:lang w:val="en-US" w:eastAsia="en-AU"/>
        </w:rPr>
        <w:t xml:space="preserve"> </w:t>
      </w:r>
      <w:r>
        <w:rPr>
          <w:rFonts w:ascii="Calibri Light" w:eastAsia="Calibri Light" w:hAnsi="Calibri Light" w:cs="Calibri Light"/>
          <w:color w:val="495965"/>
          <w:u w:color="495965"/>
          <w:bdr w:val="nil"/>
          <w:lang w:val="en-US" w:eastAsia="en-AU"/>
        </w:rPr>
        <w:t xml:space="preserve">as opposed to </w:t>
      </w:r>
      <w:r w:rsidR="00D42BD6">
        <w:rPr>
          <w:rFonts w:ascii="Calibri Light" w:eastAsia="Calibri Light" w:hAnsi="Calibri Light" w:cs="Calibri Light"/>
          <w:color w:val="495965"/>
          <w:u w:color="495965"/>
          <w:bdr w:val="nil"/>
          <w:lang w:val="en-US" w:eastAsia="en-AU"/>
        </w:rPr>
        <w:t xml:space="preserve">rote learning </w:t>
      </w:r>
      <w:r w:rsidR="00B54A33">
        <w:rPr>
          <w:rFonts w:ascii="Calibri Light" w:eastAsia="Calibri Light" w:hAnsi="Calibri Light" w:cs="Calibri Light"/>
          <w:color w:val="495965"/>
          <w:u w:color="495965"/>
          <w:bdr w:val="nil"/>
          <w:lang w:val="en-US" w:eastAsia="en-AU"/>
        </w:rPr>
        <w:t>a</w:t>
      </w:r>
      <w:r w:rsidR="0074359F">
        <w:rPr>
          <w:rFonts w:ascii="Calibri Light" w:eastAsia="Calibri Light" w:hAnsi="Calibri Light" w:cs="Calibri Light"/>
          <w:color w:val="495965"/>
          <w:u w:color="495965"/>
          <w:bdr w:val="nil"/>
          <w:lang w:val="en-US" w:eastAsia="en-AU"/>
        </w:rPr>
        <w:t xml:space="preserve">nd recall (in line </w:t>
      </w:r>
      <w:r w:rsidR="00DD3B6F">
        <w:rPr>
          <w:rFonts w:ascii="Calibri Light" w:eastAsia="Calibri Light" w:hAnsi="Calibri Light" w:cs="Calibri Light"/>
          <w:color w:val="495965"/>
          <w:u w:color="495965"/>
          <w:bdr w:val="nil"/>
          <w:lang w:val="en-US" w:eastAsia="en-AU"/>
        </w:rPr>
        <w:t>PB</w:t>
      </w:r>
      <w:r w:rsidR="00D95657">
        <w:rPr>
          <w:rFonts w:ascii="Calibri Light" w:eastAsia="Calibri Light" w:hAnsi="Calibri Light" w:cs="Calibri Light"/>
          <w:color w:val="495965"/>
          <w:u w:color="495965"/>
          <w:bdr w:val="nil"/>
          <w:lang w:val="en-US" w:eastAsia="en-AU"/>
        </w:rPr>
        <w:t xml:space="preserve"> and PAF target</w:t>
      </w:r>
      <w:r w:rsidR="0074359F">
        <w:rPr>
          <w:rFonts w:ascii="Calibri Light" w:eastAsia="Calibri Light" w:hAnsi="Calibri Light" w:cs="Calibri Light"/>
          <w:color w:val="495965"/>
          <w:u w:color="495965"/>
          <w:bdr w:val="nil"/>
          <w:lang w:val="en-US" w:eastAsia="en-AU"/>
        </w:rPr>
        <w:t>s</w:t>
      </w:r>
      <w:r w:rsidR="0074359F">
        <w:rPr>
          <w:rStyle w:val="FootnoteReference"/>
          <w:rFonts w:ascii="Calibri Light" w:eastAsia="Calibri Light" w:hAnsi="Calibri Light" w:cs="Calibri Light"/>
          <w:color w:val="495965"/>
          <w:u w:color="495965"/>
          <w:bdr w:val="nil"/>
          <w:lang w:val="en-US" w:eastAsia="en-AU"/>
        </w:rPr>
        <w:footnoteReference w:id="20"/>
      </w:r>
      <w:r w:rsidR="00B54A33">
        <w:rPr>
          <w:rFonts w:ascii="Calibri Light" w:eastAsia="Calibri Light" w:hAnsi="Calibri Light" w:cs="Calibri Light"/>
          <w:color w:val="495965"/>
          <w:u w:color="495965"/>
          <w:bdr w:val="nil"/>
          <w:lang w:val="en-US" w:eastAsia="en-AU"/>
        </w:rPr>
        <w:t>)</w:t>
      </w:r>
      <w:r w:rsidR="00D42BD6" w:rsidRPr="00DE5714">
        <w:rPr>
          <w:rFonts w:ascii="Calibri Light" w:eastAsia="Calibri Light" w:hAnsi="Calibri Light" w:cs="Calibri Light"/>
          <w:color w:val="495965"/>
          <w:u w:color="495965"/>
          <w:bdr w:val="nil"/>
          <w:lang w:val="en-US" w:eastAsia="en-AU"/>
        </w:rPr>
        <w:t xml:space="preserve">. </w:t>
      </w:r>
    </w:p>
    <w:p w14:paraId="492790AB" w14:textId="38251133" w:rsidR="00DE5714" w:rsidRDefault="00935885" w:rsidP="00026AE0">
      <w:pPr>
        <w:numPr>
          <w:ilvl w:val="0"/>
          <w:numId w:val="17"/>
        </w:numPr>
        <w:pBdr>
          <w:top w:val="nil"/>
          <w:left w:val="nil"/>
          <w:bottom w:val="nil"/>
          <w:right w:val="nil"/>
          <w:between w:val="nil"/>
          <w:bar w:val="nil"/>
        </w:pBdr>
        <w:suppressAutoHyphens w:val="0"/>
        <w:spacing w:before="0" w:after="120" w:line="280" w:lineRule="exact"/>
        <w:jc w:val="both"/>
        <w:rPr>
          <w:rFonts w:ascii="Calibri Light" w:eastAsia="Calibri Light" w:hAnsi="Calibri Light" w:cs="Calibri Light"/>
          <w:color w:val="495965"/>
          <w:u w:color="495965"/>
          <w:bdr w:val="nil"/>
          <w:lang w:val="en-US" w:eastAsia="en-AU"/>
        </w:rPr>
      </w:pPr>
      <w:r>
        <w:rPr>
          <w:rFonts w:ascii="Calibri Light" w:eastAsia="Calibri Light" w:hAnsi="Calibri Light" w:cs="Calibri Light"/>
          <w:color w:val="495965"/>
          <w:u w:color="495965"/>
          <w:bdr w:val="nil"/>
          <w:lang w:val="en-US" w:eastAsia="en-AU"/>
        </w:rPr>
        <w:t>Expanded</w:t>
      </w:r>
      <w:r w:rsidR="00DE5714" w:rsidRPr="00DE5714">
        <w:rPr>
          <w:rFonts w:ascii="Calibri Light" w:eastAsia="Calibri Light" w:hAnsi="Calibri Light" w:cs="Calibri Light"/>
          <w:color w:val="495965"/>
          <w:u w:color="495965"/>
          <w:bdr w:val="nil"/>
          <w:lang w:val="en-US" w:eastAsia="en-AU"/>
        </w:rPr>
        <w:t xml:space="preserve"> the Each Child Learns program</w:t>
      </w:r>
      <w:r w:rsidR="00B54A33">
        <w:rPr>
          <w:rFonts w:ascii="Calibri Light" w:eastAsia="Calibri Light" w:hAnsi="Calibri Light" w:cs="Calibri Light"/>
          <w:color w:val="495965"/>
          <w:u w:color="495965"/>
          <w:bdr w:val="nil"/>
          <w:lang w:val="en-US" w:eastAsia="en-AU"/>
        </w:rPr>
        <w:t>, a pilot which introduces new learning meth</w:t>
      </w:r>
      <w:r w:rsidR="009D048A">
        <w:rPr>
          <w:rFonts w:ascii="Calibri Light" w:eastAsia="Calibri Light" w:hAnsi="Calibri Light" w:cs="Calibri Light"/>
          <w:color w:val="495965"/>
          <w:u w:color="495965"/>
          <w:bdr w:val="nil"/>
          <w:lang w:val="en-US" w:eastAsia="en-AU"/>
        </w:rPr>
        <w:t>o</w:t>
      </w:r>
      <w:r w:rsidR="00B54A33">
        <w:rPr>
          <w:rFonts w:ascii="Calibri Light" w:eastAsia="Calibri Light" w:hAnsi="Calibri Light" w:cs="Calibri Light"/>
          <w:color w:val="495965"/>
          <w:u w:color="495965"/>
          <w:bdr w:val="nil"/>
          <w:lang w:val="en-US" w:eastAsia="en-AU"/>
        </w:rPr>
        <w:t>ds,</w:t>
      </w:r>
      <w:r w:rsidR="00DE5714" w:rsidRPr="00DE5714">
        <w:rPr>
          <w:rFonts w:ascii="Calibri Light" w:eastAsia="Calibri Light" w:hAnsi="Calibri Light" w:cs="Calibri Light"/>
          <w:color w:val="495965"/>
          <w:u w:color="495965"/>
          <w:bdr w:val="nil"/>
          <w:lang w:val="en-US" w:eastAsia="en-AU"/>
        </w:rPr>
        <w:t xml:space="preserve"> from 1440 to 1500</w:t>
      </w:r>
      <w:r w:rsidR="00B54A33">
        <w:rPr>
          <w:rFonts w:ascii="Calibri Light" w:eastAsia="Calibri Light" w:hAnsi="Calibri Light" w:cs="Calibri Light"/>
          <w:color w:val="495965"/>
          <w:u w:color="495965"/>
          <w:bdr w:val="nil"/>
          <w:lang w:val="en-US" w:eastAsia="en-AU"/>
        </w:rPr>
        <w:t xml:space="preserve"> schools</w:t>
      </w:r>
      <w:r w:rsidR="00DE5714" w:rsidRPr="00DE5714">
        <w:rPr>
          <w:rFonts w:ascii="Calibri Light" w:eastAsia="Calibri Light" w:hAnsi="Calibri Light" w:cs="Calibri Light"/>
          <w:color w:val="495965"/>
          <w:u w:color="495965"/>
          <w:bdr w:val="nil"/>
          <w:lang w:val="en-US" w:eastAsia="en-AU"/>
        </w:rPr>
        <w:t>, contributing to improved learning outcomes</w:t>
      </w:r>
      <w:r w:rsidR="00DE5714" w:rsidRPr="00DE5714">
        <w:rPr>
          <w:rFonts w:ascii="Calibri Light" w:eastAsia="Calibri Light" w:hAnsi="Calibri Light" w:cs="Calibri Light"/>
          <w:color w:val="495965"/>
          <w:u w:color="495965"/>
          <w:bdr w:val="nil"/>
          <w:vertAlign w:val="superscript"/>
          <w:lang w:val="en-US" w:eastAsia="en-AU"/>
        </w:rPr>
        <w:footnoteReference w:id="21"/>
      </w:r>
      <w:r w:rsidR="00DE5714" w:rsidRPr="00DE5714">
        <w:rPr>
          <w:rFonts w:ascii="Calibri Light" w:eastAsia="Calibri Light" w:hAnsi="Calibri Light" w:cs="Calibri Light"/>
          <w:color w:val="495965"/>
          <w:u w:color="495965"/>
          <w:bdr w:val="nil"/>
          <w:lang w:val="en-US" w:eastAsia="en-AU"/>
        </w:rPr>
        <w:t>.</w:t>
      </w:r>
    </w:p>
    <w:p w14:paraId="52C06A31" w14:textId="6CF3A394" w:rsidR="00026AE0" w:rsidRPr="00900837" w:rsidRDefault="00DE5714" w:rsidP="00865578">
      <w:pPr>
        <w:pBdr>
          <w:top w:val="nil"/>
          <w:left w:val="nil"/>
          <w:bottom w:val="nil"/>
          <w:right w:val="nil"/>
          <w:between w:val="nil"/>
          <w:bar w:val="nil"/>
        </w:pBdr>
        <w:spacing w:after="120" w:line="280" w:lineRule="exact"/>
        <w:jc w:val="both"/>
        <w:rPr>
          <w:rFonts w:ascii="Calibri Light" w:eastAsia="Calibri Light" w:hAnsi="Calibri Light" w:cs="Calibri Light"/>
          <w:color w:val="495965"/>
          <w:u w:color="495965"/>
          <w:bdr w:val="nil"/>
          <w:lang w:val="en-US" w:eastAsia="en-AU"/>
        </w:rPr>
      </w:pPr>
      <w:r w:rsidRPr="00DE5714">
        <w:rPr>
          <w:rFonts w:ascii="Calibri Light" w:eastAsia="Calibri Light" w:hAnsi="Calibri Light" w:cs="Calibri Light"/>
          <w:color w:val="495965"/>
          <w:u w:color="495965"/>
          <w:bdr w:val="nil"/>
          <w:lang w:val="en-US" w:eastAsia="en-AU"/>
        </w:rPr>
        <w:t xml:space="preserve">Over the </w:t>
      </w:r>
      <w:r w:rsidR="00775586">
        <w:rPr>
          <w:rFonts w:ascii="Calibri Light" w:eastAsia="Calibri Light" w:hAnsi="Calibri Light" w:cs="Calibri Light"/>
          <w:color w:val="495965"/>
          <w:u w:color="495965"/>
          <w:bdr w:val="nil"/>
          <w:lang w:val="en-US" w:eastAsia="en-AU"/>
        </w:rPr>
        <w:t xml:space="preserve">total </w:t>
      </w:r>
      <w:r w:rsidRPr="00DE5714">
        <w:rPr>
          <w:rFonts w:ascii="Calibri Light" w:eastAsia="Calibri Light" w:hAnsi="Calibri Light" w:cs="Calibri Light"/>
          <w:color w:val="495965"/>
          <w:u w:color="495965"/>
          <w:bdr w:val="nil"/>
          <w:lang w:val="en-US" w:eastAsia="en-AU"/>
        </w:rPr>
        <w:t>investment period (2011-2017), Australian support has cont</w:t>
      </w:r>
      <w:r w:rsidR="00775586">
        <w:rPr>
          <w:rFonts w:ascii="Calibri Light" w:eastAsia="Calibri Light" w:hAnsi="Calibri Light" w:cs="Calibri Light"/>
          <w:color w:val="495965"/>
          <w:u w:color="495965"/>
          <w:bdr w:val="nil"/>
          <w:lang w:val="en-US" w:eastAsia="en-AU"/>
        </w:rPr>
        <w:t>ributed to improvements in the completion e</w:t>
      </w:r>
      <w:r w:rsidRPr="00DE5714">
        <w:rPr>
          <w:rFonts w:ascii="Calibri Light" w:eastAsia="Calibri Light" w:hAnsi="Calibri Light" w:cs="Calibri Light"/>
          <w:color w:val="495965"/>
          <w:u w:color="495965"/>
          <w:bdr w:val="nil"/>
          <w:lang w:val="en-US" w:eastAsia="en-AU"/>
        </w:rPr>
        <w:t>xam results, a key indicator of education quality</w:t>
      </w:r>
      <w:r w:rsidR="00645BB7">
        <w:rPr>
          <w:rFonts w:ascii="Calibri Light" w:eastAsia="Calibri Light" w:hAnsi="Calibri Light" w:cs="Calibri Light"/>
          <w:color w:val="495965"/>
          <w:u w:color="495965"/>
          <w:bdr w:val="nil"/>
          <w:lang w:val="en-US" w:eastAsia="en-AU"/>
        </w:rPr>
        <w:t>, with the</w:t>
      </w:r>
      <w:r w:rsidRPr="00DE5714">
        <w:rPr>
          <w:rFonts w:ascii="Calibri Light" w:eastAsia="Calibri Light" w:hAnsi="Calibri Light" w:cs="Calibri Light"/>
          <w:color w:val="495965"/>
          <w:u w:color="495965"/>
          <w:bdr w:val="nil"/>
          <w:lang w:val="en-US" w:eastAsia="en-AU"/>
        </w:rPr>
        <w:t xml:space="preserve"> pass rate increas</w:t>
      </w:r>
      <w:r w:rsidR="00645BB7">
        <w:rPr>
          <w:rFonts w:ascii="Calibri Light" w:eastAsia="Calibri Light" w:hAnsi="Calibri Light" w:cs="Calibri Light"/>
          <w:color w:val="495965"/>
          <w:u w:color="495965"/>
          <w:bdr w:val="nil"/>
          <w:lang w:val="en-US" w:eastAsia="en-AU"/>
        </w:rPr>
        <w:t>ing</w:t>
      </w:r>
      <w:r w:rsidR="0028169A">
        <w:rPr>
          <w:rFonts w:ascii="Calibri Light" w:eastAsia="Calibri Light" w:hAnsi="Calibri Light" w:cs="Calibri Light"/>
          <w:color w:val="495965"/>
          <w:u w:color="495965"/>
          <w:bdr w:val="nil"/>
          <w:lang w:val="en-US" w:eastAsia="en-AU"/>
        </w:rPr>
        <w:t xml:space="preserve"> from 92.3 per cent</w:t>
      </w:r>
      <w:r w:rsidR="00550D33">
        <w:rPr>
          <w:rFonts w:ascii="Calibri Light" w:eastAsia="Calibri Light" w:hAnsi="Calibri Light" w:cs="Calibri Light"/>
          <w:color w:val="495965"/>
          <w:u w:color="495965"/>
          <w:bdr w:val="nil"/>
          <w:lang w:val="en-US" w:eastAsia="en-AU"/>
        </w:rPr>
        <w:t xml:space="preserve"> in 2010 </w:t>
      </w:r>
      <w:r w:rsidRPr="00DE5714">
        <w:rPr>
          <w:rFonts w:ascii="Calibri Light" w:eastAsia="Calibri Light" w:hAnsi="Calibri Light" w:cs="Calibri Light"/>
          <w:color w:val="495965"/>
          <w:u w:color="495965"/>
          <w:bdr w:val="nil"/>
          <w:lang w:val="en-US" w:eastAsia="en-AU"/>
        </w:rPr>
        <w:t>to 95.</w:t>
      </w:r>
      <w:r w:rsidR="0028169A">
        <w:rPr>
          <w:rFonts w:ascii="Calibri Light" w:eastAsia="Calibri Light" w:hAnsi="Calibri Light" w:cs="Calibri Light"/>
          <w:color w:val="495965"/>
          <w:u w:color="495965"/>
          <w:bdr w:val="nil"/>
          <w:lang w:val="en-US" w:eastAsia="en-AU"/>
        </w:rPr>
        <w:t>66 per cent</w:t>
      </w:r>
      <w:r w:rsidRPr="00DE5714">
        <w:rPr>
          <w:rFonts w:ascii="Calibri Light" w:eastAsia="Calibri Light" w:hAnsi="Calibri Light" w:cs="Calibri Light"/>
          <w:color w:val="495965"/>
          <w:u w:color="495965"/>
          <w:bdr w:val="nil"/>
          <w:lang w:val="en-US" w:eastAsia="en-AU"/>
        </w:rPr>
        <w:t xml:space="preserve"> in 2016</w:t>
      </w:r>
      <w:r w:rsidR="00372851">
        <w:rPr>
          <w:rStyle w:val="FootnoteReference"/>
          <w:rFonts w:ascii="Calibri Light" w:eastAsia="Calibri Light" w:hAnsi="Calibri Light" w:cs="Calibri Light"/>
          <w:color w:val="495965"/>
          <w:u w:color="495965"/>
          <w:bdr w:val="nil"/>
          <w:lang w:val="en-US" w:eastAsia="en-AU"/>
        </w:rPr>
        <w:footnoteReference w:id="22"/>
      </w:r>
      <w:r w:rsidRPr="00DE5714">
        <w:rPr>
          <w:rFonts w:ascii="Calibri Light" w:eastAsia="Calibri Light" w:hAnsi="Calibri Light" w:cs="Calibri Light"/>
          <w:color w:val="495965"/>
          <w:u w:color="495965"/>
          <w:bdr w:val="nil"/>
          <w:lang w:val="en-US" w:eastAsia="en-AU"/>
        </w:rPr>
        <w:t xml:space="preserve">. The </w:t>
      </w:r>
      <w:r w:rsidR="00645BB7" w:rsidRPr="00DE5714">
        <w:rPr>
          <w:rFonts w:ascii="Calibri Light" w:eastAsia="Calibri Light" w:hAnsi="Calibri Light" w:cs="Calibri Light"/>
          <w:color w:val="495965"/>
          <w:u w:color="495965"/>
          <w:bdr w:val="nil"/>
          <w:lang w:val="en-US" w:eastAsia="en-AU"/>
        </w:rPr>
        <w:t xml:space="preserve">primary education </w:t>
      </w:r>
      <w:r w:rsidRPr="00DE5714">
        <w:rPr>
          <w:rFonts w:ascii="Calibri Light" w:eastAsia="Calibri Light" w:hAnsi="Calibri Light" w:cs="Calibri Light"/>
          <w:color w:val="495965"/>
          <w:u w:color="495965"/>
          <w:bdr w:val="nil"/>
          <w:lang w:val="en-US" w:eastAsia="en-AU"/>
        </w:rPr>
        <w:t>completion rate increased from 60 per</w:t>
      </w:r>
      <w:r w:rsidR="00935885">
        <w:rPr>
          <w:rFonts w:ascii="Calibri Light" w:eastAsia="Calibri Light" w:hAnsi="Calibri Light" w:cs="Calibri Light"/>
          <w:color w:val="495965"/>
          <w:u w:color="495965"/>
          <w:bdr w:val="nil"/>
          <w:lang w:val="en-US" w:eastAsia="en-AU"/>
        </w:rPr>
        <w:t xml:space="preserve"> </w:t>
      </w:r>
      <w:r w:rsidRPr="00DE5714">
        <w:rPr>
          <w:rFonts w:ascii="Calibri Light" w:eastAsia="Calibri Light" w:hAnsi="Calibri Light" w:cs="Calibri Light"/>
          <w:color w:val="495965"/>
          <w:u w:color="495965"/>
          <w:bdr w:val="nil"/>
          <w:lang w:val="en-US" w:eastAsia="en-AU"/>
        </w:rPr>
        <w:t xml:space="preserve">cent </w:t>
      </w:r>
      <w:r w:rsidR="00645BB7">
        <w:rPr>
          <w:rFonts w:ascii="Calibri Light" w:eastAsia="Calibri Light" w:hAnsi="Calibri Light" w:cs="Calibri Light"/>
          <w:color w:val="495965"/>
          <w:u w:color="495965"/>
          <w:bdr w:val="nil"/>
          <w:lang w:val="en-US" w:eastAsia="en-AU"/>
        </w:rPr>
        <w:t xml:space="preserve">in </w:t>
      </w:r>
      <w:r w:rsidRPr="00DE5714">
        <w:rPr>
          <w:rFonts w:ascii="Calibri Light" w:eastAsia="Calibri Light" w:hAnsi="Calibri Light" w:cs="Calibri Light"/>
          <w:color w:val="495965"/>
          <w:u w:color="495965"/>
          <w:bdr w:val="nil"/>
          <w:lang w:val="en-US" w:eastAsia="en-AU"/>
        </w:rPr>
        <w:t>2010 to 80 percent in 2016</w:t>
      </w:r>
      <w:r w:rsidR="00A063B9">
        <w:rPr>
          <w:rStyle w:val="FootnoteReference"/>
          <w:rFonts w:ascii="Calibri Light" w:eastAsia="Calibri Light" w:hAnsi="Calibri Light" w:cs="Calibri Light"/>
          <w:color w:val="495965"/>
          <w:u w:color="495965"/>
          <w:bdr w:val="nil"/>
          <w:lang w:val="en-US" w:eastAsia="en-AU"/>
        </w:rPr>
        <w:footnoteReference w:id="23"/>
      </w:r>
      <w:r w:rsidRPr="00DE5714">
        <w:rPr>
          <w:rFonts w:ascii="Calibri Light" w:eastAsia="Calibri Light" w:hAnsi="Calibri Light" w:cs="Calibri Light"/>
          <w:color w:val="495965"/>
          <w:u w:color="495965"/>
          <w:bdr w:val="nil"/>
          <w:lang w:val="en-US" w:eastAsia="en-AU"/>
        </w:rPr>
        <w:t>. The proportion of teachers</w:t>
      </w:r>
      <w:r w:rsidR="00645BB7">
        <w:rPr>
          <w:rFonts w:ascii="Calibri Light" w:eastAsia="Calibri Light" w:hAnsi="Calibri Light" w:cs="Calibri Light"/>
          <w:color w:val="495965"/>
          <w:u w:color="495965"/>
          <w:bdr w:val="nil"/>
          <w:lang w:val="en-US" w:eastAsia="en-AU"/>
        </w:rPr>
        <w:t xml:space="preserve"> </w:t>
      </w:r>
      <w:r w:rsidRPr="00DE5714">
        <w:rPr>
          <w:rFonts w:ascii="Calibri Light" w:eastAsia="Calibri Light" w:hAnsi="Calibri Light" w:cs="Calibri Light"/>
          <w:color w:val="495965"/>
          <w:u w:color="495965"/>
          <w:bdr w:val="nil"/>
          <w:lang w:val="en-US" w:eastAsia="en-AU"/>
        </w:rPr>
        <w:t>me</w:t>
      </w:r>
      <w:r w:rsidR="00645BB7">
        <w:rPr>
          <w:rFonts w:ascii="Calibri Light" w:eastAsia="Calibri Light" w:hAnsi="Calibri Light" w:cs="Calibri Light"/>
          <w:color w:val="495965"/>
          <w:u w:color="495965"/>
          <w:bdr w:val="nil"/>
          <w:lang w:val="en-US" w:eastAsia="en-AU"/>
        </w:rPr>
        <w:t>e</w:t>
      </w:r>
      <w:r w:rsidRPr="00DE5714">
        <w:rPr>
          <w:rFonts w:ascii="Calibri Light" w:eastAsia="Calibri Light" w:hAnsi="Calibri Light" w:cs="Calibri Light"/>
          <w:color w:val="495965"/>
          <w:u w:color="495965"/>
          <w:bdr w:val="nil"/>
          <w:lang w:val="en-US" w:eastAsia="en-AU"/>
        </w:rPr>
        <w:t>t</w:t>
      </w:r>
      <w:r w:rsidR="00645BB7">
        <w:rPr>
          <w:rFonts w:ascii="Calibri Light" w:eastAsia="Calibri Light" w:hAnsi="Calibri Light" w:cs="Calibri Light"/>
          <w:color w:val="495965"/>
          <w:u w:color="495965"/>
          <w:bdr w:val="nil"/>
          <w:lang w:val="en-US" w:eastAsia="en-AU"/>
        </w:rPr>
        <w:t xml:space="preserve">ing </w:t>
      </w:r>
      <w:r w:rsidRPr="00DE5714">
        <w:rPr>
          <w:rFonts w:ascii="Calibri Light" w:eastAsia="Calibri Light" w:hAnsi="Calibri Light" w:cs="Calibri Light"/>
          <w:color w:val="495965"/>
          <w:u w:color="495965"/>
          <w:bdr w:val="nil"/>
          <w:lang w:val="en-US" w:eastAsia="en-AU"/>
        </w:rPr>
        <w:t>minimum professional qualification</w:t>
      </w:r>
      <w:r w:rsidR="00645BB7">
        <w:rPr>
          <w:rFonts w:ascii="Calibri Light" w:eastAsia="Calibri Light" w:hAnsi="Calibri Light" w:cs="Calibri Light"/>
          <w:color w:val="495965"/>
          <w:u w:color="495965"/>
          <w:bdr w:val="nil"/>
          <w:lang w:val="en-US" w:eastAsia="en-AU"/>
        </w:rPr>
        <w:t>s</w:t>
      </w:r>
      <w:r w:rsidRPr="00DE5714">
        <w:rPr>
          <w:rFonts w:ascii="Calibri Light" w:eastAsia="Calibri Light" w:hAnsi="Calibri Light" w:cs="Calibri Light"/>
          <w:color w:val="495965"/>
          <w:u w:color="495965"/>
          <w:bdr w:val="nil"/>
          <w:lang w:val="en-US" w:eastAsia="en-AU"/>
        </w:rPr>
        <w:t xml:space="preserve"> increased from 83 percent i</w:t>
      </w:r>
      <w:r w:rsidR="00775586">
        <w:rPr>
          <w:rFonts w:ascii="Calibri Light" w:eastAsia="Calibri Light" w:hAnsi="Calibri Light" w:cs="Calibri Light"/>
          <w:color w:val="495965"/>
          <w:u w:color="495965"/>
          <w:bdr w:val="nil"/>
          <w:lang w:val="en-US" w:eastAsia="en-AU"/>
        </w:rPr>
        <w:t>n 2010 to 94.3 percent in 2016</w:t>
      </w:r>
      <w:r w:rsidR="00A063B9">
        <w:rPr>
          <w:rStyle w:val="FootnoteReference"/>
          <w:rFonts w:ascii="Calibri Light" w:eastAsia="Calibri Light" w:hAnsi="Calibri Light" w:cs="Calibri Light"/>
          <w:color w:val="495965"/>
          <w:u w:color="495965"/>
          <w:bdr w:val="nil"/>
          <w:lang w:val="en-US" w:eastAsia="en-AU"/>
        </w:rPr>
        <w:footnoteReference w:id="24"/>
      </w:r>
      <w:r w:rsidR="006E7841">
        <w:rPr>
          <w:rFonts w:ascii="Calibri Light" w:eastAsia="Calibri Light" w:hAnsi="Calibri Light" w:cs="Calibri Light"/>
          <w:color w:val="495965"/>
          <w:u w:color="495965"/>
          <w:bdr w:val="nil"/>
          <w:lang w:val="en-US" w:eastAsia="en-AU"/>
        </w:rPr>
        <w:t>.</w:t>
      </w:r>
      <w:r w:rsidR="00916CA1">
        <w:rPr>
          <w:rFonts w:ascii="Calibri Light" w:eastAsia="Calibri Light" w:hAnsi="Calibri Light" w:cs="Calibri Light"/>
          <w:color w:val="495965"/>
          <w:u w:color="495965"/>
          <w:bdr w:val="nil"/>
          <w:lang w:val="en-US" w:eastAsia="en-AU"/>
        </w:rPr>
        <w:t xml:space="preserve"> </w:t>
      </w:r>
      <w:r w:rsidR="00284978" w:rsidRPr="00CF2B7D">
        <w:rPr>
          <w:rFonts w:ascii="Calibri Light" w:eastAsia="Calibri Light" w:hAnsi="Calibri Light" w:cs="Calibri Light"/>
          <w:color w:val="495965"/>
          <w:u w:color="495965"/>
          <w:bdr w:val="nil"/>
          <w:lang w:val="en-US" w:eastAsia="en-AU"/>
        </w:rPr>
        <w:t>T</w:t>
      </w:r>
      <w:r w:rsidR="006F02C8" w:rsidRPr="00CF2B7D">
        <w:rPr>
          <w:rFonts w:ascii="Calibri Light" w:eastAsia="Calibri Light" w:hAnsi="Calibri Light" w:cs="Calibri Light"/>
          <w:color w:val="495965"/>
          <w:u w:color="495965"/>
          <w:bdr w:val="nil"/>
          <w:lang w:val="en-US" w:eastAsia="en-AU"/>
        </w:rPr>
        <w:t>hese achievements</w:t>
      </w:r>
      <w:r w:rsidR="00CF2B7D">
        <w:rPr>
          <w:rFonts w:ascii="Calibri Light" w:eastAsia="Calibri Light" w:hAnsi="Calibri Light" w:cs="Calibri Light"/>
          <w:color w:val="495965"/>
          <w:u w:color="495965"/>
          <w:bdr w:val="nil"/>
          <w:lang w:val="en-US" w:eastAsia="en-AU"/>
        </w:rPr>
        <w:t xml:space="preserve"> </w:t>
      </w:r>
      <w:r w:rsidR="00284978" w:rsidRPr="00CF2B7D">
        <w:rPr>
          <w:rFonts w:ascii="Calibri Light" w:eastAsia="Calibri Light" w:hAnsi="Calibri Light" w:cs="Calibri Light"/>
          <w:color w:val="495965"/>
          <w:u w:color="495965"/>
          <w:bdr w:val="nil"/>
          <w:lang w:val="en-US" w:eastAsia="en-AU"/>
        </w:rPr>
        <w:t xml:space="preserve">have not yet resulted in significant changes to </w:t>
      </w:r>
      <w:r w:rsidR="0081211F" w:rsidRPr="00CF2B7D">
        <w:rPr>
          <w:rFonts w:ascii="Calibri Light" w:eastAsia="Calibri Light" w:hAnsi="Calibri Light" w:cs="Calibri Light"/>
          <w:color w:val="495965"/>
          <w:u w:color="495965"/>
          <w:bdr w:val="nil"/>
          <w:lang w:val="en-US" w:eastAsia="en-AU"/>
        </w:rPr>
        <w:t>literacy and numeracy</w:t>
      </w:r>
      <w:r w:rsidR="00284978" w:rsidRPr="00CF2B7D">
        <w:rPr>
          <w:rFonts w:ascii="Calibri Light" w:eastAsia="Calibri Light" w:hAnsi="Calibri Light" w:cs="Calibri Light"/>
          <w:color w:val="495965"/>
          <w:u w:color="495965"/>
          <w:bdr w:val="nil"/>
          <w:lang w:val="en-US" w:eastAsia="en-AU"/>
        </w:rPr>
        <w:t xml:space="preserve"> standards</w:t>
      </w:r>
      <w:r w:rsidR="00815E6D" w:rsidRPr="00CF2B7D">
        <w:rPr>
          <w:rStyle w:val="FootnoteReference"/>
          <w:rFonts w:ascii="Calibri Light" w:eastAsia="Calibri Light" w:hAnsi="Calibri Light" w:cs="Calibri Light"/>
          <w:color w:val="495965"/>
          <w:u w:color="495965"/>
          <w:bdr w:val="nil"/>
          <w:lang w:val="en-US" w:eastAsia="en-AU"/>
        </w:rPr>
        <w:footnoteReference w:id="25"/>
      </w:r>
      <w:r w:rsidR="00284978" w:rsidRPr="00CF2B7D">
        <w:rPr>
          <w:rFonts w:ascii="Calibri Light" w:eastAsia="Calibri Light" w:hAnsi="Calibri Light" w:cs="Calibri Light"/>
          <w:color w:val="495965"/>
          <w:u w:color="495965"/>
          <w:bdr w:val="nil"/>
          <w:lang w:val="en-US" w:eastAsia="en-AU"/>
        </w:rPr>
        <w:t xml:space="preserve">, but </w:t>
      </w:r>
      <w:r w:rsidR="00815E6D" w:rsidRPr="00CF2B7D">
        <w:rPr>
          <w:rFonts w:ascii="Calibri Light" w:eastAsia="Calibri Light" w:hAnsi="Calibri Light" w:cs="Calibri Light"/>
          <w:color w:val="495965"/>
          <w:u w:color="495965"/>
          <w:bdr w:val="nil"/>
          <w:lang w:val="en-US" w:eastAsia="en-AU"/>
        </w:rPr>
        <w:t xml:space="preserve">given the nature of these changes this </w:t>
      </w:r>
      <w:r w:rsidR="00284978" w:rsidRPr="00CF2B7D">
        <w:rPr>
          <w:rFonts w:ascii="Calibri Light" w:eastAsia="Calibri Light" w:hAnsi="Calibri Light" w:cs="Calibri Light"/>
          <w:color w:val="495965"/>
          <w:u w:color="495965"/>
          <w:bdr w:val="nil"/>
          <w:lang w:val="en-US" w:eastAsia="en-AU"/>
        </w:rPr>
        <w:t>not surprising</w:t>
      </w:r>
      <w:r w:rsidR="00815E6D" w:rsidRPr="00CF2B7D">
        <w:rPr>
          <w:rFonts w:ascii="Calibri Light" w:eastAsia="Calibri Light" w:hAnsi="Calibri Light" w:cs="Calibri Light"/>
          <w:color w:val="495965"/>
          <w:u w:color="495965"/>
          <w:bdr w:val="nil"/>
          <w:lang w:val="en-US" w:eastAsia="en-AU"/>
        </w:rPr>
        <w:t xml:space="preserve"> as its too </w:t>
      </w:r>
      <w:r w:rsidR="0081211F" w:rsidRPr="00CF2B7D">
        <w:rPr>
          <w:rFonts w:ascii="Calibri Light" w:eastAsia="Calibri Light" w:hAnsi="Calibri Light" w:cs="Calibri Light"/>
          <w:color w:val="495965"/>
          <w:u w:color="495965"/>
          <w:bdr w:val="nil"/>
          <w:lang w:val="en-US" w:eastAsia="en-AU"/>
        </w:rPr>
        <w:t xml:space="preserve">early to see improvements in student learning. </w:t>
      </w:r>
      <w:r w:rsidR="0086487A" w:rsidRPr="00CF2B7D">
        <w:rPr>
          <w:rFonts w:ascii="Calibri Light" w:eastAsia="Calibri Light" w:hAnsi="Calibri Light" w:cs="Calibri Light"/>
          <w:color w:val="495965"/>
          <w:u w:color="495965"/>
          <w:bdr w:val="nil"/>
          <w:lang w:val="en-US" w:eastAsia="en-AU"/>
        </w:rPr>
        <w:t xml:space="preserve">Australia will continue to work with the </w:t>
      </w:r>
      <w:r w:rsidR="00284978" w:rsidRPr="00CF2B7D">
        <w:rPr>
          <w:rFonts w:ascii="Calibri Light" w:eastAsia="Calibri Light" w:hAnsi="Calibri Light" w:cs="Calibri Light"/>
          <w:color w:val="495965"/>
          <w:u w:color="495965"/>
          <w:bdr w:val="nil"/>
          <w:lang w:val="en-US" w:eastAsia="en-AU"/>
        </w:rPr>
        <w:t xml:space="preserve">Bangladesh </w:t>
      </w:r>
      <w:r w:rsidR="0086487A" w:rsidRPr="00CF2B7D">
        <w:rPr>
          <w:rFonts w:ascii="Calibri Light" w:eastAsia="Calibri Light" w:hAnsi="Calibri Light" w:cs="Calibri Light"/>
          <w:color w:val="495965"/>
          <w:u w:color="495965"/>
          <w:bdr w:val="nil"/>
          <w:lang w:val="en-US" w:eastAsia="en-AU"/>
        </w:rPr>
        <w:t xml:space="preserve">Government to </w:t>
      </w:r>
      <w:r w:rsidR="00284978" w:rsidRPr="00CF2B7D">
        <w:rPr>
          <w:rFonts w:ascii="Calibri Light" w:eastAsia="Calibri Light" w:hAnsi="Calibri Light" w:cs="Calibri Light"/>
          <w:color w:val="495965"/>
          <w:u w:color="495965"/>
          <w:bdr w:val="nil"/>
          <w:lang w:val="en-US" w:eastAsia="en-AU"/>
        </w:rPr>
        <w:t xml:space="preserve">improve outcomes in </w:t>
      </w:r>
      <w:r w:rsidR="0086487A" w:rsidRPr="00CF2B7D">
        <w:rPr>
          <w:rFonts w:ascii="Calibri Light" w:eastAsia="Calibri Light" w:hAnsi="Calibri Light" w:cs="Calibri Light"/>
          <w:color w:val="495965"/>
          <w:u w:color="495965"/>
          <w:bdr w:val="nil"/>
          <w:lang w:val="en-US" w:eastAsia="en-AU"/>
        </w:rPr>
        <w:t>the next phase of PEDP.</w:t>
      </w:r>
    </w:p>
    <w:p w14:paraId="39BDD04F" w14:textId="70C94F06" w:rsidR="00DE5714" w:rsidRPr="0035542F" w:rsidRDefault="00DE5714" w:rsidP="00DE5714">
      <w:pPr>
        <w:pBdr>
          <w:top w:val="nil"/>
          <w:left w:val="nil"/>
          <w:bottom w:val="nil"/>
          <w:right w:val="nil"/>
          <w:between w:val="nil"/>
          <w:bar w:val="nil"/>
        </w:pBdr>
        <w:spacing w:after="120" w:line="280" w:lineRule="exact"/>
        <w:rPr>
          <w:rFonts w:asciiTheme="majorHAnsi" w:eastAsia="Calibri Light" w:hAnsiTheme="majorHAnsi" w:cs="Calibri Light"/>
          <w:b/>
          <w:bCs/>
          <w:color w:val="495965"/>
          <w:u w:color="495965"/>
          <w:bdr w:val="nil"/>
          <w:lang w:val="en-US" w:eastAsia="en-AU"/>
        </w:rPr>
      </w:pPr>
      <w:r w:rsidRPr="0035542F">
        <w:rPr>
          <w:rFonts w:asciiTheme="majorHAnsi" w:eastAsia="Calibri Light" w:hAnsiTheme="majorHAnsi" w:cs="Calibri Light"/>
          <w:b/>
          <w:bCs/>
          <w:color w:val="495965"/>
          <w:u w:color="495965"/>
          <w:bdr w:val="nil"/>
          <w:lang w:val="en-US" w:eastAsia="en-AU"/>
        </w:rPr>
        <w:t>Outcome 2: Poor children</w:t>
      </w:r>
      <w:r w:rsidR="00935885">
        <w:rPr>
          <w:rFonts w:asciiTheme="majorHAnsi" w:eastAsia="Calibri Light" w:hAnsiTheme="majorHAnsi" w:cs="Calibri Light"/>
          <w:b/>
          <w:bCs/>
          <w:color w:val="495965"/>
          <w:u w:color="495965"/>
          <w:bdr w:val="nil"/>
          <w:lang w:val="en-US" w:eastAsia="en-AU"/>
        </w:rPr>
        <w:t>,</w:t>
      </w:r>
      <w:r w:rsidRPr="0035542F">
        <w:rPr>
          <w:rFonts w:asciiTheme="majorHAnsi" w:eastAsia="Calibri Light" w:hAnsiTheme="majorHAnsi" w:cs="Calibri Light"/>
          <w:b/>
          <w:bCs/>
          <w:color w:val="495965"/>
          <w:u w:color="495965"/>
          <w:bdr w:val="nil"/>
          <w:lang w:val="en-US" w:eastAsia="en-AU"/>
        </w:rPr>
        <w:t xml:space="preserve"> particularly girls</w:t>
      </w:r>
      <w:r w:rsidR="00935885">
        <w:rPr>
          <w:rFonts w:asciiTheme="majorHAnsi" w:eastAsia="Calibri Light" w:hAnsiTheme="majorHAnsi" w:cs="Calibri Light"/>
          <w:b/>
          <w:bCs/>
          <w:color w:val="495965"/>
          <w:u w:color="495965"/>
          <w:bdr w:val="nil"/>
          <w:lang w:val="en-US" w:eastAsia="en-AU"/>
        </w:rPr>
        <w:t>,</w:t>
      </w:r>
      <w:r w:rsidRPr="0035542F">
        <w:rPr>
          <w:rFonts w:asciiTheme="majorHAnsi" w:eastAsia="Calibri Light" w:hAnsiTheme="majorHAnsi" w:cs="Calibri Light"/>
          <w:b/>
          <w:bCs/>
          <w:color w:val="495965"/>
          <w:u w:color="495965"/>
          <w:bdr w:val="nil"/>
          <w:lang w:val="en-US" w:eastAsia="en-AU"/>
        </w:rPr>
        <w:t xml:space="preserve"> benefit from non-formal education</w:t>
      </w:r>
    </w:p>
    <w:p w14:paraId="41ED2D95" w14:textId="28AA7342" w:rsidR="00DE5714" w:rsidRPr="00DE5714" w:rsidRDefault="00122F0B" w:rsidP="00026AE0">
      <w:pPr>
        <w:pBdr>
          <w:top w:val="nil"/>
          <w:left w:val="nil"/>
          <w:bottom w:val="nil"/>
          <w:right w:val="nil"/>
          <w:between w:val="nil"/>
          <w:bar w:val="nil"/>
        </w:pBdr>
        <w:spacing w:after="120" w:line="280" w:lineRule="exact"/>
        <w:jc w:val="both"/>
        <w:rPr>
          <w:rFonts w:ascii="Calibri Light" w:eastAsia="Calibri Light" w:hAnsi="Calibri Light" w:cs="Calibri Light"/>
          <w:color w:val="495965"/>
          <w:u w:color="495965"/>
          <w:bdr w:val="nil"/>
          <w:lang w:val="en-US" w:eastAsia="en-AU"/>
        </w:rPr>
      </w:pPr>
      <w:r>
        <w:rPr>
          <w:rFonts w:ascii="Calibri Light" w:eastAsia="Calibri Light" w:hAnsi="Calibri Light" w:cs="Calibri Light"/>
          <w:color w:val="495965"/>
          <w:u w:color="495965"/>
          <w:bdr w:val="nil"/>
          <w:lang w:val="en-US" w:eastAsia="en-AU"/>
        </w:rPr>
        <w:t xml:space="preserve">Australia invests </w:t>
      </w:r>
      <w:r w:rsidR="004B0334">
        <w:rPr>
          <w:rFonts w:ascii="Calibri Light" w:eastAsia="Calibri Light" w:hAnsi="Calibri Light" w:cs="Calibri Light"/>
          <w:color w:val="495965"/>
          <w:u w:color="495965"/>
          <w:bdr w:val="nil"/>
          <w:lang w:val="en-US" w:eastAsia="en-AU"/>
        </w:rPr>
        <w:t xml:space="preserve">in </w:t>
      </w:r>
      <w:r w:rsidR="00645BB7">
        <w:rPr>
          <w:rFonts w:ascii="Calibri Light" w:eastAsia="Calibri Light" w:hAnsi="Calibri Light" w:cs="Calibri Light"/>
          <w:color w:val="495965"/>
          <w:u w:color="495965"/>
          <w:bdr w:val="nil"/>
          <w:lang w:val="en-US" w:eastAsia="en-AU"/>
        </w:rPr>
        <w:t>BRAC</w:t>
      </w:r>
      <w:r w:rsidR="00A60B97">
        <w:rPr>
          <w:rFonts w:ascii="Calibri Light" w:eastAsia="Calibri Light" w:hAnsi="Calibri Light" w:cs="Calibri Light"/>
          <w:color w:val="495965"/>
          <w:u w:color="495965"/>
          <w:bdr w:val="nil"/>
          <w:lang w:val="en-US" w:eastAsia="en-AU"/>
        </w:rPr>
        <w:t xml:space="preserve">’s </w:t>
      </w:r>
      <w:r w:rsidR="00DC758B">
        <w:rPr>
          <w:rFonts w:ascii="Calibri Light" w:eastAsia="Calibri Light" w:hAnsi="Calibri Light" w:cs="Calibri Light"/>
          <w:color w:val="495965"/>
          <w:u w:color="495965"/>
          <w:bdr w:val="nil"/>
          <w:lang w:val="en-US" w:eastAsia="en-AU"/>
        </w:rPr>
        <w:t xml:space="preserve">quality education </w:t>
      </w:r>
      <w:r w:rsidR="00A60B97">
        <w:rPr>
          <w:rFonts w:ascii="Calibri Light" w:eastAsia="Calibri Light" w:hAnsi="Calibri Light" w:cs="Calibri Light"/>
          <w:color w:val="495965"/>
          <w:u w:color="495965"/>
          <w:bdr w:val="nil"/>
          <w:lang w:val="en-US" w:eastAsia="en-AU"/>
        </w:rPr>
        <w:t xml:space="preserve">programs </w:t>
      </w:r>
      <w:r w:rsidR="00DC758B">
        <w:rPr>
          <w:rFonts w:ascii="Calibri Light" w:eastAsia="Calibri Light" w:hAnsi="Calibri Light" w:cs="Calibri Light"/>
          <w:color w:val="495965"/>
          <w:u w:color="495965"/>
          <w:bdr w:val="nil"/>
          <w:lang w:val="en-US" w:eastAsia="en-AU"/>
        </w:rPr>
        <w:t xml:space="preserve">for the </w:t>
      </w:r>
      <w:r w:rsidR="00DE5714" w:rsidRPr="00DE5714">
        <w:rPr>
          <w:rFonts w:ascii="Calibri Light" w:eastAsia="Calibri Light" w:hAnsi="Calibri Light" w:cs="Calibri Light"/>
          <w:color w:val="495965"/>
          <w:u w:color="495965"/>
          <w:bdr w:val="nil"/>
          <w:lang w:val="en-US" w:eastAsia="en-AU"/>
        </w:rPr>
        <w:t xml:space="preserve">poor and </w:t>
      </w:r>
      <w:r w:rsidR="00645BB7">
        <w:rPr>
          <w:rFonts w:ascii="Calibri Light" w:eastAsia="Calibri Light" w:hAnsi="Calibri Light" w:cs="Calibri Light"/>
          <w:color w:val="495965"/>
          <w:u w:color="495965"/>
          <w:bdr w:val="nil"/>
          <w:lang w:val="en-US" w:eastAsia="en-AU"/>
        </w:rPr>
        <w:t>marginaliz</w:t>
      </w:r>
      <w:r w:rsidR="00645BB7" w:rsidRPr="00DE5714">
        <w:rPr>
          <w:rFonts w:ascii="Calibri Light" w:eastAsia="Calibri Light" w:hAnsi="Calibri Light" w:cs="Calibri Light"/>
          <w:color w:val="495965"/>
          <w:u w:color="495965"/>
          <w:bdr w:val="nil"/>
          <w:lang w:val="en-US" w:eastAsia="en-AU"/>
        </w:rPr>
        <w:t>ed</w:t>
      </w:r>
      <w:r w:rsidR="00DE5714" w:rsidRPr="00DE5714">
        <w:rPr>
          <w:rFonts w:ascii="Calibri Light" w:eastAsia="Calibri Light" w:hAnsi="Calibri Light" w:cs="Calibri Light"/>
          <w:color w:val="495965"/>
          <w:u w:color="495965"/>
          <w:bdr w:val="nil"/>
          <w:lang w:val="en-US" w:eastAsia="en-AU"/>
        </w:rPr>
        <w:t xml:space="preserve">, particularly </w:t>
      </w:r>
      <w:r w:rsidR="00F74389">
        <w:rPr>
          <w:rFonts w:ascii="Calibri Light" w:eastAsia="Calibri Light" w:hAnsi="Calibri Light" w:cs="Calibri Light"/>
          <w:color w:val="495965"/>
          <w:u w:color="495965"/>
          <w:bdr w:val="nil"/>
          <w:lang w:val="en-US" w:eastAsia="en-AU"/>
        </w:rPr>
        <w:t>girls</w:t>
      </w:r>
      <w:r w:rsidR="00A60B97">
        <w:rPr>
          <w:rFonts w:ascii="Calibri Light" w:eastAsia="Calibri Light" w:hAnsi="Calibri Light" w:cs="Calibri Light"/>
          <w:color w:val="495965"/>
          <w:u w:color="495965"/>
          <w:bdr w:val="nil"/>
          <w:lang w:val="en-US" w:eastAsia="en-AU"/>
        </w:rPr>
        <w:t>,</w:t>
      </w:r>
      <w:r>
        <w:rPr>
          <w:rFonts w:ascii="Calibri Light" w:eastAsia="Calibri Light" w:hAnsi="Calibri Light" w:cs="Calibri Light"/>
          <w:color w:val="495965"/>
          <w:u w:color="495965"/>
          <w:bdr w:val="nil"/>
          <w:lang w:val="en-US" w:eastAsia="en-AU"/>
        </w:rPr>
        <w:t xml:space="preserve"> unable to access government schools. BRAC’s innovative programs </w:t>
      </w:r>
      <w:r w:rsidR="004B0334">
        <w:rPr>
          <w:rFonts w:ascii="Calibri Light" w:eastAsia="Calibri Light" w:hAnsi="Calibri Light" w:cs="Calibri Light"/>
          <w:color w:val="495965"/>
          <w:u w:color="495965"/>
          <w:bdr w:val="nil"/>
          <w:lang w:val="en-US" w:eastAsia="en-AU"/>
        </w:rPr>
        <w:t>support</w:t>
      </w:r>
      <w:r>
        <w:rPr>
          <w:rFonts w:ascii="Calibri Light" w:eastAsia="Calibri Light" w:hAnsi="Calibri Light" w:cs="Calibri Light"/>
          <w:color w:val="495965"/>
          <w:u w:color="495965"/>
          <w:bdr w:val="nil"/>
          <w:lang w:val="en-US" w:eastAsia="en-AU"/>
        </w:rPr>
        <w:t xml:space="preserve"> children who have never been to school, including boat schools for children in seasonally flooded areas, a pilot program for children w</w:t>
      </w:r>
      <w:r w:rsidR="00645BB7">
        <w:rPr>
          <w:rFonts w:ascii="Calibri Light" w:eastAsia="Calibri Light" w:hAnsi="Calibri Light" w:cs="Calibri Light"/>
          <w:color w:val="495965"/>
          <w:u w:color="495965"/>
          <w:bdr w:val="nil"/>
          <w:lang w:val="en-US" w:eastAsia="en-AU"/>
        </w:rPr>
        <w:t xml:space="preserve">ho </w:t>
      </w:r>
      <w:r w:rsidR="00A60B97">
        <w:rPr>
          <w:rFonts w:ascii="Calibri Light" w:eastAsia="Calibri Light" w:hAnsi="Calibri Light" w:cs="Calibri Light"/>
          <w:color w:val="495965"/>
          <w:u w:color="495965"/>
          <w:bdr w:val="nil"/>
          <w:lang w:val="en-US" w:eastAsia="en-AU"/>
        </w:rPr>
        <w:t>are</w:t>
      </w:r>
      <w:r w:rsidR="00645BB7">
        <w:rPr>
          <w:rFonts w:ascii="Calibri Light" w:eastAsia="Calibri Light" w:hAnsi="Calibri Light" w:cs="Calibri Light"/>
          <w:color w:val="495965"/>
          <w:u w:color="495965"/>
          <w:bdr w:val="nil"/>
          <w:lang w:val="en-US" w:eastAsia="en-AU"/>
        </w:rPr>
        <w:t xml:space="preserve"> street workers</w:t>
      </w:r>
      <w:r>
        <w:rPr>
          <w:rFonts w:ascii="Calibri Light" w:eastAsia="Calibri Light" w:hAnsi="Calibri Light" w:cs="Calibri Light"/>
          <w:color w:val="495965"/>
          <w:u w:color="495965"/>
          <w:bdr w:val="nil"/>
          <w:lang w:val="en-US" w:eastAsia="en-AU"/>
        </w:rPr>
        <w:t xml:space="preserve"> and a bridge program for children who dropped out of </w:t>
      </w:r>
      <w:r w:rsidR="00550D33">
        <w:rPr>
          <w:rFonts w:ascii="Calibri Light" w:eastAsia="Calibri Light" w:hAnsi="Calibri Light" w:cs="Calibri Light"/>
          <w:color w:val="495965"/>
          <w:u w:color="495965"/>
          <w:bdr w:val="nil"/>
          <w:lang w:val="en-US" w:eastAsia="en-AU"/>
        </w:rPr>
        <w:t xml:space="preserve">school between grades 2 and 4. </w:t>
      </w:r>
    </w:p>
    <w:p w14:paraId="261386CB" w14:textId="3670D338" w:rsidR="00026AE0" w:rsidRPr="00A93765" w:rsidRDefault="00DE5714" w:rsidP="00A93765">
      <w:pPr>
        <w:pBdr>
          <w:top w:val="nil"/>
          <w:left w:val="nil"/>
          <w:bottom w:val="nil"/>
          <w:right w:val="nil"/>
          <w:between w:val="nil"/>
          <w:bar w:val="nil"/>
        </w:pBdr>
        <w:spacing w:after="120" w:line="280" w:lineRule="exact"/>
        <w:jc w:val="both"/>
        <w:rPr>
          <w:rFonts w:ascii="Calibri Light" w:eastAsia="Calibri Light" w:hAnsi="Calibri Light" w:cs="Calibri Light"/>
          <w:color w:val="495965"/>
          <w:u w:color="495965"/>
          <w:bdr w:val="nil"/>
          <w:lang w:val="en-US" w:eastAsia="en-AU"/>
        </w:rPr>
      </w:pPr>
      <w:r w:rsidRPr="001F1B0D">
        <w:rPr>
          <w:rFonts w:ascii="Calibri Light" w:eastAsia="Calibri Light" w:hAnsi="Calibri Light" w:cs="Calibri Light"/>
          <w:color w:val="495965"/>
          <w:u w:color="495965"/>
          <w:bdr w:val="nil"/>
          <w:lang w:val="en-US" w:eastAsia="en-AU"/>
        </w:rPr>
        <w:t xml:space="preserve">During the reporting period, Australia supported 631,222 children </w:t>
      </w:r>
      <w:r w:rsidR="00122F0B" w:rsidRPr="001F1B0D">
        <w:rPr>
          <w:rFonts w:ascii="Calibri Light" w:eastAsia="Calibri Light" w:hAnsi="Calibri Light" w:cs="Calibri Light"/>
          <w:color w:val="495965"/>
          <w:u w:color="495965"/>
          <w:bdr w:val="nil"/>
          <w:lang w:val="en-US" w:eastAsia="en-AU"/>
        </w:rPr>
        <w:t>(</w:t>
      </w:r>
      <w:r w:rsidR="009B1250" w:rsidRPr="001F1B0D">
        <w:rPr>
          <w:rFonts w:ascii="Calibri Light" w:eastAsia="Calibri Light" w:hAnsi="Calibri Light" w:cs="Calibri Light"/>
          <w:color w:val="495965"/>
          <w:u w:color="495965"/>
          <w:bdr w:val="nil"/>
          <w:lang w:val="en-US" w:eastAsia="en-AU"/>
        </w:rPr>
        <w:t>significant</w:t>
      </w:r>
      <w:r w:rsidR="00046759">
        <w:rPr>
          <w:rFonts w:ascii="Calibri Light" w:eastAsia="Calibri Light" w:hAnsi="Calibri Light" w:cs="Calibri Light"/>
          <w:color w:val="495965"/>
          <w:u w:color="495965"/>
          <w:bdr w:val="nil"/>
          <w:lang w:val="en-US" w:eastAsia="en-AU"/>
        </w:rPr>
        <w:t>ly</w:t>
      </w:r>
      <w:r w:rsidR="009B1250" w:rsidRPr="001F1B0D">
        <w:rPr>
          <w:rFonts w:ascii="Calibri Light" w:eastAsia="Calibri Light" w:hAnsi="Calibri Light" w:cs="Calibri Light"/>
          <w:color w:val="495965"/>
          <w:u w:color="495965"/>
          <w:bdr w:val="nil"/>
          <w:lang w:val="en-US" w:eastAsia="en-AU"/>
        </w:rPr>
        <w:t xml:space="preserve"> </w:t>
      </w:r>
      <w:r w:rsidR="00122F0B" w:rsidRPr="001F1B0D">
        <w:rPr>
          <w:rFonts w:ascii="Calibri Light" w:eastAsia="Calibri Light" w:hAnsi="Calibri Light" w:cs="Calibri Light"/>
          <w:color w:val="495965"/>
          <w:u w:color="495965"/>
          <w:bdr w:val="nil"/>
          <w:lang w:val="en-US" w:eastAsia="en-AU"/>
        </w:rPr>
        <w:t xml:space="preserve">exceeding </w:t>
      </w:r>
      <w:r w:rsidR="00046759">
        <w:rPr>
          <w:rFonts w:ascii="Calibri Light" w:eastAsia="Calibri Light" w:hAnsi="Calibri Light" w:cs="Calibri Light"/>
          <w:color w:val="495965"/>
          <w:u w:color="495965"/>
          <w:bdr w:val="nil"/>
          <w:lang w:val="en-US" w:eastAsia="en-AU"/>
        </w:rPr>
        <w:t>the</w:t>
      </w:r>
      <w:r w:rsidR="00122F0B" w:rsidRPr="001F1B0D">
        <w:rPr>
          <w:rFonts w:ascii="Calibri Light" w:eastAsia="Calibri Light" w:hAnsi="Calibri Light" w:cs="Calibri Light"/>
          <w:color w:val="495965"/>
          <w:u w:color="495965"/>
          <w:bdr w:val="nil"/>
          <w:lang w:val="en-US" w:eastAsia="en-AU"/>
        </w:rPr>
        <w:t xml:space="preserve"> </w:t>
      </w:r>
      <w:r w:rsidR="001678D8">
        <w:rPr>
          <w:rFonts w:ascii="Calibri Light" w:eastAsia="Calibri Light" w:hAnsi="Calibri Light" w:cs="Calibri Light"/>
          <w:color w:val="495965"/>
          <w:u w:color="495965"/>
          <w:bdr w:val="nil"/>
          <w:lang w:val="en-US" w:eastAsia="en-AU"/>
        </w:rPr>
        <w:t>PB</w:t>
      </w:r>
      <w:r w:rsidR="001678D8">
        <w:rPr>
          <w:rStyle w:val="FootnoteReference"/>
          <w:rFonts w:ascii="Calibri Light" w:eastAsia="Calibri Light" w:hAnsi="Calibri Light" w:cs="Calibri Light"/>
          <w:color w:val="495965"/>
          <w:u w:color="495965"/>
          <w:bdr w:val="nil"/>
          <w:lang w:val="en-US" w:eastAsia="en-AU"/>
        </w:rPr>
        <w:footnoteReference w:id="26"/>
      </w:r>
      <w:r w:rsidR="001678D8">
        <w:rPr>
          <w:rFonts w:ascii="Calibri Light" w:eastAsia="Calibri Light" w:hAnsi="Calibri Light" w:cs="Calibri Light"/>
          <w:color w:val="495965"/>
          <w:u w:color="495965"/>
          <w:bdr w:val="nil"/>
          <w:lang w:val="en-US" w:eastAsia="en-AU"/>
        </w:rPr>
        <w:t xml:space="preserve"> and </w:t>
      </w:r>
      <w:r w:rsidR="00122F0B" w:rsidRPr="001F1B0D">
        <w:rPr>
          <w:rFonts w:ascii="Calibri Light" w:eastAsia="Calibri Light" w:hAnsi="Calibri Light" w:cs="Calibri Light"/>
          <w:color w:val="495965"/>
          <w:u w:color="495965"/>
          <w:bdr w:val="nil"/>
          <w:lang w:val="en-US" w:eastAsia="en-AU"/>
        </w:rPr>
        <w:t>PAF</w:t>
      </w:r>
      <w:r w:rsidR="00DD3B6F" w:rsidRPr="001F1B0D">
        <w:rPr>
          <w:rFonts w:ascii="Calibri Light" w:eastAsia="Calibri Light" w:hAnsi="Calibri Light" w:cs="Calibri Light"/>
          <w:color w:val="495965"/>
          <w:u w:color="495965"/>
          <w:bdr w:val="nil"/>
          <w:lang w:val="en-US" w:eastAsia="en-AU"/>
        </w:rPr>
        <w:t xml:space="preserve"> </w:t>
      </w:r>
      <w:r w:rsidR="001F1B0D" w:rsidRPr="001F1B0D">
        <w:rPr>
          <w:rFonts w:ascii="Calibri Light" w:eastAsia="Calibri Light" w:hAnsi="Calibri Light" w:cs="Calibri Light"/>
          <w:color w:val="495965"/>
          <w:u w:color="495965"/>
          <w:bdr w:val="nil"/>
          <w:lang w:val="en-US" w:eastAsia="en-AU"/>
        </w:rPr>
        <w:t>target</w:t>
      </w:r>
      <w:r w:rsidR="00D62410">
        <w:rPr>
          <w:rFonts w:ascii="Calibri Light" w:eastAsia="Calibri Light" w:hAnsi="Calibri Light" w:cs="Calibri Light"/>
          <w:color w:val="495965"/>
          <w:u w:color="495965"/>
          <w:bdr w:val="nil"/>
          <w:lang w:val="en-US" w:eastAsia="en-AU"/>
        </w:rPr>
        <w:t xml:space="preserve"> of</w:t>
      </w:r>
      <w:r w:rsidR="0012225C">
        <w:rPr>
          <w:rFonts w:ascii="Calibri Light" w:eastAsia="Calibri Light" w:hAnsi="Calibri Light" w:cs="Calibri Light"/>
          <w:color w:val="495965"/>
          <w:u w:color="495965"/>
          <w:bdr w:val="nil"/>
          <w:lang w:val="en-US" w:eastAsia="en-AU"/>
        </w:rPr>
        <w:t xml:space="preserve"> </w:t>
      </w:r>
      <w:r w:rsidR="00122F0B" w:rsidRPr="001F1B0D">
        <w:rPr>
          <w:rFonts w:ascii="Calibri Light" w:eastAsia="Calibri Light" w:hAnsi="Calibri Light" w:cs="Calibri Light"/>
          <w:color w:val="495965"/>
          <w:u w:color="495965"/>
          <w:bdr w:val="nil"/>
          <w:lang w:val="en-US" w:eastAsia="en-AU"/>
        </w:rPr>
        <w:t>470,075)</w:t>
      </w:r>
      <w:r w:rsidR="00122F0B" w:rsidRPr="00DE5714">
        <w:rPr>
          <w:rFonts w:ascii="Calibri Light" w:eastAsia="Calibri Light" w:hAnsi="Calibri Light" w:cs="Calibri Light"/>
          <w:color w:val="495965"/>
          <w:u w:color="495965"/>
          <w:bdr w:val="nil"/>
          <w:lang w:val="en-US" w:eastAsia="en-AU"/>
        </w:rPr>
        <w:t xml:space="preserve"> </w:t>
      </w:r>
      <w:r w:rsidRPr="00DE5714">
        <w:rPr>
          <w:rFonts w:ascii="Calibri Light" w:eastAsia="Calibri Light" w:hAnsi="Calibri Light" w:cs="Calibri Light"/>
          <w:color w:val="495965"/>
          <w:u w:color="495965"/>
          <w:bdr w:val="nil"/>
          <w:lang w:val="en-US" w:eastAsia="en-AU"/>
        </w:rPr>
        <w:t>to complete BRAC’s primary and pre-primary schooling</w:t>
      </w:r>
      <w:r w:rsidR="005F5C65">
        <w:rPr>
          <w:rFonts w:ascii="Calibri Light" w:eastAsia="Calibri Light" w:hAnsi="Calibri Light" w:cs="Calibri Light"/>
          <w:color w:val="495965"/>
          <w:u w:color="495965"/>
          <w:bdr w:val="nil"/>
          <w:lang w:val="en-US" w:eastAsia="en-AU"/>
        </w:rPr>
        <w:t xml:space="preserve">, of which </w:t>
      </w:r>
      <w:r w:rsidR="004D680E">
        <w:rPr>
          <w:rFonts w:ascii="Calibri Light" w:eastAsia="Calibri Light" w:hAnsi="Calibri Light" w:cs="Calibri Light"/>
          <w:color w:val="495965"/>
          <w:u w:color="495965"/>
          <w:bdr w:val="nil"/>
          <w:lang w:val="en-US" w:eastAsia="en-AU"/>
        </w:rPr>
        <w:t xml:space="preserve">355,378 (56.3 per cent) </w:t>
      </w:r>
      <w:r w:rsidR="005F5C65">
        <w:rPr>
          <w:rFonts w:ascii="Calibri Light" w:eastAsia="Calibri Light" w:hAnsi="Calibri Light" w:cs="Calibri Light"/>
          <w:color w:val="495965"/>
          <w:u w:color="495965"/>
          <w:bdr w:val="nil"/>
          <w:lang w:val="en-US" w:eastAsia="en-AU"/>
        </w:rPr>
        <w:t>were girls</w:t>
      </w:r>
      <w:r w:rsidR="004D680E">
        <w:rPr>
          <w:rFonts w:ascii="Calibri Light" w:eastAsia="Calibri Light" w:hAnsi="Calibri Light" w:cs="Calibri Light"/>
          <w:color w:val="495965"/>
          <w:u w:color="495965"/>
          <w:bdr w:val="nil"/>
          <w:lang w:val="en-US" w:eastAsia="en-AU"/>
        </w:rPr>
        <w:t xml:space="preserve"> </w:t>
      </w:r>
      <w:r w:rsidR="004D680E" w:rsidRPr="004D680E">
        <w:rPr>
          <w:rFonts w:ascii="Calibri Light" w:eastAsia="Calibri Light" w:hAnsi="Calibri Light" w:cs="Calibri Light"/>
          <w:color w:val="495965"/>
          <w:u w:color="495965"/>
          <w:bdr w:val="nil"/>
          <w:lang w:val="en-US" w:eastAsia="en-AU"/>
        </w:rPr>
        <w:t xml:space="preserve">and </w:t>
      </w:r>
      <w:r w:rsidR="00A93765" w:rsidRPr="004D680E">
        <w:rPr>
          <w:rFonts w:ascii="Calibri Light" w:eastAsia="Calibri Light" w:hAnsi="Calibri Light" w:cs="Calibri Light"/>
          <w:color w:val="495965"/>
          <w:u w:color="495965"/>
          <w:bdr w:val="nil"/>
          <w:lang w:val="en-US" w:eastAsia="en-AU"/>
        </w:rPr>
        <w:t>13</w:t>
      </w:r>
      <w:r w:rsidR="004D680E" w:rsidRPr="004D680E">
        <w:rPr>
          <w:rFonts w:ascii="Calibri Light" w:eastAsia="Calibri Light" w:hAnsi="Calibri Light" w:cs="Calibri Light"/>
          <w:color w:val="495965"/>
          <w:u w:color="495965"/>
          <w:bdr w:val="nil"/>
          <w:lang w:val="en-US" w:eastAsia="en-AU"/>
        </w:rPr>
        <w:t xml:space="preserve">,902 </w:t>
      </w:r>
      <w:r w:rsidR="004D680E">
        <w:rPr>
          <w:rFonts w:ascii="Calibri Light" w:eastAsia="Calibri Light" w:hAnsi="Calibri Light" w:cs="Calibri Light"/>
          <w:color w:val="495965"/>
          <w:u w:color="495965"/>
          <w:bdr w:val="nil"/>
          <w:lang w:val="en-US" w:eastAsia="en-AU"/>
        </w:rPr>
        <w:t xml:space="preserve">were </w:t>
      </w:r>
      <w:r w:rsidR="004D680E" w:rsidRPr="004D680E">
        <w:rPr>
          <w:rFonts w:ascii="Calibri Light" w:eastAsia="Calibri Light" w:hAnsi="Calibri Light" w:cs="Calibri Light"/>
          <w:color w:val="495965"/>
          <w:u w:color="495965"/>
          <w:bdr w:val="nil"/>
          <w:lang w:val="en-US" w:eastAsia="en-AU"/>
        </w:rPr>
        <w:t>children with disabilities</w:t>
      </w:r>
      <w:r w:rsidR="00A93765" w:rsidRPr="004D680E">
        <w:rPr>
          <w:rFonts w:ascii="Calibri Light" w:eastAsia="Calibri Light" w:hAnsi="Calibri Light" w:cs="Calibri Light"/>
          <w:color w:val="495965"/>
          <w:u w:color="495965"/>
          <w:bdr w:val="nil"/>
          <w:vertAlign w:val="superscript"/>
          <w:lang w:val="en-US" w:eastAsia="en-AU"/>
        </w:rPr>
        <w:footnoteReference w:id="27"/>
      </w:r>
      <w:r w:rsidR="004D680E" w:rsidRPr="004D680E">
        <w:rPr>
          <w:rFonts w:ascii="Calibri Light" w:eastAsia="Calibri Light" w:hAnsi="Calibri Light" w:cs="Calibri Light"/>
          <w:color w:val="495965"/>
          <w:u w:color="495965"/>
          <w:bdr w:val="nil"/>
          <w:lang w:val="en-US" w:eastAsia="en-AU"/>
        </w:rPr>
        <w:t>.</w:t>
      </w:r>
      <w:r w:rsidR="00A93765" w:rsidRPr="004D680E">
        <w:rPr>
          <w:rFonts w:ascii="Calibri Light" w:eastAsia="Calibri Light" w:hAnsi="Calibri Light" w:cs="Calibri Light"/>
          <w:color w:val="495965"/>
          <w:u w:color="495965"/>
          <w:bdr w:val="nil"/>
          <w:lang w:val="en-US" w:eastAsia="en-AU"/>
        </w:rPr>
        <w:t xml:space="preserve"> BRAC’s </w:t>
      </w:r>
      <w:r w:rsidR="00711CEA" w:rsidRPr="004D680E">
        <w:rPr>
          <w:rFonts w:ascii="Calibri Light" w:eastAsia="Calibri Light" w:hAnsi="Calibri Light" w:cs="Calibri Light"/>
          <w:color w:val="495965"/>
          <w:u w:color="495965"/>
          <w:bdr w:val="nil"/>
          <w:lang w:val="en-US" w:eastAsia="en-AU"/>
        </w:rPr>
        <w:t xml:space="preserve">Children with Special Needs </w:t>
      </w:r>
      <w:r w:rsidR="002A6DF3" w:rsidRPr="004D680E">
        <w:rPr>
          <w:rFonts w:ascii="Calibri Light" w:eastAsia="Calibri Light" w:hAnsi="Calibri Light" w:cs="Calibri Light"/>
          <w:color w:val="495965"/>
          <w:u w:color="495965"/>
          <w:bdr w:val="nil"/>
          <w:lang w:val="en-US" w:eastAsia="en-AU"/>
        </w:rPr>
        <w:t>U</w:t>
      </w:r>
      <w:r w:rsidR="0094633C" w:rsidRPr="004D680E">
        <w:rPr>
          <w:rFonts w:ascii="Calibri Light" w:eastAsia="Calibri Light" w:hAnsi="Calibri Light" w:cs="Calibri Light"/>
          <w:color w:val="495965"/>
          <w:u w:color="495965"/>
          <w:bdr w:val="nil"/>
          <w:lang w:val="en-US" w:eastAsia="en-AU"/>
        </w:rPr>
        <w:t>nit</w:t>
      </w:r>
      <w:r w:rsidR="004D680E">
        <w:rPr>
          <w:rFonts w:ascii="Calibri Light" w:eastAsia="Calibri Light" w:hAnsi="Calibri Light" w:cs="Calibri Light"/>
          <w:color w:val="495965"/>
          <w:u w:color="495965"/>
          <w:bdr w:val="nil"/>
          <w:lang w:val="en-US" w:eastAsia="en-AU"/>
        </w:rPr>
        <w:t xml:space="preserve"> </w:t>
      </w:r>
      <w:r w:rsidR="0094633C" w:rsidRPr="004D680E">
        <w:rPr>
          <w:rFonts w:ascii="Calibri Light" w:eastAsia="Calibri Light" w:hAnsi="Calibri Light" w:cs="Calibri Light"/>
          <w:color w:val="495965"/>
          <w:u w:color="495965"/>
          <w:bdr w:val="nil"/>
          <w:lang w:val="en-US" w:eastAsia="en-AU"/>
        </w:rPr>
        <w:t>continued to strengthen disability inclusiveness i</w:t>
      </w:r>
      <w:r w:rsidR="004D680E" w:rsidRPr="004D680E">
        <w:rPr>
          <w:rFonts w:ascii="Calibri Light" w:eastAsia="Calibri Light" w:hAnsi="Calibri Light" w:cs="Calibri Light"/>
          <w:color w:val="495965"/>
          <w:u w:color="495965"/>
          <w:bdr w:val="nil"/>
          <w:lang w:val="en-US" w:eastAsia="en-AU"/>
        </w:rPr>
        <w:t>n BRAC’s education programming</w:t>
      </w:r>
      <w:r w:rsidR="00711CEA" w:rsidRPr="004D680E">
        <w:rPr>
          <w:vertAlign w:val="superscript"/>
        </w:rPr>
        <w:footnoteReference w:id="28"/>
      </w:r>
      <w:r w:rsidR="004D680E" w:rsidRPr="004D680E">
        <w:rPr>
          <w:rFonts w:ascii="Calibri Light" w:eastAsia="Calibri Light" w:hAnsi="Calibri Light" w:cs="Calibri Light"/>
          <w:color w:val="495965"/>
          <w:u w:color="495965"/>
          <w:bdr w:val="nil"/>
          <w:lang w:val="en-US" w:eastAsia="en-AU"/>
        </w:rPr>
        <w:t>.</w:t>
      </w:r>
      <w:r w:rsidR="00B4365A">
        <w:rPr>
          <w:rFonts w:ascii="Calibri Light" w:eastAsia="Calibri Light" w:hAnsi="Calibri Light" w:cs="Calibri Light"/>
          <w:color w:val="495965"/>
          <w:u w:color="495965"/>
          <w:bdr w:val="nil"/>
          <w:lang w:val="en-US" w:eastAsia="en-AU"/>
        </w:rPr>
        <w:t xml:space="preserve"> </w:t>
      </w:r>
    </w:p>
    <w:p w14:paraId="7C21ED6E" w14:textId="74A1F27A" w:rsidR="00DE5714" w:rsidRPr="0035542F" w:rsidRDefault="00DE5714" w:rsidP="00DE5714">
      <w:pPr>
        <w:pBdr>
          <w:top w:val="nil"/>
          <w:left w:val="nil"/>
          <w:bottom w:val="nil"/>
          <w:right w:val="nil"/>
          <w:between w:val="nil"/>
          <w:bar w:val="nil"/>
        </w:pBdr>
        <w:spacing w:after="120" w:line="280" w:lineRule="exact"/>
        <w:rPr>
          <w:rFonts w:asciiTheme="majorHAnsi" w:eastAsia="Calibri Light" w:hAnsiTheme="majorHAnsi" w:cs="Calibri Light"/>
          <w:b/>
          <w:bCs/>
          <w:color w:val="495965"/>
          <w:u w:color="495965"/>
          <w:bdr w:val="nil"/>
          <w:lang w:val="en-US" w:eastAsia="en-AU"/>
        </w:rPr>
      </w:pPr>
      <w:r w:rsidRPr="0035542F">
        <w:rPr>
          <w:rFonts w:asciiTheme="majorHAnsi" w:eastAsia="Calibri Light" w:hAnsiTheme="majorHAnsi" w:cs="Calibri Light"/>
          <w:b/>
          <w:bCs/>
          <w:color w:val="495965"/>
          <w:u w:color="495965"/>
          <w:bdr w:val="nil"/>
          <w:lang w:val="en-US" w:eastAsia="en-AU"/>
        </w:rPr>
        <w:t xml:space="preserve">Outcome 3: Partnership between </w:t>
      </w:r>
      <w:r w:rsidR="00810A8E">
        <w:rPr>
          <w:rFonts w:asciiTheme="majorHAnsi" w:eastAsia="Calibri Light" w:hAnsiTheme="majorHAnsi" w:cs="Calibri Light"/>
          <w:b/>
          <w:bCs/>
          <w:color w:val="495965"/>
          <w:u w:color="495965"/>
          <w:bdr w:val="nil"/>
          <w:lang w:val="en-US" w:eastAsia="en-AU"/>
        </w:rPr>
        <w:t>Government and d</w:t>
      </w:r>
      <w:r w:rsidRPr="0035542F">
        <w:rPr>
          <w:rFonts w:asciiTheme="majorHAnsi" w:eastAsia="Calibri Light" w:hAnsiTheme="majorHAnsi" w:cs="Calibri Light"/>
          <w:b/>
          <w:bCs/>
          <w:color w:val="495965"/>
          <w:u w:color="495965"/>
          <w:bdr w:val="nil"/>
          <w:lang w:val="en-US" w:eastAsia="en-AU"/>
        </w:rPr>
        <w:t>evelopment partners improves effectiveness, equitable and accountable service delivery of primary education outcomes</w:t>
      </w:r>
    </w:p>
    <w:p w14:paraId="3C9E8EA5" w14:textId="5370E24C" w:rsidR="00F3161A" w:rsidRPr="00B4365A" w:rsidRDefault="003A72A0" w:rsidP="00026AE0">
      <w:pPr>
        <w:pBdr>
          <w:top w:val="nil"/>
          <w:left w:val="nil"/>
          <w:bottom w:val="nil"/>
          <w:right w:val="nil"/>
          <w:between w:val="nil"/>
          <w:bar w:val="nil"/>
        </w:pBdr>
        <w:spacing w:after="120" w:line="280" w:lineRule="exact"/>
        <w:jc w:val="both"/>
        <w:rPr>
          <w:rFonts w:ascii="Calibri Light" w:eastAsia="Calibri Light" w:hAnsi="Calibri Light" w:cs="Calibri Light"/>
          <w:color w:val="495965"/>
          <w:u w:color="495965"/>
          <w:lang w:val="en-US" w:eastAsia="en-AU"/>
        </w:rPr>
      </w:pPr>
      <w:r>
        <w:rPr>
          <w:rFonts w:ascii="Calibri Light" w:eastAsia="Calibri Light" w:hAnsi="Calibri Light" w:cs="Calibri Light"/>
          <w:color w:val="495965"/>
          <w:u w:color="495965"/>
          <w:bdr w:val="nil"/>
          <w:lang w:val="en-US" w:eastAsia="en-AU"/>
        </w:rPr>
        <w:t xml:space="preserve">PEDP3’s </w:t>
      </w:r>
      <w:r w:rsidR="00DE5714" w:rsidRPr="00DE5714">
        <w:rPr>
          <w:rFonts w:ascii="Calibri Light" w:eastAsia="Calibri Light" w:hAnsi="Calibri Light" w:cs="Calibri Light"/>
          <w:color w:val="495965"/>
          <w:u w:color="495965"/>
          <w:bdr w:val="nil"/>
          <w:lang w:val="en-US" w:eastAsia="en-AU"/>
        </w:rPr>
        <w:t xml:space="preserve">performance-linked funding model provided opportunities for policy dialogue </w:t>
      </w:r>
      <w:r w:rsidR="00143680">
        <w:rPr>
          <w:rFonts w:ascii="Calibri Light" w:eastAsia="Calibri Light" w:hAnsi="Calibri Light" w:cs="Calibri Light"/>
          <w:color w:val="495965"/>
          <w:u w:color="495965"/>
          <w:bdr w:val="nil"/>
          <w:lang w:val="en-US" w:eastAsia="en-AU"/>
        </w:rPr>
        <w:t xml:space="preserve">on </w:t>
      </w:r>
      <w:r w:rsidR="005C3089">
        <w:rPr>
          <w:rFonts w:ascii="Calibri Light" w:eastAsia="Calibri Light" w:hAnsi="Calibri Light" w:cs="Calibri Light"/>
          <w:color w:val="495965"/>
          <w:u w:color="495965"/>
          <w:bdr w:val="nil"/>
          <w:lang w:val="en-US" w:eastAsia="en-AU"/>
        </w:rPr>
        <w:t xml:space="preserve">government </w:t>
      </w:r>
      <w:r w:rsidR="00143680">
        <w:rPr>
          <w:rFonts w:ascii="Calibri Light" w:eastAsia="Calibri Light" w:hAnsi="Calibri Light" w:cs="Calibri Light"/>
          <w:color w:val="495965"/>
          <w:u w:color="495965"/>
          <w:bdr w:val="nil"/>
          <w:lang w:val="en-US" w:eastAsia="en-AU"/>
        </w:rPr>
        <w:t xml:space="preserve">education reform </w:t>
      </w:r>
      <w:r w:rsidR="00143680" w:rsidRPr="00312118">
        <w:rPr>
          <w:rFonts w:ascii="Calibri Light" w:eastAsia="Calibri Light" w:hAnsi="Calibri Light" w:cs="Calibri Light"/>
          <w:color w:val="495965"/>
          <w:u w:color="495965"/>
          <w:bdr w:val="nil"/>
          <w:lang w:val="en-US" w:eastAsia="en-AU"/>
        </w:rPr>
        <w:t xml:space="preserve">focused on improving education </w:t>
      </w:r>
      <w:r w:rsidR="00C60C5F">
        <w:rPr>
          <w:rFonts w:ascii="Calibri Light" w:eastAsia="Calibri Light" w:hAnsi="Calibri Light" w:cs="Calibri Light"/>
          <w:color w:val="495965"/>
          <w:u w:color="495965"/>
          <w:bdr w:val="nil"/>
          <w:lang w:val="en-US" w:eastAsia="en-AU"/>
        </w:rPr>
        <w:t xml:space="preserve">access, quality </w:t>
      </w:r>
      <w:r w:rsidR="00143680" w:rsidRPr="00312118">
        <w:rPr>
          <w:rFonts w:ascii="Calibri Light" w:eastAsia="Calibri Light" w:hAnsi="Calibri Light" w:cs="Calibri Light"/>
          <w:color w:val="495965"/>
          <w:u w:color="495965"/>
          <w:bdr w:val="nil"/>
          <w:lang w:val="en-US" w:eastAsia="en-AU"/>
        </w:rPr>
        <w:t xml:space="preserve">and governance. </w:t>
      </w:r>
      <w:r w:rsidR="00DE5714" w:rsidRPr="00312118">
        <w:rPr>
          <w:rFonts w:ascii="Calibri Light" w:eastAsia="Calibri Light" w:hAnsi="Calibri Light" w:cs="Calibri Light"/>
          <w:color w:val="495965"/>
          <w:u w:color="495965"/>
          <w:bdr w:val="nil"/>
          <w:lang w:val="en-US" w:eastAsia="en-AU"/>
        </w:rPr>
        <w:t xml:space="preserve">During </w:t>
      </w:r>
      <w:r w:rsidR="00935885">
        <w:rPr>
          <w:rFonts w:ascii="Calibri Light" w:eastAsia="Calibri Light" w:hAnsi="Calibri Light" w:cs="Calibri Light"/>
          <w:color w:val="495965"/>
          <w:u w:color="495965"/>
          <w:bdr w:val="nil"/>
          <w:lang w:val="en-US" w:eastAsia="en-AU"/>
        </w:rPr>
        <w:t>the reporting period, 50</w:t>
      </w:r>
      <w:r w:rsidR="00775586" w:rsidRPr="002A6DF3">
        <w:rPr>
          <w:rFonts w:ascii="Calibri Light" w:eastAsia="Calibri Light" w:hAnsi="Calibri Light" w:cs="Calibri Light"/>
          <w:color w:val="495965"/>
          <w:u w:color="495965"/>
          <w:bdr w:val="nil"/>
          <w:lang w:val="en-US" w:eastAsia="en-AU"/>
        </w:rPr>
        <w:t xml:space="preserve"> per</w:t>
      </w:r>
      <w:r w:rsidR="00935885">
        <w:rPr>
          <w:rFonts w:ascii="Calibri Light" w:eastAsia="Calibri Light" w:hAnsi="Calibri Light" w:cs="Calibri Light"/>
          <w:color w:val="495965"/>
          <w:u w:color="495965"/>
          <w:bdr w:val="nil"/>
          <w:lang w:val="en-US" w:eastAsia="en-AU"/>
        </w:rPr>
        <w:t xml:space="preserve"> </w:t>
      </w:r>
      <w:r w:rsidR="00DE5714" w:rsidRPr="002A6DF3">
        <w:rPr>
          <w:rFonts w:ascii="Calibri Light" w:eastAsia="Calibri Light" w:hAnsi="Calibri Light" w:cs="Calibri Light"/>
          <w:color w:val="495965"/>
          <w:u w:color="495965"/>
          <w:bdr w:val="nil"/>
          <w:lang w:val="en-US" w:eastAsia="en-AU"/>
        </w:rPr>
        <w:t>cent</w:t>
      </w:r>
      <w:r w:rsidR="00F52D21" w:rsidRPr="00312118">
        <w:rPr>
          <w:rStyle w:val="FootnoteReference"/>
          <w:rFonts w:ascii="Calibri Light" w:eastAsia="Calibri Light" w:hAnsi="Calibri Light" w:cs="Calibri Light"/>
          <w:color w:val="495965"/>
          <w:u w:color="495965"/>
          <w:bdr w:val="nil"/>
          <w:lang w:val="en-US" w:eastAsia="en-AU"/>
        </w:rPr>
        <w:footnoteReference w:id="29"/>
      </w:r>
      <w:r w:rsidR="00DE5714" w:rsidRPr="00312118">
        <w:rPr>
          <w:rFonts w:ascii="Calibri Light" w:eastAsia="Calibri Light" w:hAnsi="Calibri Light" w:cs="Calibri Light"/>
          <w:color w:val="495965"/>
          <w:u w:color="495965"/>
          <w:bdr w:val="nil"/>
          <w:lang w:val="en-US" w:eastAsia="en-AU"/>
        </w:rPr>
        <w:t xml:space="preserve"> </w:t>
      </w:r>
      <w:r w:rsidR="00DE5714" w:rsidRPr="00B4365A">
        <w:rPr>
          <w:rFonts w:ascii="Calibri Light" w:eastAsia="Calibri Light" w:hAnsi="Calibri Light" w:cs="Calibri Light"/>
          <w:color w:val="495965"/>
          <w:u w:color="495965"/>
          <w:bdr w:val="nil"/>
          <w:lang w:val="en-US" w:eastAsia="en-AU"/>
        </w:rPr>
        <w:t xml:space="preserve">of Australia’s funding was tied to the achievement of </w:t>
      </w:r>
      <w:r w:rsidR="005C3089" w:rsidRPr="00B4365A">
        <w:rPr>
          <w:rFonts w:ascii="Calibri Light" w:eastAsia="Calibri Light" w:hAnsi="Calibri Light" w:cs="Calibri Light"/>
          <w:color w:val="495965"/>
          <w:u w:color="495965"/>
          <w:bdr w:val="nil"/>
          <w:lang w:val="en-US" w:eastAsia="en-AU"/>
        </w:rPr>
        <w:t xml:space="preserve">Government </w:t>
      </w:r>
      <w:r w:rsidR="00DE5714" w:rsidRPr="00B4365A">
        <w:rPr>
          <w:rFonts w:ascii="Calibri Light" w:eastAsia="Calibri Light" w:hAnsi="Calibri Light" w:cs="Calibri Light"/>
          <w:color w:val="495965"/>
          <w:u w:color="495965"/>
          <w:bdr w:val="nil"/>
          <w:lang w:val="en-US" w:eastAsia="en-AU"/>
        </w:rPr>
        <w:t xml:space="preserve">reform efforts (a </w:t>
      </w:r>
      <w:r w:rsidR="001F1B0D" w:rsidRPr="00B4365A">
        <w:rPr>
          <w:rFonts w:ascii="Calibri Light" w:eastAsia="Calibri Light" w:hAnsi="Calibri Light" w:cs="Calibri Light"/>
          <w:color w:val="495965"/>
          <w:u w:color="495965"/>
          <w:bdr w:val="nil"/>
          <w:lang w:val="en-US" w:eastAsia="en-AU"/>
        </w:rPr>
        <w:t xml:space="preserve">PB and </w:t>
      </w:r>
      <w:r w:rsidR="004E76F1" w:rsidRPr="00B4365A">
        <w:rPr>
          <w:rFonts w:ascii="Calibri Light" w:eastAsia="Calibri Light" w:hAnsi="Calibri Light" w:cs="Calibri Light"/>
          <w:color w:val="495965"/>
          <w:u w:color="495965"/>
          <w:bdr w:val="nil"/>
          <w:lang w:val="en-US" w:eastAsia="en-AU"/>
        </w:rPr>
        <w:t>PAF target)</w:t>
      </w:r>
      <w:r w:rsidR="00E06FAC" w:rsidRPr="00B4365A">
        <w:rPr>
          <w:rFonts w:ascii="Calibri Light" w:eastAsia="Calibri Light" w:hAnsi="Calibri Light" w:cs="Calibri Light"/>
          <w:color w:val="495965"/>
          <w:u w:color="495965"/>
          <w:bdr w:val="nil"/>
          <w:lang w:val="en-US" w:eastAsia="en-AU"/>
        </w:rPr>
        <w:t xml:space="preserve"> through agreed Disbursement Linked Indicators (DLIs)</w:t>
      </w:r>
      <w:r w:rsidR="004E76F1" w:rsidRPr="00B4365A">
        <w:rPr>
          <w:rFonts w:ascii="Calibri Light" w:eastAsia="Calibri Light" w:hAnsi="Calibri Light" w:cs="Calibri Light"/>
          <w:color w:val="495965"/>
          <w:u w:color="495965"/>
          <w:bdr w:val="nil"/>
          <w:lang w:val="en-US" w:eastAsia="en-AU"/>
        </w:rPr>
        <w:t>.</w:t>
      </w:r>
      <w:r w:rsidR="00F52D21" w:rsidRPr="00B4365A">
        <w:rPr>
          <w:rFonts w:ascii="Calibri Light" w:eastAsia="Calibri Light" w:hAnsi="Calibri Light" w:cs="Calibri Light"/>
          <w:color w:val="495965"/>
          <w:u w:color="495965"/>
          <w:bdr w:val="nil"/>
          <w:lang w:val="en-US" w:eastAsia="en-AU"/>
        </w:rPr>
        <w:t xml:space="preserve"> </w:t>
      </w:r>
      <w:r w:rsidR="00F3161A" w:rsidRPr="00B4365A">
        <w:rPr>
          <w:rFonts w:ascii="Calibri Light" w:eastAsia="Calibri Light" w:hAnsi="Calibri Light" w:cs="Calibri Light"/>
          <w:color w:val="495965"/>
          <w:u w:color="495965"/>
          <w:bdr w:val="nil"/>
          <w:lang w:val="en-US" w:eastAsia="en-AU"/>
        </w:rPr>
        <w:t xml:space="preserve">Of the </w:t>
      </w:r>
      <w:r w:rsidR="00F3161A" w:rsidRPr="00B4365A">
        <w:rPr>
          <w:rFonts w:ascii="Calibri Light" w:eastAsia="Calibri Light" w:hAnsi="Calibri Light" w:cs="Calibri Light"/>
          <w:color w:val="495965"/>
          <w:u w:color="495965"/>
          <w:lang w:val="en-US" w:eastAsia="en-AU"/>
        </w:rPr>
        <w:t>54 D</w:t>
      </w:r>
      <w:r w:rsidR="00CA7EC9">
        <w:rPr>
          <w:rFonts w:ascii="Calibri Light" w:eastAsia="Calibri Light" w:hAnsi="Calibri Light" w:cs="Calibri Light"/>
          <w:color w:val="495965"/>
          <w:u w:color="495965"/>
          <w:lang w:val="en-US" w:eastAsia="en-AU"/>
        </w:rPr>
        <w:t xml:space="preserve">LIs, </w:t>
      </w:r>
      <w:r w:rsidR="0094633C">
        <w:rPr>
          <w:rFonts w:ascii="Calibri Light" w:eastAsia="Calibri Light" w:hAnsi="Calibri Light" w:cs="Calibri Light"/>
          <w:color w:val="495965"/>
          <w:u w:color="495965"/>
          <w:lang w:val="en-US" w:eastAsia="en-AU"/>
        </w:rPr>
        <w:t>48 DLIs</w:t>
      </w:r>
      <w:r w:rsidR="00CA7EC9">
        <w:rPr>
          <w:rFonts w:ascii="Calibri Light" w:eastAsia="Calibri Light" w:hAnsi="Calibri Light" w:cs="Calibri Light"/>
          <w:color w:val="495965"/>
          <w:u w:color="495965"/>
          <w:lang w:val="en-US" w:eastAsia="en-AU"/>
        </w:rPr>
        <w:t xml:space="preserve"> were met </w:t>
      </w:r>
      <w:r w:rsidR="00CA7EC9" w:rsidRPr="00CA7EC9">
        <w:rPr>
          <w:rFonts w:ascii="Calibri Light" w:eastAsia="Calibri Light" w:hAnsi="Calibri Light" w:cs="Calibri Light"/>
          <w:color w:val="495965"/>
          <w:u w:color="495965"/>
          <w:lang w:eastAsia="en-AU"/>
        </w:rPr>
        <w:t>during the reporting period. Given the government’s ambitious education reform agenda, this level of progress was within expectations.</w:t>
      </w:r>
    </w:p>
    <w:p w14:paraId="56233251" w14:textId="439AF029" w:rsidR="00284978" w:rsidRDefault="00CA3F85" w:rsidP="00026AE0">
      <w:pPr>
        <w:pBdr>
          <w:top w:val="nil"/>
          <w:left w:val="nil"/>
          <w:bottom w:val="nil"/>
          <w:right w:val="nil"/>
          <w:between w:val="nil"/>
          <w:bar w:val="nil"/>
        </w:pBdr>
        <w:spacing w:after="120" w:line="280" w:lineRule="exact"/>
        <w:jc w:val="both"/>
        <w:rPr>
          <w:rFonts w:ascii="Calibri Light" w:eastAsia="Calibri Light" w:hAnsi="Calibri Light" w:cs="Calibri Light"/>
          <w:color w:val="495965"/>
          <w:u w:color="495965"/>
          <w:bdr w:val="nil"/>
          <w:lang w:val="en-US" w:eastAsia="en-AU"/>
        </w:rPr>
      </w:pPr>
      <w:r w:rsidRPr="00DA2197">
        <w:rPr>
          <w:rFonts w:ascii="Calibri Light" w:eastAsia="Calibri Light" w:hAnsi="Calibri Light" w:cs="Calibri Light"/>
          <w:color w:val="495965"/>
          <w:u w:color="495965"/>
          <w:lang w:val="en-US" w:eastAsia="en-AU"/>
        </w:rPr>
        <w:t>However, there are challenges</w:t>
      </w:r>
      <w:r w:rsidR="00046759" w:rsidRPr="00DA2197">
        <w:rPr>
          <w:rFonts w:ascii="Calibri Light" w:eastAsia="Calibri Light" w:hAnsi="Calibri Light" w:cs="Calibri Light"/>
          <w:color w:val="495965"/>
          <w:u w:color="495965"/>
          <w:lang w:val="en-US" w:eastAsia="en-AU"/>
        </w:rPr>
        <w:t>,</w:t>
      </w:r>
      <w:r w:rsidRPr="00DA2197">
        <w:rPr>
          <w:rFonts w:ascii="Calibri Light" w:eastAsia="Calibri Light" w:hAnsi="Calibri Light" w:cs="Calibri Light"/>
          <w:color w:val="495965"/>
          <w:u w:color="495965"/>
          <w:lang w:val="en-US" w:eastAsia="en-AU"/>
        </w:rPr>
        <w:t xml:space="preserve"> </w:t>
      </w:r>
      <w:r w:rsidR="00F3161A" w:rsidRPr="00DA2197">
        <w:rPr>
          <w:rFonts w:ascii="Calibri Light" w:eastAsia="Calibri Light" w:hAnsi="Calibri Light" w:cs="Calibri Light"/>
          <w:color w:val="495965"/>
          <w:u w:color="495965"/>
          <w:lang w:val="en-US" w:eastAsia="en-AU"/>
        </w:rPr>
        <w:t>including in teacher recruitment, infrastructu</w:t>
      </w:r>
      <w:r w:rsidR="00916CA1" w:rsidRPr="00DA2197">
        <w:rPr>
          <w:rFonts w:ascii="Calibri Light" w:eastAsia="Calibri Light" w:hAnsi="Calibri Light" w:cs="Calibri Light"/>
          <w:color w:val="495965"/>
          <w:u w:color="495965"/>
          <w:lang w:val="en-US" w:eastAsia="en-AU"/>
        </w:rPr>
        <w:t xml:space="preserve">re </w:t>
      </w:r>
      <w:r w:rsidR="00F3161A" w:rsidRPr="00DA2197">
        <w:rPr>
          <w:rFonts w:ascii="Calibri Light" w:eastAsia="Calibri Light" w:hAnsi="Calibri Light" w:cs="Calibri Light"/>
          <w:color w:val="495965"/>
          <w:u w:color="495965"/>
          <w:lang w:val="en-US" w:eastAsia="en-AU"/>
        </w:rPr>
        <w:t>and second chance education, contributing to sh</w:t>
      </w:r>
      <w:r w:rsidR="00916CA1" w:rsidRPr="00DA2197">
        <w:rPr>
          <w:rFonts w:ascii="Calibri Light" w:eastAsia="Calibri Light" w:hAnsi="Calibri Light" w:cs="Calibri Light"/>
          <w:color w:val="495965"/>
          <w:u w:color="495965"/>
          <w:lang w:val="en-US" w:eastAsia="en-AU"/>
        </w:rPr>
        <w:t>ortage</w:t>
      </w:r>
      <w:r w:rsidR="00046759" w:rsidRPr="00DA2197">
        <w:rPr>
          <w:rFonts w:ascii="Calibri Light" w:eastAsia="Calibri Light" w:hAnsi="Calibri Light" w:cs="Calibri Light"/>
          <w:color w:val="495965"/>
          <w:u w:color="495965"/>
          <w:lang w:val="en-US" w:eastAsia="en-AU"/>
        </w:rPr>
        <w:t>s</w:t>
      </w:r>
      <w:r w:rsidR="00916CA1" w:rsidRPr="00DA2197">
        <w:rPr>
          <w:rFonts w:ascii="Calibri Light" w:eastAsia="Calibri Light" w:hAnsi="Calibri Light" w:cs="Calibri Light"/>
          <w:color w:val="495965"/>
          <w:u w:color="495965"/>
          <w:lang w:val="en-US" w:eastAsia="en-AU"/>
        </w:rPr>
        <w:t xml:space="preserve"> in quality teachers, </w:t>
      </w:r>
      <w:r w:rsidR="00131908" w:rsidRPr="00DA2197">
        <w:rPr>
          <w:rFonts w:ascii="Calibri Light" w:eastAsia="Calibri Light" w:hAnsi="Calibri Light" w:cs="Calibri Light"/>
          <w:color w:val="495965"/>
          <w:u w:color="495965"/>
          <w:lang w:val="en-US" w:eastAsia="en-AU"/>
        </w:rPr>
        <w:t xml:space="preserve">poor school infrastructure </w:t>
      </w:r>
      <w:r w:rsidR="00916CA1" w:rsidRPr="00DA2197">
        <w:rPr>
          <w:rFonts w:ascii="Calibri Light" w:eastAsia="Calibri Light" w:hAnsi="Calibri Light" w:cs="Calibri Light"/>
          <w:color w:val="495965"/>
          <w:u w:color="495965"/>
          <w:lang w:val="en-US" w:eastAsia="en-AU"/>
        </w:rPr>
        <w:t xml:space="preserve">and delays in </w:t>
      </w:r>
      <w:r w:rsidR="00131908" w:rsidRPr="00DA2197">
        <w:rPr>
          <w:rFonts w:ascii="Calibri Light" w:eastAsia="Calibri Light" w:hAnsi="Calibri Light" w:cs="Calibri Light"/>
          <w:color w:val="495965"/>
          <w:u w:color="495965"/>
          <w:lang w:val="en-US" w:eastAsia="en-AU"/>
        </w:rPr>
        <w:t xml:space="preserve">implementing </w:t>
      </w:r>
      <w:r w:rsidR="00916CA1" w:rsidRPr="00DA2197">
        <w:rPr>
          <w:rFonts w:ascii="Calibri Light" w:eastAsia="Calibri Light" w:hAnsi="Calibri Light" w:cs="Calibri Light"/>
          <w:color w:val="495965"/>
          <w:u w:color="495965"/>
          <w:lang w:val="en-US" w:eastAsia="en-AU"/>
        </w:rPr>
        <w:t xml:space="preserve">second </w:t>
      </w:r>
      <w:r w:rsidR="00916CA1" w:rsidRPr="00DA2197">
        <w:rPr>
          <w:rFonts w:ascii="Calibri Light" w:eastAsia="Calibri Light" w:hAnsi="Calibri Light" w:cs="Calibri Light"/>
          <w:color w:val="495965"/>
          <w:u w:color="495965"/>
          <w:lang w:val="en-US" w:eastAsia="en-AU"/>
        </w:rPr>
        <w:lastRenderedPageBreak/>
        <w:t>chance education</w:t>
      </w:r>
      <w:r w:rsidR="00810A8E">
        <w:rPr>
          <w:rFonts w:ascii="Calibri Light" w:eastAsia="Calibri Light" w:hAnsi="Calibri Light" w:cs="Calibri Light"/>
          <w:color w:val="495965"/>
          <w:u w:color="495965"/>
          <w:lang w:val="en-US" w:eastAsia="en-AU"/>
        </w:rPr>
        <w:t xml:space="preserve">. As a result, </w:t>
      </w:r>
      <w:r w:rsidR="00815E6D">
        <w:rPr>
          <w:rFonts w:ascii="Calibri Light" w:eastAsia="Calibri Light" w:hAnsi="Calibri Light" w:cs="Calibri Light"/>
          <w:color w:val="495965"/>
          <w:u w:color="495965"/>
          <w:lang w:val="en-US" w:eastAsia="en-AU"/>
        </w:rPr>
        <w:t xml:space="preserve">Australian funding was withheld in 2016-17 and we </w:t>
      </w:r>
      <w:r w:rsidR="00E06FAC" w:rsidRPr="00DA2197">
        <w:rPr>
          <w:rFonts w:ascii="Calibri Light" w:eastAsia="Calibri Light" w:hAnsi="Calibri Light" w:cs="Calibri Light"/>
          <w:color w:val="495965"/>
          <w:u w:color="495965"/>
          <w:lang w:val="en-US" w:eastAsia="en-AU"/>
        </w:rPr>
        <w:t xml:space="preserve">continued to </w:t>
      </w:r>
      <w:r w:rsidR="00BB2347" w:rsidRPr="00DA2197">
        <w:rPr>
          <w:rFonts w:ascii="Calibri Light" w:eastAsia="Calibri Light" w:hAnsi="Calibri Light" w:cs="Calibri Light"/>
          <w:color w:val="495965"/>
          <w:u w:color="495965"/>
          <w:lang w:val="en-US" w:eastAsia="en-AU"/>
        </w:rPr>
        <w:t xml:space="preserve">advocate </w:t>
      </w:r>
      <w:r w:rsidR="0053100D" w:rsidRPr="00DA2197">
        <w:rPr>
          <w:rFonts w:ascii="Calibri Light" w:eastAsia="Calibri Light" w:hAnsi="Calibri Light" w:cs="Calibri Light"/>
          <w:color w:val="495965"/>
          <w:u w:color="495965"/>
          <w:lang w:val="en-US" w:eastAsia="en-AU"/>
        </w:rPr>
        <w:t xml:space="preserve">in these areas and offered </w:t>
      </w:r>
      <w:r w:rsidR="00F52D21" w:rsidRPr="00DA2197">
        <w:rPr>
          <w:rFonts w:ascii="Calibri Light" w:eastAsia="Calibri Light" w:hAnsi="Calibri Light" w:cs="Calibri Light"/>
          <w:color w:val="495965"/>
          <w:u w:color="495965"/>
          <w:lang w:val="en-US" w:eastAsia="en-AU"/>
        </w:rPr>
        <w:t>technical</w:t>
      </w:r>
      <w:r w:rsidR="0053100D" w:rsidRPr="00DA2197">
        <w:rPr>
          <w:rFonts w:ascii="Calibri Light" w:eastAsia="Calibri Light" w:hAnsi="Calibri Light" w:cs="Calibri Light"/>
          <w:color w:val="495965"/>
          <w:u w:color="495965"/>
          <w:lang w:val="en-US" w:eastAsia="en-AU"/>
        </w:rPr>
        <w:t xml:space="preserve"> assistance to support implementation</w:t>
      </w:r>
      <w:r w:rsidR="00F52D21" w:rsidRPr="00DA2197">
        <w:rPr>
          <w:rFonts w:ascii="Calibri Light" w:eastAsia="Calibri Light" w:hAnsi="Calibri Light" w:cs="Calibri Light"/>
          <w:color w:val="495965"/>
          <w:u w:color="495965"/>
          <w:lang w:val="en-US" w:eastAsia="en-AU"/>
        </w:rPr>
        <w:t>, where feasible.</w:t>
      </w:r>
      <w:r w:rsidR="00BB2347" w:rsidRPr="00312118">
        <w:rPr>
          <w:rFonts w:ascii="Calibri Light" w:eastAsia="Calibri Light" w:hAnsi="Calibri Light" w:cs="Calibri Light"/>
          <w:color w:val="495965"/>
          <w:u w:color="495965"/>
          <w:lang w:val="en-US" w:eastAsia="en-AU"/>
        </w:rPr>
        <w:t xml:space="preserve"> </w:t>
      </w:r>
      <w:r>
        <w:rPr>
          <w:rFonts w:ascii="Calibri Light" w:eastAsia="Calibri Light" w:hAnsi="Calibri Light" w:cs="Calibri Light"/>
          <w:color w:val="495965"/>
          <w:u w:color="495965"/>
          <w:bdr w:val="nil"/>
          <w:lang w:val="en-US" w:eastAsia="en-AU"/>
        </w:rPr>
        <w:t xml:space="preserve"> </w:t>
      </w:r>
    </w:p>
    <w:p w14:paraId="347DB3C8" w14:textId="38CA3A4C" w:rsidR="00143680" w:rsidRPr="00312118" w:rsidRDefault="00F52D21" w:rsidP="00026AE0">
      <w:pPr>
        <w:pBdr>
          <w:top w:val="nil"/>
          <w:left w:val="nil"/>
          <w:bottom w:val="nil"/>
          <w:right w:val="nil"/>
          <w:between w:val="nil"/>
          <w:bar w:val="nil"/>
        </w:pBdr>
        <w:spacing w:after="120" w:line="280" w:lineRule="exact"/>
        <w:jc w:val="both"/>
        <w:rPr>
          <w:rFonts w:ascii="Calibri Light" w:eastAsia="Calibri Light" w:hAnsi="Calibri Light" w:cs="Calibri Light"/>
          <w:color w:val="495965"/>
          <w:u w:color="495965"/>
          <w:lang w:val="en-US" w:eastAsia="en-AU"/>
        </w:rPr>
      </w:pPr>
      <w:r w:rsidRPr="00B4365A">
        <w:rPr>
          <w:rFonts w:ascii="Calibri Light" w:eastAsia="Calibri Light" w:hAnsi="Calibri Light" w:cs="Calibri Light"/>
          <w:color w:val="495965"/>
          <w:u w:color="495965"/>
          <w:bdr w:val="nil"/>
          <w:lang w:val="en-US" w:eastAsia="en-AU"/>
        </w:rPr>
        <w:t xml:space="preserve">During the reporting period, </w:t>
      </w:r>
      <w:r w:rsidR="00143680" w:rsidRPr="00B4365A">
        <w:rPr>
          <w:rFonts w:ascii="Calibri Light" w:eastAsia="Calibri Light" w:hAnsi="Calibri Light" w:cs="Calibri Light"/>
          <w:color w:val="495965"/>
          <w:u w:color="495965"/>
          <w:bdr w:val="nil"/>
          <w:lang w:val="en-US" w:eastAsia="en-AU"/>
        </w:rPr>
        <w:t xml:space="preserve">Australian </w:t>
      </w:r>
      <w:r w:rsidR="00062C81" w:rsidRPr="00B4365A">
        <w:rPr>
          <w:rFonts w:ascii="Calibri Light" w:eastAsia="Calibri Light" w:hAnsi="Calibri Light" w:cs="Calibri Light"/>
          <w:color w:val="495965"/>
          <w:u w:color="495965"/>
          <w:bdr w:val="nil"/>
          <w:lang w:val="en-US" w:eastAsia="en-AU"/>
        </w:rPr>
        <w:t>funding, policy dialogue</w:t>
      </w:r>
      <w:r w:rsidR="00143680" w:rsidRPr="00B4365A">
        <w:rPr>
          <w:rFonts w:ascii="Calibri Light" w:eastAsia="Calibri Light" w:hAnsi="Calibri Light" w:cs="Calibri Light"/>
          <w:color w:val="495965"/>
          <w:u w:color="495965"/>
          <w:bdr w:val="nil"/>
          <w:lang w:val="en-US" w:eastAsia="en-AU"/>
        </w:rPr>
        <w:t xml:space="preserve"> and technical assistan</w:t>
      </w:r>
      <w:r w:rsidR="00775586" w:rsidRPr="00B4365A">
        <w:rPr>
          <w:rFonts w:ascii="Calibri Light" w:eastAsia="Calibri Light" w:hAnsi="Calibri Light" w:cs="Calibri Light"/>
          <w:color w:val="495965"/>
          <w:u w:color="495965"/>
          <w:bdr w:val="nil"/>
          <w:lang w:val="en-US" w:eastAsia="en-AU"/>
        </w:rPr>
        <w:t xml:space="preserve">ce contributed to </w:t>
      </w:r>
      <w:r w:rsidRPr="00B4365A">
        <w:rPr>
          <w:rFonts w:ascii="Calibri Light" w:eastAsia="Calibri Light" w:hAnsi="Calibri Light" w:cs="Calibri Light"/>
          <w:color w:val="495965"/>
          <w:u w:color="495965"/>
          <w:bdr w:val="nil"/>
          <w:lang w:val="en-US" w:eastAsia="en-AU"/>
        </w:rPr>
        <w:t>progress in</w:t>
      </w:r>
      <w:r w:rsidR="00020E5A" w:rsidRPr="00B4365A">
        <w:rPr>
          <w:rFonts w:ascii="Calibri Light" w:eastAsia="Calibri Light" w:hAnsi="Calibri Light" w:cs="Calibri Light"/>
          <w:color w:val="495965"/>
          <w:u w:color="495965"/>
          <w:bdr w:val="nil"/>
          <w:lang w:val="en-US" w:eastAsia="en-AU"/>
        </w:rPr>
        <w:t>:</w:t>
      </w:r>
    </w:p>
    <w:p w14:paraId="5566CAE2" w14:textId="77777777" w:rsidR="00143680" w:rsidRPr="00B4365A" w:rsidRDefault="00143680" w:rsidP="00026AE0">
      <w:pPr>
        <w:pStyle w:val="ListParagraph"/>
        <w:numPr>
          <w:ilvl w:val="0"/>
          <w:numId w:val="20"/>
        </w:numPr>
        <w:pBdr>
          <w:top w:val="nil"/>
          <w:left w:val="nil"/>
          <w:bottom w:val="nil"/>
          <w:right w:val="nil"/>
          <w:between w:val="nil"/>
          <w:bar w:val="nil"/>
        </w:pBdr>
        <w:spacing w:after="120" w:line="280" w:lineRule="exact"/>
        <w:jc w:val="both"/>
        <w:rPr>
          <w:rFonts w:ascii="Calibri Light" w:eastAsia="Calibri Light" w:hAnsi="Calibri Light" w:cs="Calibri Light"/>
          <w:color w:val="495965"/>
          <w:sz w:val="22"/>
          <w:szCs w:val="22"/>
          <w:u w:color="495965"/>
          <w:bdr w:val="nil"/>
          <w:lang w:val="en-US" w:eastAsia="en-AU"/>
        </w:rPr>
      </w:pPr>
      <w:r w:rsidRPr="00B4365A">
        <w:rPr>
          <w:rFonts w:ascii="Calibri Light" w:eastAsia="Calibri Light" w:hAnsi="Calibri Light" w:cs="Calibri Light"/>
          <w:color w:val="495965"/>
          <w:sz w:val="22"/>
          <w:szCs w:val="22"/>
          <w:u w:color="495965"/>
          <w:bdr w:val="nil"/>
          <w:lang w:val="en-US" w:eastAsia="en-AU"/>
        </w:rPr>
        <w:t xml:space="preserve">Completing the Annual School Census, which provides critical data for </w:t>
      </w:r>
      <w:r w:rsidR="00775586" w:rsidRPr="00B4365A">
        <w:rPr>
          <w:rFonts w:ascii="Calibri Light" w:eastAsia="Calibri Light" w:hAnsi="Calibri Light" w:cs="Calibri Light"/>
          <w:color w:val="495965"/>
          <w:sz w:val="22"/>
          <w:szCs w:val="22"/>
          <w:u w:color="495965"/>
          <w:bdr w:val="nil"/>
          <w:lang w:val="en-US" w:eastAsia="en-AU"/>
        </w:rPr>
        <w:t>g</w:t>
      </w:r>
      <w:r w:rsidR="009447EA" w:rsidRPr="00B4365A">
        <w:rPr>
          <w:rFonts w:ascii="Calibri Light" w:eastAsia="Calibri Light" w:hAnsi="Calibri Light" w:cs="Calibri Light"/>
          <w:color w:val="495965"/>
          <w:sz w:val="22"/>
          <w:szCs w:val="22"/>
          <w:u w:color="495965"/>
          <w:bdr w:val="nil"/>
          <w:lang w:val="en-US" w:eastAsia="en-AU"/>
        </w:rPr>
        <w:t>overnment’s</w:t>
      </w:r>
      <w:r w:rsidRPr="00B4365A">
        <w:rPr>
          <w:rFonts w:ascii="Calibri Light" w:eastAsia="Calibri Light" w:hAnsi="Calibri Light" w:cs="Calibri Light"/>
          <w:color w:val="495965"/>
          <w:sz w:val="22"/>
          <w:szCs w:val="22"/>
          <w:u w:color="495965"/>
          <w:bdr w:val="nil"/>
          <w:lang w:val="en-US" w:eastAsia="en-AU"/>
        </w:rPr>
        <w:t xml:space="preserve"> Annual Sector Performance Report. </w:t>
      </w:r>
    </w:p>
    <w:p w14:paraId="63822806" w14:textId="6B0B65B2" w:rsidR="00143680" w:rsidRPr="00B4365A" w:rsidRDefault="00EF2A6B" w:rsidP="00026AE0">
      <w:pPr>
        <w:pStyle w:val="ListParagraph"/>
        <w:numPr>
          <w:ilvl w:val="0"/>
          <w:numId w:val="20"/>
        </w:numPr>
        <w:pBdr>
          <w:top w:val="nil"/>
          <w:left w:val="nil"/>
          <w:bottom w:val="nil"/>
          <w:right w:val="nil"/>
          <w:between w:val="nil"/>
          <w:bar w:val="nil"/>
        </w:pBdr>
        <w:spacing w:after="120" w:line="280" w:lineRule="exact"/>
        <w:jc w:val="both"/>
        <w:rPr>
          <w:rFonts w:ascii="Calibri Light" w:eastAsia="Calibri Light" w:hAnsi="Calibri Light" w:cs="Calibri Light"/>
          <w:color w:val="495965"/>
          <w:sz w:val="22"/>
          <w:szCs w:val="22"/>
          <w:u w:color="495965"/>
          <w:bdr w:val="nil"/>
          <w:lang w:val="en-US" w:eastAsia="en-AU"/>
        </w:rPr>
      </w:pPr>
      <w:r>
        <w:rPr>
          <w:rFonts w:ascii="Calibri Light" w:eastAsia="Calibri Light" w:hAnsi="Calibri Light" w:cs="Calibri Light"/>
          <w:color w:val="495965"/>
          <w:sz w:val="22"/>
          <w:szCs w:val="22"/>
          <w:u w:color="495965"/>
          <w:bdr w:val="nil"/>
          <w:lang w:val="en-US" w:eastAsia="en-AU"/>
        </w:rPr>
        <w:t xml:space="preserve">Rollout of the </w:t>
      </w:r>
      <w:r w:rsidR="00096131" w:rsidRPr="00B4365A">
        <w:rPr>
          <w:rFonts w:ascii="Calibri Light" w:eastAsia="Calibri Light" w:hAnsi="Calibri Light" w:cs="Calibri Light"/>
          <w:color w:val="495965"/>
          <w:sz w:val="22"/>
          <w:szCs w:val="22"/>
          <w:u w:color="495965"/>
          <w:bdr w:val="nil"/>
          <w:lang w:val="en-US" w:eastAsia="en-AU"/>
        </w:rPr>
        <w:t>Diploma in Primary Education</w:t>
      </w:r>
      <w:r>
        <w:rPr>
          <w:rFonts w:ascii="Calibri Light" w:eastAsia="Calibri Light" w:hAnsi="Calibri Light" w:cs="Calibri Light"/>
          <w:color w:val="495965"/>
          <w:sz w:val="22"/>
          <w:szCs w:val="22"/>
          <w:u w:color="495965"/>
          <w:bdr w:val="nil"/>
          <w:lang w:val="en-US" w:eastAsia="en-AU"/>
        </w:rPr>
        <w:t xml:space="preserve"> in Primary Training institutions</w:t>
      </w:r>
      <w:r w:rsidR="00143680" w:rsidRPr="00B4365A">
        <w:rPr>
          <w:rFonts w:ascii="Calibri Light" w:eastAsia="Calibri Light" w:hAnsi="Calibri Light" w:cs="Calibri Light"/>
          <w:color w:val="495965"/>
          <w:sz w:val="22"/>
          <w:szCs w:val="22"/>
          <w:u w:color="495965"/>
          <w:bdr w:val="nil"/>
          <w:lang w:val="en-US" w:eastAsia="en-AU"/>
        </w:rPr>
        <w:t xml:space="preserve">, </w:t>
      </w:r>
      <w:r w:rsidR="00096131" w:rsidRPr="00B4365A">
        <w:rPr>
          <w:rFonts w:ascii="Calibri Light" w:eastAsia="Calibri Light" w:hAnsi="Calibri Light" w:cs="Calibri Light"/>
          <w:color w:val="495965"/>
          <w:sz w:val="22"/>
          <w:szCs w:val="22"/>
          <w:u w:color="495965"/>
          <w:bdr w:val="nil"/>
          <w:lang w:val="en-US" w:eastAsia="en-AU"/>
        </w:rPr>
        <w:t>contributing to improvements in</w:t>
      </w:r>
      <w:r w:rsidR="00143680" w:rsidRPr="00B4365A">
        <w:rPr>
          <w:rFonts w:ascii="Calibri Light" w:eastAsia="Calibri Light" w:hAnsi="Calibri Light" w:cs="Calibri Light"/>
          <w:color w:val="495965"/>
          <w:sz w:val="22"/>
          <w:szCs w:val="22"/>
          <w:u w:color="495965"/>
          <w:bdr w:val="nil"/>
          <w:lang w:val="en-US" w:eastAsia="en-AU"/>
        </w:rPr>
        <w:t xml:space="preserve"> teacher standards and classroom learning</w:t>
      </w:r>
      <w:r w:rsidR="00096131" w:rsidRPr="00B4365A">
        <w:rPr>
          <w:rStyle w:val="FootnoteReference"/>
          <w:rFonts w:ascii="Calibri Light" w:eastAsia="Calibri Light" w:hAnsi="Calibri Light" w:cs="Calibri Light"/>
          <w:color w:val="495965"/>
          <w:sz w:val="22"/>
          <w:szCs w:val="22"/>
          <w:u w:color="495965"/>
          <w:bdr w:val="nil"/>
          <w:lang w:val="en-US" w:eastAsia="en-AU"/>
        </w:rPr>
        <w:footnoteReference w:id="30"/>
      </w:r>
      <w:r w:rsidR="00143680" w:rsidRPr="00B4365A">
        <w:rPr>
          <w:rFonts w:ascii="Calibri Light" w:eastAsia="Calibri Light" w:hAnsi="Calibri Light" w:cs="Calibri Light"/>
          <w:color w:val="495965"/>
          <w:sz w:val="22"/>
          <w:szCs w:val="22"/>
          <w:u w:color="495965"/>
          <w:bdr w:val="nil"/>
          <w:lang w:val="en-US" w:eastAsia="en-AU"/>
        </w:rPr>
        <w:t>.</w:t>
      </w:r>
    </w:p>
    <w:p w14:paraId="13466BEA" w14:textId="0A8E6FC0" w:rsidR="007A4D85" w:rsidRPr="00B4365A" w:rsidRDefault="00143680" w:rsidP="00026AE0">
      <w:pPr>
        <w:pStyle w:val="ListParagraph"/>
        <w:numPr>
          <w:ilvl w:val="0"/>
          <w:numId w:val="20"/>
        </w:numPr>
        <w:pBdr>
          <w:top w:val="nil"/>
          <w:left w:val="nil"/>
          <w:bottom w:val="nil"/>
          <w:right w:val="nil"/>
          <w:between w:val="nil"/>
          <w:bar w:val="nil"/>
        </w:pBdr>
        <w:spacing w:after="120" w:line="280" w:lineRule="exact"/>
        <w:jc w:val="both"/>
        <w:rPr>
          <w:rFonts w:ascii="Calibri Light" w:eastAsia="Calibri Light" w:hAnsi="Calibri Light" w:cs="Calibri Light"/>
          <w:color w:val="495965"/>
          <w:u w:color="495965"/>
          <w:bdr w:val="nil"/>
          <w:lang w:val="en-US" w:eastAsia="en-AU"/>
        </w:rPr>
      </w:pPr>
      <w:r w:rsidRPr="00B4365A">
        <w:rPr>
          <w:rFonts w:ascii="Calibri Light" w:eastAsia="Calibri Light" w:hAnsi="Calibri Light" w:cs="Calibri Light"/>
          <w:color w:val="495965"/>
          <w:sz w:val="22"/>
          <w:szCs w:val="22"/>
          <w:u w:color="495965"/>
          <w:bdr w:val="nil"/>
          <w:lang w:val="en-US" w:eastAsia="en-AU"/>
        </w:rPr>
        <w:t xml:space="preserve">Improvements in </w:t>
      </w:r>
      <w:r w:rsidR="00775586" w:rsidRPr="00B4365A">
        <w:rPr>
          <w:rFonts w:ascii="Calibri Light" w:eastAsia="Calibri Light" w:hAnsi="Calibri Light" w:cs="Calibri Light"/>
          <w:color w:val="495965"/>
          <w:sz w:val="22"/>
          <w:szCs w:val="22"/>
          <w:u w:color="495965"/>
          <w:bdr w:val="nil"/>
          <w:lang w:val="en-US" w:eastAsia="en-AU"/>
        </w:rPr>
        <w:t>the g</w:t>
      </w:r>
      <w:r w:rsidR="009447EA" w:rsidRPr="00B4365A">
        <w:rPr>
          <w:rFonts w:ascii="Calibri Light" w:eastAsia="Calibri Light" w:hAnsi="Calibri Light" w:cs="Calibri Light"/>
          <w:color w:val="495965"/>
          <w:sz w:val="22"/>
          <w:szCs w:val="22"/>
          <w:u w:color="495965"/>
          <w:bdr w:val="nil"/>
          <w:lang w:val="en-US" w:eastAsia="en-AU"/>
        </w:rPr>
        <w:t xml:space="preserve">overnment’s </w:t>
      </w:r>
      <w:r w:rsidR="0097337A" w:rsidRPr="00B4365A">
        <w:rPr>
          <w:rFonts w:ascii="Calibri Light" w:eastAsia="Calibri Light" w:hAnsi="Calibri Light" w:cs="Calibri Light"/>
          <w:color w:val="495965"/>
          <w:sz w:val="22"/>
          <w:szCs w:val="22"/>
          <w:u w:color="495965"/>
          <w:bdr w:val="nil"/>
          <w:lang w:val="en-US" w:eastAsia="en-AU"/>
        </w:rPr>
        <w:t>financial reporting</w:t>
      </w:r>
      <w:r w:rsidR="006A3DCD" w:rsidRPr="00B4365A">
        <w:rPr>
          <w:rStyle w:val="FootnoteReference"/>
          <w:rFonts w:ascii="Calibri Light" w:eastAsia="Calibri Light" w:hAnsi="Calibri Light" w:cs="Calibri Light"/>
          <w:color w:val="495965"/>
          <w:sz w:val="22"/>
          <w:szCs w:val="22"/>
          <w:u w:color="495965"/>
          <w:bdr w:val="nil"/>
          <w:lang w:val="en-US" w:eastAsia="en-AU"/>
        </w:rPr>
        <w:footnoteReference w:id="31"/>
      </w:r>
      <w:r w:rsidR="0097337A" w:rsidRPr="00B4365A">
        <w:rPr>
          <w:rFonts w:ascii="Calibri Light" w:eastAsia="Calibri Light" w:hAnsi="Calibri Light" w:cs="Calibri Light"/>
          <w:color w:val="495965"/>
          <w:sz w:val="22"/>
          <w:szCs w:val="22"/>
          <w:u w:color="495965"/>
          <w:bdr w:val="nil"/>
          <w:lang w:val="en-US" w:eastAsia="en-AU"/>
        </w:rPr>
        <w:t xml:space="preserve"> and evidence</w:t>
      </w:r>
      <w:r w:rsidR="003F2893">
        <w:rPr>
          <w:rFonts w:ascii="Calibri Light" w:eastAsia="Calibri Light" w:hAnsi="Calibri Light" w:cs="Calibri Light"/>
          <w:color w:val="495965"/>
          <w:sz w:val="22"/>
          <w:szCs w:val="22"/>
          <w:u w:color="495965"/>
          <w:bdr w:val="nil"/>
          <w:lang w:val="en-US" w:eastAsia="en-AU"/>
        </w:rPr>
        <w:t>-based</w:t>
      </w:r>
      <w:r w:rsidR="0097337A" w:rsidRPr="00B4365A">
        <w:rPr>
          <w:rFonts w:ascii="Calibri Light" w:eastAsia="Calibri Light" w:hAnsi="Calibri Light" w:cs="Calibri Light"/>
          <w:color w:val="495965"/>
          <w:sz w:val="22"/>
          <w:szCs w:val="22"/>
          <w:u w:color="495965"/>
          <w:bdr w:val="nil"/>
          <w:lang w:val="en-US" w:eastAsia="en-AU"/>
        </w:rPr>
        <w:t xml:space="preserve"> policy-making</w:t>
      </w:r>
      <w:r w:rsidR="00661680" w:rsidRPr="00B4365A">
        <w:rPr>
          <w:rFonts w:ascii="Calibri Light" w:eastAsia="Calibri Light" w:hAnsi="Calibri Light" w:cs="Calibri Light"/>
          <w:color w:val="495965"/>
          <w:sz w:val="22"/>
          <w:szCs w:val="22"/>
          <w:u w:color="495965"/>
          <w:bdr w:val="nil"/>
          <w:lang w:val="en-US" w:eastAsia="en-AU"/>
        </w:rPr>
        <w:t>, including the quality of PEDP3’s planning and budgeting process</w:t>
      </w:r>
      <w:r w:rsidR="00661680" w:rsidRPr="00B4365A">
        <w:rPr>
          <w:rStyle w:val="FootnoteReference"/>
          <w:rFonts w:ascii="Calibri Light" w:eastAsia="Calibri Light" w:hAnsi="Calibri Light" w:cs="Calibri Light"/>
          <w:color w:val="495965"/>
          <w:sz w:val="22"/>
          <w:szCs w:val="22"/>
          <w:u w:color="495965"/>
          <w:bdr w:val="nil"/>
          <w:lang w:val="en-US" w:eastAsia="en-AU"/>
        </w:rPr>
        <w:footnoteReference w:id="32"/>
      </w:r>
      <w:r w:rsidR="00661680" w:rsidRPr="00B4365A">
        <w:rPr>
          <w:rFonts w:ascii="Calibri Light" w:eastAsia="Calibri Light" w:hAnsi="Calibri Light" w:cs="Calibri Light"/>
          <w:color w:val="495965"/>
          <w:sz w:val="22"/>
          <w:szCs w:val="22"/>
          <w:u w:color="495965"/>
          <w:bdr w:val="nil"/>
          <w:lang w:val="en-US" w:eastAsia="en-AU"/>
        </w:rPr>
        <w:t xml:space="preserve">. </w:t>
      </w:r>
    </w:p>
    <w:p w14:paraId="0FA69B8B" w14:textId="009CB228" w:rsidR="003958DD" w:rsidRPr="00B4365A" w:rsidRDefault="003958DD" w:rsidP="00026AE0">
      <w:pPr>
        <w:pStyle w:val="ListParagraph"/>
        <w:numPr>
          <w:ilvl w:val="0"/>
          <w:numId w:val="20"/>
        </w:numPr>
        <w:pBdr>
          <w:top w:val="nil"/>
          <w:left w:val="nil"/>
          <w:bottom w:val="nil"/>
          <w:right w:val="nil"/>
          <w:between w:val="nil"/>
          <w:bar w:val="nil"/>
        </w:pBdr>
        <w:spacing w:after="120" w:line="280" w:lineRule="exact"/>
        <w:jc w:val="both"/>
        <w:rPr>
          <w:rFonts w:ascii="Calibri Light" w:eastAsia="Calibri Light" w:hAnsi="Calibri Light" w:cs="Calibri Light"/>
          <w:color w:val="495965"/>
          <w:sz w:val="22"/>
          <w:szCs w:val="22"/>
          <w:u w:color="495965"/>
          <w:bdr w:val="nil"/>
          <w:lang w:val="en-US" w:eastAsia="en-AU"/>
        </w:rPr>
      </w:pPr>
      <w:r w:rsidRPr="00B4365A">
        <w:rPr>
          <w:rFonts w:ascii="Calibri Light" w:eastAsia="Calibri Light" w:hAnsi="Calibri Light" w:cs="Calibri Light"/>
          <w:color w:val="495965"/>
          <w:sz w:val="22"/>
          <w:szCs w:val="22"/>
          <w:u w:color="495965"/>
          <w:bdr w:val="nil"/>
          <w:lang w:val="en-US" w:eastAsia="en-AU"/>
        </w:rPr>
        <w:t>Developing the Framework Document for Disaster Risk Reduction and Education in Emergencies, which was a positive step in ensuring pre</w:t>
      </w:r>
      <w:r w:rsidR="00DA2197">
        <w:rPr>
          <w:rFonts w:ascii="Calibri Light" w:eastAsia="Calibri Light" w:hAnsi="Calibri Light" w:cs="Calibri Light"/>
          <w:color w:val="495965"/>
          <w:sz w:val="22"/>
          <w:szCs w:val="22"/>
          <w:u w:color="495965"/>
          <w:bdr w:val="nil"/>
          <w:lang w:val="en-US" w:eastAsia="en-AU"/>
        </w:rPr>
        <w:t>paredness and response</w:t>
      </w:r>
      <w:r w:rsidRPr="00B4365A">
        <w:rPr>
          <w:rFonts w:ascii="Calibri Light" w:eastAsia="Calibri Light" w:hAnsi="Calibri Light" w:cs="Calibri Light"/>
          <w:color w:val="495965"/>
          <w:sz w:val="22"/>
          <w:szCs w:val="22"/>
          <w:u w:color="495965"/>
          <w:bdr w:val="nil"/>
          <w:lang w:val="en-US" w:eastAsia="en-AU"/>
        </w:rPr>
        <w:t xml:space="preserve"> to the impacts of climate change and disasters in the primary education sector.</w:t>
      </w:r>
    </w:p>
    <w:p w14:paraId="57B34429" w14:textId="37B673AE" w:rsidR="00BD387B" w:rsidRPr="00567400" w:rsidRDefault="00CA7EC9" w:rsidP="00026AE0">
      <w:pPr>
        <w:pBdr>
          <w:top w:val="nil"/>
          <w:left w:val="nil"/>
          <w:bottom w:val="nil"/>
          <w:right w:val="nil"/>
          <w:between w:val="nil"/>
          <w:bar w:val="nil"/>
        </w:pBdr>
        <w:spacing w:after="120" w:line="280" w:lineRule="exact"/>
        <w:jc w:val="both"/>
        <w:rPr>
          <w:rFonts w:ascii="Calibri Light" w:eastAsia="Calibri Light" w:hAnsi="Calibri Light" w:cs="Calibri Light"/>
          <w:color w:val="495965"/>
          <w:u w:color="495965"/>
          <w:bdr w:val="nil"/>
          <w:lang w:val="en-US" w:eastAsia="en-AU"/>
        </w:rPr>
      </w:pPr>
      <w:r w:rsidRPr="00567400">
        <w:rPr>
          <w:rFonts w:ascii="Calibri Light" w:eastAsia="Calibri Light" w:hAnsi="Calibri Light" w:cs="Calibri Light"/>
          <w:color w:val="495965"/>
          <w:u w:color="495965"/>
          <w:bdr w:val="nil"/>
          <w:lang w:val="en-US" w:eastAsia="en-AU"/>
        </w:rPr>
        <w:t>Additionally, t</w:t>
      </w:r>
      <w:r w:rsidR="00681864" w:rsidRPr="00567400">
        <w:rPr>
          <w:rFonts w:ascii="Calibri Light" w:eastAsia="Calibri Light" w:hAnsi="Calibri Light" w:cs="Calibri Light"/>
          <w:color w:val="495965"/>
          <w:u w:color="495965"/>
          <w:bdr w:val="nil"/>
          <w:lang w:val="en-US" w:eastAsia="en-AU"/>
        </w:rPr>
        <w:t xml:space="preserve">hrough </w:t>
      </w:r>
      <w:r w:rsidR="00731F45" w:rsidRPr="00567400">
        <w:rPr>
          <w:rFonts w:ascii="Calibri Light" w:eastAsia="Calibri Light" w:hAnsi="Calibri Light" w:cs="Calibri Light"/>
          <w:color w:val="495965"/>
          <w:u w:color="495965"/>
          <w:bdr w:val="nil"/>
          <w:lang w:val="en-US" w:eastAsia="en-AU"/>
        </w:rPr>
        <w:t>PEDP3’s Disparity Working Group</w:t>
      </w:r>
      <w:r w:rsidR="00046759" w:rsidRPr="00567400">
        <w:rPr>
          <w:rFonts w:ascii="Calibri Light" w:eastAsia="Calibri Light" w:hAnsi="Calibri Light" w:cs="Calibri Light"/>
          <w:color w:val="495965"/>
          <w:u w:color="495965"/>
          <w:bdr w:val="nil"/>
          <w:lang w:val="en-US" w:eastAsia="en-AU"/>
        </w:rPr>
        <w:t>,</w:t>
      </w:r>
      <w:r w:rsidR="00F74389" w:rsidRPr="00567400">
        <w:rPr>
          <w:rFonts w:ascii="Calibri Light" w:eastAsia="Calibri Light" w:hAnsi="Calibri Light" w:cs="Calibri Light"/>
          <w:color w:val="495965"/>
          <w:u w:color="495965"/>
          <w:bdr w:val="nil"/>
          <w:lang w:val="en-US" w:eastAsia="en-AU"/>
        </w:rPr>
        <w:t xml:space="preserve"> </w:t>
      </w:r>
      <w:r w:rsidR="00BB2347" w:rsidRPr="00567400">
        <w:rPr>
          <w:rFonts w:ascii="Calibri Light" w:eastAsia="Calibri Light" w:hAnsi="Calibri Light" w:cs="Calibri Light"/>
          <w:color w:val="495965"/>
          <w:u w:color="495965"/>
          <w:bdr w:val="nil"/>
          <w:lang w:val="en-US" w:eastAsia="en-AU"/>
        </w:rPr>
        <w:t xml:space="preserve">Australia </w:t>
      </w:r>
      <w:r w:rsidR="00581DA1" w:rsidRPr="00567400">
        <w:rPr>
          <w:rFonts w:ascii="Calibri Light" w:eastAsia="Calibri Light" w:hAnsi="Calibri Light" w:cs="Calibri Light"/>
          <w:color w:val="495965"/>
          <w:u w:color="495965"/>
          <w:bdr w:val="nil"/>
          <w:lang w:val="en-US" w:eastAsia="en-AU"/>
        </w:rPr>
        <w:t xml:space="preserve">helped </w:t>
      </w:r>
      <w:r w:rsidR="006E5A8A" w:rsidRPr="00567400">
        <w:rPr>
          <w:rFonts w:ascii="Calibri Light" w:eastAsia="Calibri Light" w:hAnsi="Calibri Light" w:cs="Calibri Light"/>
          <w:color w:val="495965"/>
          <w:u w:color="495965"/>
          <w:bdr w:val="nil"/>
          <w:lang w:val="en-US" w:eastAsia="en-AU"/>
        </w:rPr>
        <w:t>retain</w:t>
      </w:r>
      <w:r w:rsidR="00CF2DCE" w:rsidRPr="00567400">
        <w:rPr>
          <w:rFonts w:ascii="Calibri Light" w:eastAsia="Calibri Light" w:hAnsi="Calibri Light" w:cs="Calibri Light"/>
          <w:color w:val="495965"/>
          <w:u w:color="495965"/>
          <w:bdr w:val="nil"/>
          <w:lang w:val="en-US" w:eastAsia="en-AU"/>
        </w:rPr>
        <w:t xml:space="preserve"> </w:t>
      </w:r>
      <w:r w:rsidR="00046759" w:rsidRPr="00567400">
        <w:rPr>
          <w:rFonts w:ascii="Calibri Light" w:eastAsia="Calibri Light" w:hAnsi="Calibri Light" w:cs="Calibri Light"/>
          <w:color w:val="495965"/>
          <w:u w:color="495965"/>
          <w:bdr w:val="nil"/>
          <w:lang w:val="en-US" w:eastAsia="en-AU"/>
        </w:rPr>
        <w:t xml:space="preserve">a policy focus </w:t>
      </w:r>
      <w:r w:rsidR="0028730D" w:rsidRPr="00567400">
        <w:rPr>
          <w:rFonts w:ascii="Calibri Light" w:eastAsia="Calibri Light" w:hAnsi="Calibri Light" w:cs="Calibri Light"/>
          <w:color w:val="495965"/>
          <w:u w:color="495965"/>
          <w:bdr w:val="nil"/>
          <w:lang w:val="en-US" w:eastAsia="en-AU"/>
        </w:rPr>
        <w:t>on gender</w:t>
      </w:r>
      <w:r w:rsidR="00731F45" w:rsidRPr="00567400">
        <w:rPr>
          <w:rFonts w:ascii="Calibri Light" w:eastAsia="Calibri Light" w:hAnsi="Calibri Light" w:cs="Calibri Light"/>
          <w:color w:val="495965"/>
          <w:u w:color="495965"/>
          <w:bdr w:val="nil"/>
          <w:lang w:val="en-US" w:eastAsia="en-AU"/>
        </w:rPr>
        <w:t>.</w:t>
      </w:r>
      <w:r w:rsidR="003D2AD0" w:rsidRPr="00567400">
        <w:rPr>
          <w:rFonts w:ascii="Calibri Light" w:eastAsia="Calibri Light" w:hAnsi="Calibri Light" w:cs="Calibri Light"/>
          <w:color w:val="495965"/>
          <w:u w:color="495965"/>
          <w:bdr w:val="nil"/>
          <w:lang w:val="en-US" w:eastAsia="en-AU"/>
        </w:rPr>
        <w:t xml:space="preserve"> </w:t>
      </w:r>
      <w:r w:rsidR="006F32B0" w:rsidRPr="00567400">
        <w:rPr>
          <w:rFonts w:ascii="Calibri Light" w:eastAsia="Calibri Light" w:hAnsi="Calibri Light" w:cs="Calibri Light"/>
          <w:color w:val="495965"/>
          <w:u w:color="495965"/>
          <w:bdr w:val="nil"/>
          <w:lang w:val="en-US" w:eastAsia="en-AU"/>
        </w:rPr>
        <w:t xml:space="preserve">In 2016-17, </w:t>
      </w:r>
      <w:r w:rsidR="003D2AD0" w:rsidRPr="00567400">
        <w:rPr>
          <w:rFonts w:ascii="Calibri Light" w:eastAsia="Calibri Light" w:hAnsi="Calibri Light" w:cs="Calibri Light"/>
          <w:color w:val="495965"/>
          <w:u w:color="495965"/>
          <w:bdr w:val="nil"/>
          <w:lang w:val="en-US" w:eastAsia="en-AU"/>
        </w:rPr>
        <w:t>Australian</w:t>
      </w:r>
      <w:r w:rsidR="00BB2347" w:rsidRPr="00567400">
        <w:rPr>
          <w:rFonts w:ascii="Calibri Light" w:eastAsia="Calibri Light" w:hAnsi="Calibri Light" w:cs="Calibri Light"/>
          <w:color w:val="495965"/>
          <w:u w:color="495965"/>
          <w:bdr w:val="nil"/>
          <w:lang w:val="en-US" w:eastAsia="en-AU"/>
        </w:rPr>
        <w:t>-</w:t>
      </w:r>
      <w:r w:rsidR="00681864" w:rsidRPr="00567400">
        <w:rPr>
          <w:rFonts w:ascii="Calibri Light" w:eastAsia="Calibri Light" w:hAnsi="Calibri Light" w:cs="Calibri Light"/>
          <w:color w:val="495965"/>
          <w:u w:color="495965"/>
          <w:bdr w:val="nil"/>
          <w:lang w:val="en-US" w:eastAsia="en-AU"/>
        </w:rPr>
        <w:t>funded</w:t>
      </w:r>
      <w:r w:rsidR="00CF2DCE" w:rsidRPr="00567400">
        <w:rPr>
          <w:rFonts w:ascii="Calibri Light" w:eastAsia="Calibri Light" w:hAnsi="Calibri Light" w:cs="Calibri Light"/>
          <w:color w:val="495965"/>
          <w:u w:color="495965"/>
          <w:bdr w:val="nil"/>
          <w:lang w:val="en-US" w:eastAsia="en-AU"/>
        </w:rPr>
        <w:t xml:space="preserve"> </w:t>
      </w:r>
      <w:r w:rsidR="003D2AD0" w:rsidRPr="00567400">
        <w:rPr>
          <w:rFonts w:ascii="Calibri Light" w:eastAsia="Calibri Light" w:hAnsi="Calibri Light" w:cs="Calibri Light"/>
          <w:color w:val="495965"/>
          <w:u w:color="495965"/>
          <w:bdr w:val="nil"/>
          <w:lang w:val="en-US" w:eastAsia="en-AU"/>
        </w:rPr>
        <w:t>tec</w:t>
      </w:r>
      <w:r w:rsidR="00CF2DCE" w:rsidRPr="00567400">
        <w:rPr>
          <w:rFonts w:ascii="Calibri Light" w:eastAsia="Calibri Light" w:hAnsi="Calibri Light" w:cs="Calibri Light"/>
          <w:color w:val="495965"/>
          <w:u w:color="495965"/>
          <w:bdr w:val="nil"/>
          <w:lang w:val="en-US" w:eastAsia="en-AU"/>
        </w:rPr>
        <w:t>hnical assistanc</w:t>
      </w:r>
      <w:r w:rsidR="006F32B0" w:rsidRPr="00567400">
        <w:rPr>
          <w:rFonts w:ascii="Calibri Light" w:eastAsia="Calibri Light" w:hAnsi="Calibri Light" w:cs="Calibri Light"/>
          <w:color w:val="495965"/>
          <w:u w:color="495965"/>
          <w:bdr w:val="nil"/>
          <w:lang w:val="en-US" w:eastAsia="en-AU"/>
        </w:rPr>
        <w:t xml:space="preserve">e contributed to </w:t>
      </w:r>
      <w:r w:rsidR="00581DA1" w:rsidRPr="00567400">
        <w:rPr>
          <w:rFonts w:ascii="Calibri Light" w:eastAsia="Calibri Light" w:hAnsi="Calibri Light" w:cs="Calibri Light"/>
          <w:color w:val="495965"/>
          <w:u w:color="495965"/>
          <w:bdr w:val="nil"/>
          <w:lang w:val="en-US" w:eastAsia="en-AU"/>
        </w:rPr>
        <w:t xml:space="preserve">the inclusion of </w:t>
      </w:r>
      <w:r w:rsidR="003D2AD0" w:rsidRPr="00567400">
        <w:rPr>
          <w:rFonts w:ascii="Calibri Light" w:eastAsia="Calibri Light" w:hAnsi="Calibri Light" w:cs="Calibri Light"/>
          <w:color w:val="495965"/>
          <w:u w:color="495965"/>
          <w:bdr w:val="nil"/>
          <w:lang w:val="en-US" w:eastAsia="en-AU"/>
        </w:rPr>
        <w:t xml:space="preserve">gender </w:t>
      </w:r>
      <w:r w:rsidR="00246C5C" w:rsidRPr="00567400">
        <w:rPr>
          <w:rFonts w:ascii="Calibri Light" w:eastAsia="Calibri Light" w:hAnsi="Calibri Light" w:cs="Calibri Light"/>
          <w:color w:val="495965"/>
          <w:u w:color="495965"/>
          <w:bdr w:val="nil"/>
          <w:lang w:val="en-US" w:eastAsia="en-AU"/>
        </w:rPr>
        <w:t>conten</w:t>
      </w:r>
      <w:r w:rsidR="00EB34BE" w:rsidRPr="00567400">
        <w:rPr>
          <w:rFonts w:ascii="Calibri Light" w:eastAsia="Calibri Light" w:hAnsi="Calibri Light" w:cs="Calibri Light"/>
          <w:color w:val="495965"/>
          <w:u w:color="495965"/>
          <w:bdr w:val="nil"/>
          <w:lang w:val="en-US" w:eastAsia="en-AU"/>
        </w:rPr>
        <w:t>t in teacher training materials and</w:t>
      </w:r>
      <w:r w:rsidR="00131908" w:rsidRPr="00567400">
        <w:rPr>
          <w:rFonts w:ascii="Calibri Light" w:eastAsia="Calibri Light" w:hAnsi="Calibri Light" w:cs="Calibri Light"/>
          <w:color w:val="495965"/>
          <w:u w:color="495965"/>
          <w:bdr w:val="nil"/>
          <w:lang w:val="en-US" w:eastAsia="en-AU"/>
        </w:rPr>
        <w:t xml:space="preserve"> a </w:t>
      </w:r>
      <w:r w:rsidR="00CF2DCE" w:rsidRPr="00567400">
        <w:rPr>
          <w:rFonts w:ascii="Calibri Light" w:eastAsia="Calibri Light" w:hAnsi="Calibri Light" w:cs="Calibri Light"/>
          <w:color w:val="495965"/>
          <w:u w:color="495965"/>
          <w:bdr w:val="nil"/>
          <w:lang w:val="en-US" w:eastAsia="en-AU"/>
        </w:rPr>
        <w:t xml:space="preserve">household </w:t>
      </w:r>
      <w:r w:rsidR="00246C5C" w:rsidRPr="00567400">
        <w:rPr>
          <w:rFonts w:ascii="Calibri Light" w:eastAsia="Calibri Light" w:hAnsi="Calibri Light" w:cs="Calibri Light"/>
          <w:color w:val="495965"/>
          <w:u w:color="495965"/>
          <w:bdr w:val="nil"/>
          <w:lang w:val="en-US" w:eastAsia="en-AU"/>
        </w:rPr>
        <w:t xml:space="preserve">education </w:t>
      </w:r>
      <w:r w:rsidR="00681864" w:rsidRPr="00567400">
        <w:rPr>
          <w:rFonts w:ascii="Calibri Light" w:eastAsia="Calibri Light" w:hAnsi="Calibri Light" w:cs="Calibri Light"/>
          <w:color w:val="495965"/>
          <w:u w:color="495965"/>
          <w:bdr w:val="nil"/>
          <w:lang w:val="en-US" w:eastAsia="en-AU"/>
        </w:rPr>
        <w:t>survey</w:t>
      </w:r>
      <w:r w:rsidR="00CA3F85" w:rsidRPr="00567400">
        <w:rPr>
          <w:rFonts w:ascii="Calibri Light" w:eastAsia="Calibri Light" w:hAnsi="Calibri Light" w:cs="Calibri Light"/>
          <w:color w:val="495965"/>
          <w:u w:color="495965"/>
          <w:bdr w:val="nil"/>
          <w:lang w:val="en-US" w:eastAsia="en-AU"/>
        </w:rPr>
        <w:t xml:space="preserve"> </w:t>
      </w:r>
      <w:r w:rsidR="00681864" w:rsidRPr="00567400">
        <w:rPr>
          <w:rFonts w:ascii="Calibri Light" w:eastAsia="Calibri Light" w:hAnsi="Calibri Light" w:cs="Calibri Light"/>
          <w:color w:val="495965"/>
          <w:u w:color="495965"/>
          <w:bdr w:val="nil"/>
          <w:lang w:val="en-US" w:eastAsia="en-AU"/>
        </w:rPr>
        <w:t>focusing on gender.</w:t>
      </w:r>
      <w:r w:rsidR="00BB2347" w:rsidRPr="00567400">
        <w:rPr>
          <w:rFonts w:ascii="Calibri Light" w:eastAsia="Calibri Light" w:hAnsi="Calibri Light" w:cs="Calibri Light"/>
          <w:color w:val="495965"/>
          <w:u w:color="495965"/>
          <w:bdr w:val="nil"/>
          <w:lang w:val="en-US" w:eastAsia="en-AU"/>
        </w:rPr>
        <w:t xml:space="preserve"> </w:t>
      </w:r>
      <w:r w:rsidR="00581DA1" w:rsidRPr="00567400">
        <w:rPr>
          <w:rFonts w:ascii="Calibri Light" w:eastAsia="Calibri Light" w:hAnsi="Calibri Light" w:cs="Calibri Light"/>
          <w:color w:val="495965"/>
          <w:u w:color="495965"/>
          <w:bdr w:val="nil"/>
          <w:lang w:val="en-US" w:eastAsia="en-AU"/>
        </w:rPr>
        <w:t>The study</w:t>
      </w:r>
      <w:r w:rsidR="00131908" w:rsidRPr="00567400">
        <w:rPr>
          <w:rFonts w:ascii="Calibri Light" w:eastAsia="Calibri Light" w:hAnsi="Calibri Light" w:cs="Calibri Light"/>
          <w:color w:val="495965"/>
          <w:u w:color="495965"/>
          <w:bdr w:val="nil"/>
          <w:lang w:val="en-US" w:eastAsia="en-AU"/>
        </w:rPr>
        <w:t>, which is yet to be finalised,</w:t>
      </w:r>
      <w:r w:rsidR="00246C5C" w:rsidRPr="00567400">
        <w:rPr>
          <w:rFonts w:ascii="Calibri Light" w:eastAsia="Calibri Light" w:hAnsi="Calibri Light" w:cs="Calibri Light"/>
          <w:color w:val="495965"/>
          <w:u w:color="495965"/>
          <w:bdr w:val="nil"/>
          <w:lang w:val="en-US" w:eastAsia="en-AU"/>
        </w:rPr>
        <w:t xml:space="preserve"> </w:t>
      </w:r>
      <w:r w:rsidR="00681864" w:rsidRPr="00567400">
        <w:rPr>
          <w:rFonts w:ascii="Calibri Light" w:eastAsia="Calibri Light" w:hAnsi="Calibri Light" w:cs="Calibri Light"/>
          <w:color w:val="495965"/>
          <w:u w:color="495965"/>
          <w:bdr w:val="nil"/>
          <w:lang w:val="en-US" w:eastAsia="en-AU"/>
        </w:rPr>
        <w:t>will be</w:t>
      </w:r>
      <w:r w:rsidR="00581DA1" w:rsidRPr="00567400">
        <w:rPr>
          <w:rFonts w:ascii="Calibri Light" w:eastAsia="Calibri Light" w:hAnsi="Calibri Light" w:cs="Calibri Light"/>
          <w:color w:val="495965"/>
          <w:u w:color="495965"/>
          <w:bdr w:val="nil"/>
          <w:lang w:val="en-US" w:eastAsia="en-AU"/>
        </w:rPr>
        <w:t xml:space="preserve"> a key </w:t>
      </w:r>
      <w:r w:rsidR="006B511C" w:rsidRPr="00567400">
        <w:rPr>
          <w:rFonts w:ascii="Calibri Light" w:eastAsia="Calibri Light" w:hAnsi="Calibri Light" w:cs="Calibri Light"/>
          <w:color w:val="495965"/>
          <w:u w:color="495965"/>
          <w:bdr w:val="nil"/>
          <w:lang w:val="en-US" w:eastAsia="en-AU"/>
        </w:rPr>
        <w:t xml:space="preserve">analytical document </w:t>
      </w:r>
      <w:r w:rsidR="00246C5C" w:rsidRPr="00567400">
        <w:rPr>
          <w:rFonts w:ascii="Calibri Light" w:eastAsia="Calibri Light" w:hAnsi="Calibri Light" w:cs="Calibri Light"/>
          <w:color w:val="495965"/>
          <w:u w:color="495965"/>
          <w:bdr w:val="nil"/>
          <w:lang w:val="en-US" w:eastAsia="en-AU"/>
        </w:rPr>
        <w:t>guiding</w:t>
      </w:r>
      <w:r w:rsidR="00510A23" w:rsidRPr="00567400">
        <w:rPr>
          <w:rFonts w:ascii="Calibri Light" w:eastAsia="Calibri Light" w:hAnsi="Calibri Light" w:cs="Calibri Light"/>
          <w:color w:val="495965"/>
          <w:u w:color="495965"/>
          <w:bdr w:val="nil"/>
          <w:lang w:val="en-US" w:eastAsia="en-AU"/>
        </w:rPr>
        <w:t xml:space="preserve"> policy dialogue</w:t>
      </w:r>
      <w:r w:rsidR="00246C5C" w:rsidRPr="00567400">
        <w:rPr>
          <w:rFonts w:ascii="Calibri Light" w:eastAsia="Calibri Light" w:hAnsi="Calibri Light" w:cs="Calibri Light"/>
          <w:color w:val="495965"/>
          <w:u w:color="495965"/>
          <w:bdr w:val="nil"/>
          <w:lang w:val="en-US" w:eastAsia="en-AU"/>
        </w:rPr>
        <w:t xml:space="preserve">. </w:t>
      </w:r>
    </w:p>
    <w:p w14:paraId="5AA0AAB8" w14:textId="34332F88" w:rsidR="00F00AD5" w:rsidRPr="00B4365A" w:rsidRDefault="008406D0" w:rsidP="00026AE0">
      <w:pPr>
        <w:pBdr>
          <w:top w:val="nil"/>
          <w:left w:val="nil"/>
          <w:bottom w:val="nil"/>
          <w:right w:val="nil"/>
          <w:between w:val="nil"/>
          <w:bar w:val="nil"/>
        </w:pBdr>
        <w:spacing w:after="120" w:line="280" w:lineRule="exact"/>
        <w:jc w:val="both"/>
        <w:rPr>
          <w:rFonts w:ascii="Calibri Light" w:eastAsia="Calibri Light" w:hAnsi="Calibri Light" w:cs="Calibri Light"/>
          <w:color w:val="495965"/>
          <w:u w:color="495965"/>
          <w:bdr w:val="nil"/>
          <w:lang w:val="en-US" w:eastAsia="en-AU"/>
        </w:rPr>
      </w:pPr>
      <w:r w:rsidRPr="00567400">
        <w:rPr>
          <w:rFonts w:ascii="Calibri Light" w:eastAsia="Calibri Light" w:hAnsi="Calibri Light" w:cs="Calibri Light"/>
          <w:color w:val="495965"/>
          <w:u w:color="495965"/>
          <w:bdr w:val="nil"/>
          <w:lang w:val="en-US" w:eastAsia="en-AU"/>
        </w:rPr>
        <w:t>During the reporting period</w:t>
      </w:r>
      <w:r w:rsidR="00131908" w:rsidRPr="00567400">
        <w:rPr>
          <w:rFonts w:ascii="Calibri Light" w:eastAsia="Calibri Light" w:hAnsi="Calibri Light" w:cs="Calibri Light"/>
          <w:color w:val="495965"/>
          <w:u w:color="495965"/>
          <w:bdr w:val="nil"/>
          <w:lang w:val="en-US" w:eastAsia="en-AU"/>
        </w:rPr>
        <w:t>, there was good collaboration between Australian partners</w:t>
      </w:r>
      <w:r w:rsidRPr="00567400">
        <w:rPr>
          <w:rFonts w:ascii="Calibri Light" w:eastAsia="Calibri Light" w:hAnsi="Calibri Light" w:cs="Calibri Light"/>
          <w:color w:val="495965"/>
          <w:u w:color="495965"/>
          <w:bdr w:val="nil"/>
          <w:lang w:val="en-US" w:eastAsia="en-AU"/>
        </w:rPr>
        <w:t xml:space="preserve"> (BRAC and the Bangladesh Government)</w:t>
      </w:r>
      <w:r w:rsidR="00131908" w:rsidRPr="00567400">
        <w:rPr>
          <w:rFonts w:ascii="Calibri Light" w:eastAsia="Calibri Light" w:hAnsi="Calibri Light" w:cs="Calibri Light"/>
          <w:color w:val="495965"/>
          <w:u w:color="495965"/>
          <w:bdr w:val="nil"/>
          <w:lang w:val="en-US" w:eastAsia="en-AU"/>
        </w:rPr>
        <w:t xml:space="preserve"> on piloting second chance education</w:t>
      </w:r>
      <w:r w:rsidRPr="00567400">
        <w:rPr>
          <w:rFonts w:ascii="Calibri Light" w:eastAsia="Calibri Light" w:hAnsi="Calibri Light" w:cs="Calibri Light"/>
          <w:color w:val="495965"/>
          <w:u w:color="495965"/>
          <w:bdr w:val="nil"/>
          <w:lang w:val="en-US" w:eastAsia="en-AU"/>
        </w:rPr>
        <w:t xml:space="preserve"> models. Led by the</w:t>
      </w:r>
      <w:r w:rsidR="00DE6766" w:rsidRPr="00567400">
        <w:rPr>
          <w:rFonts w:ascii="Calibri Light" w:eastAsia="Calibri Light" w:hAnsi="Calibri Light" w:cs="Calibri Light"/>
          <w:color w:val="495965"/>
          <w:u w:color="495965"/>
          <w:bdr w:val="nil"/>
          <w:lang w:val="en-US" w:eastAsia="en-AU"/>
        </w:rPr>
        <w:t xml:space="preserve"> PEDP3’s implementing partner,</w:t>
      </w:r>
      <w:r w:rsidRPr="00567400">
        <w:rPr>
          <w:rFonts w:ascii="Calibri Light" w:eastAsia="Calibri Light" w:hAnsi="Calibri Light" w:cs="Calibri Light"/>
          <w:color w:val="495965"/>
          <w:u w:color="495965"/>
          <w:bdr w:val="nil"/>
          <w:lang w:val="en-US" w:eastAsia="en-AU"/>
        </w:rPr>
        <w:t xml:space="preserve"> </w:t>
      </w:r>
      <w:r w:rsidR="00DA2197" w:rsidRPr="00567400">
        <w:rPr>
          <w:rFonts w:ascii="Calibri Light" w:eastAsia="Calibri Light" w:hAnsi="Calibri Light" w:cs="Calibri Light"/>
          <w:color w:val="495965"/>
          <w:u w:color="495965"/>
          <w:bdr w:val="nil"/>
          <w:lang w:val="en-US" w:eastAsia="en-AU"/>
        </w:rPr>
        <w:t xml:space="preserve">the </w:t>
      </w:r>
      <w:r w:rsidR="00F00AD5" w:rsidRPr="00567400">
        <w:rPr>
          <w:rFonts w:ascii="Calibri Light" w:eastAsia="Calibri Light" w:hAnsi="Calibri Light" w:cs="Calibri Light"/>
          <w:color w:val="495965"/>
          <w:u w:color="495965"/>
          <w:bdr w:val="nil"/>
          <w:lang w:val="en-US" w:eastAsia="en-AU"/>
        </w:rPr>
        <w:t>Ministry of Primary and Mass Education</w:t>
      </w:r>
      <w:r w:rsidR="008A27B1" w:rsidRPr="00567400">
        <w:rPr>
          <w:rFonts w:ascii="Calibri Light" w:eastAsia="Calibri Light" w:hAnsi="Calibri Light" w:cs="Calibri Light"/>
          <w:color w:val="495965"/>
          <w:u w:color="495965"/>
          <w:bdr w:val="nil"/>
          <w:lang w:val="en-US" w:eastAsia="en-AU"/>
        </w:rPr>
        <w:t xml:space="preserve"> (MoPE)</w:t>
      </w:r>
      <w:r w:rsidRPr="00567400">
        <w:rPr>
          <w:rFonts w:ascii="Calibri Light" w:eastAsia="Calibri Light" w:hAnsi="Calibri Light" w:cs="Calibri Light"/>
          <w:color w:val="495965"/>
          <w:u w:color="495965"/>
          <w:bdr w:val="nil"/>
          <w:lang w:val="en-US" w:eastAsia="en-AU"/>
        </w:rPr>
        <w:t xml:space="preserve">, funding was provided to a </w:t>
      </w:r>
      <w:r w:rsidR="00F00AD5" w:rsidRPr="00567400">
        <w:rPr>
          <w:rFonts w:ascii="Calibri Light" w:eastAsia="Calibri Light" w:hAnsi="Calibri Light" w:cs="Calibri Light"/>
          <w:color w:val="495965"/>
          <w:u w:color="495965"/>
          <w:bdr w:val="nil"/>
          <w:lang w:val="en-US" w:eastAsia="en-AU"/>
        </w:rPr>
        <w:t>consortium of NGOs</w:t>
      </w:r>
      <w:r w:rsidR="0042437D" w:rsidRPr="00567400">
        <w:rPr>
          <w:rFonts w:ascii="Calibri Light" w:eastAsia="Calibri Light" w:hAnsi="Calibri Light" w:cs="Calibri Light"/>
          <w:color w:val="495965"/>
          <w:u w:color="495965"/>
          <w:bdr w:val="nil"/>
          <w:lang w:val="en-US" w:eastAsia="en-AU"/>
        </w:rPr>
        <w:t xml:space="preserve"> including</w:t>
      </w:r>
      <w:r w:rsidR="002D5606" w:rsidRPr="00567400">
        <w:rPr>
          <w:rFonts w:ascii="Calibri Light" w:eastAsia="Calibri Light" w:hAnsi="Calibri Light" w:cs="Calibri Light"/>
          <w:color w:val="495965"/>
          <w:u w:color="495965"/>
          <w:bdr w:val="nil"/>
          <w:lang w:val="en-US" w:eastAsia="en-AU"/>
        </w:rPr>
        <w:t xml:space="preserve"> BRAC and ANCP partner </w:t>
      </w:r>
      <w:r w:rsidR="00F00AD5" w:rsidRPr="00567400">
        <w:rPr>
          <w:rFonts w:ascii="Calibri Light" w:eastAsia="Calibri Light" w:hAnsi="Calibri Light" w:cs="Calibri Light"/>
          <w:color w:val="495965"/>
          <w:u w:color="495965"/>
          <w:bdr w:val="nil"/>
          <w:lang w:val="en-US" w:eastAsia="en-AU"/>
        </w:rPr>
        <w:t>Save the Child</w:t>
      </w:r>
      <w:r w:rsidRPr="00567400">
        <w:rPr>
          <w:rFonts w:ascii="Calibri Light" w:eastAsia="Calibri Light" w:hAnsi="Calibri Light" w:cs="Calibri Light"/>
          <w:color w:val="495965"/>
          <w:u w:color="495965"/>
          <w:bdr w:val="nil"/>
          <w:lang w:val="en-US" w:eastAsia="en-AU"/>
        </w:rPr>
        <w:t xml:space="preserve">ren </w:t>
      </w:r>
      <w:r w:rsidR="002D5606" w:rsidRPr="00567400">
        <w:rPr>
          <w:rFonts w:ascii="Calibri Light" w:eastAsia="Calibri Light" w:hAnsi="Calibri Light" w:cs="Calibri Light"/>
          <w:color w:val="495965"/>
          <w:u w:color="495965"/>
          <w:bdr w:val="nil"/>
          <w:lang w:val="en-US" w:eastAsia="en-AU"/>
        </w:rPr>
        <w:t xml:space="preserve">to </w:t>
      </w:r>
      <w:r w:rsidR="00DE6766" w:rsidRPr="00567400">
        <w:rPr>
          <w:rFonts w:ascii="Calibri Light" w:eastAsia="Calibri Light" w:hAnsi="Calibri Light" w:cs="Calibri Light"/>
          <w:color w:val="495965"/>
          <w:u w:color="495965"/>
          <w:bdr w:val="nil"/>
          <w:lang w:val="en-US" w:eastAsia="en-AU"/>
        </w:rPr>
        <w:t xml:space="preserve">pilot </w:t>
      </w:r>
      <w:r w:rsidR="008A27B1" w:rsidRPr="00567400">
        <w:rPr>
          <w:rFonts w:ascii="Calibri Light" w:eastAsia="Calibri Light" w:hAnsi="Calibri Light" w:cs="Calibri Light"/>
          <w:color w:val="495965"/>
          <w:u w:color="495965"/>
          <w:bdr w:val="nil"/>
          <w:lang w:val="en-US" w:eastAsia="en-AU"/>
        </w:rPr>
        <w:t xml:space="preserve"> </w:t>
      </w:r>
      <w:r w:rsidR="0042437D" w:rsidRPr="00567400">
        <w:rPr>
          <w:rFonts w:ascii="Calibri Light" w:eastAsia="Calibri Light" w:hAnsi="Calibri Light" w:cs="Calibri Light"/>
          <w:color w:val="495965"/>
          <w:u w:color="495965"/>
          <w:bdr w:val="nil"/>
          <w:lang w:val="en-US" w:eastAsia="en-AU"/>
        </w:rPr>
        <w:t xml:space="preserve">the delivery of primary </w:t>
      </w:r>
      <w:r w:rsidR="00F00AD5" w:rsidRPr="00567400">
        <w:rPr>
          <w:rFonts w:ascii="Calibri Light" w:eastAsia="Calibri Light" w:hAnsi="Calibri Light" w:cs="Calibri Light"/>
          <w:color w:val="495965"/>
          <w:u w:color="495965"/>
          <w:bdr w:val="nil"/>
          <w:lang w:val="en-US" w:eastAsia="en-AU"/>
        </w:rPr>
        <w:t>educ</w:t>
      </w:r>
      <w:r w:rsidR="00F04E9F" w:rsidRPr="00567400">
        <w:rPr>
          <w:rFonts w:ascii="Calibri Light" w:eastAsia="Calibri Light" w:hAnsi="Calibri Light" w:cs="Calibri Light"/>
          <w:color w:val="495965"/>
          <w:u w:color="495965"/>
          <w:bdr w:val="nil"/>
          <w:lang w:val="en-US" w:eastAsia="en-AU"/>
        </w:rPr>
        <w:t>ation for 100,000 out of school</w:t>
      </w:r>
      <w:r w:rsidR="00810A8E" w:rsidRPr="00567400">
        <w:rPr>
          <w:rFonts w:ascii="Calibri Light" w:eastAsia="Calibri Light" w:hAnsi="Calibri Light" w:cs="Calibri Light"/>
          <w:color w:val="495965"/>
          <w:u w:color="495965"/>
          <w:bdr w:val="nil"/>
          <w:lang w:val="en-US" w:eastAsia="en-AU"/>
        </w:rPr>
        <w:t>-</w:t>
      </w:r>
      <w:r w:rsidR="00F00AD5" w:rsidRPr="00567400">
        <w:rPr>
          <w:rFonts w:ascii="Calibri Light" w:eastAsia="Calibri Light" w:hAnsi="Calibri Light" w:cs="Calibri Light"/>
          <w:color w:val="495965"/>
          <w:u w:color="495965"/>
          <w:bdr w:val="nil"/>
          <w:lang w:val="en-US" w:eastAsia="en-AU"/>
        </w:rPr>
        <w:t>children</w:t>
      </w:r>
      <w:r w:rsidR="008A27B1" w:rsidRPr="00567400">
        <w:rPr>
          <w:rFonts w:ascii="Calibri Light" w:eastAsia="Calibri Light" w:hAnsi="Calibri Light" w:cs="Calibri Light"/>
          <w:color w:val="495965"/>
          <w:u w:color="495965"/>
          <w:bdr w:val="nil"/>
          <w:lang w:val="en-US" w:eastAsia="en-AU"/>
        </w:rPr>
        <w:t>. The pilot</w:t>
      </w:r>
      <w:r w:rsidR="00F04E9F" w:rsidRPr="00567400">
        <w:rPr>
          <w:rFonts w:ascii="Calibri Light" w:eastAsia="Calibri Light" w:hAnsi="Calibri Light" w:cs="Calibri Light"/>
          <w:color w:val="495965"/>
          <w:u w:color="495965"/>
          <w:bdr w:val="nil"/>
          <w:lang w:val="en-US" w:eastAsia="en-AU"/>
        </w:rPr>
        <w:t>,</w:t>
      </w:r>
      <w:r w:rsidR="008A27B1" w:rsidRPr="00567400">
        <w:rPr>
          <w:rFonts w:ascii="Calibri Light" w:eastAsia="Calibri Light" w:hAnsi="Calibri Light" w:cs="Calibri Light"/>
          <w:color w:val="495965"/>
          <w:u w:color="495965"/>
          <w:bdr w:val="nil"/>
          <w:lang w:val="en-US" w:eastAsia="en-AU"/>
        </w:rPr>
        <w:t xml:space="preserve"> </w:t>
      </w:r>
      <w:r w:rsidR="002526C1" w:rsidRPr="00567400">
        <w:rPr>
          <w:rFonts w:ascii="Calibri Light" w:eastAsia="Calibri Light" w:hAnsi="Calibri Light" w:cs="Calibri Light"/>
          <w:color w:val="495965"/>
          <w:u w:color="495965"/>
          <w:bdr w:val="nil"/>
          <w:lang w:val="en-US" w:eastAsia="en-AU"/>
        </w:rPr>
        <w:t>developed with Australian funded technical expertise</w:t>
      </w:r>
      <w:r w:rsidR="00F04E9F" w:rsidRPr="00567400">
        <w:rPr>
          <w:rFonts w:ascii="Calibri Light" w:eastAsia="Calibri Light" w:hAnsi="Calibri Light" w:cs="Calibri Light"/>
          <w:color w:val="495965"/>
          <w:u w:color="495965"/>
          <w:bdr w:val="nil"/>
          <w:lang w:val="en-US" w:eastAsia="en-AU"/>
        </w:rPr>
        <w:t>,</w:t>
      </w:r>
      <w:r w:rsidR="002526C1" w:rsidRPr="00567400">
        <w:rPr>
          <w:rFonts w:ascii="Calibri Light" w:eastAsia="Calibri Light" w:hAnsi="Calibri Light" w:cs="Calibri Light"/>
          <w:color w:val="495965"/>
          <w:u w:color="495965"/>
          <w:bdr w:val="nil"/>
          <w:lang w:val="en-US" w:eastAsia="en-AU"/>
        </w:rPr>
        <w:t xml:space="preserve"> </w:t>
      </w:r>
      <w:r w:rsidR="00EB34BE" w:rsidRPr="00567400">
        <w:rPr>
          <w:rFonts w:ascii="Calibri Light" w:eastAsia="Calibri Light" w:hAnsi="Calibri Light" w:cs="Calibri Light"/>
          <w:color w:val="495965"/>
          <w:u w:color="495965"/>
          <w:bdr w:val="nil"/>
          <w:lang w:val="en-US" w:eastAsia="en-AU"/>
        </w:rPr>
        <w:t xml:space="preserve">drew </w:t>
      </w:r>
      <w:r w:rsidR="002526C1" w:rsidRPr="00567400">
        <w:rPr>
          <w:rFonts w:ascii="Calibri Light" w:eastAsia="Calibri Light" w:hAnsi="Calibri Light" w:cs="Calibri Light"/>
          <w:color w:val="495965"/>
          <w:u w:color="495965"/>
          <w:bdr w:val="nil"/>
          <w:lang w:val="en-US" w:eastAsia="en-AU"/>
        </w:rPr>
        <w:t xml:space="preserve">on </w:t>
      </w:r>
      <w:r w:rsidR="008A27B1" w:rsidRPr="00567400">
        <w:rPr>
          <w:rFonts w:ascii="Calibri Light" w:eastAsia="Calibri Light" w:hAnsi="Calibri Light" w:cs="Calibri Light"/>
          <w:color w:val="495965"/>
          <w:u w:color="495965"/>
          <w:bdr w:val="nil"/>
          <w:lang w:val="en-US" w:eastAsia="en-AU"/>
        </w:rPr>
        <w:t>BRAC’s informal educ</w:t>
      </w:r>
      <w:r w:rsidRPr="00567400">
        <w:rPr>
          <w:rFonts w:ascii="Calibri Light" w:eastAsia="Calibri Light" w:hAnsi="Calibri Light" w:cs="Calibri Light"/>
          <w:color w:val="495965"/>
          <w:u w:color="495965"/>
          <w:bdr w:val="nil"/>
          <w:lang w:val="en-US" w:eastAsia="en-AU"/>
        </w:rPr>
        <w:t xml:space="preserve">ation delivery </w:t>
      </w:r>
      <w:r w:rsidR="008A27B1" w:rsidRPr="00567400">
        <w:rPr>
          <w:rFonts w:ascii="Calibri Light" w:eastAsia="Calibri Light" w:hAnsi="Calibri Light" w:cs="Calibri Light"/>
          <w:color w:val="495965"/>
          <w:u w:color="495965"/>
          <w:bdr w:val="nil"/>
          <w:lang w:val="en-US" w:eastAsia="en-AU"/>
        </w:rPr>
        <w:t>models</w:t>
      </w:r>
      <w:r w:rsidR="00810A8E" w:rsidRPr="00567400">
        <w:rPr>
          <w:rFonts w:ascii="Calibri Light" w:eastAsia="Calibri Light" w:hAnsi="Calibri Light" w:cs="Calibri Light"/>
          <w:color w:val="495965"/>
          <w:u w:color="495965"/>
          <w:bdr w:val="nil"/>
          <w:lang w:val="en-US" w:eastAsia="en-AU"/>
        </w:rPr>
        <w:t xml:space="preserve">. </w:t>
      </w:r>
      <w:r w:rsidR="002526C1" w:rsidRPr="00567400">
        <w:rPr>
          <w:rFonts w:ascii="Calibri Light" w:eastAsia="Calibri Light" w:hAnsi="Calibri Light" w:cs="Calibri Light"/>
          <w:color w:val="495965"/>
          <w:u w:color="495965"/>
          <w:bdr w:val="nil"/>
          <w:lang w:val="en-US" w:eastAsia="en-AU"/>
        </w:rPr>
        <w:t>BRAC and MoPE work</w:t>
      </w:r>
      <w:r w:rsidR="00EB34BE" w:rsidRPr="00567400">
        <w:rPr>
          <w:rFonts w:ascii="Calibri Light" w:eastAsia="Calibri Light" w:hAnsi="Calibri Light" w:cs="Calibri Light"/>
          <w:color w:val="495965"/>
          <w:u w:color="495965"/>
          <w:bdr w:val="nil"/>
          <w:lang w:val="en-US" w:eastAsia="en-AU"/>
        </w:rPr>
        <w:t>ed</w:t>
      </w:r>
      <w:r w:rsidR="002526C1" w:rsidRPr="00567400">
        <w:rPr>
          <w:rFonts w:ascii="Calibri Light" w:eastAsia="Calibri Light" w:hAnsi="Calibri Light" w:cs="Calibri Light"/>
          <w:color w:val="495965"/>
          <w:u w:color="495965"/>
          <w:bdr w:val="nil"/>
          <w:lang w:val="en-US" w:eastAsia="en-AU"/>
        </w:rPr>
        <w:t xml:space="preserve"> closely together </w:t>
      </w:r>
      <w:r w:rsidR="00F00AD5" w:rsidRPr="00567400">
        <w:rPr>
          <w:rFonts w:ascii="Calibri Light" w:eastAsia="Calibri Light" w:hAnsi="Calibri Light" w:cs="Calibri Light"/>
          <w:color w:val="495965"/>
          <w:u w:color="495965"/>
          <w:bdr w:val="nil"/>
          <w:lang w:val="en-US" w:eastAsia="en-AU"/>
        </w:rPr>
        <w:t>through the NGO consortium in implementing this pilot.</w:t>
      </w:r>
    </w:p>
    <w:p w14:paraId="14CA0CD5" w14:textId="77777777" w:rsidR="0028730D" w:rsidRPr="00DE5714" w:rsidRDefault="0028730D" w:rsidP="00DE5714">
      <w:pPr>
        <w:pBdr>
          <w:top w:val="nil"/>
          <w:left w:val="nil"/>
          <w:bottom w:val="nil"/>
          <w:right w:val="nil"/>
          <w:between w:val="nil"/>
          <w:bar w:val="nil"/>
        </w:pBdr>
        <w:spacing w:after="120" w:line="280" w:lineRule="exact"/>
        <w:rPr>
          <w:rFonts w:ascii="Calibri Light" w:eastAsia="Calibri Light" w:hAnsi="Calibri Light" w:cs="Calibri Light"/>
          <w:color w:val="495965"/>
          <w:u w:color="495965"/>
          <w:bdr w:val="nil"/>
          <w:lang w:val="en-US" w:eastAsia="en-AU"/>
        </w:rPr>
      </w:pPr>
    </w:p>
    <w:p w14:paraId="149157BC" w14:textId="2556D6A3" w:rsidR="00DE5714" w:rsidRPr="006B511C" w:rsidRDefault="00FB4540" w:rsidP="00DE5714">
      <w:pPr>
        <w:pBdr>
          <w:top w:val="nil"/>
          <w:left w:val="nil"/>
          <w:bottom w:val="nil"/>
          <w:right w:val="nil"/>
          <w:between w:val="nil"/>
          <w:bar w:val="nil"/>
        </w:pBdr>
        <w:spacing w:after="120" w:line="280" w:lineRule="exact"/>
        <w:rPr>
          <w:rFonts w:asciiTheme="majorHAnsi" w:eastAsia="Calibri Light" w:hAnsiTheme="majorHAnsi" w:cs="Calibri Light"/>
          <w:b/>
          <w:bCs/>
          <w:color w:val="495965"/>
          <w:sz w:val="28"/>
          <w:szCs w:val="28"/>
          <w:u w:color="495965"/>
          <w:bdr w:val="nil"/>
          <w:lang w:val="en-US" w:eastAsia="en-AU"/>
        </w:rPr>
      </w:pPr>
      <w:r w:rsidRPr="006B511C">
        <w:rPr>
          <w:rFonts w:asciiTheme="majorHAnsi" w:eastAsia="Calibri Light" w:hAnsiTheme="majorHAnsi" w:cs="Calibri Light"/>
          <w:b/>
          <w:bCs/>
          <w:noProof/>
          <w:color w:val="495965"/>
          <w:sz w:val="28"/>
          <w:szCs w:val="28"/>
          <w:u w:color="495965"/>
          <w:bdr w:val="nil"/>
          <w:lang w:val="en-AU" w:eastAsia="en-AU"/>
        </w:rPr>
        <w:drawing>
          <wp:anchor distT="0" distB="0" distL="114300" distR="114300" simplePos="0" relativeHeight="251697152" behindDoc="0" locked="0" layoutInCell="1" allowOverlap="1" wp14:anchorId="3BDA5E58" wp14:editId="3CD49B77">
            <wp:simplePos x="0" y="0"/>
            <wp:positionH relativeFrom="column">
              <wp:posOffset>5177790</wp:posOffset>
            </wp:positionH>
            <wp:positionV relativeFrom="paragraph">
              <wp:posOffset>537210</wp:posOffset>
            </wp:positionV>
            <wp:extent cx="609600" cy="608330"/>
            <wp:effectExtent l="0" t="0" r="0" b="127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 cy="608330"/>
                    </a:xfrm>
                    <a:prstGeom prst="rect">
                      <a:avLst/>
                    </a:prstGeom>
                    <a:noFill/>
                  </pic:spPr>
                </pic:pic>
              </a:graphicData>
            </a:graphic>
            <wp14:sizeRelH relativeFrom="page">
              <wp14:pctWidth>0</wp14:pctWidth>
            </wp14:sizeRelH>
            <wp14:sizeRelV relativeFrom="page">
              <wp14:pctHeight>0</wp14:pctHeight>
            </wp14:sizeRelV>
          </wp:anchor>
        </w:drawing>
      </w:r>
      <w:r w:rsidRPr="006B511C">
        <w:rPr>
          <w:rFonts w:asciiTheme="majorHAnsi" w:eastAsia="Calibri Light" w:hAnsiTheme="majorHAnsi" w:cs="Calibri Light"/>
          <w:b/>
          <w:bCs/>
          <w:noProof/>
          <w:color w:val="495965"/>
          <w:sz w:val="28"/>
          <w:szCs w:val="28"/>
          <w:u w:color="495965"/>
          <w:bdr w:val="nil"/>
          <w:lang w:val="en-AU" w:eastAsia="en-AU"/>
        </w:rPr>
        <w:drawing>
          <wp:anchor distT="0" distB="0" distL="114300" distR="114300" simplePos="0" relativeHeight="251696128" behindDoc="0" locked="0" layoutInCell="1" allowOverlap="1" wp14:anchorId="5C8320CB" wp14:editId="2928911E">
            <wp:simplePos x="0" y="0"/>
            <wp:positionH relativeFrom="column">
              <wp:posOffset>4403725</wp:posOffset>
            </wp:positionH>
            <wp:positionV relativeFrom="paragraph">
              <wp:posOffset>537210</wp:posOffset>
            </wp:positionV>
            <wp:extent cx="628650" cy="6096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8650" cy="609600"/>
                    </a:xfrm>
                    <a:prstGeom prst="rect">
                      <a:avLst/>
                    </a:prstGeom>
                    <a:noFill/>
                  </pic:spPr>
                </pic:pic>
              </a:graphicData>
            </a:graphic>
            <wp14:sizeRelH relativeFrom="page">
              <wp14:pctWidth>0</wp14:pctWidth>
            </wp14:sizeRelH>
            <wp14:sizeRelV relativeFrom="page">
              <wp14:pctHeight>0</wp14:pctHeight>
            </wp14:sizeRelV>
          </wp:anchor>
        </w:drawing>
      </w:r>
      <w:r w:rsidRPr="006B511C">
        <w:rPr>
          <w:rFonts w:asciiTheme="majorHAnsi" w:eastAsia="Calibri Light" w:hAnsiTheme="majorHAnsi" w:cs="Calibri Light"/>
          <w:b/>
          <w:bCs/>
          <w:noProof/>
          <w:color w:val="495965"/>
          <w:sz w:val="28"/>
          <w:szCs w:val="28"/>
          <w:u w:color="495965"/>
          <w:bdr w:val="nil"/>
          <w:lang w:val="en-AU" w:eastAsia="en-AU"/>
        </w:rPr>
        <w:drawing>
          <wp:anchor distT="0" distB="0" distL="114300" distR="114300" simplePos="0" relativeHeight="251695104" behindDoc="0" locked="0" layoutInCell="1" allowOverlap="1" wp14:anchorId="38DB4F96" wp14:editId="778465C3">
            <wp:simplePos x="0" y="0"/>
            <wp:positionH relativeFrom="column">
              <wp:posOffset>3686810</wp:posOffset>
            </wp:positionH>
            <wp:positionV relativeFrom="paragraph">
              <wp:posOffset>545465</wp:posOffset>
            </wp:positionV>
            <wp:extent cx="609600" cy="601345"/>
            <wp:effectExtent l="0" t="0" r="0" b="825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1345"/>
                    </a:xfrm>
                    <a:prstGeom prst="rect">
                      <a:avLst/>
                    </a:prstGeom>
                    <a:noFill/>
                  </pic:spPr>
                </pic:pic>
              </a:graphicData>
            </a:graphic>
            <wp14:sizeRelH relativeFrom="page">
              <wp14:pctWidth>0</wp14:pctWidth>
            </wp14:sizeRelH>
            <wp14:sizeRelV relativeFrom="page">
              <wp14:pctHeight>0</wp14:pctHeight>
            </wp14:sizeRelV>
          </wp:anchor>
        </w:drawing>
      </w:r>
      <w:r w:rsidRPr="006B511C">
        <w:rPr>
          <w:rFonts w:asciiTheme="majorHAnsi" w:eastAsia="Calibri Light" w:hAnsiTheme="majorHAnsi" w:cs="Calibri Light"/>
          <w:b/>
          <w:bCs/>
          <w:noProof/>
          <w:color w:val="495965"/>
          <w:sz w:val="28"/>
          <w:szCs w:val="28"/>
          <w:u w:color="495965"/>
          <w:bdr w:val="nil"/>
          <w:lang w:val="en-AU" w:eastAsia="en-AU"/>
        </w:rPr>
        <w:drawing>
          <wp:anchor distT="0" distB="0" distL="114300" distR="114300" simplePos="0" relativeHeight="251693056" behindDoc="0" locked="0" layoutInCell="1" allowOverlap="1" wp14:anchorId="12391A0D" wp14:editId="7DCA049F">
            <wp:simplePos x="0" y="0"/>
            <wp:positionH relativeFrom="column">
              <wp:posOffset>2072005</wp:posOffset>
            </wp:positionH>
            <wp:positionV relativeFrom="paragraph">
              <wp:posOffset>528955</wp:posOffset>
            </wp:positionV>
            <wp:extent cx="676275" cy="61658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616585"/>
                    </a:xfrm>
                    <a:prstGeom prst="rect">
                      <a:avLst/>
                    </a:prstGeom>
                    <a:noFill/>
                  </pic:spPr>
                </pic:pic>
              </a:graphicData>
            </a:graphic>
            <wp14:sizeRelH relativeFrom="page">
              <wp14:pctWidth>0</wp14:pctWidth>
            </wp14:sizeRelH>
            <wp14:sizeRelV relativeFrom="page">
              <wp14:pctHeight>0</wp14:pctHeight>
            </wp14:sizeRelV>
          </wp:anchor>
        </w:drawing>
      </w:r>
      <w:r w:rsidR="009A6EB9" w:rsidRPr="006B511C">
        <w:rPr>
          <w:rFonts w:asciiTheme="majorHAnsi" w:eastAsia="Calibri Light" w:hAnsiTheme="majorHAnsi" w:cs="Calibri Light"/>
          <w:b/>
          <w:bCs/>
          <w:noProof/>
          <w:color w:val="495965"/>
          <w:sz w:val="28"/>
          <w:szCs w:val="28"/>
          <w:u w:color="495965"/>
          <w:bdr w:val="nil"/>
          <w:lang w:val="en-AU" w:eastAsia="en-AU"/>
        </w:rPr>
        <w:drawing>
          <wp:anchor distT="0" distB="0" distL="114300" distR="114300" simplePos="0" relativeHeight="251694080" behindDoc="0" locked="0" layoutInCell="1" allowOverlap="1" wp14:anchorId="323ECCD2" wp14:editId="2E3ABBBE">
            <wp:simplePos x="0" y="0"/>
            <wp:positionH relativeFrom="column">
              <wp:posOffset>2871470</wp:posOffset>
            </wp:positionH>
            <wp:positionV relativeFrom="paragraph">
              <wp:posOffset>537210</wp:posOffset>
            </wp:positionV>
            <wp:extent cx="676275" cy="608965"/>
            <wp:effectExtent l="0" t="0" r="9525"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76275" cy="608965"/>
                    </a:xfrm>
                    <a:prstGeom prst="rect">
                      <a:avLst/>
                    </a:prstGeom>
                    <a:noFill/>
                  </pic:spPr>
                </pic:pic>
              </a:graphicData>
            </a:graphic>
            <wp14:sizeRelH relativeFrom="page">
              <wp14:pctWidth>0</wp14:pctWidth>
            </wp14:sizeRelH>
            <wp14:sizeRelV relativeFrom="page">
              <wp14:pctHeight>0</wp14:pctHeight>
            </wp14:sizeRelV>
          </wp:anchor>
        </w:drawing>
      </w:r>
      <w:r w:rsidR="009A6EB9" w:rsidRPr="006B511C">
        <w:rPr>
          <w:rFonts w:asciiTheme="majorHAnsi" w:eastAsia="Calibri Light" w:hAnsiTheme="majorHAnsi" w:cs="Calibri Light"/>
          <w:noProof/>
          <w:color w:val="495965"/>
          <w:u w:color="495965"/>
          <w:bdr w:val="nil"/>
          <w:lang w:val="en-AU" w:eastAsia="en-AU"/>
        </w:rPr>
        <w:drawing>
          <wp:anchor distT="0" distB="0" distL="114300" distR="114300" simplePos="0" relativeHeight="251691008" behindDoc="0" locked="0" layoutInCell="1" allowOverlap="1" wp14:anchorId="7ADB39A2" wp14:editId="4BC83E5E">
            <wp:simplePos x="0" y="0"/>
            <wp:positionH relativeFrom="column">
              <wp:posOffset>1248410</wp:posOffset>
            </wp:positionH>
            <wp:positionV relativeFrom="paragraph">
              <wp:posOffset>512445</wp:posOffset>
            </wp:positionV>
            <wp:extent cx="695325" cy="63373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95325" cy="633730"/>
                    </a:xfrm>
                    <a:prstGeom prst="rect">
                      <a:avLst/>
                    </a:prstGeom>
                    <a:noFill/>
                  </pic:spPr>
                </pic:pic>
              </a:graphicData>
            </a:graphic>
            <wp14:sizeRelH relativeFrom="page">
              <wp14:pctWidth>0</wp14:pctWidth>
            </wp14:sizeRelH>
            <wp14:sizeRelV relativeFrom="page">
              <wp14:pctHeight>0</wp14:pctHeight>
            </wp14:sizeRelV>
          </wp:anchor>
        </w:drawing>
      </w:r>
      <w:r w:rsidR="009A6EB9" w:rsidRPr="006B511C">
        <w:rPr>
          <w:rFonts w:asciiTheme="majorHAnsi" w:eastAsia="Calibri Light" w:hAnsiTheme="majorHAnsi" w:cs="Calibri Light"/>
          <w:b/>
          <w:bCs/>
          <w:noProof/>
          <w:color w:val="495965"/>
          <w:sz w:val="28"/>
          <w:szCs w:val="28"/>
          <w:u w:color="495965"/>
          <w:bdr w:val="nil"/>
          <w:lang w:val="en-AU" w:eastAsia="en-AU"/>
        </w:rPr>
        <w:drawing>
          <wp:anchor distT="0" distB="0" distL="114300" distR="114300" simplePos="0" relativeHeight="251692032" behindDoc="0" locked="0" layoutInCell="1" allowOverlap="1" wp14:anchorId="55D15CD6" wp14:editId="30921B19">
            <wp:simplePos x="0" y="0"/>
            <wp:positionH relativeFrom="margin">
              <wp:align>left</wp:align>
            </wp:positionH>
            <wp:positionV relativeFrom="paragraph">
              <wp:posOffset>495935</wp:posOffset>
            </wp:positionV>
            <wp:extent cx="1139825" cy="650240"/>
            <wp:effectExtent l="0" t="0" r="317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39825" cy="650240"/>
                    </a:xfrm>
                    <a:prstGeom prst="rect">
                      <a:avLst/>
                    </a:prstGeom>
                    <a:noFill/>
                  </pic:spPr>
                </pic:pic>
              </a:graphicData>
            </a:graphic>
            <wp14:sizeRelH relativeFrom="page">
              <wp14:pctWidth>0</wp14:pctWidth>
            </wp14:sizeRelH>
            <wp14:sizeRelV relativeFrom="page">
              <wp14:pctHeight>0</wp14:pctHeight>
            </wp14:sizeRelV>
          </wp:anchor>
        </w:drawing>
      </w:r>
      <w:r w:rsidR="00DE5714" w:rsidRPr="006B511C">
        <w:rPr>
          <w:rFonts w:asciiTheme="majorHAnsi" w:eastAsia="Calibri Light" w:hAnsiTheme="majorHAnsi" w:cs="Calibri Light"/>
          <w:b/>
          <w:bCs/>
          <w:color w:val="495965"/>
          <w:sz w:val="28"/>
          <w:szCs w:val="28"/>
          <w:u w:color="495965"/>
          <w:bdr w:val="nil"/>
          <w:lang w:val="en-US" w:eastAsia="en-AU"/>
        </w:rPr>
        <w:t>OBJECTIVE 2: Building economic resilience by reducing vulnerability and improving  inclusion in the growing economy</w:t>
      </w:r>
    </w:p>
    <w:p w14:paraId="26DF8723" w14:textId="77777777" w:rsidR="00C044C5" w:rsidRPr="000C3DB8" w:rsidRDefault="00C044C5" w:rsidP="00DE5714">
      <w:pPr>
        <w:pBdr>
          <w:top w:val="nil"/>
          <w:left w:val="nil"/>
          <w:bottom w:val="nil"/>
          <w:right w:val="nil"/>
          <w:between w:val="nil"/>
          <w:bar w:val="nil"/>
        </w:pBdr>
        <w:spacing w:after="120" w:line="280" w:lineRule="exact"/>
        <w:rPr>
          <w:rFonts w:ascii="Helvetica" w:eastAsia="Calibri Light" w:hAnsi="Helvetica" w:cs="Calibri Light"/>
          <w:b/>
          <w:bCs/>
          <w:color w:val="495965"/>
          <w:sz w:val="28"/>
          <w:szCs w:val="28"/>
          <w:u w:color="495965"/>
          <w:bdr w:val="nil"/>
          <w:lang w:val="en-US" w:eastAsia="en-AU"/>
        </w:rPr>
      </w:pPr>
    </w:p>
    <w:p w14:paraId="68501A43" w14:textId="19D7B674" w:rsidR="00DE5714" w:rsidRPr="006B511C" w:rsidRDefault="00DE5714" w:rsidP="00DE5714">
      <w:pPr>
        <w:pBdr>
          <w:top w:val="nil"/>
          <w:left w:val="nil"/>
          <w:bottom w:val="nil"/>
          <w:right w:val="nil"/>
          <w:between w:val="nil"/>
          <w:bar w:val="nil"/>
        </w:pBdr>
        <w:spacing w:after="120" w:line="280" w:lineRule="exact"/>
        <w:rPr>
          <w:rFonts w:asciiTheme="majorHAnsi" w:eastAsia="Calibri Light" w:hAnsiTheme="majorHAnsi" w:cs="Calibri Light"/>
          <w:b/>
          <w:color w:val="495965"/>
          <w:u w:color="495965"/>
          <w:bdr w:val="nil"/>
          <w:lang w:val="en-US" w:eastAsia="en-AU"/>
        </w:rPr>
      </w:pPr>
      <w:r w:rsidRPr="006B511C">
        <w:rPr>
          <w:rFonts w:asciiTheme="majorHAnsi" w:eastAsia="Calibri Light" w:hAnsiTheme="majorHAnsi" w:cs="Calibri Light"/>
          <w:b/>
          <w:color w:val="495965"/>
          <w:u w:color="495965"/>
          <w:bdr w:val="nil"/>
          <w:lang w:val="en-US" w:eastAsia="en-AU"/>
        </w:rPr>
        <w:t xml:space="preserve">Rating - </w:t>
      </w:r>
      <w:r w:rsidR="00A20FBD">
        <w:rPr>
          <w:rFonts w:asciiTheme="majorHAnsi" w:eastAsia="Calibri Light" w:hAnsiTheme="majorHAnsi" w:cs="Calibri Light"/>
          <w:b/>
          <w:color w:val="495965"/>
          <w:u w:color="495965"/>
          <w:bdr w:val="nil"/>
          <w:lang w:val="en-US" w:eastAsia="en-AU"/>
        </w:rPr>
        <w:t>G</w:t>
      </w:r>
      <w:r w:rsidRPr="006B511C">
        <w:rPr>
          <w:rFonts w:asciiTheme="majorHAnsi" w:eastAsia="Calibri Light" w:hAnsiTheme="majorHAnsi" w:cs="Calibri Light"/>
          <w:b/>
          <w:color w:val="495965"/>
          <w:u w:color="495965"/>
          <w:bdr w:val="nil"/>
          <w:lang w:val="en-US" w:eastAsia="en-AU"/>
        </w:rPr>
        <w:t>reen</w:t>
      </w:r>
    </w:p>
    <w:p w14:paraId="640C604B" w14:textId="3E33AB89" w:rsidR="00DE5714" w:rsidRPr="00DE5714" w:rsidRDefault="00DE5714" w:rsidP="00026AE0">
      <w:pPr>
        <w:pBdr>
          <w:top w:val="nil"/>
          <w:left w:val="nil"/>
          <w:bottom w:val="nil"/>
          <w:right w:val="nil"/>
          <w:between w:val="nil"/>
          <w:bar w:val="nil"/>
        </w:pBdr>
        <w:jc w:val="both"/>
        <w:rPr>
          <w:rFonts w:ascii="Calibri Light" w:eastAsia="Calibri Light" w:hAnsi="Calibri Light" w:cs="Calibri Light"/>
          <w:bCs/>
          <w:color w:val="495965"/>
          <w:u w:color="495965"/>
          <w:bdr w:val="nil"/>
          <w:lang w:val="en-US" w:eastAsia="en-AU"/>
        </w:rPr>
      </w:pPr>
      <w:r w:rsidRPr="00DE5714">
        <w:rPr>
          <w:rFonts w:ascii="Calibri Light" w:eastAsia="Calibri Light" w:hAnsi="Calibri Light" w:cs="Calibri Light"/>
          <w:bCs/>
          <w:color w:val="495965"/>
          <w:u w:color="495965"/>
          <w:bdr w:val="nil"/>
          <w:lang w:val="en-US" w:eastAsia="en-AU"/>
        </w:rPr>
        <w:t xml:space="preserve">Australia’s </w:t>
      </w:r>
      <w:r w:rsidR="0059078E">
        <w:rPr>
          <w:rFonts w:ascii="Calibri Light" w:eastAsia="Calibri Light" w:hAnsi="Calibri Light" w:cs="Calibri Light"/>
          <w:bCs/>
          <w:color w:val="495965"/>
          <w:u w:color="495965"/>
          <w:bdr w:val="nil"/>
          <w:lang w:val="en-US" w:eastAsia="en-AU"/>
        </w:rPr>
        <w:t xml:space="preserve">investment has </w:t>
      </w:r>
      <w:r w:rsidR="00E4696B">
        <w:rPr>
          <w:rFonts w:ascii="Calibri Light" w:eastAsia="Calibri Light" w:hAnsi="Calibri Light" w:cs="Calibri Light"/>
          <w:bCs/>
          <w:color w:val="495965"/>
          <w:u w:color="495965"/>
          <w:bdr w:val="nil"/>
          <w:lang w:val="en-US" w:eastAsia="en-AU"/>
        </w:rPr>
        <w:t>built</w:t>
      </w:r>
      <w:r w:rsidRPr="00DE5714">
        <w:rPr>
          <w:rFonts w:ascii="Calibri Light" w:eastAsia="Calibri Light" w:hAnsi="Calibri Light" w:cs="Calibri Light"/>
          <w:bCs/>
          <w:color w:val="495965"/>
          <w:u w:color="495965"/>
          <w:bdr w:val="nil"/>
          <w:lang w:val="en-US" w:eastAsia="en-AU"/>
        </w:rPr>
        <w:t xml:space="preserve"> the resilience of the poor, particular</w:t>
      </w:r>
      <w:r w:rsidR="00F04E9F">
        <w:rPr>
          <w:rFonts w:ascii="Calibri Light" w:eastAsia="Calibri Light" w:hAnsi="Calibri Light" w:cs="Calibri Light"/>
          <w:bCs/>
          <w:color w:val="495965"/>
          <w:u w:color="495965"/>
          <w:bdr w:val="nil"/>
          <w:lang w:val="en-US" w:eastAsia="en-AU"/>
        </w:rPr>
        <w:t xml:space="preserve">ly marginalised women and girls by </w:t>
      </w:r>
      <w:r w:rsidRPr="00DE5714">
        <w:rPr>
          <w:rFonts w:ascii="Calibri Light" w:eastAsia="Calibri Light" w:hAnsi="Calibri Light" w:cs="Calibri Light"/>
          <w:bCs/>
          <w:color w:val="495965"/>
          <w:u w:color="495965"/>
          <w:bdr w:val="nil"/>
          <w:lang w:val="en-US" w:eastAsia="en-AU"/>
        </w:rPr>
        <w:t xml:space="preserve">helping to strengthen the </w:t>
      </w:r>
      <w:r w:rsidR="006B511C">
        <w:rPr>
          <w:rFonts w:ascii="Calibri Light" w:eastAsia="Calibri Light" w:hAnsi="Calibri Light" w:cs="Calibri Light"/>
          <w:bCs/>
          <w:color w:val="495965"/>
          <w:u w:color="495965"/>
          <w:bdr w:val="nil"/>
          <w:lang w:val="en-US" w:eastAsia="en-AU"/>
        </w:rPr>
        <w:t xml:space="preserve">Bangladesh </w:t>
      </w:r>
      <w:r w:rsidR="0059078E">
        <w:rPr>
          <w:rFonts w:ascii="Calibri Light" w:eastAsia="Calibri Light" w:hAnsi="Calibri Light" w:cs="Calibri Light"/>
          <w:bCs/>
          <w:color w:val="495965"/>
          <w:u w:color="495965"/>
          <w:bdr w:val="nil"/>
          <w:lang w:val="en-US" w:eastAsia="en-AU"/>
        </w:rPr>
        <w:t>Government</w:t>
      </w:r>
      <w:r w:rsidR="006B511C">
        <w:rPr>
          <w:rFonts w:ascii="Calibri Light" w:eastAsia="Calibri Light" w:hAnsi="Calibri Light" w:cs="Calibri Light"/>
          <w:bCs/>
          <w:color w:val="495965"/>
          <w:u w:color="495965"/>
          <w:bdr w:val="nil"/>
          <w:lang w:val="en-US" w:eastAsia="en-AU"/>
        </w:rPr>
        <w:t>’s</w:t>
      </w:r>
      <w:r w:rsidR="0059078E">
        <w:rPr>
          <w:rFonts w:ascii="Calibri Light" w:eastAsia="Calibri Light" w:hAnsi="Calibri Light" w:cs="Calibri Light"/>
          <w:bCs/>
          <w:color w:val="495965"/>
          <w:u w:color="495965"/>
          <w:bdr w:val="nil"/>
          <w:lang w:val="en-US" w:eastAsia="en-AU"/>
        </w:rPr>
        <w:t xml:space="preserve"> </w:t>
      </w:r>
      <w:r w:rsidRPr="00DE5714">
        <w:rPr>
          <w:rFonts w:ascii="Calibri Light" w:eastAsia="Calibri Light" w:hAnsi="Calibri Light" w:cs="Calibri Light"/>
          <w:bCs/>
          <w:color w:val="495965"/>
          <w:u w:color="495965"/>
          <w:bdr w:val="nil"/>
          <w:lang w:val="en-US" w:eastAsia="en-AU"/>
        </w:rPr>
        <w:t xml:space="preserve">social protection system, </w:t>
      </w:r>
      <w:r w:rsidR="00C439F3">
        <w:rPr>
          <w:rFonts w:ascii="Calibri Light" w:eastAsia="Calibri Light" w:hAnsi="Calibri Light" w:cs="Calibri Light"/>
          <w:bCs/>
          <w:color w:val="495965"/>
          <w:u w:color="495965"/>
          <w:bdr w:val="nil"/>
          <w:lang w:val="en-US" w:eastAsia="en-AU"/>
        </w:rPr>
        <w:t>build</w:t>
      </w:r>
      <w:r w:rsidR="00F04E9F">
        <w:rPr>
          <w:rFonts w:ascii="Calibri Light" w:eastAsia="Calibri Light" w:hAnsi="Calibri Light" w:cs="Calibri Light"/>
          <w:bCs/>
          <w:color w:val="495965"/>
          <w:u w:color="495965"/>
          <w:bdr w:val="nil"/>
          <w:lang w:val="en-US" w:eastAsia="en-AU"/>
        </w:rPr>
        <w:t>ing</w:t>
      </w:r>
      <w:r w:rsidR="00C439F3">
        <w:rPr>
          <w:rFonts w:ascii="Calibri Light" w:eastAsia="Calibri Light" w:hAnsi="Calibri Light" w:cs="Calibri Light"/>
          <w:bCs/>
          <w:color w:val="495965"/>
          <w:u w:color="495965"/>
          <w:bdr w:val="nil"/>
          <w:lang w:val="en-US" w:eastAsia="en-AU"/>
        </w:rPr>
        <w:t xml:space="preserve"> resilience to the impacts of climate change and disasters </w:t>
      </w:r>
      <w:r w:rsidR="00F04E9F">
        <w:rPr>
          <w:rFonts w:ascii="Calibri Light" w:eastAsia="Calibri Light" w:hAnsi="Calibri Light" w:cs="Calibri Light"/>
          <w:bCs/>
          <w:color w:val="495965"/>
          <w:u w:color="495965"/>
          <w:bdr w:val="nil"/>
          <w:lang w:val="en-US" w:eastAsia="en-AU"/>
        </w:rPr>
        <w:t xml:space="preserve">and </w:t>
      </w:r>
      <w:r w:rsidRPr="00DE5714">
        <w:rPr>
          <w:rFonts w:ascii="Calibri Light" w:eastAsia="Calibri Light" w:hAnsi="Calibri Light" w:cs="Calibri Light"/>
          <w:bCs/>
          <w:color w:val="495965"/>
          <w:u w:color="495965"/>
          <w:bdr w:val="nil"/>
          <w:lang w:val="en-US" w:eastAsia="en-AU"/>
        </w:rPr>
        <w:t>i</w:t>
      </w:r>
      <w:r w:rsidR="00E4696B">
        <w:rPr>
          <w:rFonts w:ascii="Calibri Light" w:eastAsia="Calibri Light" w:hAnsi="Calibri Light" w:cs="Calibri Light"/>
          <w:bCs/>
          <w:color w:val="495965"/>
          <w:u w:color="495965"/>
          <w:bdr w:val="nil"/>
          <w:lang w:val="en-US" w:eastAsia="en-AU"/>
        </w:rPr>
        <w:t xml:space="preserve">mproving access to livelihoods, </w:t>
      </w:r>
      <w:r w:rsidR="00AA108B">
        <w:rPr>
          <w:rFonts w:ascii="Calibri Light" w:eastAsia="Calibri Light" w:hAnsi="Calibri Light" w:cs="Calibri Light"/>
          <w:bCs/>
          <w:color w:val="495965"/>
          <w:u w:color="495965"/>
          <w:bdr w:val="nil"/>
          <w:lang w:val="en-US" w:eastAsia="en-AU"/>
        </w:rPr>
        <w:t>nutrition and skills.</w:t>
      </w:r>
      <w:r w:rsidR="00331895">
        <w:rPr>
          <w:rFonts w:ascii="Calibri Light" w:eastAsia="Calibri Light" w:hAnsi="Calibri Light" w:cs="Calibri Light"/>
          <w:bCs/>
          <w:color w:val="495965"/>
          <w:u w:color="495965"/>
          <w:bdr w:val="nil"/>
          <w:lang w:val="en-US" w:eastAsia="en-AU"/>
        </w:rPr>
        <w:t xml:space="preserve"> </w:t>
      </w:r>
    </w:p>
    <w:p w14:paraId="4A93D783" w14:textId="131AF3DC" w:rsidR="00026AE0" w:rsidRDefault="00393F69" w:rsidP="00567400">
      <w:pPr>
        <w:pBdr>
          <w:top w:val="nil"/>
          <w:left w:val="nil"/>
          <w:bottom w:val="nil"/>
          <w:right w:val="nil"/>
          <w:between w:val="nil"/>
          <w:bar w:val="nil"/>
        </w:pBdr>
        <w:jc w:val="both"/>
        <w:rPr>
          <w:rFonts w:eastAsia="Calibri Light" w:cs="Calibri Light"/>
          <w:b/>
          <w:bCs/>
          <w:color w:val="495965"/>
          <w:u w:color="495965"/>
          <w:bdr w:val="nil"/>
          <w:lang w:val="en-US" w:eastAsia="en-AU"/>
        </w:rPr>
      </w:pPr>
      <w:r w:rsidRPr="00051C25">
        <w:rPr>
          <w:rFonts w:ascii="Calibri Light" w:eastAsia="Calibri Light" w:hAnsi="Calibri Light" w:cs="Calibri Light"/>
          <w:bCs/>
          <w:color w:val="495965"/>
          <w:u w:color="495965"/>
          <w:bdr w:val="nil"/>
          <w:lang w:val="en-US" w:eastAsia="en-AU"/>
        </w:rPr>
        <w:t xml:space="preserve">During the reporting period, </w:t>
      </w:r>
      <w:r w:rsidR="006C3D8E" w:rsidRPr="00051C25">
        <w:rPr>
          <w:rFonts w:ascii="Calibri Light" w:eastAsia="Calibri Light" w:hAnsi="Calibri Light" w:cs="Calibri Light"/>
          <w:bCs/>
          <w:color w:val="495965"/>
          <w:u w:color="495965"/>
          <w:bdr w:val="nil"/>
          <w:lang w:val="en-US" w:eastAsia="en-AU"/>
        </w:rPr>
        <w:t>Australia’s implementing partners performed</w:t>
      </w:r>
      <w:r w:rsidR="001F1B0D" w:rsidRPr="00051C25">
        <w:rPr>
          <w:rFonts w:ascii="Calibri Light" w:eastAsia="Calibri Light" w:hAnsi="Calibri Light" w:cs="Calibri Light"/>
          <w:bCs/>
          <w:color w:val="495965"/>
          <w:u w:color="495965"/>
          <w:bdr w:val="nil"/>
          <w:lang w:val="en-US" w:eastAsia="en-AU"/>
        </w:rPr>
        <w:t xml:space="preserve"> effectively against six out of seven </w:t>
      </w:r>
      <w:r w:rsidR="00F04E9F" w:rsidRPr="00051C25">
        <w:rPr>
          <w:rFonts w:ascii="Calibri Light" w:eastAsia="Calibri Light" w:hAnsi="Calibri Light" w:cs="Calibri Light"/>
          <w:bCs/>
          <w:color w:val="495965"/>
          <w:u w:color="495965"/>
          <w:bdr w:val="nil"/>
          <w:lang w:val="en-US" w:eastAsia="en-AU"/>
        </w:rPr>
        <w:t>P</w:t>
      </w:r>
      <w:r w:rsidR="00F04E9F">
        <w:rPr>
          <w:rFonts w:ascii="Calibri Light" w:eastAsia="Calibri Light" w:hAnsi="Calibri Light" w:cs="Calibri Light"/>
          <w:bCs/>
          <w:color w:val="495965"/>
          <w:u w:color="495965"/>
          <w:bdr w:val="nil"/>
          <w:lang w:val="en-US" w:eastAsia="en-AU"/>
        </w:rPr>
        <w:t xml:space="preserve">erformance </w:t>
      </w:r>
      <w:r w:rsidR="001F1B0D" w:rsidRPr="00051C25">
        <w:rPr>
          <w:rFonts w:ascii="Calibri Light" w:eastAsia="Calibri Light" w:hAnsi="Calibri Light" w:cs="Calibri Light"/>
          <w:bCs/>
          <w:color w:val="495965"/>
          <w:u w:color="495965"/>
          <w:bdr w:val="nil"/>
          <w:lang w:val="en-US" w:eastAsia="en-AU"/>
        </w:rPr>
        <w:t>A</w:t>
      </w:r>
      <w:r w:rsidR="00F04E9F">
        <w:rPr>
          <w:rFonts w:ascii="Calibri Light" w:eastAsia="Calibri Light" w:hAnsi="Calibri Light" w:cs="Calibri Light"/>
          <w:bCs/>
          <w:color w:val="495965"/>
          <w:u w:color="495965"/>
          <w:bdr w:val="nil"/>
          <w:lang w:val="en-US" w:eastAsia="en-AU"/>
        </w:rPr>
        <w:t xml:space="preserve">ssessment </w:t>
      </w:r>
      <w:r w:rsidR="001F1B0D" w:rsidRPr="00051C25">
        <w:rPr>
          <w:rFonts w:ascii="Calibri Light" w:eastAsia="Calibri Light" w:hAnsi="Calibri Light" w:cs="Calibri Light"/>
          <w:bCs/>
          <w:color w:val="495965"/>
          <w:u w:color="495965"/>
          <w:bdr w:val="nil"/>
          <w:lang w:val="en-US" w:eastAsia="en-AU"/>
        </w:rPr>
        <w:t>F</w:t>
      </w:r>
      <w:r w:rsidR="00F04E9F">
        <w:rPr>
          <w:rFonts w:ascii="Calibri Light" w:eastAsia="Calibri Light" w:hAnsi="Calibri Light" w:cs="Calibri Light"/>
          <w:bCs/>
          <w:color w:val="495965"/>
          <w:u w:color="495965"/>
          <w:bdr w:val="nil"/>
          <w:lang w:val="en-US" w:eastAsia="en-AU"/>
        </w:rPr>
        <w:t xml:space="preserve">ramework (PAF) </w:t>
      </w:r>
      <w:r w:rsidR="001F1B0D" w:rsidRPr="00051C25">
        <w:rPr>
          <w:rFonts w:ascii="Calibri Light" w:eastAsia="Calibri Light" w:hAnsi="Calibri Light" w:cs="Calibri Light"/>
          <w:bCs/>
          <w:color w:val="495965"/>
          <w:u w:color="495965"/>
          <w:bdr w:val="nil"/>
          <w:lang w:val="en-US" w:eastAsia="en-AU"/>
        </w:rPr>
        <w:t xml:space="preserve">targets and </w:t>
      </w:r>
      <w:r w:rsidR="00F04E9F">
        <w:rPr>
          <w:rFonts w:ascii="Calibri Light" w:eastAsia="Calibri Light" w:hAnsi="Calibri Light" w:cs="Calibri Light"/>
          <w:bCs/>
          <w:color w:val="495965"/>
          <w:u w:color="495965"/>
          <w:bdr w:val="nil"/>
          <w:lang w:val="en-US" w:eastAsia="en-AU"/>
        </w:rPr>
        <w:t>one of two Performance Benchmarks (PB)</w:t>
      </w:r>
      <w:r w:rsidR="009B1250" w:rsidRPr="00051C25">
        <w:rPr>
          <w:rFonts w:ascii="Calibri Light" w:eastAsia="Calibri Light" w:hAnsi="Calibri Light" w:cs="Calibri Light"/>
          <w:bCs/>
          <w:color w:val="495965"/>
          <w:u w:color="495965"/>
          <w:bdr w:val="nil"/>
          <w:lang w:val="en-US" w:eastAsia="en-AU"/>
        </w:rPr>
        <w:t xml:space="preserve">. One PB/PAF </w:t>
      </w:r>
      <w:r w:rsidR="001F1B0D" w:rsidRPr="00051C25">
        <w:rPr>
          <w:rFonts w:ascii="Calibri Light" w:eastAsia="Calibri Light" w:hAnsi="Calibri Light" w:cs="Calibri Light"/>
          <w:bCs/>
          <w:color w:val="495965"/>
          <w:u w:color="495965"/>
          <w:bdr w:val="nil"/>
          <w:lang w:val="en-US" w:eastAsia="en-AU"/>
        </w:rPr>
        <w:t>target</w:t>
      </w:r>
      <w:r w:rsidR="006C3D8E" w:rsidRPr="00051C25">
        <w:rPr>
          <w:rFonts w:ascii="Calibri Light" w:eastAsia="Calibri Light" w:hAnsi="Calibri Light" w:cs="Calibri Light"/>
          <w:bCs/>
          <w:color w:val="495965"/>
          <w:u w:color="495965"/>
          <w:bdr w:val="nil"/>
          <w:lang w:val="en-US" w:eastAsia="en-AU"/>
        </w:rPr>
        <w:t xml:space="preserve"> was </w:t>
      </w:r>
      <w:r w:rsidR="00DA2197">
        <w:rPr>
          <w:rFonts w:ascii="Calibri Light" w:eastAsia="Calibri Light" w:hAnsi="Calibri Light" w:cs="Calibri Light"/>
          <w:bCs/>
          <w:color w:val="495965"/>
          <w:u w:color="495965"/>
          <w:bdr w:val="nil"/>
          <w:lang w:val="en-US" w:eastAsia="en-AU"/>
        </w:rPr>
        <w:t xml:space="preserve">only </w:t>
      </w:r>
      <w:r w:rsidR="00BA62D8" w:rsidRPr="00051C25">
        <w:rPr>
          <w:rFonts w:ascii="Calibri Light" w:eastAsia="Calibri Light" w:hAnsi="Calibri Light" w:cs="Calibri Light"/>
          <w:bCs/>
          <w:color w:val="495965"/>
          <w:u w:color="495965"/>
          <w:bdr w:val="nil"/>
          <w:lang w:val="en-US" w:eastAsia="en-AU"/>
        </w:rPr>
        <w:t>partially</w:t>
      </w:r>
      <w:r w:rsidR="003A3640" w:rsidRPr="00051C25">
        <w:rPr>
          <w:rFonts w:ascii="Calibri Light" w:eastAsia="Calibri Light" w:hAnsi="Calibri Light" w:cs="Calibri Light"/>
          <w:bCs/>
          <w:color w:val="495965"/>
          <w:u w:color="495965"/>
          <w:bdr w:val="nil"/>
          <w:lang w:val="en-US" w:eastAsia="en-AU"/>
        </w:rPr>
        <w:t xml:space="preserve"> achieved due to a shortfall in new program entrants to </w:t>
      </w:r>
      <w:r w:rsidR="00BF27DB" w:rsidRPr="00051C25">
        <w:rPr>
          <w:rFonts w:ascii="Calibri Light" w:eastAsia="Calibri Light" w:hAnsi="Calibri Light" w:cs="Calibri Light"/>
          <w:bCs/>
          <w:color w:val="495965"/>
          <w:u w:color="495965"/>
          <w:bdr w:val="nil"/>
          <w:lang w:val="en-US" w:eastAsia="en-AU"/>
        </w:rPr>
        <w:t xml:space="preserve">a new phase of </w:t>
      </w:r>
      <w:r w:rsidR="003A3640" w:rsidRPr="00051C25">
        <w:rPr>
          <w:rFonts w:ascii="Calibri Light" w:eastAsia="Calibri Light" w:hAnsi="Calibri Light" w:cs="Calibri Light"/>
          <w:bCs/>
          <w:color w:val="495965"/>
          <w:u w:color="495965"/>
          <w:bdr w:val="nil"/>
          <w:lang w:val="en-US" w:eastAsia="en-AU"/>
        </w:rPr>
        <w:t xml:space="preserve">BRAC’s </w:t>
      </w:r>
      <w:r w:rsidR="00BA62D8" w:rsidRPr="00BF27DB">
        <w:rPr>
          <w:rFonts w:ascii="Calibri Light" w:eastAsia="Calibri Light" w:hAnsi="Calibri Light" w:cs="Calibri Light"/>
          <w:bCs/>
          <w:color w:val="495965"/>
          <w:u w:color="495965"/>
          <w:bdr w:val="nil"/>
          <w:lang w:val="en-US" w:eastAsia="en-AU"/>
        </w:rPr>
        <w:t>Targeting the Ultra Poor (</w:t>
      </w:r>
      <w:r w:rsidR="00DE5714" w:rsidRPr="00BF27DB">
        <w:rPr>
          <w:rFonts w:ascii="Calibri Light" w:eastAsia="Calibri Light" w:hAnsi="Calibri Light" w:cs="Calibri Light"/>
          <w:bCs/>
          <w:color w:val="495965"/>
          <w:u w:color="495965"/>
          <w:bdr w:val="nil"/>
          <w:lang w:val="en-US" w:eastAsia="en-AU"/>
        </w:rPr>
        <w:t>TUP) program</w:t>
      </w:r>
      <w:r w:rsidR="006B511C">
        <w:rPr>
          <w:rFonts w:ascii="Calibri Light" w:eastAsia="Calibri Light" w:hAnsi="Calibri Light" w:cs="Calibri Light"/>
          <w:bCs/>
          <w:color w:val="495965"/>
          <w:u w:color="495965"/>
          <w:bdr w:val="nil"/>
          <w:lang w:val="en-US" w:eastAsia="en-AU"/>
        </w:rPr>
        <w:t xml:space="preserve"> in 2016-17</w:t>
      </w:r>
      <w:r w:rsidR="003A3640" w:rsidRPr="00BF27DB">
        <w:rPr>
          <w:rFonts w:ascii="Calibri Light" w:eastAsia="Calibri Light" w:hAnsi="Calibri Light" w:cs="Calibri Light"/>
          <w:bCs/>
          <w:color w:val="495965"/>
          <w:u w:color="495965"/>
          <w:bdr w:val="nil"/>
          <w:lang w:val="en-US" w:eastAsia="en-AU"/>
        </w:rPr>
        <w:t>.</w:t>
      </w:r>
      <w:r w:rsidR="003A3640">
        <w:rPr>
          <w:rFonts w:ascii="Calibri Light" w:eastAsia="Calibri Light" w:hAnsi="Calibri Light" w:cs="Calibri Light"/>
          <w:bCs/>
          <w:color w:val="495965"/>
          <w:u w:color="495965"/>
          <w:bdr w:val="nil"/>
          <w:lang w:val="en-US" w:eastAsia="en-AU"/>
        </w:rPr>
        <w:t xml:space="preserve"> </w:t>
      </w:r>
    </w:p>
    <w:p w14:paraId="504AA650" w14:textId="3E43933F" w:rsidR="009A6EB9" w:rsidRDefault="009A6EB9" w:rsidP="00DE5714">
      <w:pPr>
        <w:pBdr>
          <w:top w:val="nil"/>
          <w:left w:val="nil"/>
          <w:bottom w:val="nil"/>
          <w:right w:val="nil"/>
          <w:between w:val="nil"/>
          <w:bar w:val="nil"/>
        </w:pBdr>
        <w:spacing w:after="120" w:line="280" w:lineRule="exact"/>
        <w:rPr>
          <w:rFonts w:asciiTheme="majorHAnsi" w:eastAsia="Calibri Light" w:hAnsiTheme="majorHAnsi" w:cs="Calibri Light"/>
          <w:b/>
          <w:bCs/>
          <w:color w:val="495965"/>
          <w:u w:color="495965"/>
          <w:bdr w:val="nil"/>
          <w:lang w:val="en-US" w:eastAsia="en-AU"/>
        </w:rPr>
      </w:pPr>
    </w:p>
    <w:p w14:paraId="5AE725DF" w14:textId="4FA38C50" w:rsidR="00DE5714" w:rsidRPr="0035542F" w:rsidRDefault="00DE5714" w:rsidP="00DE5714">
      <w:pPr>
        <w:pBdr>
          <w:top w:val="nil"/>
          <w:left w:val="nil"/>
          <w:bottom w:val="nil"/>
          <w:right w:val="nil"/>
          <w:between w:val="nil"/>
          <w:bar w:val="nil"/>
        </w:pBdr>
        <w:spacing w:after="120" w:line="280" w:lineRule="exact"/>
        <w:rPr>
          <w:rFonts w:asciiTheme="majorHAnsi" w:eastAsia="Calibri Light" w:hAnsiTheme="majorHAnsi" w:cs="Calibri Light"/>
          <w:b/>
          <w:bCs/>
          <w:color w:val="495965"/>
          <w:u w:color="495965"/>
          <w:bdr w:val="nil"/>
          <w:lang w:val="en-US" w:eastAsia="en-AU"/>
        </w:rPr>
      </w:pPr>
      <w:r w:rsidRPr="0035542F">
        <w:rPr>
          <w:rFonts w:asciiTheme="majorHAnsi" w:eastAsia="Calibri Light" w:hAnsiTheme="majorHAnsi" w:cs="Calibri Light"/>
          <w:b/>
          <w:bCs/>
          <w:color w:val="495965"/>
          <w:u w:color="495965"/>
          <w:bdr w:val="nil"/>
          <w:lang w:val="en-US" w:eastAsia="en-AU"/>
        </w:rPr>
        <w:lastRenderedPageBreak/>
        <w:t>Outcome 1: Government of Bangladesh implemented its National Social Security Strategy informed by best international practices</w:t>
      </w:r>
    </w:p>
    <w:p w14:paraId="70A4BF10" w14:textId="184A53AE" w:rsidR="0088260E" w:rsidRPr="00DA2197" w:rsidRDefault="006B511C" w:rsidP="00026AE0">
      <w:pPr>
        <w:pBdr>
          <w:top w:val="nil"/>
          <w:left w:val="nil"/>
          <w:bottom w:val="nil"/>
          <w:right w:val="nil"/>
          <w:between w:val="nil"/>
          <w:bar w:val="nil"/>
        </w:pBdr>
        <w:spacing w:after="120" w:line="280" w:lineRule="exact"/>
        <w:jc w:val="both"/>
        <w:rPr>
          <w:rFonts w:ascii="Calibri Light" w:eastAsia="Calibri Light" w:hAnsi="Calibri Light" w:cs="Calibri Light"/>
          <w:b/>
          <w:bCs/>
          <w:color w:val="495965"/>
          <w:u w:color="495965"/>
          <w:bdr w:val="nil"/>
          <w:lang w:val="en-US" w:eastAsia="en-AU"/>
        </w:rPr>
      </w:pPr>
      <w:r>
        <w:rPr>
          <w:rFonts w:ascii="Calibri Light" w:eastAsia="Calibri Light" w:hAnsi="Calibri Light" w:cs="Calibri Light"/>
          <w:color w:val="495965"/>
          <w:u w:color="495965"/>
          <w:bdr w:val="nil"/>
          <w:lang w:val="en-US" w:eastAsia="en-AU"/>
        </w:rPr>
        <w:t xml:space="preserve">Australia through the </w:t>
      </w:r>
      <w:r w:rsidRPr="006B511C">
        <w:rPr>
          <w:rFonts w:ascii="Calibri Light" w:eastAsia="Calibri Light" w:hAnsi="Calibri Light" w:cs="Calibri Light"/>
          <w:color w:val="495965"/>
          <w:u w:color="495965"/>
          <w:bdr w:val="nil"/>
          <w:lang w:val="en-US" w:eastAsia="en-AU"/>
        </w:rPr>
        <w:t>Strengthening Government Social Pro</w:t>
      </w:r>
      <w:r>
        <w:rPr>
          <w:rFonts w:ascii="Calibri Light" w:eastAsia="Calibri Light" w:hAnsi="Calibri Light" w:cs="Calibri Light"/>
          <w:color w:val="495965"/>
          <w:u w:color="495965"/>
          <w:bdr w:val="nil"/>
          <w:lang w:val="en-US" w:eastAsia="en-AU"/>
        </w:rPr>
        <w:t>tection System (SGSP) program</w:t>
      </w:r>
      <w:r w:rsidRPr="006B511C">
        <w:rPr>
          <w:rFonts w:ascii="Calibri Light" w:eastAsia="Calibri Light" w:hAnsi="Calibri Light" w:cs="Calibri Light"/>
          <w:color w:val="495965"/>
          <w:u w:color="495965"/>
          <w:bdr w:val="nil"/>
          <w:lang w:val="en-US" w:eastAsia="en-AU"/>
        </w:rPr>
        <w:t xml:space="preserve"> </w:t>
      </w:r>
      <w:r w:rsidR="006C3D8E" w:rsidRPr="00312118">
        <w:rPr>
          <w:rFonts w:ascii="Calibri Light" w:eastAsia="Calibri Light" w:hAnsi="Calibri Light" w:cs="Calibri Light"/>
          <w:color w:val="495965"/>
          <w:u w:color="495965"/>
          <w:bdr w:val="nil"/>
          <w:lang w:val="en-US" w:eastAsia="en-AU"/>
        </w:rPr>
        <w:t xml:space="preserve">invests in </w:t>
      </w:r>
      <w:r w:rsidR="00DE5714" w:rsidRPr="00312118">
        <w:rPr>
          <w:rFonts w:ascii="Calibri Light" w:eastAsia="Calibri Light" w:hAnsi="Calibri Light" w:cs="Calibri Light"/>
          <w:color w:val="495965"/>
          <w:u w:color="495965"/>
          <w:bdr w:val="nil"/>
          <w:lang w:val="en-US" w:eastAsia="en-AU"/>
        </w:rPr>
        <w:t>the implementation of the Government’s National Social Secu</w:t>
      </w:r>
      <w:r>
        <w:rPr>
          <w:rFonts w:ascii="Calibri Light" w:eastAsia="Calibri Light" w:hAnsi="Calibri Light" w:cs="Calibri Light"/>
          <w:color w:val="495965"/>
          <w:u w:color="495965"/>
          <w:bdr w:val="nil"/>
          <w:lang w:val="en-US" w:eastAsia="en-AU"/>
        </w:rPr>
        <w:t xml:space="preserve">rity Strategy (NSSS) </w:t>
      </w:r>
      <w:r w:rsidR="006C3D8E" w:rsidRPr="00876407">
        <w:rPr>
          <w:rFonts w:ascii="Calibri Light" w:eastAsia="Calibri Light" w:hAnsi="Calibri Light" w:cs="Calibri Light"/>
          <w:color w:val="495965"/>
          <w:u w:color="495965"/>
          <w:bdr w:val="nil"/>
          <w:lang w:val="en-US" w:eastAsia="en-AU"/>
        </w:rPr>
        <w:t>via</w:t>
      </w:r>
      <w:r w:rsidR="00DE5714" w:rsidRPr="00876407">
        <w:rPr>
          <w:rFonts w:ascii="Calibri Light" w:eastAsia="Calibri Light" w:hAnsi="Calibri Light" w:cs="Calibri Light"/>
          <w:color w:val="495965"/>
          <w:u w:color="495965"/>
          <w:bdr w:val="nil"/>
          <w:lang w:val="en-US" w:eastAsia="en-AU"/>
        </w:rPr>
        <w:t xml:space="preserve"> a delegated cooperatio</w:t>
      </w:r>
      <w:r w:rsidR="006C3D8E" w:rsidRPr="00876407">
        <w:rPr>
          <w:rFonts w:ascii="Calibri Light" w:eastAsia="Calibri Light" w:hAnsi="Calibri Light" w:cs="Calibri Light"/>
          <w:color w:val="495965"/>
          <w:u w:color="495965"/>
          <w:bdr w:val="nil"/>
          <w:lang w:val="en-US" w:eastAsia="en-AU"/>
        </w:rPr>
        <w:t xml:space="preserve">n arrangement </w:t>
      </w:r>
      <w:r w:rsidR="00EA4920" w:rsidRPr="00876407">
        <w:rPr>
          <w:rFonts w:ascii="Calibri Light" w:eastAsia="Calibri Light" w:hAnsi="Calibri Light" w:cs="Calibri Light"/>
          <w:color w:val="495965"/>
          <w:u w:color="495965"/>
          <w:bdr w:val="nil"/>
          <w:lang w:val="en-US" w:eastAsia="en-AU"/>
        </w:rPr>
        <w:t xml:space="preserve">with </w:t>
      </w:r>
      <w:r w:rsidR="006C3D8E" w:rsidRPr="00876407">
        <w:rPr>
          <w:rFonts w:ascii="Calibri Light" w:eastAsia="Calibri Light" w:hAnsi="Calibri Light" w:cs="Calibri Light"/>
          <w:color w:val="495965"/>
          <w:u w:color="495965"/>
          <w:bdr w:val="nil"/>
          <w:lang w:val="en-US" w:eastAsia="en-AU"/>
        </w:rPr>
        <w:t xml:space="preserve">DFID. </w:t>
      </w:r>
      <w:r w:rsidR="00BF27DB" w:rsidRPr="00876407">
        <w:rPr>
          <w:rFonts w:ascii="Calibri Light" w:eastAsia="Calibri Light" w:hAnsi="Calibri Light" w:cs="Calibri Light"/>
          <w:color w:val="495965"/>
          <w:u w:color="495965"/>
          <w:bdr w:val="nil"/>
          <w:lang w:val="en-US" w:eastAsia="en-AU"/>
        </w:rPr>
        <w:t>SGSP supports the government’s sectoral reform program to improve the impact and sustainability of public expenditure on social protection.</w:t>
      </w:r>
      <w:r w:rsidR="00EB5DB3">
        <w:rPr>
          <w:rFonts w:ascii="Calibri Light" w:eastAsia="Calibri Light" w:hAnsi="Calibri Light" w:cs="Calibri Light"/>
          <w:color w:val="495965"/>
          <w:u w:color="495965"/>
          <w:bdr w:val="nil"/>
          <w:lang w:val="en-US" w:eastAsia="en-AU"/>
        </w:rPr>
        <w:t xml:space="preserve"> In 2016-17, t</w:t>
      </w:r>
      <w:r w:rsidR="00DA2197" w:rsidRPr="00DA2197">
        <w:rPr>
          <w:rFonts w:ascii="Calibri Light" w:eastAsia="Calibri Light" w:hAnsi="Calibri Light" w:cs="Calibri Light"/>
          <w:color w:val="495965"/>
          <w:u w:color="495965"/>
          <w:bdr w:val="nil"/>
          <w:lang w:val="en-US" w:eastAsia="en-AU"/>
        </w:rPr>
        <w:t xml:space="preserve">he investment’s progress was satisfactory and all relevant PAF targets were met. See </w:t>
      </w:r>
      <w:r w:rsidR="00DA2197" w:rsidRPr="00DA2197">
        <w:rPr>
          <w:rFonts w:ascii="Calibri Light" w:eastAsia="Calibri Light" w:hAnsi="Calibri Light" w:cs="Calibri Light"/>
          <w:b/>
          <w:color w:val="495965"/>
          <w:u w:color="495965"/>
          <w:bdr w:val="nil"/>
          <w:lang w:val="en-US" w:eastAsia="en-AU"/>
        </w:rPr>
        <w:t>Annex E</w:t>
      </w:r>
      <w:r w:rsidR="00DA2197" w:rsidRPr="00DA2197">
        <w:rPr>
          <w:rFonts w:ascii="Calibri Light" w:eastAsia="Calibri Light" w:hAnsi="Calibri Light" w:cs="Calibri Light"/>
          <w:color w:val="495965"/>
          <w:u w:color="495965"/>
          <w:bdr w:val="nil"/>
          <w:lang w:val="en-US" w:eastAsia="en-AU"/>
        </w:rPr>
        <w:t>.</w:t>
      </w:r>
    </w:p>
    <w:p w14:paraId="4BF25365" w14:textId="6EB045E9" w:rsidR="00475DA9" w:rsidRPr="00567400" w:rsidRDefault="0088260E" w:rsidP="00026AE0">
      <w:pPr>
        <w:pBdr>
          <w:top w:val="nil"/>
          <w:left w:val="nil"/>
          <w:bottom w:val="nil"/>
          <w:right w:val="nil"/>
          <w:between w:val="nil"/>
          <w:bar w:val="nil"/>
        </w:pBdr>
        <w:spacing w:after="120" w:line="280" w:lineRule="exact"/>
        <w:jc w:val="both"/>
        <w:rPr>
          <w:rFonts w:ascii="Calibri Light" w:eastAsia="Calibri Light" w:hAnsi="Calibri Light" w:cs="Calibri Light"/>
          <w:color w:val="495965"/>
          <w:u w:color="495965"/>
          <w:bdr w:val="nil"/>
          <w:lang w:val="en-US" w:eastAsia="en-AU"/>
        </w:rPr>
      </w:pPr>
      <w:r w:rsidRPr="00567400">
        <w:rPr>
          <w:rFonts w:ascii="Calibri Light" w:eastAsia="Calibri Light" w:hAnsi="Calibri Light" w:cs="Calibri Light"/>
          <w:color w:val="495965"/>
          <w:u w:color="495965"/>
          <w:bdr w:val="nil"/>
          <w:lang w:val="en-US" w:eastAsia="en-AU"/>
        </w:rPr>
        <w:t>T</w:t>
      </w:r>
      <w:r w:rsidR="00B461BD" w:rsidRPr="00567400">
        <w:rPr>
          <w:rFonts w:ascii="Calibri Light" w:eastAsia="Calibri Light" w:hAnsi="Calibri Light" w:cs="Calibri Light"/>
          <w:color w:val="495965"/>
          <w:u w:color="495965"/>
          <w:bdr w:val="nil"/>
          <w:lang w:val="en-US" w:eastAsia="en-AU"/>
        </w:rPr>
        <w:t>he first two years of the SGSP w</w:t>
      </w:r>
      <w:r w:rsidRPr="00567400">
        <w:rPr>
          <w:rFonts w:ascii="Calibri Light" w:eastAsia="Calibri Light" w:hAnsi="Calibri Light" w:cs="Calibri Light"/>
          <w:color w:val="495965"/>
          <w:u w:color="495965"/>
          <w:bdr w:val="nil"/>
          <w:lang w:val="en-US" w:eastAsia="en-AU"/>
        </w:rPr>
        <w:t>ere</w:t>
      </w:r>
      <w:r w:rsidR="00B461BD" w:rsidRPr="00567400">
        <w:rPr>
          <w:rFonts w:ascii="Calibri Light" w:eastAsia="Calibri Light" w:hAnsi="Calibri Light" w:cs="Calibri Light"/>
          <w:color w:val="495965"/>
          <w:u w:color="495965"/>
          <w:bdr w:val="nil"/>
          <w:lang w:val="en-US" w:eastAsia="en-AU"/>
        </w:rPr>
        <w:t xml:space="preserve"> hampered</w:t>
      </w:r>
      <w:r w:rsidR="006F4B0F" w:rsidRPr="00567400">
        <w:rPr>
          <w:rFonts w:ascii="Calibri Light" w:eastAsia="Calibri Light" w:hAnsi="Calibri Light" w:cs="Calibri Light"/>
          <w:color w:val="495965"/>
          <w:u w:color="495965"/>
          <w:bdr w:val="nil"/>
          <w:lang w:val="en-US" w:eastAsia="en-AU"/>
        </w:rPr>
        <w:t xml:space="preserve"> by delays in securing government</w:t>
      </w:r>
      <w:r w:rsidR="00B461BD" w:rsidRPr="00567400">
        <w:rPr>
          <w:rFonts w:ascii="Calibri Light" w:eastAsia="Calibri Light" w:hAnsi="Calibri Light" w:cs="Calibri Light"/>
          <w:color w:val="495965"/>
          <w:u w:color="495965"/>
          <w:bdr w:val="nil"/>
          <w:lang w:val="en-US" w:eastAsia="en-AU"/>
        </w:rPr>
        <w:t xml:space="preserve"> approval for </w:t>
      </w:r>
      <w:r w:rsidR="006F4B0F" w:rsidRPr="00567400">
        <w:rPr>
          <w:rFonts w:ascii="Calibri Light" w:eastAsia="Calibri Light" w:hAnsi="Calibri Light" w:cs="Calibri Light"/>
          <w:color w:val="495965"/>
          <w:u w:color="495965"/>
          <w:bdr w:val="nil"/>
          <w:lang w:val="en-US" w:eastAsia="en-AU"/>
        </w:rPr>
        <w:t xml:space="preserve">donor </w:t>
      </w:r>
      <w:r w:rsidR="003C10FC" w:rsidRPr="00567400">
        <w:rPr>
          <w:rFonts w:ascii="Calibri Light" w:eastAsia="Calibri Light" w:hAnsi="Calibri Light" w:cs="Calibri Light"/>
          <w:color w:val="495965"/>
          <w:u w:color="495965"/>
          <w:bdr w:val="nil"/>
          <w:lang w:val="en-US" w:eastAsia="en-AU"/>
        </w:rPr>
        <w:t>p</w:t>
      </w:r>
      <w:r w:rsidR="00AC2F24" w:rsidRPr="00567400">
        <w:rPr>
          <w:rFonts w:ascii="Calibri Light" w:eastAsia="Calibri Light" w:hAnsi="Calibri Light" w:cs="Calibri Light"/>
          <w:color w:val="495965"/>
          <w:u w:color="495965"/>
          <w:bdr w:val="nil"/>
          <w:lang w:val="en-US" w:eastAsia="en-AU"/>
        </w:rPr>
        <w:t xml:space="preserve">rojects. However, the </w:t>
      </w:r>
      <w:r w:rsidR="003C10FC" w:rsidRPr="00567400">
        <w:rPr>
          <w:rFonts w:ascii="Calibri Light" w:eastAsia="Calibri Light" w:hAnsi="Calibri Light" w:cs="Calibri Light"/>
          <w:color w:val="495965"/>
          <w:u w:color="495965"/>
          <w:bdr w:val="nil"/>
          <w:lang w:val="en-US" w:eastAsia="en-AU"/>
        </w:rPr>
        <w:t xml:space="preserve">adoption of the </w:t>
      </w:r>
      <w:r w:rsidR="00B461BD" w:rsidRPr="00567400">
        <w:rPr>
          <w:rFonts w:ascii="Calibri Light" w:eastAsia="Calibri Light" w:hAnsi="Calibri Light" w:cs="Calibri Light"/>
          <w:color w:val="495965"/>
          <w:u w:color="495965"/>
          <w:bdr w:val="nil"/>
          <w:lang w:val="en-US" w:eastAsia="en-AU"/>
        </w:rPr>
        <w:t>NSSS</w:t>
      </w:r>
      <w:r w:rsidR="003C10FC" w:rsidRPr="00567400">
        <w:rPr>
          <w:rFonts w:ascii="Calibri Light" w:eastAsia="Calibri Light" w:hAnsi="Calibri Light" w:cs="Calibri Light"/>
          <w:color w:val="495965"/>
          <w:u w:color="495965"/>
          <w:bdr w:val="nil"/>
          <w:lang w:val="en-US" w:eastAsia="en-AU"/>
        </w:rPr>
        <w:t xml:space="preserve"> in early 2016</w:t>
      </w:r>
      <w:r w:rsidR="007F6222" w:rsidRPr="00567400">
        <w:rPr>
          <w:rFonts w:ascii="Calibri Light" w:eastAsia="Calibri Light" w:hAnsi="Calibri Light" w:cs="Calibri Light"/>
          <w:color w:val="495965"/>
          <w:u w:color="495965"/>
          <w:bdr w:val="nil"/>
          <w:lang w:val="en-US" w:eastAsia="en-AU"/>
        </w:rPr>
        <w:t xml:space="preserve"> paved </w:t>
      </w:r>
      <w:r w:rsidR="00810A8E" w:rsidRPr="00567400">
        <w:rPr>
          <w:rFonts w:ascii="Calibri Light" w:eastAsia="Calibri Light" w:hAnsi="Calibri Light" w:cs="Calibri Light"/>
          <w:color w:val="495965"/>
          <w:u w:color="495965"/>
          <w:bdr w:val="nil"/>
          <w:lang w:val="en-US" w:eastAsia="en-AU"/>
        </w:rPr>
        <w:t xml:space="preserve">the </w:t>
      </w:r>
      <w:r w:rsidR="00FB4DD0" w:rsidRPr="00567400">
        <w:rPr>
          <w:rFonts w:ascii="Calibri Light" w:eastAsia="Calibri Light" w:hAnsi="Calibri Light" w:cs="Calibri Light"/>
          <w:color w:val="495965"/>
          <w:u w:color="495965"/>
          <w:bdr w:val="nil"/>
          <w:lang w:val="en-US" w:eastAsia="en-AU"/>
        </w:rPr>
        <w:t>way for</w:t>
      </w:r>
      <w:r w:rsidR="003C10FC" w:rsidRPr="00567400">
        <w:rPr>
          <w:rFonts w:ascii="Calibri Light" w:eastAsia="Calibri Light" w:hAnsi="Calibri Light" w:cs="Calibri Light"/>
          <w:color w:val="495965"/>
          <w:u w:color="495965"/>
          <w:bdr w:val="nil"/>
          <w:lang w:val="en-US" w:eastAsia="en-AU"/>
        </w:rPr>
        <w:t xml:space="preserve"> strong performance in </w:t>
      </w:r>
      <w:r w:rsidR="00223A7A" w:rsidRPr="00567400">
        <w:rPr>
          <w:rFonts w:ascii="Calibri Light" w:eastAsia="Calibri Light" w:hAnsi="Calibri Light" w:cs="Calibri Light"/>
          <w:color w:val="495965"/>
          <w:u w:color="495965"/>
          <w:bdr w:val="nil"/>
          <w:lang w:val="en-US" w:eastAsia="en-AU"/>
        </w:rPr>
        <w:t>2016-</w:t>
      </w:r>
      <w:r w:rsidR="003C10FC" w:rsidRPr="00567400">
        <w:rPr>
          <w:rFonts w:ascii="Calibri Light" w:eastAsia="Calibri Light" w:hAnsi="Calibri Light" w:cs="Calibri Light"/>
          <w:color w:val="495965"/>
          <w:u w:color="495965"/>
          <w:bdr w:val="nil"/>
          <w:lang w:val="en-US" w:eastAsia="en-AU"/>
        </w:rPr>
        <w:t>17</w:t>
      </w:r>
      <w:r w:rsidR="00223A7A" w:rsidRPr="00567400">
        <w:rPr>
          <w:rStyle w:val="FootnoteReference"/>
          <w:rFonts w:ascii="Calibri Light" w:eastAsia="Calibri Light" w:hAnsi="Calibri Light" w:cs="Calibri Light"/>
          <w:color w:val="495965"/>
          <w:u w:color="495965"/>
          <w:bdr w:val="nil"/>
          <w:lang w:val="en-US" w:eastAsia="en-AU"/>
        </w:rPr>
        <w:footnoteReference w:id="33"/>
      </w:r>
      <w:r w:rsidR="003C10FC" w:rsidRPr="00567400">
        <w:rPr>
          <w:rFonts w:ascii="Calibri Light" w:eastAsia="Calibri Light" w:hAnsi="Calibri Light" w:cs="Calibri Light"/>
          <w:color w:val="495965"/>
          <w:u w:color="495965"/>
          <w:bdr w:val="nil"/>
          <w:lang w:val="en-US" w:eastAsia="en-AU"/>
        </w:rPr>
        <w:t>.</w:t>
      </w:r>
      <w:r w:rsidR="00876407" w:rsidRPr="00567400">
        <w:rPr>
          <w:rFonts w:ascii="Calibri Light" w:eastAsia="Calibri Light" w:hAnsi="Calibri Light" w:cs="Calibri Light"/>
          <w:color w:val="495965"/>
          <w:u w:color="495965"/>
          <w:bdr w:val="nil"/>
          <w:lang w:val="en-US" w:eastAsia="en-AU"/>
        </w:rPr>
        <w:t xml:space="preserve"> </w:t>
      </w:r>
      <w:r w:rsidR="00FE44F7" w:rsidRPr="00567400">
        <w:rPr>
          <w:rFonts w:ascii="Calibri Light" w:eastAsia="Calibri Light" w:hAnsi="Calibri Light" w:cs="Calibri Light"/>
          <w:color w:val="495965"/>
          <w:u w:color="495965"/>
          <w:bdr w:val="nil"/>
          <w:lang w:val="en-US" w:eastAsia="en-AU"/>
        </w:rPr>
        <w:t xml:space="preserve">During the reporting period, </w:t>
      </w:r>
      <w:r w:rsidRPr="00567400">
        <w:rPr>
          <w:rFonts w:ascii="Calibri Light" w:eastAsia="Calibri Light" w:hAnsi="Calibri Light" w:cs="Calibri Light"/>
          <w:color w:val="495965"/>
          <w:u w:color="495965"/>
          <w:bdr w:val="nil"/>
          <w:lang w:val="en-US" w:eastAsia="en-AU"/>
        </w:rPr>
        <w:t xml:space="preserve">the Bangladesh Government’s commitment and ownership </w:t>
      </w:r>
      <w:r w:rsidR="00876407" w:rsidRPr="00567400">
        <w:rPr>
          <w:rFonts w:ascii="Calibri Light" w:eastAsia="Calibri Light" w:hAnsi="Calibri Light" w:cs="Calibri Light"/>
          <w:color w:val="495965"/>
          <w:u w:color="495965"/>
          <w:bdr w:val="nil"/>
          <w:lang w:val="en-US" w:eastAsia="en-AU"/>
        </w:rPr>
        <w:t>strengthened</w:t>
      </w:r>
      <w:r w:rsidRPr="00567400">
        <w:rPr>
          <w:rFonts w:ascii="Calibri Light" w:eastAsia="Calibri Light" w:hAnsi="Calibri Light" w:cs="Calibri Light"/>
          <w:color w:val="495965"/>
          <w:u w:color="495965"/>
          <w:bdr w:val="nil"/>
          <w:lang w:val="en-US" w:eastAsia="en-AU"/>
        </w:rPr>
        <w:t xml:space="preserve"> with significant steps taken to consolidate leadership and accountability</w:t>
      </w:r>
      <w:r w:rsidR="00FE44F7" w:rsidRPr="00567400">
        <w:rPr>
          <w:rFonts w:ascii="Calibri Light" w:eastAsia="Calibri Light" w:hAnsi="Calibri Light" w:cs="Calibri Light"/>
          <w:color w:val="495965"/>
          <w:u w:color="495965"/>
          <w:bdr w:val="nil"/>
          <w:lang w:val="en-US" w:eastAsia="en-AU"/>
        </w:rPr>
        <w:t xml:space="preserve"> for the NSSS through five core </w:t>
      </w:r>
      <w:r w:rsidRPr="00567400">
        <w:rPr>
          <w:rFonts w:ascii="Calibri Light" w:eastAsia="Calibri Light" w:hAnsi="Calibri Light" w:cs="Calibri Light"/>
          <w:color w:val="495965"/>
          <w:u w:color="495965"/>
          <w:bdr w:val="nil"/>
          <w:lang w:val="en-US" w:eastAsia="en-AU"/>
        </w:rPr>
        <w:t xml:space="preserve">implementing ministries. Of note is </w:t>
      </w:r>
      <w:r w:rsidR="00475DA9" w:rsidRPr="00567400">
        <w:rPr>
          <w:rFonts w:ascii="Calibri Light" w:eastAsia="Calibri Light" w:hAnsi="Calibri Light" w:cs="Calibri Light"/>
          <w:color w:val="495965"/>
          <w:u w:color="495965"/>
          <w:bdr w:val="nil"/>
          <w:lang w:val="en-US" w:eastAsia="en-AU"/>
        </w:rPr>
        <w:t xml:space="preserve">the Bangladesh </w:t>
      </w:r>
      <w:r w:rsidR="00FE44F7" w:rsidRPr="00567400">
        <w:rPr>
          <w:rFonts w:ascii="Calibri Light" w:eastAsia="Calibri Light" w:hAnsi="Calibri Light" w:cs="Calibri Light"/>
          <w:color w:val="495965"/>
          <w:u w:color="495965"/>
          <w:bdr w:val="nil"/>
          <w:lang w:val="en-US" w:eastAsia="en-AU"/>
        </w:rPr>
        <w:t>G</w:t>
      </w:r>
      <w:r w:rsidRPr="00567400">
        <w:rPr>
          <w:rFonts w:ascii="Calibri Light" w:eastAsia="Calibri Light" w:hAnsi="Calibri Light" w:cs="Calibri Light"/>
          <w:color w:val="495965"/>
          <w:u w:color="495965"/>
          <w:bdr w:val="nil"/>
          <w:lang w:val="en-US" w:eastAsia="en-AU"/>
        </w:rPr>
        <w:t>overnment</w:t>
      </w:r>
      <w:r w:rsidR="00F04E9F" w:rsidRPr="00567400">
        <w:rPr>
          <w:rFonts w:ascii="Calibri Light" w:eastAsia="Calibri Light" w:hAnsi="Calibri Light" w:cs="Calibri Light"/>
          <w:color w:val="495965"/>
          <w:u w:color="495965"/>
          <w:bdr w:val="nil"/>
          <w:lang w:val="en-US" w:eastAsia="en-AU"/>
        </w:rPr>
        <w:t>’s</w:t>
      </w:r>
      <w:r w:rsidRPr="00567400">
        <w:rPr>
          <w:rFonts w:ascii="Calibri Light" w:eastAsia="Calibri Light" w:hAnsi="Calibri Light" w:cs="Calibri Light"/>
          <w:color w:val="495965"/>
          <w:u w:color="495965"/>
          <w:bdr w:val="nil"/>
          <w:lang w:val="en-US" w:eastAsia="en-AU"/>
        </w:rPr>
        <w:t xml:space="preserve"> institutionali</w:t>
      </w:r>
      <w:r w:rsidR="00475DA9" w:rsidRPr="00567400">
        <w:rPr>
          <w:rFonts w:ascii="Calibri Light" w:eastAsia="Calibri Light" w:hAnsi="Calibri Light" w:cs="Calibri Light"/>
          <w:color w:val="495965"/>
          <w:u w:color="495965"/>
          <w:bdr w:val="nil"/>
          <w:lang w:val="en-US" w:eastAsia="en-AU"/>
        </w:rPr>
        <w:t>s</w:t>
      </w:r>
      <w:r w:rsidR="00810A8E" w:rsidRPr="00567400">
        <w:rPr>
          <w:rFonts w:ascii="Calibri Light" w:eastAsia="Calibri Light" w:hAnsi="Calibri Light" w:cs="Calibri Light"/>
          <w:color w:val="495965"/>
          <w:u w:color="495965"/>
          <w:bdr w:val="nil"/>
          <w:lang w:val="en-US" w:eastAsia="en-AU"/>
        </w:rPr>
        <w:t>ation of the SGSP-</w:t>
      </w:r>
      <w:r w:rsidRPr="00567400">
        <w:rPr>
          <w:rFonts w:ascii="Calibri Light" w:eastAsia="Calibri Light" w:hAnsi="Calibri Light" w:cs="Calibri Light"/>
          <w:color w:val="495965"/>
          <w:u w:color="495965"/>
          <w:bdr w:val="nil"/>
          <w:lang w:val="en-US" w:eastAsia="en-AU"/>
        </w:rPr>
        <w:t>established Social Protection Unit within the Ministry of Finance, ensuring its future viability.</w:t>
      </w:r>
      <w:r w:rsidR="00105440" w:rsidRPr="00567400">
        <w:rPr>
          <w:rFonts w:ascii="Calibri Light" w:eastAsia="Calibri Light" w:hAnsi="Calibri Light" w:cs="Calibri Light"/>
          <w:color w:val="495965"/>
          <w:u w:color="495965"/>
          <w:bdr w:val="nil"/>
          <w:lang w:val="en-US" w:eastAsia="en-AU"/>
        </w:rPr>
        <w:t xml:space="preserve"> </w:t>
      </w:r>
      <w:r w:rsidR="00EB5DB3" w:rsidRPr="00567400">
        <w:rPr>
          <w:rFonts w:ascii="Calibri Light" w:eastAsia="Calibri Light" w:hAnsi="Calibri Light" w:cs="Calibri Light"/>
          <w:color w:val="495965"/>
          <w:u w:color="495965"/>
          <w:bdr w:val="nil"/>
          <w:lang w:val="en-US" w:eastAsia="en-AU"/>
        </w:rPr>
        <w:t xml:space="preserve">Australian funding directly </w:t>
      </w:r>
      <w:r w:rsidR="00C51E6C" w:rsidRPr="00567400">
        <w:rPr>
          <w:rFonts w:ascii="Calibri Light" w:eastAsia="Calibri Light" w:hAnsi="Calibri Light" w:cs="Calibri Light"/>
          <w:color w:val="495965"/>
          <w:u w:color="495965"/>
          <w:bdr w:val="nil"/>
          <w:lang w:val="en-US" w:eastAsia="en-AU"/>
        </w:rPr>
        <w:t>contributed to</w:t>
      </w:r>
      <w:r w:rsidR="00D738FD" w:rsidRPr="00567400">
        <w:rPr>
          <w:rFonts w:ascii="Calibri Light" w:eastAsia="Calibri Light" w:hAnsi="Calibri Light" w:cs="Calibri Light"/>
          <w:color w:val="495965"/>
          <w:u w:color="495965"/>
          <w:bdr w:val="nil"/>
          <w:lang w:val="en-US" w:eastAsia="en-AU"/>
        </w:rPr>
        <w:t xml:space="preserve"> the </w:t>
      </w:r>
      <w:r w:rsidR="00FE44F7" w:rsidRPr="00567400">
        <w:rPr>
          <w:rFonts w:ascii="Calibri Light" w:eastAsia="Calibri Light" w:hAnsi="Calibri Light" w:cs="Calibri Light"/>
          <w:color w:val="495965"/>
          <w:u w:color="495965"/>
          <w:bdr w:val="nil"/>
          <w:lang w:val="en-US" w:eastAsia="en-AU"/>
        </w:rPr>
        <w:t>operationalis</w:t>
      </w:r>
      <w:r w:rsidR="00876407" w:rsidRPr="00567400">
        <w:rPr>
          <w:rFonts w:ascii="Calibri Light" w:eastAsia="Calibri Light" w:hAnsi="Calibri Light" w:cs="Calibri Light"/>
          <w:color w:val="495965"/>
          <w:u w:color="495965"/>
          <w:bdr w:val="nil"/>
          <w:lang w:val="en-US" w:eastAsia="en-AU"/>
        </w:rPr>
        <w:t xml:space="preserve">ation and </w:t>
      </w:r>
      <w:r w:rsidR="00D738FD" w:rsidRPr="00567400">
        <w:rPr>
          <w:rFonts w:ascii="Calibri Light" w:eastAsia="Calibri Light" w:hAnsi="Calibri Light" w:cs="Calibri Light"/>
          <w:color w:val="495965"/>
          <w:u w:color="495965"/>
          <w:bdr w:val="nil"/>
          <w:lang w:val="en-US" w:eastAsia="en-AU"/>
        </w:rPr>
        <w:t>capacity building</w:t>
      </w:r>
      <w:r w:rsidR="00C23E9F" w:rsidRPr="00567400">
        <w:rPr>
          <w:rFonts w:ascii="Calibri Light" w:eastAsia="Calibri Light" w:hAnsi="Calibri Light" w:cs="Calibri Light"/>
          <w:color w:val="495965"/>
          <w:u w:color="495965"/>
          <w:bdr w:val="nil"/>
          <w:lang w:val="en-US" w:eastAsia="en-AU"/>
        </w:rPr>
        <w:t xml:space="preserve"> </w:t>
      </w:r>
      <w:r w:rsidR="00AD001E" w:rsidRPr="00567400">
        <w:rPr>
          <w:rFonts w:ascii="Calibri Light" w:eastAsia="Calibri Light" w:hAnsi="Calibri Light" w:cs="Calibri Light"/>
          <w:color w:val="495965"/>
          <w:u w:color="495965"/>
          <w:bdr w:val="nil"/>
          <w:lang w:val="en-US" w:eastAsia="en-AU"/>
        </w:rPr>
        <w:t xml:space="preserve">of </w:t>
      </w:r>
      <w:r w:rsidR="00876407" w:rsidRPr="00567400">
        <w:rPr>
          <w:rFonts w:ascii="Calibri Light" w:eastAsia="Calibri Light" w:hAnsi="Calibri Light" w:cs="Calibri Light"/>
          <w:color w:val="495965"/>
          <w:u w:color="495965"/>
          <w:bdr w:val="nil"/>
          <w:lang w:val="en-US" w:eastAsia="en-AU"/>
        </w:rPr>
        <w:t xml:space="preserve">this </w:t>
      </w:r>
      <w:r w:rsidR="00D9152E" w:rsidRPr="00567400">
        <w:rPr>
          <w:rFonts w:ascii="Calibri Light" w:eastAsia="Calibri Light" w:hAnsi="Calibri Light" w:cs="Calibri Light"/>
          <w:color w:val="495965"/>
          <w:u w:color="495965"/>
          <w:bdr w:val="nil"/>
          <w:lang w:val="en-US" w:eastAsia="en-AU"/>
        </w:rPr>
        <w:t>Unit</w:t>
      </w:r>
      <w:r w:rsidR="00876407" w:rsidRPr="00567400">
        <w:rPr>
          <w:rFonts w:ascii="Calibri Light" w:eastAsia="Calibri Light" w:hAnsi="Calibri Light" w:cs="Calibri Light"/>
          <w:color w:val="495965"/>
          <w:u w:color="495965"/>
          <w:bdr w:val="nil"/>
          <w:lang w:val="en-US" w:eastAsia="en-AU"/>
        </w:rPr>
        <w:t>.</w:t>
      </w:r>
      <w:r w:rsidR="00C23E9F" w:rsidRPr="00567400">
        <w:rPr>
          <w:rFonts w:ascii="Calibri Light" w:eastAsia="Calibri Light" w:hAnsi="Calibri Light" w:cs="Calibri Light"/>
          <w:color w:val="495965"/>
          <w:u w:color="495965"/>
          <w:bdr w:val="nil"/>
          <w:lang w:val="en-US" w:eastAsia="en-AU"/>
        </w:rPr>
        <w:t xml:space="preserve"> </w:t>
      </w:r>
      <w:r w:rsidR="00EB5DB3" w:rsidRPr="00567400">
        <w:rPr>
          <w:rFonts w:ascii="Calibri Light" w:eastAsia="Calibri Light" w:hAnsi="Calibri Light" w:cs="Calibri Light"/>
          <w:color w:val="495965"/>
          <w:u w:color="495965"/>
          <w:bdr w:val="nil"/>
          <w:lang w:val="en-US" w:eastAsia="en-AU"/>
        </w:rPr>
        <w:t>Our f</w:t>
      </w:r>
      <w:r w:rsidR="00810A8E" w:rsidRPr="00567400">
        <w:rPr>
          <w:rFonts w:ascii="Calibri Light" w:eastAsia="Calibri Light" w:hAnsi="Calibri Light" w:cs="Calibri Light"/>
          <w:color w:val="495965"/>
          <w:u w:color="495965"/>
          <w:bdr w:val="nil"/>
          <w:lang w:val="en-US" w:eastAsia="en-AU"/>
        </w:rPr>
        <w:t>unding also supported</w:t>
      </w:r>
      <w:r w:rsidR="00876407" w:rsidRPr="00567400">
        <w:rPr>
          <w:rFonts w:ascii="Calibri Light" w:eastAsia="Calibri Light" w:hAnsi="Calibri Light" w:cs="Calibri Light"/>
          <w:color w:val="495965"/>
          <w:u w:color="495965"/>
          <w:bdr w:val="nil"/>
          <w:lang w:val="en-US" w:eastAsia="en-AU"/>
        </w:rPr>
        <w:t xml:space="preserve"> </w:t>
      </w:r>
      <w:r w:rsidR="00C23E9F" w:rsidRPr="00567400">
        <w:rPr>
          <w:rFonts w:ascii="Calibri Light" w:eastAsia="Calibri Light" w:hAnsi="Calibri Light" w:cs="Calibri Light"/>
          <w:color w:val="495965"/>
          <w:u w:color="495965"/>
          <w:bdr w:val="nil"/>
          <w:lang w:val="en-US" w:eastAsia="en-AU"/>
        </w:rPr>
        <w:t>foundational work to establish a Management Information System for all government social protection programs</w:t>
      </w:r>
      <w:r w:rsidR="00876407" w:rsidRPr="00567400">
        <w:rPr>
          <w:rFonts w:ascii="Calibri Light" w:eastAsia="Calibri Light" w:hAnsi="Calibri Light" w:cs="Calibri Light"/>
          <w:color w:val="495965"/>
          <w:u w:color="495965"/>
          <w:bdr w:val="nil"/>
          <w:lang w:val="en-US" w:eastAsia="en-AU"/>
        </w:rPr>
        <w:t xml:space="preserve"> </w:t>
      </w:r>
      <w:r w:rsidR="00C23E9F" w:rsidRPr="00567400">
        <w:rPr>
          <w:rFonts w:ascii="Calibri Light" w:eastAsia="Calibri Light" w:hAnsi="Calibri Light" w:cs="Calibri Light"/>
          <w:color w:val="495965"/>
          <w:u w:color="495965"/>
          <w:bdr w:val="nil"/>
          <w:lang w:val="en-US" w:eastAsia="en-AU"/>
        </w:rPr>
        <w:t>and diagnostic studies and research to improve the targeting and management</w:t>
      </w:r>
      <w:r w:rsidR="00960854" w:rsidRPr="00567400">
        <w:rPr>
          <w:rFonts w:ascii="Calibri Light" w:eastAsia="Calibri Light" w:hAnsi="Calibri Light" w:cs="Calibri Light"/>
          <w:color w:val="495965"/>
          <w:u w:color="495965"/>
          <w:bdr w:val="nil"/>
          <w:lang w:val="en-US" w:eastAsia="en-AU"/>
        </w:rPr>
        <w:t xml:space="preserve"> of </w:t>
      </w:r>
      <w:r w:rsidR="00FE44F7" w:rsidRPr="00567400">
        <w:rPr>
          <w:rFonts w:ascii="Calibri Light" w:eastAsia="Calibri Light" w:hAnsi="Calibri Light" w:cs="Calibri Light"/>
          <w:color w:val="495965"/>
          <w:u w:color="495965"/>
          <w:bdr w:val="nil"/>
          <w:lang w:val="en-US" w:eastAsia="en-AU"/>
        </w:rPr>
        <w:t xml:space="preserve">these </w:t>
      </w:r>
      <w:r w:rsidR="00C23E9F" w:rsidRPr="00567400">
        <w:rPr>
          <w:rFonts w:ascii="Calibri Light" w:eastAsia="Calibri Light" w:hAnsi="Calibri Light" w:cs="Calibri Light"/>
          <w:color w:val="495965"/>
          <w:u w:color="495965"/>
          <w:bdr w:val="nil"/>
          <w:lang w:val="en-US" w:eastAsia="en-AU"/>
        </w:rPr>
        <w:t>programs.</w:t>
      </w:r>
      <w:r w:rsidR="00D738FD" w:rsidRPr="00567400">
        <w:rPr>
          <w:rFonts w:ascii="Calibri Light" w:eastAsia="Calibri Light" w:hAnsi="Calibri Light" w:cs="Calibri Light"/>
          <w:color w:val="495965"/>
          <w:u w:color="495965"/>
          <w:bdr w:val="nil"/>
          <w:lang w:val="en-US" w:eastAsia="en-AU"/>
        </w:rPr>
        <w:t xml:space="preserve"> </w:t>
      </w:r>
    </w:p>
    <w:p w14:paraId="4A454769" w14:textId="4FE13F2B" w:rsidR="00223A7A" w:rsidRDefault="0088260E" w:rsidP="00026AE0">
      <w:pPr>
        <w:pBdr>
          <w:top w:val="nil"/>
          <w:left w:val="nil"/>
          <w:bottom w:val="nil"/>
          <w:right w:val="nil"/>
          <w:between w:val="nil"/>
          <w:bar w:val="nil"/>
        </w:pBdr>
        <w:spacing w:after="120" w:line="280" w:lineRule="exact"/>
        <w:jc w:val="both"/>
        <w:rPr>
          <w:rFonts w:ascii="Calibri Light" w:eastAsia="Calibri Light" w:hAnsi="Calibri Light" w:cs="Calibri Light"/>
          <w:color w:val="495965"/>
          <w:u w:color="495965"/>
          <w:bdr w:val="nil"/>
          <w:lang w:val="en-US" w:eastAsia="en-AU"/>
        </w:rPr>
      </w:pPr>
      <w:r w:rsidRPr="00567400">
        <w:rPr>
          <w:rFonts w:ascii="Calibri Light" w:eastAsia="Calibri Light" w:hAnsi="Calibri Light" w:cs="Calibri Light"/>
          <w:color w:val="495965"/>
          <w:u w:color="495965"/>
          <w:bdr w:val="nil"/>
          <w:lang w:val="en-US" w:eastAsia="en-AU"/>
        </w:rPr>
        <w:t>An embedded</w:t>
      </w:r>
      <w:r w:rsidR="0058426E" w:rsidRPr="00567400">
        <w:rPr>
          <w:rFonts w:ascii="Calibri Light" w:eastAsia="Calibri Light" w:hAnsi="Calibri Light" w:cs="Calibri Light"/>
          <w:color w:val="495965"/>
          <w:u w:color="495965"/>
          <w:bdr w:val="nil"/>
          <w:lang w:val="en-US" w:eastAsia="en-AU"/>
        </w:rPr>
        <w:t xml:space="preserve"> Social Protection Unit </w:t>
      </w:r>
      <w:r w:rsidRPr="00567400">
        <w:rPr>
          <w:rFonts w:ascii="Calibri Light" w:eastAsia="Calibri Light" w:hAnsi="Calibri Light" w:cs="Calibri Light"/>
          <w:color w:val="495965"/>
          <w:u w:color="495965"/>
          <w:bdr w:val="nil"/>
          <w:lang w:val="en-US" w:eastAsia="en-AU"/>
        </w:rPr>
        <w:t>should assist</w:t>
      </w:r>
      <w:r w:rsidR="0058426E" w:rsidRPr="00567400">
        <w:rPr>
          <w:rFonts w:ascii="Calibri Light" w:eastAsia="Calibri Light" w:hAnsi="Calibri Light" w:cs="Calibri Light"/>
          <w:color w:val="495965"/>
          <w:u w:color="495965"/>
          <w:bdr w:val="nil"/>
          <w:lang w:val="en-US" w:eastAsia="en-AU"/>
        </w:rPr>
        <w:t xml:space="preserve"> equitable distribution of resources, facilita</w:t>
      </w:r>
      <w:r w:rsidR="00FE44F7" w:rsidRPr="00567400">
        <w:rPr>
          <w:rFonts w:ascii="Calibri Light" w:eastAsia="Calibri Light" w:hAnsi="Calibri Light" w:cs="Calibri Light"/>
          <w:color w:val="495965"/>
          <w:u w:color="495965"/>
          <w:bdr w:val="nil"/>
          <w:lang w:val="en-US" w:eastAsia="en-AU"/>
        </w:rPr>
        <w:t>te oversight of multiple programs</w:t>
      </w:r>
      <w:r w:rsidR="0058426E" w:rsidRPr="00567400">
        <w:rPr>
          <w:rFonts w:ascii="Calibri Light" w:eastAsia="Calibri Light" w:hAnsi="Calibri Light" w:cs="Calibri Light"/>
          <w:color w:val="495965"/>
          <w:u w:color="495965"/>
          <w:bdr w:val="nil"/>
          <w:lang w:val="en-US" w:eastAsia="en-AU"/>
        </w:rPr>
        <w:t xml:space="preserve">, establish links with other services and sectors and increase efficiency of delivery by avoiding duplication and enabling economies of scale through integrating data across programs. </w:t>
      </w:r>
      <w:r w:rsidR="005245C3" w:rsidRPr="00567400">
        <w:rPr>
          <w:rFonts w:ascii="Calibri Light" w:eastAsia="Calibri Light" w:hAnsi="Calibri Light" w:cs="Calibri Light"/>
          <w:color w:val="495965"/>
          <w:u w:color="495965"/>
          <w:bdr w:val="nil"/>
          <w:lang w:val="en-US" w:eastAsia="en-AU"/>
        </w:rPr>
        <w:t>T</w:t>
      </w:r>
      <w:r w:rsidR="007F6222" w:rsidRPr="00567400">
        <w:rPr>
          <w:rFonts w:ascii="Calibri Light" w:eastAsia="Calibri Light" w:hAnsi="Calibri Light" w:cs="Calibri Light"/>
          <w:color w:val="495965"/>
          <w:u w:color="495965"/>
          <w:bdr w:val="nil"/>
          <w:lang w:val="en-US" w:eastAsia="en-AU"/>
        </w:rPr>
        <w:t>his is a significant develop</w:t>
      </w:r>
      <w:r w:rsidR="00E46382" w:rsidRPr="00567400">
        <w:rPr>
          <w:rFonts w:ascii="Calibri Light" w:eastAsia="Calibri Light" w:hAnsi="Calibri Light" w:cs="Calibri Light"/>
          <w:color w:val="495965"/>
          <w:u w:color="495965"/>
          <w:bdr w:val="nil"/>
          <w:lang w:val="en-US" w:eastAsia="en-AU"/>
        </w:rPr>
        <w:t>ment</w:t>
      </w:r>
      <w:r w:rsidR="007F6222" w:rsidRPr="00567400">
        <w:rPr>
          <w:rFonts w:ascii="Calibri Light" w:eastAsia="Calibri Light" w:hAnsi="Calibri Light" w:cs="Calibri Light"/>
          <w:color w:val="495965"/>
          <w:u w:color="495965"/>
          <w:bdr w:val="nil"/>
          <w:lang w:val="en-US" w:eastAsia="en-AU"/>
        </w:rPr>
        <w:t xml:space="preserve"> as the </w:t>
      </w:r>
      <w:r w:rsidR="00195776" w:rsidRPr="00567400">
        <w:rPr>
          <w:rFonts w:ascii="Calibri Light" w:eastAsia="Calibri Light" w:hAnsi="Calibri Light" w:cs="Calibri Light"/>
          <w:color w:val="495965"/>
          <w:u w:color="495965"/>
          <w:bdr w:val="nil"/>
          <w:lang w:val="en-US" w:eastAsia="en-AU"/>
        </w:rPr>
        <w:t>Unit influences</w:t>
      </w:r>
      <w:r w:rsidR="007F6222" w:rsidRPr="00567400">
        <w:rPr>
          <w:rFonts w:ascii="Calibri Light" w:eastAsia="Calibri Light" w:hAnsi="Calibri Light" w:cs="Calibri Light"/>
          <w:color w:val="495965"/>
          <w:u w:color="495965"/>
          <w:bdr w:val="nil"/>
          <w:lang w:val="en-US" w:eastAsia="en-AU"/>
        </w:rPr>
        <w:t xml:space="preserve"> the lives of many millions of poor </w:t>
      </w:r>
      <w:r w:rsidR="00195776" w:rsidRPr="00567400">
        <w:rPr>
          <w:rFonts w:ascii="Calibri Light" w:eastAsia="Calibri Light" w:hAnsi="Calibri Light" w:cs="Calibri Light"/>
          <w:color w:val="495965"/>
          <w:u w:color="495965"/>
          <w:bdr w:val="nil"/>
          <w:lang w:val="en-US" w:eastAsia="en-AU"/>
        </w:rPr>
        <w:t xml:space="preserve">men and women in Bangladesh through its </w:t>
      </w:r>
      <w:r w:rsidR="007F6222" w:rsidRPr="00567400">
        <w:rPr>
          <w:rFonts w:ascii="Calibri Light" w:eastAsia="Calibri Light" w:hAnsi="Calibri Light" w:cs="Calibri Light"/>
          <w:color w:val="495965"/>
          <w:u w:color="495965"/>
          <w:bdr w:val="nil"/>
          <w:lang w:val="en-US" w:eastAsia="en-AU"/>
        </w:rPr>
        <w:t>engagement in the</w:t>
      </w:r>
      <w:r w:rsidR="00195776" w:rsidRPr="00567400">
        <w:rPr>
          <w:rFonts w:ascii="Calibri Light" w:eastAsia="Calibri Light" w:hAnsi="Calibri Light" w:cs="Calibri Light"/>
          <w:color w:val="495965"/>
          <w:u w:color="495965"/>
          <w:bdr w:val="nil"/>
          <w:lang w:val="en-US" w:eastAsia="en-AU"/>
        </w:rPr>
        <w:t xml:space="preserve"> government’</w:t>
      </w:r>
      <w:r w:rsidR="007F6222" w:rsidRPr="00567400">
        <w:rPr>
          <w:rFonts w:ascii="Calibri Light" w:eastAsia="Calibri Light" w:hAnsi="Calibri Light" w:cs="Calibri Light"/>
          <w:color w:val="495965"/>
          <w:u w:color="495965"/>
          <w:bdr w:val="nil"/>
          <w:lang w:val="en-US" w:eastAsia="en-AU"/>
        </w:rPr>
        <w:t xml:space="preserve">s budget process and leadership in social protection </w:t>
      </w:r>
      <w:r w:rsidR="00195776" w:rsidRPr="00567400">
        <w:rPr>
          <w:rFonts w:ascii="Calibri Light" w:eastAsia="Calibri Light" w:hAnsi="Calibri Light" w:cs="Calibri Light"/>
          <w:color w:val="495965"/>
          <w:u w:color="495965"/>
          <w:bdr w:val="nil"/>
          <w:lang w:val="en-US" w:eastAsia="en-AU"/>
        </w:rPr>
        <w:t>initiatives.</w:t>
      </w:r>
      <w:r w:rsidR="00195776">
        <w:rPr>
          <w:rFonts w:ascii="Calibri Light" w:eastAsia="Calibri Light" w:hAnsi="Calibri Light" w:cs="Calibri Light"/>
          <w:color w:val="495965"/>
          <w:u w:color="495965"/>
          <w:bdr w:val="nil"/>
          <w:lang w:val="en-US" w:eastAsia="en-AU"/>
        </w:rPr>
        <w:t xml:space="preserve"> </w:t>
      </w:r>
    </w:p>
    <w:p w14:paraId="37BD11A1" w14:textId="77777777" w:rsidR="00026AE0" w:rsidRPr="0035542F" w:rsidRDefault="00DE5714" w:rsidP="00026AE0">
      <w:pPr>
        <w:pBdr>
          <w:top w:val="nil"/>
          <w:left w:val="nil"/>
          <w:bottom w:val="nil"/>
          <w:right w:val="nil"/>
          <w:between w:val="nil"/>
          <w:bar w:val="nil"/>
        </w:pBdr>
        <w:spacing w:after="120" w:line="280" w:lineRule="exact"/>
        <w:rPr>
          <w:rFonts w:asciiTheme="majorHAnsi" w:eastAsia="Calibri Light" w:hAnsiTheme="majorHAnsi" w:cs="Calibri Light"/>
          <w:b/>
          <w:bCs/>
          <w:color w:val="495965"/>
          <w:u w:color="495965"/>
          <w:bdr w:val="nil"/>
          <w:lang w:val="en-US" w:eastAsia="en-AU"/>
        </w:rPr>
      </w:pPr>
      <w:r w:rsidRPr="0035542F">
        <w:rPr>
          <w:rFonts w:asciiTheme="majorHAnsi" w:eastAsia="Calibri Light" w:hAnsiTheme="majorHAnsi" w:cs="Calibri Light"/>
          <w:b/>
          <w:bCs/>
          <w:color w:val="495965"/>
          <w:u w:color="495965"/>
          <w:bdr w:val="nil"/>
          <w:lang w:val="en-US" w:eastAsia="en-AU"/>
        </w:rPr>
        <w:t>Outcome 2: NGOs and other partners provide the poorest women and women-led households with increased incomes and nutrition, greater assets and capacity to participate in the economy</w:t>
      </w:r>
    </w:p>
    <w:p w14:paraId="58A7A438" w14:textId="36EAD197" w:rsidR="003B6D11" w:rsidRPr="003B6D11" w:rsidRDefault="003B6D11" w:rsidP="003B6D11">
      <w:pPr>
        <w:pBdr>
          <w:top w:val="nil"/>
          <w:left w:val="nil"/>
          <w:bottom w:val="nil"/>
          <w:right w:val="nil"/>
          <w:between w:val="nil"/>
          <w:bar w:val="nil"/>
        </w:pBdr>
        <w:spacing w:after="120" w:line="280" w:lineRule="exact"/>
        <w:jc w:val="both"/>
        <w:rPr>
          <w:rFonts w:ascii="Calibri Light" w:eastAsia="Calibri Light" w:hAnsi="Calibri Light" w:cs="Calibri Light"/>
          <w:color w:val="495965"/>
          <w:u w:color="495965"/>
          <w:bdr w:val="nil"/>
          <w:lang w:val="en-US" w:eastAsia="en-AU"/>
        </w:rPr>
      </w:pPr>
      <w:r w:rsidRPr="003B6D11">
        <w:rPr>
          <w:rFonts w:ascii="Calibri Light" w:eastAsia="Calibri Light" w:hAnsi="Calibri Light" w:cs="Calibri Light"/>
          <w:color w:val="495965"/>
          <w:u w:color="495965"/>
          <w:bdr w:val="nil"/>
          <w:lang w:val="en-US" w:eastAsia="en-AU"/>
        </w:rPr>
        <w:t>Australia’s partnerships with BRAC and WFP helped women and their families to find pathways out of extreme poverty, and supported improvements in the nutritional status of pregnant and lactating women and children in vulnerable communities, including Rohingya people, in Cox’s Bazar District. Our WFP assistance to communities in Cox’s Bazar District is consistent with the Government’s National Strategy on Myanmar Refugees and Undocumented Myanmar Nationals in Bangladesh. Australia provided an additional $3.9 million in 2016-17 to support WFP’s work to meet the basic nutrition needs of new Rohingya arrivals from Myanmar.</w:t>
      </w:r>
    </w:p>
    <w:p w14:paraId="715825B9" w14:textId="0DCBA5E3" w:rsidR="003A3640" w:rsidRPr="003B6D11" w:rsidRDefault="003A3640" w:rsidP="00026AE0">
      <w:pPr>
        <w:pBdr>
          <w:top w:val="nil"/>
          <w:left w:val="nil"/>
          <w:bottom w:val="nil"/>
          <w:right w:val="nil"/>
          <w:between w:val="nil"/>
          <w:bar w:val="nil"/>
        </w:pBdr>
        <w:spacing w:after="120" w:line="280" w:lineRule="exact"/>
        <w:jc w:val="both"/>
        <w:rPr>
          <w:rFonts w:eastAsia="Calibri Light" w:cs="Calibri Light"/>
          <w:b/>
          <w:bCs/>
          <w:color w:val="495965"/>
          <w:u w:color="495965"/>
          <w:bdr w:val="nil"/>
          <w:lang w:val="en-US" w:eastAsia="en-AU"/>
        </w:rPr>
      </w:pPr>
      <w:r w:rsidRPr="003B6D11">
        <w:rPr>
          <w:rFonts w:ascii="Calibri Light" w:eastAsia="Calibri Light" w:hAnsi="Calibri Light" w:cs="Calibri Light"/>
          <w:color w:val="495965"/>
          <w:u w:color="495965"/>
          <w:bdr w:val="nil"/>
          <w:lang w:val="en-US" w:eastAsia="en-AU"/>
        </w:rPr>
        <w:t>During</w:t>
      </w:r>
      <w:r w:rsidR="00124505" w:rsidRPr="003B6D11">
        <w:rPr>
          <w:rFonts w:ascii="Calibri Light" w:eastAsia="Calibri Light" w:hAnsi="Calibri Light" w:cs="Calibri Light"/>
          <w:color w:val="495965"/>
          <w:u w:color="495965"/>
          <w:bdr w:val="nil"/>
          <w:lang w:val="en-US" w:eastAsia="en-AU"/>
        </w:rPr>
        <w:t xml:space="preserve"> the reporting period Australia </w:t>
      </w:r>
      <w:r w:rsidRPr="003B6D11">
        <w:rPr>
          <w:rFonts w:ascii="Calibri Light" w:eastAsia="Calibri Light" w:hAnsi="Calibri Light" w:cs="Calibri Light"/>
          <w:color w:val="495965"/>
          <w:u w:color="495965"/>
          <w:bdr w:val="nil"/>
          <w:lang w:val="en-US" w:eastAsia="en-AU"/>
        </w:rPr>
        <w:t>contributed to</w:t>
      </w:r>
      <w:r w:rsidR="00124505" w:rsidRPr="003B6D11">
        <w:rPr>
          <w:rFonts w:ascii="Calibri Light" w:eastAsia="Calibri Light" w:hAnsi="Calibri Light" w:cs="Calibri Light"/>
          <w:color w:val="495965"/>
          <w:u w:color="495965"/>
          <w:bdr w:val="nil"/>
          <w:lang w:val="en-US" w:eastAsia="en-AU"/>
        </w:rPr>
        <w:t>:</w:t>
      </w:r>
    </w:p>
    <w:p w14:paraId="2B8FB3FB" w14:textId="5DD8A579" w:rsidR="0042437D" w:rsidRPr="003B6D11" w:rsidRDefault="00BC446E" w:rsidP="0042437D">
      <w:pPr>
        <w:pStyle w:val="ListParagraph"/>
        <w:numPr>
          <w:ilvl w:val="0"/>
          <w:numId w:val="18"/>
        </w:numPr>
        <w:jc w:val="both"/>
        <w:rPr>
          <w:rFonts w:ascii="Calibri Light" w:eastAsia="Calibri Light" w:hAnsi="Calibri Light" w:cs="Calibri Light"/>
          <w:color w:val="495965"/>
          <w:sz w:val="22"/>
          <w:szCs w:val="22"/>
          <w:u w:color="495965"/>
          <w:bdr w:val="nil"/>
          <w:lang w:val="en-US" w:eastAsia="en-AU"/>
        </w:rPr>
      </w:pPr>
      <w:r w:rsidRPr="003B6D11">
        <w:rPr>
          <w:rFonts w:ascii="Calibri Light" w:eastAsia="Calibri Light" w:hAnsi="Calibri Light" w:cs="Calibri Light"/>
          <w:color w:val="495965"/>
          <w:sz w:val="22"/>
          <w:szCs w:val="22"/>
          <w:u w:color="495965"/>
          <w:bdr w:val="nil"/>
          <w:lang w:val="en-US" w:eastAsia="en-AU"/>
        </w:rPr>
        <w:t>Providing 9,481 women and their households (against a target of 9,600) in Cox’s Bazar District with cash transfers to support livelihood activities, leading to improvements in women’s confidence, mobility, and household decision-making capabilities, particula</w:t>
      </w:r>
      <w:r w:rsidR="00DE6766" w:rsidRPr="003B6D11">
        <w:rPr>
          <w:rFonts w:ascii="Calibri Light" w:eastAsia="Calibri Light" w:hAnsi="Calibri Light" w:cs="Calibri Light"/>
          <w:color w:val="495965"/>
          <w:sz w:val="22"/>
          <w:szCs w:val="22"/>
          <w:u w:color="495965"/>
          <w:bdr w:val="nil"/>
          <w:lang w:val="en-US" w:eastAsia="en-AU"/>
        </w:rPr>
        <w:t>rly</w:t>
      </w:r>
      <w:r w:rsidR="0042437D" w:rsidRPr="003B6D11">
        <w:rPr>
          <w:rFonts w:ascii="Calibri Light" w:eastAsia="Calibri Light" w:hAnsi="Calibri Light" w:cs="Calibri Light"/>
          <w:color w:val="495965"/>
          <w:sz w:val="22"/>
          <w:szCs w:val="22"/>
          <w:u w:color="495965"/>
          <w:bdr w:val="nil"/>
          <w:lang w:val="en-US" w:eastAsia="en-AU"/>
        </w:rPr>
        <w:t xml:space="preserve"> around household finances</w:t>
      </w:r>
      <w:r w:rsidRPr="003B6D11">
        <w:rPr>
          <w:rFonts w:ascii="Calibri Light" w:eastAsia="Calibri Light" w:hAnsi="Calibri Light" w:cs="Calibri Light"/>
          <w:color w:val="495965"/>
          <w:sz w:val="22"/>
          <w:szCs w:val="22"/>
          <w:u w:color="495965"/>
          <w:bdr w:val="nil"/>
          <w:lang w:val="en-US" w:eastAsia="en-AU"/>
        </w:rPr>
        <w:t xml:space="preserve"> </w:t>
      </w:r>
      <w:r w:rsidRPr="003B6D11">
        <w:rPr>
          <w:rStyle w:val="FootnoteReference"/>
          <w:rFonts w:ascii="Calibri Light" w:eastAsia="Calibri Light" w:hAnsi="Calibri Light" w:cs="Calibri Light"/>
          <w:color w:val="495965"/>
          <w:sz w:val="22"/>
          <w:szCs w:val="22"/>
          <w:u w:color="495965"/>
          <w:bdr w:val="nil"/>
          <w:lang w:val="en-US" w:eastAsia="en-AU"/>
        </w:rPr>
        <w:footnoteReference w:id="34"/>
      </w:r>
      <w:r w:rsidR="002A6DF3" w:rsidRPr="003B6D11">
        <w:rPr>
          <w:rFonts w:ascii="Calibri Light" w:eastAsia="Calibri Light" w:hAnsi="Calibri Light" w:cs="Calibri Light"/>
          <w:color w:val="495965"/>
          <w:sz w:val="22"/>
          <w:szCs w:val="22"/>
          <w:u w:color="495965"/>
          <w:bdr w:val="nil"/>
          <w:lang w:val="en-US" w:eastAsia="en-AU"/>
        </w:rPr>
        <w:t>.</w:t>
      </w:r>
    </w:p>
    <w:p w14:paraId="6713C44E" w14:textId="563AEACB" w:rsidR="0042437D" w:rsidRPr="00567400" w:rsidRDefault="0042437D" w:rsidP="00026AE0">
      <w:pPr>
        <w:pStyle w:val="ListParagraph"/>
        <w:numPr>
          <w:ilvl w:val="0"/>
          <w:numId w:val="18"/>
        </w:numPr>
        <w:jc w:val="both"/>
        <w:rPr>
          <w:rFonts w:ascii="Calibri Light" w:eastAsia="Calibri Light" w:hAnsi="Calibri Light" w:cs="Calibri Light"/>
          <w:color w:val="495965"/>
          <w:sz w:val="22"/>
          <w:szCs w:val="22"/>
          <w:u w:color="495965"/>
          <w:bdr w:val="nil"/>
          <w:lang w:val="en-US" w:eastAsia="en-AU"/>
        </w:rPr>
      </w:pPr>
      <w:r w:rsidRPr="00567400">
        <w:rPr>
          <w:rFonts w:ascii="Calibri Light" w:eastAsia="Calibri Light" w:hAnsi="Calibri Light" w:cs="Calibri Light"/>
          <w:color w:val="495965"/>
          <w:sz w:val="22"/>
          <w:szCs w:val="22"/>
          <w:u w:color="495965"/>
          <w:bdr w:val="nil"/>
          <w:lang w:val="en-GB" w:eastAsia="en-AU"/>
        </w:rPr>
        <w:t>Increasing women’s leadership by targeting female household members to be primary holders of the electronic food vouchers. As cardholders, women had greater choice and control over their family’s food needs</w:t>
      </w:r>
      <w:r w:rsidRPr="00567400">
        <w:rPr>
          <w:rFonts w:ascii="Calibri Light" w:eastAsia="Calibri Light" w:hAnsi="Calibri Light" w:cs="Calibri Light"/>
          <w:color w:val="495965"/>
          <w:sz w:val="22"/>
          <w:szCs w:val="22"/>
          <w:u w:color="495965"/>
          <w:bdr w:val="nil"/>
          <w:vertAlign w:val="superscript"/>
          <w:lang w:val="en-GB" w:eastAsia="en-AU"/>
        </w:rPr>
        <w:footnoteReference w:id="35"/>
      </w:r>
      <w:r w:rsidRPr="00567400">
        <w:rPr>
          <w:rFonts w:ascii="Calibri Light" w:eastAsia="Calibri Light" w:hAnsi="Calibri Light" w:cs="Calibri Light"/>
          <w:color w:val="495965"/>
          <w:sz w:val="22"/>
          <w:szCs w:val="22"/>
          <w:u w:color="495965"/>
          <w:bdr w:val="nil"/>
          <w:lang w:val="en-GB" w:eastAsia="en-AU"/>
        </w:rPr>
        <w:t xml:space="preserve">.  </w:t>
      </w:r>
    </w:p>
    <w:p w14:paraId="386BECB8" w14:textId="5B6DB8D6" w:rsidR="003A3640" w:rsidRPr="00567400" w:rsidRDefault="00FA4C59" w:rsidP="00026AE0">
      <w:pPr>
        <w:numPr>
          <w:ilvl w:val="0"/>
          <w:numId w:val="18"/>
        </w:numPr>
        <w:pBdr>
          <w:top w:val="nil"/>
          <w:left w:val="nil"/>
          <w:bottom w:val="nil"/>
          <w:right w:val="nil"/>
          <w:between w:val="nil"/>
          <w:bar w:val="nil"/>
        </w:pBdr>
        <w:suppressAutoHyphens w:val="0"/>
        <w:spacing w:before="0" w:after="120" w:line="280" w:lineRule="exact"/>
        <w:jc w:val="both"/>
        <w:rPr>
          <w:rFonts w:ascii="Calibri Light" w:eastAsia="Calibri Light" w:hAnsi="Calibri Light" w:cs="Calibri Light"/>
          <w:color w:val="495965"/>
          <w:u w:color="495965"/>
          <w:bdr w:val="nil"/>
          <w:lang w:val="en-US" w:eastAsia="en-AU"/>
        </w:rPr>
      </w:pPr>
      <w:r w:rsidRPr="00567400">
        <w:rPr>
          <w:rFonts w:ascii="Calibri Light" w:eastAsia="Calibri Light" w:hAnsi="Calibri Light" w:cs="Calibri Light"/>
          <w:color w:val="495965"/>
          <w:u w:color="495965"/>
          <w:bdr w:val="nil"/>
          <w:lang w:val="en-US" w:eastAsia="en-AU"/>
        </w:rPr>
        <w:t>Addressing effort</w:t>
      </w:r>
      <w:r w:rsidR="00281C37" w:rsidRPr="00567400">
        <w:rPr>
          <w:rFonts w:ascii="Calibri Light" w:eastAsia="Calibri Light" w:hAnsi="Calibri Light" w:cs="Calibri Light"/>
          <w:color w:val="495965"/>
          <w:u w:color="495965"/>
          <w:bdr w:val="nil"/>
          <w:lang w:val="en-US" w:eastAsia="en-AU"/>
        </w:rPr>
        <w:t>s</w:t>
      </w:r>
      <w:r w:rsidRPr="00567400">
        <w:rPr>
          <w:rFonts w:ascii="Calibri Light" w:eastAsia="Calibri Light" w:hAnsi="Calibri Light" w:cs="Calibri Light"/>
          <w:color w:val="495965"/>
          <w:u w:color="495965"/>
          <w:bdr w:val="nil"/>
          <w:lang w:val="en-US" w:eastAsia="en-AU"/>
        </w:rPr>
        <w:t xml:space="preserve"> to lower</w:t>
      </w:r>
      <w:r w:rsidR="003A3640" w:rsidRPr="00567400">
        <w:rPr>
          <w:rFonts w:ascii="Calibri Light" w:eastAsia="Calibri Light" w:hAnsi="Calibri Light" w:cs="Calibri Light"/>
          <w:color w:val="495965"/>
          <w:u w:color="495965"/>
          <w:bdr w:val="nil"/>
          <w:lang w:val="en-US" w:eastAsia="en-AU"/>
        </w:rPr>
        <w:t xml:space="preserve"> the rates of stunting </w:t>
      </w:r>
      <w:r w:rsidR="00BC446E" w:rsidRPr="00567400">
        <w:rPr>
          <w:rFonts w:ascii="Calibri Light" w:eastAsia="Calibri Light" w:hAnsi="Calibri Light" w:cs="Calibri Light"/>
          <w:color w:val="495965"/>
          <w:u w:color="495965"/>
          <w:bdr w:val="nil"/>
          <w:lang w:val="en-US" w:eastAsia="en-AU"/>
        </w:rPr>
        <w:t xml:space="preserve">children </w:t>
      </w:r>
      <w:r w:rsidR="003A3640" w:rsidRPr="00567400">
        <w:rPr>
          <w:rFonts w:ascii="Calibri Light" w:eastAsia="Calibri Light" w:hAnsi="Calibri Light" w:cs="Calibri Light"/>
          <w:color w:val="495965"/>
          <w:u w:color="495965"/>
          <w:bdr w:val="nil"/>
          <w:lang w:val="en-US" w:eastAsia="en-AU"/>
        </w:rPr>
        <w:t>by two per</w:t>
      </w:r>
      <w:r w:rsidR="00281C37" w:rsidRPr="00567400">
        <w:rPr>
          <w:rFonts w:ascii="Calibri Light" w:eastAsia="Calibri Light" w:hAnsi="Calibri Light" w:cs="Calibri Light"/>
          <w:color w:val="495965"/>
          <w:u w:color="495965"/>
          <w:bdr w:val="nil"/>
          <w:lang w:val="en-US" w:eastAsia="en-AU"/>
        </w:rPr>
        <w:t xml:space="preserve"> </w:t>
      </w:r>
      <w:r w:rsidR="003A3640" w:rsidRPr="00567400">
        <w:rPr>
          <w:rFonts w:ascii="Calibri Light" w:eastAsia="Calibri Light" w:hAnsi="Calibri Light" w:cs="Calibri Light"/>
          <w:color w:val="495965"/>
          <w:u w:color="495965"/>
          <w:bdr w:val="nil"/>
          <w:lang w:val="en-US" w:eastAsia="en-AU"/>
        </w:rPr>
        <w:t xml:space="preserve">cent (a PAF target) </w:t>
      </w:r>
      <w:r w:rsidR="00A756FB" w:rsidRPr="00567400">
        <w:rPr>
          <w:rFonts w:ascii="Calibri Light" w:eastAsia="Calibri Light" w:hAnsi="Calibri Light" w:cs="Calibri Light"/>
          <w:color w:val="495965"/>
          <w:u w:color="495965"/>
          <w:bdr w:val="nil"/>
          <w:lang w:val="en-US" w:eastAsia="en-AU"/>
        </w:rPr>
        <w:t xml:space="preserve">in Cox’s Bazar District </w:t>
      </w:r>
      <w:r w:rsidR="003A3640" w:rsidRPr="00567400">
        <w:rPr>
          <w:rFonts w:ascii="Calibri Light" w:eastAsia="Calibri Light" w:hAnsi="Calibri Light" w:cs="Calibri Light"/>
          <w:color w:val="495965"/>
          <w:u w:color="495965"/>
          <w:bdr w:val="nil"/>
          <w:lang w:val="en-US" w:eastAsia="en-AU"/>
        </w:rPr>
        <w:t xml:space="preserve">from 42.47 per cent to 40.7 per cent, </w:t>
      </w:r>
      <w:r w:rsidRPr="00567400">
        <w:rPr>
          <w:rFonts w:ascii="Calibri Light" w:eastAsia="Calibri Light" w:hAnsi="Calibri Light" w:cs="Calibri Light"/>
          <w:color w:val="495965"/>
          <w:u w:color="495965"/>
          <w:bdr w:val="nil"/>
          <w:lang w:val="en-US" w:eastAsia="en-AU"/>
        </w:rPr>
        <w:t xml:space="preserve">including </w:t>
      </w:r>
      <w:r w:rsidR="003A3640" w:rsidRPr="00567400">
        <w:rPr>
          <w:rFonts w:ascii="Calibri Light" w:eastAsia="Calibri Light" w:hAnsi="Calibri Light" w:cs="Calibri Light"/>
          <w:color w:val="495965"/>
          <w:u w:color="495965"/>
          <w:bdr w:val="nil"/>
          <w:lang w:val="en-US" w:eastAsia="en-AU"/>
        </w:rPr>
        <w:t xml:space="preserve">through nutritional </w:t>
      </w:r>
      <w:r w:rsidR="00020E5A" w:rsidRPr="00567400">
        <w:rPr>
          <w:rFonts w:ascii="Calibri Light" w:eastAsia="Calibri Light" w:hAnsi="Calibri Light" w:cs="Calibri Light"/>
          <w:color w:val="495965"/>
          <w:u w:color="495965"/>
          <w:bdr w:val="nil"/>
          <w:lang w:val="en-US" w:eastAsia="en-AU"/>
        </w:rPr>
        <w:t>supplementation</w:t>
      </w:r>
      <w:r w:rsidR="003B6D11" w:rsidRPr="00567400">
        <w:rPr>
          <w:rFonts w:ascii="Calibri Light" w:eastAsia="Calibri Light" w:hAnsi="Calibri Light" w:cs="Calibri Light"/>
          <w:color w:val="495965"/>
          <w:u w:color="495965"/>
          <w:bdr w:val="nil"/>
          <w:lang w:val="en-US" w:eastAsia="en-AU"/>
        </w:rPr>
        <w:t xml:space="preserve"> and related programs</w:t>
      </w:r>
      <w:r w:rsidRPr="00567400">
        <w:rPr>
          <w:rFonts w:ascii="Calibri Light" w:eastAsia="Calibri Light" w:hAnsi="Calibri Light" w:cs="Calibri Light"/>
          <w:color w:val="495965"/>
          <w:u w:color="495965"/>
          <w:bdr w:val="nil"/>
          <w:lang w:val="en-US" w:eastAsia="en-AU"/>
        </w:rPr>
        <w:t xml:space="preserve"> </w:t>
      </w:r>
      <w:r w:rsidR="00362799" w:rsidRPr="00567400">
        <w:rPr>
          <w:rStyle w:val="FootnoteReference"/>
          <w:rFonts w:ascii="Calibri Light" w:eastAsia="Calibri Light" w:hAnsi="Calibri Light" w:cs="Calibri Light"/>
          <w:color w:val="495965"/>
          <w:u w:color="495965"/>
          <w:bdr w:val="nil"/>
          <w:lang w:val="en-US" w:eastAsia="en-AU"/>
        </w:rPr>
        <w:footnoteReference w:id="36"/>
      </w:r>
      <w:r w:rsidR="003A3640" w:rsidRPr="00567400">
        <w:rPr>
          <w:rFonts w:ascii="Calibri Light" w:eastAsia="Calibri Light" w:hAnsi="Calibri Light" w:cs="Calibri Light"/>
          <w:color w:val="495965"/>
          <w:u w:color="495965"/>
          <w:bdr w:val="nil"/>
          <w:lang w:val="en-US" w:eastAsia="en-AU"/>
        </w:rPr>
        <w:t>.</w:t>
      </w:r>
    </w:p>
    <w:p w14:paraId="1F652BAF" w14:textId="7BDBFA8C" w:rsidR="003A3640" w:rsidRPr="00567400" w:rsidRDefault="003A3640" w:rsidP="00026AE0">
      <w:pPr>
        <w:pStyle w:val="ListParagraph"/>
        <w:numPr>
          <w:ilvl w:val="0"/>
          <w:numId w:val="18"/>
        </w:numPr>
        <w:spacing w:after="120" w:line="280" w:lineRule="exact"/>
        <w:jc w:val="both"/>
        <w:rPr>
          <w:rFonts w:ascii="Calibri Light" w:eastAsia="Calibri Light" w:hAnsi="Calibri Light" w:cs="Calibri Light"/>
          <w:color w:val="495965"/>
          <w:sz w:val="22"/>
          <w:szCs w:val="22"/>
          <w:u w:color="495965"/>
          <w:bdr w:val="nil"/>
          <w:lang w:val="en-US" w:eastAsia="en-AU"/>
        </w:rPr>
      </w:pPr>
      <w:r w:rsidRPr="00567400">
        <w:rPr>
          <w:rFonts w:ascii="Calibri Light" w:eastAsia="Calibri Light" w:hAnsi="Calibri Light" w:cs="Calibri Light"/>
          <w:color w:val="495965"/>
          <w:sz w:val="22"/>
          <w:szCs w:val="22"/>
          <w:u w:color="495965"/>
          <w:bdr w:val="nil"/>
          <w:lang w:val="en-US" w:eastAsia="en-AU"/>
        </w:rPr>
        <w:lastRenderedPageBreak/>
        <w:t>Providing 117,416 school</w:t>
      </w:r>
      <w:r w:rsidR="00567400">
        <w:rPr>
          <w:rFonts w:ascii="Calibri Light" w:eastAsia="Calibri Light" w:hAnsi="Calibri Light" w:cs="Calibri Light"/>
          <w:color w:val="495965"/>
          <w:sz w:val="22"/>
          <w:szCs w:val="22"/>
          <w:u w:color="495965"/>
          <w:bdr w:val="nil"/>
          <w:lang w:val="en-US" w:eastAsia="en-AU"/>
        </w:rPr>
        <w:t xml:space="preserve"> </w:t>
      </w:r>
      <w:r w:rsidRPr="00567400">
        <w:rPr>
          <w:rFonts w:ascii="Calibri Light" w:eastAsia="Calibri Light" w:hAnsi="Calibri Light" w:cs="Calibri Light"/>
          <w:color w:val="495965"/>
          <w:sz w:val="22"/>
          <w:szCs w:val="22"/>
          <w:u w:color="495965"/>
          <w:bdr w:val="nil"/>
          <w:lang w:val="en-US" w:eastAsia="en-AU"/>
        </w:rPr>
        <w:t>children in 500 schools with high-energy biscuits</w:t>
      </w:r>
      <w:r w:rsidR="00070407" w:rsidRPr="00567400">
        <w:rPr>
          <w:rFonts w:ascii="Calibri Light" w:eastAsia="Calibri Light" w:hAnsi="Calibri Light" w:cs="Calibri Light"/>
          <w:color w:val="495965"/>
          <w:sz w:val="22"/>
          <w:szCs w:val="22"/>
          <w:u w:color="495965"/>
          <w:bdr w:val="nil"/>
          <w:lang w:val="en-US" w:eastAsia="en-AU"/>
        </w:rPr>
        <w:t xml:space="preserve">, </w:t>
      </w:r>
      <w:r w:rsidR="0071415F" w:rsidRPr="00567400">
        <w:rPr>
          <w:rFonts w:ascii="Calibri Light" w:eastAsia="Calibri Light" w:hAnsi="Calibri Light" w:cs="Calibri Light"/>
          <w:color w:val="495965"/>
          <w:sz w:val="22"/>
          <w:szCs w:val="22"/>
          <w:u w:color="495965"/>
          <w:bdr w:val="nil"/>
          <w:lang w:val="en-US" w:eastAsia="en-AU"/>
        </w:rPr>
        <w:t xml:space="preserve">including </w:t>
      </w:r>
      <w:r w:rsidR="00BC446E" w:rsidRPr="00567400">
        <w:rPr>
          <w:rFonts w:ascii="Calibri Light" w:eastAsia="Calibri Light" w:hAnsi="Calibri Light" w:cs="Calibri Light"/>
          <w:color w:val="495965"/>
          <w:sz w:val="22"/>
          <w:szCs w:val="22"/>
          <w:u w:color="495965"/>
          <w:bdr w:val="nil"/>
          <w:lang w:val="en-US" w:eastAsia="en-AU"/>
        </w:rPr>
        <w:t>education</w:t>
      </w:r>
      <w:r w:rsidR="0071415F" w:rsidRPr="00567400">
        <w:rPr>
          <w:rFonts w:ascii="Calibri Light" w:eastAsia="Calibri Light" w:hAnsi="Calibri Light" w:cs="Calibri Light"/>
          <w:color w:val="495965"/>
          <w:sz w:val="22"/>
          <w:szCs w:val="22"/>
          <w:u w:color="495965"/>
          <w:bdr w:val="nil"/>
          <w:lang w:val="en-US" w:eastAsia="en-AU"/>
        </w:rPr>
        <w:t xml:space="preserve"> on nutrition</w:t>
      </w:r>
      <w:r w:rsidR="00BC446E" w:rsidRPr="00567400">
        <w:rPr>
          <w:rFonts w:ascii="Calibri Light" w:eastAsia="Calibri Light" w:hAnsi="Calibri Light" w:cs="Calibri Light"/>
          <w:color w:val="495965"/>
          <w:sz w:val="22"/>
          <w:szCs w:val="22"/>
          <w:u w:color="495965"/>
          <w:bdr w:val="nil"/>
          <w:lang w:val="en-US" w:eastAsia="en-AU"/>
        </w:rPr>
        <w:t>, helping to contribut</w:t>
      </w:r>
      <w:r w:rsidR="00BB5603" w:rsidRPr="00567400">
        <w:rPr>
          <w:rFonts w:ascii="Calibri Light" w:eastAsia="Calibri Light" w:hAnsi="Calibri Light" w:cs="Calibri Light"/>
          <w:color w:val="495965"/>
          <w:sz w:val="22"/>
          <w:szCs w:val="22"/>
          <w:u w:color="495965"/>
          <w:bdr w:val="nil"/>
          <w:lang w:val="en-US" w:eastAsia="en-AU"/>
        </w:rPr>
        <w:t>e</w:t>
      </w:r>
      <w:r w:rsidR="00BC446E" w:rsidRPr="00567400">
        <w:rPr>
          <w:rFonts w:ascii="Calibri Light" w:eastAsia="Calibri Light" w:hAnsi="Calibri Light" w:cs="Calibri Light"/>
          <w:color w:val="495965"/>
          <w:sz w:val="22"/>
          <w:szCs w:val="22"/>
          <w:u w:color="495965"/>
          <w:bdr w:val="nil"/>
          <w:lang w:val="en-US" w:eastAsia="en-AU"/>
        </w:rPr>
        <w:t xml:space="preserve"> to increased enrolment and attendance in schools</w:t>
      </w:r>
      <w:r w:rsidR="00AD001E" w:rsidRPr="00567400">
        <w:rPr>
          <w:rStyle w:val="FootnoteReference"/>
          <w:rFonts w:ascii="Calibri Light" w:eastAsia="Calibri Light" w:hAnsi="Calibri Light" w:cs="Calibri Light"/>
          <w:color w:val="495965"/>
          <w:sz w:val="22"/>
          <w:szCs w:val="22"/>
          <w:u w:color="495965"/>
          <w:bdr w:val="nil"/>
          <w:lang w:val="en-US" w:eastAsia="en-AU"/>
        </w:rPr>
        <w:footnoteReference w:id="37"/>
      </w:r>
      <w:r w:rsidR="00BC446E" w:rsidRPr="00567400">
        <w:rPr>
          <w:rFonts w:ascii="Calibri Light" w:eastAsia="Calibri Light" w:hAnsi="Calibri Light" w:cs="Calibri Light"/>
          <w:color w:val="495965"/>
          <w:sz w:val="22"/>
          <w:szCs w:val="22"/>
          <w:u w:color="495965"/>
          <w:bdr w:val="nil"/>
          <w:lang w:val="en-US" w:eastAsia="en-AU"/>
        </w:rPr>
        <w:t xml:space="preserve">. </w:t>
      </w:r>
      <w:r w:rsidRPr="00567400">
        <w:rPr>
          <w:rFonts w:ascii="Calibri Light" w:eastAsia="Calibri Light" w:hAnsi="Calibri Light" w:cs="Calibri Light"/>
          <w:color w:val="495965"/>
          <w:sz w:val="22"/>
          <w:szCs w:val="22"/>
          <w:u w:color="495965"/>
          <w:bdr w:val="nil"/>
          <w:lang w:val="en-US" w:eastAsia="en-AU"/>
        </w:rPr>
        <w:t>Enrolments increased by three per</w:t>
      </w:r>
      <w:r w:rsidR="0071415F" w:rsidRPr="00567400">
        <w:rPr>
          <w:rFonts w:ascii="Calibri Light" w:eastAsia="Calibri Light" w:hAnsi="Calibri Light" w:cs="Calibri Light"/>
          <w:color w:val="495965"/>
          <w:sz w:val="22"/>
          <w:szCs w:val="22"/>
          <w:u w:color="495965"/>
          <w:bdr w:val="nil"/>
          <w:lang w:val="en-US" w:eastAsia="en-AU"/>
        </w:rPr>
        <w:t xml:space="preserve"> </w:t>
      </w:r>
      <w:r w:rsidRPr="00567400">
        <w:rPr>
          <w:rFonts w:ascii="Calibri Light" w:eastAsia="Calibri Light" w:hAnsi="Calibri Light" w:cs="Calibri Light"/>
          <w:color w:val="495965"/>
          <w:sz w:val="22"/>
          <w:szCs w:val="22"/>
          <w:u w:color="495965"/>
          <w:bdr w:val="nil"/>
          <w:lang w:val="en-US" w:eastAsia="en-AU"/>
        </w:rPr>
        <w:t>cent in 2016 and retention rates were up by two per cent from 2015 levels</w:t>
      </w:r>
      <w:r w:rsidR="00362799" w:rsidRPr="00567400">
        <w:rPr>
          <w:rStyle w:val="FootnoteReference"/>
          <w:rFonts w:ascii="Calibri Light" w:eastAsia="Calibri Light" w:hAnsi="Calibri Light" w:cs="Calibri Light"/>
          <w:color w:val="495965"/>
          <w:sz w:val="22"/>
          <w:szCs w:val="22"/>
          <w:u w:color="495965"/>
          <w:bdr w:val="nil"/>
          <w:lang w:val="en-US" w:eastAsia="en-AU"/>
        </w:rPr>
        <w:footnoteReference w:id="38"/>
      </w:r>
      <w:r w:rsidRPr="00567400">
        <w:rPr>
          <w:rFonts w:ascii="Calibri Light" w:eastAsia="Calibri Light" w:hAnsi="Calibri Light" w:cs="Calibri Light"/>
          <w:color w:val="495965"/>
          <w:sz w:val="22"/>
          <w:szCs w:val="22"/>
          <w:u w:color="495965"/>
          <w:bdr w:val="nil"/>
          <w:lang w:val="en-US" w:eastAsia="en-AU"/>
        </w:rPr>
        <w:t>.</w:t>
      </w:r>
    </w:p>
    <w:p w14:paraId="3B194721" w14:textId="1CD8CF9A" w:rsidR="00F00AD5" w:rsidRPr="001674F6" w:rsidRDefault="003A3640" w:rsidP="00026AE0">
      <w:pPr>
        <w:pBdr>
          <w:top w:val="nil"/>
          <w:left w:val="nil"/>
          <w:bottom w:val="nil"/>
          <w:right w:val="nil"/>
          <w:between w:val="nil"/>
          <w:bar w:val="nil"/>
        </w:pBdr>
        <w:spacing w:after="120" w:line="280" w:lineRule="exact"/>
        <w:jc w:val="both"/>
        <w:rPr>
          <w:rFonts w:ascii="Calibri Light" w:eastAsia="Calibri Light" w:hAnsi="Calibri Light" w:cs="Calibri Light"/>
          <w:color w:val="495965"/>
          <w:u w:color="495965"/>
          <w:bdr w:val="nil"/>
          <w:lang w:val="en-US" w:eastAsia="en-AU"/>
        </w:rPr>
      </w:pPr>
      <w:r w:rsidRPr="00312118">
        <w:rPr>
          <w:rFonts w:ascii="Calibri Light" w:eastAsia="Calibri Light" w:hAnsi="Calibri Light" w:cs="Calibri Light"/>
          <w:color w:val="495965"/>
          <w:u w:color="495965"/>
          <w:bdr w:val="nil"/>
          <w:lang w:val="en-US" w:eastAsia="en-AU"/>
        </w:rPr>
        <w:t>Australia’s partnership with BRAC continued to deliver strong results in women’s economic empowerment</w:t>
      </w:r>
      <w:r>
        <w:rPr>
          <w:rFonts w:ascii="Calibri Light" w:eastAsia="Calibri Light" w:hAnsi="Calibri Light" w:cs="Calibri Light"/>
          <w:color w:val="495965"/>
          <w:u w:color="495965"/>
          <w:bdr w:val="nil"/>
          <w:lang w:val="en-US" w:eastAsia="en-AU"/>
        </w:rPr>
        <w:t xml:space="preserve"> for the poorest and most </w:t>
      </w:r>
      <w:r w:rsidR="009D3549">
        <w:rPr>
          <w:rFonts w:ascii="Calibri Light" w:eastAsia="Calibri Light" w:hAnsi="Calibri Light" w:cs="Calibri Light"/>
          <w:color w:val="495965"/>
          <w:u w:color="495965"/>
          <w:bdr w:val="nil"/>
          <w:lang w:val="en-US" w:eastAsia="en-AU"/>
        </w:rPr>
        <w:t>marginali</w:t>
      </w:r>
      <w:r w:rsidR="005E593D">
        <w:rPr>
          <w:rFonts w:ascii="Calibri Light" w:eastAsia="Calibri Light" w:hAnsi="Calibri Light" w:cs="Calibri Light"/>
          <w:color w:val="495965"/>
          <w:u w:color="495965"/>
          <w:bdr w:val="nil"/>
          <w:lang w:val="en-US" w:eastAsia="en-AU"/>
        </w:rPr>
        <w:t>s</w:t>
      </w:r>
      <w:r w:rsidR="009D3549">
        <w:rPr>
          <w:rFonts w:ascii="Calibri Light" w:eastAsia="Calibri Light" w:hAnsi="Calibri Light" w:cs="Calibri Light"/>
          <w:color w:val="495965"/>
          <w:u w:color="495965"/>
          <w:bdr w:val="nil"/>
          <w:lang w:val="en-US" w:eastAsia="en-AU"/>
        </w:rPr>
        <w:t xml:space="preserve">ed </w:t>
      </w:r>
      <w:r w:rsidR="009208D1">
        <w:rPr>
          <w:rFonts w:ascii="Calibri Light" w:eastAsia="Calibri Light" w:hAnsi="Calibri Light" w:cs="Calibri Light"/>
          <w:color w:val="495965"/>
          <w:u w:color="495965"/>
          <w:bdr w:val="nil"/>
          <w:lang w:val="en-US" w:eastAsia="en-AU"/>
        </w:rPr>
        <w:t xml:space="preserve">in Bangladesh.  </w:t>
      </w:r>
      <w:r>
        <w:rPr>
          <w:rFonts w:ascii="Calibri Light" w:eastAsia="Calibri Light" w:hAnsi="Calibri Light" w:cs="Calibri Light"/>
          <w:color w:val="495965"/>
          <w:u w:color="495965"/>
          <w:bdr w:val="nil"/>
          <w:lang w:val="en-US" w:eastAsia="en-AU"/>
        </w:rPr>
        <w:t>BRAC’s</w:t>
      </w:r>
      <w:r w:rsidR="00E06AD6">
        <w:rPr>
          <w:rFonts w:ascii="Calibri Light" w:eastAsia="Calibri Light" w:hAnsi="Calibri Light" w:cs="Calibri Light"/>
          <w:color w:val="495965"/>
          <w:u w:color="495965"/>
          <w:bdr w:val="nil"/>
          <w:lang w:val="en-US" w:eastAsia="en-AU"/>
        </w:rPr>
        <w:t xml:space="preserve"> programs</w:t>
      </w:r>
      <w:r>
        <w:rPr>
          <w:rFonts w:ascii="Calibri Light" w:eastAsia="Calibri Light" w:hAnsi="Calibri Light" w:cs="Calibri Light"/>
          <w:color w:val="495965"/>
          <w:u w:color="495965"/>
          <w:bdr w:val="nil"/>
          <w:lang w:val="en-US" w:eastAsia="en-AU"/>
        </w:rPr>
        <w:t xml:space="preserve"> supported </w:t>
      </w:r>
      <w:r w:rsidR="00D55248" w:rsidRPr="00864648">
        <w:rPr>
          <w:rFonts w:ascii="Calibri Light" w:eastAsia="Calibri Light" w:hAnsi="Calibri Light" w:cs="Calibri Light"/>
          <w:color w:val="495965"/>
          <w:u w:color="495965"/>
          <w:bdr w:val="nil"/>
          <w:lang w:eastAsia="en-AU"/>
        </w:rPr>
        <w:t xml:space="preserve">86,975 </w:t>
      </w:r>
      <w:r w:rsidRPr="00864648">
        <w:rPr>
          <w:rFonts w:ascii="Calibri Light" w:eastAsia="Calibri Light" w:hAnsi="Calibri Light" w:cs="Calibri Light"/>
          <w:color w:val="495965"/>
          <w:u w:color="495965"/>
          <w:bdr w:val="nil"/>
          <w:lang w:val="en-US" w:eastAsia="en-AU"/>
        </w:rPr>
        <w:t>women and their famili</w:t>
      </w:r>
      <w:r w:rsidR="009D3549">
        <w:rPr>
          <w:rFonts w:ascii="Calibri Light" w:eastAsia="Calibri Light" w:hAnsi="Calibri Light" w:cs="Calibri Light"/>
          <w:color w:val="495965"/>
          <w:u w:color="495965"/>
          <w:bdr w:val="nil"/>
          <w:lang w:val="en-US" w:eastAsia="en-AU"/>
        </w:rPr>
        <w:t xml:space="preserve">es </w:t>
      </w:r>
      <w:r w:rsidRPr="00864648">
        <w:rPr>
          <w:rFonts w:ascii="Calibri Light" w:eastAsia="Calibri Light" w:hAnsi="Calibri Light" w:cs="Calibri Light"/>
          <w:color w:val="495965"/>
          <w:u w:color="495965"/>
          <w:bdr w:val="nil"/>
          <w:lang w:val="en-US" w:eastAsia="en-AU"/>
        </w:rPr>
        <w:t>to graduate from ultra-poverty</w:t>
      </w:r>
      <w:r w:rsidR="00A258EE" w:rsidRPr="00B4365A">
        <w:rPr>
          <w:rStyle w:val="FootnoteReference"/>
          <w:rFonts w:ascii="Calibri Light" w:eastAsia="Calibri Light" w:hAnsi="Calibri Light" w:cs="Calibri Light"/>
          <w:color w:val="495965"/>
          <w:u w:color="495965"/>
          <w:bdr w:val="nil"/>
          <w:lang w:val="en-US" w:eastAsia="en-AU"/>
        </w:rPr>
        <w:footnoteReference w:id="39"/>
      </w:r>
      <w:r w:rsidRPr="00864648">
        <w:rPr>
          <w:rFonts w:ascii="Calibri Light" w:eastAsia="Calibri Light" w:hAnsi="Calibri Light" w:cs="Calibri Light"/>
          <w:color w:val="495965"/>
          <w:u w:color="495965"/>
          <w:bdr w:val="nil"/>
          <w:lang w:val="en-US" w:eastAsia="en-AU"/>
        </w:rPr>
        <w:t>,</w:t>
      </w:r>
      <w:r>
        <w:rPr>
          <w:rFonts w:ascii="Calibri Light" w:eastAsia="Calibri Light" w:hAnsi="Calibri Light" w:cs="Calibri Light"/>
          <w:color w:val="495965"/>
          <w:u w:color="495965"/>
          <w:bdr w:val="nil"/>
          <w:lang w:val="en-US" w:eastAsia="en-AU"/>
        </w:rPr>
        <w:t xml:space="preserve"> to establish sustainable livelihoods and to access mainstream development pro</w:t>
      </w:r>
      <w:r w:rsidR="00D9152E">
        <w:rPr>
          <w:rFonts w:ascii="Calibri Light" w:eastAsia="Calibri Light" w:hAnsi="Calibri Light" w:cs="Calibri Light"/>
          <w:color w:val="495965"/>
          <w:u w:color="495965"/>
          <w:bdr w:val="nil"/>
          <w:lang w:val="en-US" w:eastAsia="en-AU"/>
        </w:rPr>
        <w:t xml:space="preserve">grams, </w:t>
      </w:r>
      <w:r w:rsidR="005E593D">
        <w:rPr>
          <w:rFonts w:ascii="Calibri Light" w:eastAsia="Calibri Light" w:hAnsi="Calibri Light" w:cs="Calibri Light"/>
          <w:color w:val="495965"/>
          <w:u w:color="495965"/>
          <w:bdr w:val="nil"/>
          <w:lang w:val="en-US" w:eastAsia="en-AU"/>
        </w:rPr>
        <w:t xml:space="preserve">slightly </w:t>
      </w:r>
      <w:r w:rsidR="00D9152E">
        <w:rPr>
          <w:rFonts w:ascii="Calibri Light" w:eastAsia="Calibri Light" w:hAnsi="Calibri Light" w:cs="Calibri Light"/>
          <w:color w:val="495965"/>
          <w:u w:color="495965"/>
          <w:bdr w:val="nil"/>
          <w:lang w:val="en-US" w:eastAsia="en-AU"/>
        </w:rPr>
        <w:t xml:space="preserve">exceeding </w:t>
      </w:r>
      <w:r w:rsidR="00C460D3">
        <w:rPr>
          <w:rFonts w:ascii="Calibri Light" w:eastAsia="Calibri Light" w:hAnsi="Calibri Light" w:cs="Calibri Light"/>
          <w:color w:val="495965"/>
          <w:u w:color="495965"/>
          <w:bdr w:val="nil"/>
          <w:lang w:val="en-US" w:eastAsia="en-AU"/>
        </w:rPr>
        <w:t>the PAF/</w:t>
      </w:r>
      <w:r w:rsidR="00D9152E">
        <w:rPr>
          <w:rFonts w:ascii="Calibri Light" w:eastAsia="Calibri Light" w:hAnsi="Calibri Light" w:cs="Calibri Light"/>
          <w:color w:val="495965"/>
          <w:u w:color="495965"/>
          <w:bdr w:val="nil"/>
          <w:lang w:val="en-US" w:eastAsia="en-AU"/>
        </w:rPr>
        <w:t xml:space="preserve">PB target of </w:t>
      </w:r>
      <w:r w:rsidR="00D9152E" w:rsidRPr="00D9152E">
        <w:rPr>
          <w:rFonts w:ascii="Calibri Light" w:eastAsia="Calibri Light" w:hAnsi="Calibri Light" w:cs="Calibri Light"/>
          <w:color w:val="495965"/>
          <w:u w:color="495965"/>
          <w:bdr w:val="nil"/>
          <w:lang w:eastAsia="en-AU"/>
        </w:rPr>
        <w:t>81,539</w:t>
      </w:r>
      <w:r w:rsidR="00D9152E">
        <w:rPr>
          <w:rFonts w:ascii="Calibri Light" w:eastAsia="Calibri Light" w:hAnsi="Calibri Light" w:cs="Calibri Light"/>
          <w:color w:val="495965"/>
          <w:u w:color="495965"/>
          <w:bdr w:val="nil"/>
          <w:lang w:eastAsia="en-AU"/>
        </w:rPr>
        <w:t>.</w:t>
      </w:r>
      <w:r w:rsidR="001C54B9" w:rsidRPr="001C54B9">
        <w:rPr>
          <w:rFonts w:ascii="Calibri Light" w:eastAsia="Calibri Light" w:hAnsi="Calibri Light" w:cs="Calibri Light"/>
          <w:color w:val="495965"/>
          <w:u w:color="495965"/>
          <w:bdr w:val="nil"/>
          <w:lang w:eastAsia="en-AU"/>
        </w:rPr>
        <w:t xml:space="preserve"> </w:t>
      </w:r>
    </w:p>
    <w:p w14:paraId="0A2F467A" w14:textId="100EA68D" w:rsidR="005E593D" w:rsidRPr="00E06AD6" w:rsidRDefault="003A3640" w:rsidP="003A72A0">
      <w:pPr>
        <w:pBdr>
          <w:top w:val="nil"/>
          <w:left w:val="nil"/>
          <w:bottom w:val="nil"/>
          <w:right w:val="nil"/>
          <w:between w:val="nil"/>
          <w:bar w:val="nil"/>
        </w:pBdr>
        <w:spacing w:after="120" w:line="280" w:lineRule="exact"/>
        <w:jc w:val="both"/>
        <w:rPr>
          <w:rFonts w:ascii="Calibri Light" w:eastAsia="Calibri Light" w:hAnsi="Calibri Light" w:cs="Calibri Light"/>
          <w:color w:val="495965"/>
          <w:u w:color="495965"/>
          <w:bdr w:val="nil"/>
          <w:lang w:val="en-US" w:eastAsia="en-AU"/>
        </w:rPr>
      </w:pPr>
      <w:r>
        <w:rPr>
          <w:rFonts w:ascii="Calibri Light" w:eastAsia="Calibri Light" w:hAnsi="Calibri Light" w:cs="Calibri Light"/>
          <w:color w:val="495965"/>
          <w:u w:color="495965"/>
          <w:bdr w:val="nil"/>
          <w:lang w:val="en-US" w:eastAsia="en-AU"/>
        </w:rPr>
        <w:t xml:space="preserve">The certainty provided by Australia’s funding enables BRAC to continue to innovate within </w:t>
      </w:r>
      <w:r w:rsidR="0028730D">
        <w:rPr>
          <w:rFonts w:ascii="Calibri Light" w:eastAsia="Calibri Light" w:hAnsi="Calibri Light" w:cs="Calibri Light"/>
          <w:color w:val="495965"/>
          <w:u w:color="495965"/>
          <w:bdr w:val="nil"/>
          <w:lang w:val="en-US" w:eastAsia="en-AU"/>
        </w:rPr>
        <w:t>the Ultra Poor</w:t>
      </w:r>
      <w:r>
        <w:rPr>
          <w:rFonts w:ascii="Calibri Light" w:eastAsia="Calibri Light" w:hAnsi="Calibri Light" w:cs="Calibri Light"/>
          <w:color w:val="495965"/>
          <w:u w:color="495965"/>
          <w:bdr w:val="nil"/>
          <w:lang w:val="en-US" w:eastAsia="en-AU"/>
        </w:rPr>
        <w:t xml:space="preserve"> </w:t>
      </w:r>
      <w:r w:rsidR="00AD001E">
        <w:rPr>
          <w:rFonts w:ascii="Calibri Light" w:eastAsia="Calibri Light" w:hAnsi="Calibri Light" w:cs="Calibri Light"/>
          <w:color w:val="495965"/>
          <w:u w:color="495965"/>
          <w:bdr w:val="nil"/>
          <w:lang w:val="en-US" w:eastAsia="en-AU"/>
        </w:rPr>
        <w:t>P</w:t>
      </w:r>
      <w:r>
        <w:rPr>
          <w:rFonts w:ascii="Calibri Light" w:eastAsia="Calibri Light" w:hAnsi="Calibri Light" w:cs="Calibri Light"/>
          <w:color w:val="495965"/>
          <w:u w:color="495965"/>
          <w:bdr w:val="nil"/>
          <w:lang w:val="en-US" w:eastAsia="en-AU"/>
        </w:rPr>
        <w:t>rogram</w:t>
      </w:r>
      <w:r w:rsidR="00E06AD6">
        <w:rPr>
          <w:rFonts w:ascii="Calibri Light" w:eastAsia="Calibri Light" w:hAnsi="Calibri Light" w:cs="Calibri Light"/>
          <w:color w:val="495965"/>
          <w:u w:color="495965"/>
          <w:bdr w:val="nil"/>
          <w:lang w:val="en-US" w:eastAsia="en-AU"/>
        </w:rPr>
        <w:t xml:space="preserve"> (TUP)</w:t>
      </w:r>
      <w:r>
        <w:rPr>
          <w:rFonts w:ascii="Calibri Light" w:eastAsia="Calibri Light" w:hAnsi="Calibri Light" w:cs="Calibri Light"/>
          <w:color w:val="495965"/>
          <w:u w:color="495965"/>
          <w:bdr w:val="nil"/>
          <w:lang w:val="en-US" w:eastAsia="en-AU"/>
        </w:rPr>
        <w:t xml:space="preserve">. A new phase commenced in 2016, responding to changing indicators for extreme poverty within Bangladesh’s </w:t>
      </w:r>
      <w:r w:rsidR="00E06AD6">
        <w:rPr>
          <w:rFonts w:ascii="Calibri Light" w:eastAsia="Calibri Light" w:hAnsi="Calibri Light" w:cs="Calibri Light"/>
          <w:color w:val="495965"/>
          <w:u w:color="495965"/>
          <w:bdr w:val="nil"/>
          <w:lang w:val="en-US" w:eastAsia="en-AU"/>
        </w:rPr>
        <w:t xml:space="preserve">changing and </w:t>
      </w:r>
      <w:r w:rsidR="009A1DFE">
        <w:rPr>
          <w:rFonts w:ascii="Calibri Light" w:eastAsia="Calibri Light" w:hAnsi="Calibri Light" w:cs="Calibri Light"/>
          <w:color w:val="495965"/>
          <w:u w:color="495965"/>
          <w:bdr w:val="nil"/>
          <w:lang w:val="en-US" w:eastAsia="en-AU"/>
        </w:rPr>
        <w:t xml:space="preserve">growing </w:t>
      </w:r>
      <w:r>
        <w:rPr>
          <w:rFonts w:ascii="Calibri Light" w:eastAsia="Calibri Light" w:hAnsi="Calibri Light" w:cs="Calibri Light"/>
          <w:color w:val="495965"/>
          <w:u w:color="495965"/>
          <w:bdr w:val="nil"/>
          <w:lang w:val="en-US" w:eastAsia="en-AU"/>
        </w:rPr>
        <w:t>econom</w:t>
      </w:r>
      <w:r w:rsidR="009A1DFE">
        <w:rPr>
          <w:rFonts w:ascii="Calibri Light" w:eastAsia="Calibri Light" w:hAnsi="Calibri Light" w:cs="Calibri Light"/>
          <w:color w:val="495965"/>
          <w:u w:color="495965"/>
          <w:bdr w:val="nil"/>
          <w:lang w:val="en-US" w:eastAsia="en-AU"/>
        </w:rPr>
        <w:t>y</w:t>
      </w:r>
      <w:r w:rsidR="0042437D">
        <w:rPr>
          <w:rFonts w:ascii="Calibri Light" w:eastAsia="Calibri Light" w:hAnsi="Calibri Light" w:cs="Calibri Light"/>
          <w:color w:val="495965"/>
          <w:u w:color="495965"/>
          <w:bdr w:val="nil"/>
          <w:lang w:val="en-US" w:eastAsia="en-AU"/>
        </w:rPr>
        <w:t xml:space="preserve">. Better </w:t>
      </w:r>
      <w:r>
        <w:rPr>
          <w:rFonts w:ascii="Calibri Light" w:eastAsia="Calibri Light" w:hAnsi="Calibri Light" w:cs="Calibri Light"/>
          <w:color w:val="495965"/>
          <w:u w:color="495965"/>
          <w:bdr w:val="nil"/>
          <w:lang w:val="en-US" w:eastAsia="en-AU"/>
        </w:rPr>
        <w:t>targeted social transfers (including cash transfers, provision of a productive asset, livelihoods train</w:t>
      </w:r>
      <w:r w:rsidR="00E06AD6">
        <w:rPr>
          <w:rFonts w:ascii="Calibri Light" w:eastAsia="Calibri Light" w:hAnsi="Calibri Light" w:cs="Calibri Light"/>
          <w:color w:val="495965"/>
          <w:u w:color="495965"/>
          <w:bdr w:val="nil"/>
          <w:lang w:val="en-US" w:eastAsia="en-AU"/>
        </w:rPr>
        <w:t xml:space="preserve">ing and health services) were introduced as part of this new phase. </w:t>
      </w:r>
      <w:r>
        <w:rPr>
          <w:rFonts w:ascii="Calibri Light" w:eastAsia="Calibri Light" w:hAnsi="Calibri Light" w:cs="Calibri Light"/>
          <w:color w:val="495965"/>
          <w:u w:color="495965"/>
          <w:bdr w:val="nil"/>
          <w:lang w:val="en-US" w:eastAsia="en-AU"/>
        </w:rPr>
        <w:t>The commencement of the new TUP phase and methodological challenges in selecting the most impoverished women resulted in a t</w:t>
      </w:r>
      <w:r w:rsidR="00B1713F">
        <w:rPr>
          <w:rFonts w:ascii="Calibri Light" w:eastAsia="Calibri Light" w:hAnsi="Calibri Light" w:cs="Calibri Light"/>
          <w:color w:val="495965"/>
          <w:u w:color="495965"/>
          <w:bdr w:val="nil"/>
          <w:lang w:val="en-US" w:eastAsia="en-AU"/>
        </w:rPr>
        <w:t>en per</w:t>
      </w:r>
      <w:r w:rsidR="0071415F">
        <w:rPr>
          <w:rFonts w:ascii="Calibri Light" w:eastAsia="Calibri Light" w:hAnsi="Calibri Light" w:cs="Calibri Light"/>
          <w:color w:val="495965"/>
          <w:u w:color="495965"/>
          <w:bdr w:val="nil"/>
          <w:lang w:val="en-US" w:eastAsia="en-AU"/>
        </w:rPr>
        <w:t xml:space="preserve"> </w:t>
      </w:r>
      <w:r w:rsidR="00B1713F">
        <w:rPr>
          <w:rFonts w:ascii="Calibri Light" w:eastAsia="Calibri Light" w:hAnsi="Calibri Light" w:cs="Calibri Light"/>
          <w:color w:val="495965"/>
          <w:u w:color="495965"/>
          <w:bdr w:val="nil"/>
          <w:lang w:val="en-US" w:eastAsia="en-AU"/>
        </w:rPr>
        <w:t>cent shortfall in participants</w:t>
      </w:r>
      <w:r>
        <w:rPr>
          <w:rFonts w:ascii="Calibri Light" w:eastAsia="Calibri Light" w:hAnsi="Calibri Light" w:cs="Calibri Light"/>
          <w:color w:val="495965"/>
          <w:u w:color="495965"/>
          <w:bdr w:val="nil"/>
          <w:lang w:val="en-US" w:eastAsia="en-AU"/>
        </w:rPr>
        <w:t xml:space="preserve"> during the reporting period. As a result</w:t>
      </w:r>
      <w:r w:rsidR="0028730D">
        <w:rPr>
          <w:rFonts w:ascii="Calibri Light" w:eastAsia="Calibri Light" w:hAnsi="Calibri Light" w:cs="Calibri Light"/>
          <w:color w:val="495965"/>
          <w:u w:color="495965"/>
          <w:bdr w:val="nil"/>
          <w:lang w:val="en-US" w:eastAsia="en-AU"/>
        </w:rPr>
        <w:t>,</w:t>
      </w:r>
      <w:r>
        <w:rPr>
          <w:rFonts w:ascii="Calibri Light" w:eastAsia="Calibri Light" w:hAnsi="Calibri Light" w:cs="Calibri Light"/>
          <w:color w:val="495965"/>
          <w:u w:color="495965"/>
          <w:bdr w:val="nil"/>
          <w:lang w:val="en-US" w:eastAsia="en-AU"/>
        </w:rPr>
        <w:t xml:space="preserve"> BRAC </w:t>
      </w:r>
      <w:r w:rsidR="009208D1">
        <w:rPr>
          <w:rFonts w:ascii="Calibri Light" w:eastAsia="Calibri Light" w:hAnsi="Calibri Light" w:cs="Calibri Light"/>
          <w:color w:val="495965"/>
          <w:u w:color="495965"/>
          <w:bdr w:val="nil"/>
          <w:lang w:val="en-US" w:eastAsia="en-AU"/>
        </w:rPr>
        <w:t xml:space="preserve">only </w:t>
      </w:r>
      <w:r>
        <w:rPr>
          <w:rFonts w:ascii="Calibri Light" w:eastAsia="Calibri Light" w:hAnsi="Calibri Light" w:cs="Calibri Light"/>
          <w:color w:val="495965"/>
          <w:u w:color="495965"/>
          <w:bdr w:val="nil"/>
          <w:lang w:val="en-US" w:eastAsia="en-AU"/>
        </w:rPr>
        <w:t xml:space="preserve">partially achieved </w:t>
      </w:r>
      <w:r w:rsidR="00B1713F">
        <w:rPr>
          <w:rFonts w:ascii="Calibri Light" w:eastAsia="Calibri Light" w:hAnsi="Calibri Light" w:cs="Calibri Light"/>
          <w:color w:val="495965"/>
          <w:u w:color="495965"/>
          <w:bdr w:val="nil"/>
          <w:lang w:val="en-US" w:eastAsia="en-AU"/>
        </w:rPr>
        <w:t>the PAF target</w:t>
      </w:r>
      <w:r>
        <w:rPr>
          <w:rFonts w:ascii="Calibri Light" w:eastAsia="Calibri Light" w:hAnsi="Calibri Light" w:cs="Calibri Light"/>
          <w:color w:val="495965"/>
          <w:u w:color="495965"/>
          <w:bdr w:val="nil"/>
          <w:lang w:val="en-US" w:eastAsia="en-AU"/>
        </w:rPr>
        <w:t xml:space="preserve"> for the provision of social transfers in TUP - </w:t>
      </w:r>
      <w:r w:rsidRPr="00FF5A35">
        <w:rPr>
          <w:rFonts w:ascii="Calibri Light" w:eastAsia="Calibri Light" w:hAnsi="Calibri Light" w:cs="Calibri Light"/>
          <w:color w:val="495965"/>
          <w:u w:color="495965"/>
          <w:bdr w:val="nil"/>
          <w:lang w:val="en-US" w:eastAsia="en-AU"/>
        </w:rPr>
        <w:t xml:space="preserve">79,480 ultra-poor women were provided with an integrated package of support against a </w:t>
      </w:r>
      <w:r w:rsidR="0028730D">
        <w:rPr>
          <w:rFonts w:ascii="Calibri Light" w:eastAsia="Calibri Light" w:hAnsi="Calibri Light" w:cs="Calibri Light"/>
          <w:color w:val="495965"/>
          <w:u w:color="495965"/>
          <w:bdr w:val="nil"/>
          <w:lang w:val="en-US" w:eastAsia="en-AU"/>
        </w:rPr>
        <w:t>PAF</w:t>
      </w:r>
      <w:r w:rsidR="00C460D3" w:rsidRPr="00FF5A35">
        <w:rPr>
          <w:rFonts w:ascii="Calibri Light" w:eastAsia="Calibri Light" w:hAnsi="Calibri Light" w:cs="Calibri Light"/>
          <w:color w:val="495965"/>
          <w:u w:color="495965"/>
          <w:bdr w:val="nil"/>
          <w:lang w:val="en-US" w:eastAsia="en-AU"/>
        </w:rPr>
        <w:t xml:space="preserve"> </w:t>
      </w:r>
      <w:r w:rsidRPr="00FF5A35">
        <w:rPr>
          <w:rFonts w:ascii="Calibri Light" w:eastAsia="Calibri Light" w:hAnsi="Calibri Light" w:cs="Calibri Light"/>
          <w:color w:val="495965"/>
          <w:u w:color="495965"/>
          <w:bdr w:val="nil"/>
          <w:lang w:val="en-US" w:eastAsia="en-AU"/>
        </w:rPr>
        <w:t>target of 93</w:t>
      </w:r>
      <w:r w:rsidR="00C460D3" w:rsidRPr="00FF5A35">
        <w:rPr>
          <w:rFonts w:ascii="Calibri Light" w:eastAsia="Calibri Light" w:hAnsi="Calibri Light" w:cs="Calibri Light"/>
          <w:color w:val="495965"/>
          <w:u w:color="495965"/>
          <w:bdr w:val="nil"/>
          <w:lang w:val="en-US" w:eastAsia="en-AU"/>
        </w:rPr>
        <w:t>,000</w:t>
      </w:r>
      <w:r w:rsidR="00FF5A35" w:rsidRPr="00B4365A">
        <w:rPr>
          <w:rStyle w:val="FootnoteReference"/>
          <w:rFonts w:ascii="Calibri Light" w:eastAsia="Calibri Light" w:hAnsi="Calibri Light" w:cs="Calibri Light"/>
          <w:color w:val="495965"/>
          <w:u w:color="495965"/>
          <w:bdr w:val="nil"/>
          <w:lang w:val="en-US" w:eastAsia="en-AU"/>
        </w:rPr>
        <w:footnoteReference w:id="40"/>
      </w:r>
      <w:r w:rsidR="00C460D3" w:rsidRPr="00FF5A35">
        <w:rPr>
          <w:rFonts w:ascii="Calibri Light" w:eastAsia="Calibri Light" w:hAnsi="Calibri Light" w:cs="Calibri Light"/>
          <w:color w:val="495965"/>
          <w:u w:color="495965"/>
          <w:bdr w:val="nil"/>
          <w:lang w:val="en-US" w:eastAsia="en-AU"/>
        </w:rPr>
        <w:t>.</w:t>
      </w:r>
      <w:r w:rsidR="00C460D3">
        <w:rPr>
          <w:rFonts w:ascii="Calibri Light" w:eastAsia="Calibri Light" w:hAnsi="Calibri Light" w:cs="Calibri Light"/>
          <w:color w:val="495965"/>
          <w:u w:color="495965"/>
          <w:bdr w:val="nil"/>
          <w:lang w:val="en-US" w:eastAsia="en-AU"/>
        </w:rPr>
        <w:t xml:space="preserve"> It is expected that the target</w:t>
      </w:r>
      <w:r w:rsidR="00E951DC">
        <w:rPr>
          <w:rFonts w:ascii="Calibri Light" w:eastAsia="Calibri Light" w:hAnsi="Calibri Light" w:cs="Calibri Light"/>
          <w:color w:val="495965"/>
          <w:u w:color="495965"/>
          <w:bdr w:val="nil"/>
          <w:lang w:val="en-US" w:eastAsia="en-AU"/>
        </w:rPr>
        <w:t>s will be reached in 2017-18</w:t>
      </w:r>
      <w:r w:rsidR="0028730D">
        <w:rPr>
          <w:rFonts w:ascii="Calibri Light" w:eastAsia="Calibri Light" w:hAnsi="Calibri Light" w:cs="Calibri Light"/>
          <w:color w:val="495965"/>
          <w:u w:color="495965"/>
          <w:bdr w:val="nil"/>
          <w:lang w:val="en-US" w:eastAsia="en-AU"/>
        </w:rPr>
        <w:t>.</w:t>
      </w:r>
    </w:p>
    <w:p w14:paraId="3FEB3784" w14:textId="4DE504DB" w:rsidR="00DE5714" w:rsidRPr="0035542F" w:rsidRDefault="00DE5714" w:rsidP="00DE5714">
      <w:pPr>
        <w:pBdr>
          <w:top w:val="nil"/>
          <w:left w:val="nil"/>
          <w:bottom w:val="nil"/>
          <w:right w:val="nil"/>
          <w:between w:val="nil"/>
          <w:bar w:val="nil"/>
        </w:pBdr>
        <w:spacing w:after="120" w:line="280" w:lineRule="exact"/>
        <w:rPr>
          <w:rFonts w:asciiTheme="majorHAnsi" w:eastAsia="Calibri Light" w:hAnsiTheme="majorHAnsi" w:cs="Calibri Light"/>
          <w:b/>
          <w:bCs/>
          <w:color w:val="495965"/>
          <w:u w:color="495965"/>
          <w:bdr w:val="nil"/>
          <w:lang w:val="en-US" w:eastAsia="en-AU"/>
        </w:rPr>
      </w:pPr>
      <w:r w:rsidRPr="0035542F">
        <w:rPr>
          <w:rFonts w:asciiTheme="majorHAnsi" w:eastAsia="Calibri Light" w:hAnsiTheme="majorHAnsi" w:cs="Calibri Light"/>
          <w:b/>
          <w:bCs/>
          <w:color w:val="495965"/>
          <w:u w:color="495965"/>
          <w:bdr w:val="nil"/>
          <w:lang w:val="en-US" w:eastAsia="en-AU"/>
        </w:rPr>
        <w:t>Outcom</w:t>
      </w:r>
      <w:r w:rsidR="00142ADA" w:rsidRPr="0035542F">
        <w:rPr>
          <w:rFonts w:asciiTheme="majorHAnsi" w:eastAsia="Calibri Light" w:hAnsiTheme="majorHAnsi" w:cs="Calibri Light"/>
          <w:b/>
          <w:bCs/>
          <w:color w:val="495965"/>
          <w:u w:color="495965"/>
          <w:bdr w:val="nil"/>
          <w:lang w:val="en-US" w:eastAsia="en-AU"/>
        </w:rPr>
        <w:t>e 3: Disadvantaged</w:t>
      </w:r>
      <w:r w:rsidRPr="0035542F">
        <w:rPr>
          <w:rFonts w:asciiTheme="majorHAnsi" w:eastAsia="Calibri Light" w:hAnsiTheme="majorHAnsi" w:cs="Calibri Light"/>
          <w:b/>
          <w:bCs/>
          <w:color w:val="495965"/>
          <w:u w:color="495965"/>
          <w:bdr w:val="nil"/>
          <w:lang w:val="en-US" w:eastAsia="en-AU"/>
        </w:rPr>
        <w:t xml:space="preserve"> youth have access to skills and jobs</w:t>
      </w:r>
    </w:p>
    <w:p w14:paraId="3DBD89B0" w14:textId="5EA27999" w:rsidR="00F065E2" w:rsidRPr="00020E5A" w:rsidRDefault="00020E5A" w:rsidP="00026AE0">
      <w:pPr>
        <w:pBdr>
          <w:top w:val="nil"/>
          <w:left w:val="nil"/>
          <w:bottom w:val="nil"/>
          <w:right w:val="nil"/>
          <w:between w:val="nil"/>
          <w:bar w:val="nil"/>
        </w:pBdr>
        <w:spacing w:after="120" w:line="280" w:lineRule="exact"/>
        <w:jc w:val="both"/>
        <w:rPr>
          <w:rFonts w:ascii="Calibri Light" w:eastAsia="Calibri Light" w:hAnsi="Calibri Light" w:cs="Calibri Light"/>
          <w:color w:val="495965"/>
          <w:u w:color="495965"/>
          <w:bdr w:val="nil"/>
          <w:lang w:val="en-US" w:eastAsia="en-AU"/>
        </w:rPr>
      </w:pPr>
      <w:r w:rsidRPr="00020E5A">
        <w:rPr>
          <w:rFonts w:ascii="Calibri Light" w:eastAsia="Calibri Light" w:hAnsi="Calibri Light" w:cs="Calibri Light"/>
          <w:color w:val="495965"/>
          <w:u w:color="495965"/>
          <w:bdr w:val="nil"/>
          <w:lang w:val="en-US" w:eastAsia="en-AU"/>
        </w:rPr>
        <w:t>Australia’s investment supported BRAC to deliver skills training to disadvantaged youths, with a focus on w</w:t>
      </w:r>
      <w:r w:rsidR="00B11EF6">
        <w:rPr>
          <w:rFonts w:ascii="Calibri Light" w:eastAsia="Calibri Light" w:hAnsi="Calibri Light" w:cs="Calibri Light"/>
          <w:color w:val="495965"/>
          <w:u w:color="495965"/>
          <w:bdr w:val="nil"/>
          <w:lang w:val="en-US" w:eastAsia="en-AU"/>
        </w:rPr>
        <w:t>omen, people with disability and other marginalis</w:t>
      </w:r>
      <w:r w:rsidRPr="00020E5A">
        <w:rPr>
          <w:rFonts w:ascii="Calibri Light" w:eastAsia="Calibri Light" w:hAnsi="Calibri Light" w:cs="Calibri Light"/>
          <w:color w:val="495965"/>
          <w:u w:color="495965"/>
          <w:bdr w:val="nil"/>
          <w:lang w:val="en-US" w:eastAsia="en-AU"/>
        </w:rPr>
        <w:t>ed groups.  In 2016-17</w:t>
      </w:r>
      <w:r w:rsidR="00F47520">
        <w:rPr>
          <w:rFonts w:ascii="Calibri Light" w:eastAsia="Calibri Light" w:hAnsi="Calibri Light" w:cs="Calibri Light"/>
          <w:color w:val="495965"/>
          <w:u w:color="495965"/>
          <w:bdr w:val="nil"/>
          <w:lang w:val="en-US" w:eastAsia="en-AU"/>
        </w:rPr>
        <w:t xml:space="preserve"> through BRAC’s Skills Development Program</w:t>
      </w:r>
      <w:r w:rsidRPr="00020E5A">
        <w:rPr>
          <w:rFonts w:ascii="Calibri Light" w:eastAsia="Calibri Light" w:hAnsi="Calibri Light" w:cs="Calibri Light"/>
          <w:color w:val="495965"/>
          <w:u w:color="495965"/>
          <w:bdr w:val="nil"/>
          <w:lang w:val="en-US" w:eastAsia="en-AU"/>
        </w:rPr>
        <w:t xml:space="preserve">, approximately 33,240 youths (against a PAF target of 30,000) received targeted </w:t>
      </w:r>
      <w:r w:rsidR="0028730D">
        <w:rPr>
          <w:rFonts w:ascii="Calibri Light" w:eastAsia="Calibri Light" w:hAnsi="Calibri Light" w:cs="Calibri Light"/>
          <w:color w:val="495965"/>
          <w:u w:color="495965"/>
          <w:bdr w:val="nil"/>
          <w:lang w:val="en-US" w:eastAsia="en-AU"/>
        </w:rPr>
        <w:t xml:space="preserve">vocational </w:t>
      </w:r>
      <w:r w:rsidRPr="00020E5A">
        <w:rPr>
          <w:rFonts w:ascii="Calibri Light" w:eastAsia="Calibri Light" w:hAnsi="Calibri Light" w:cs="Calibri Light"/>
          <w:color w:val="495965"/>
          <w:u w:color="495965"/>
          <w:bdr w:val="nil"/>
          <w:lang w:val="en-US" w:eastAsia="en-AU"/>
        </w:rPr>
        <w:t xml:space="preserve">training, including </w:t>
      </w:r>
      <w:r w:rsidR="003A72A0">
        <w:rPr>
          <w:rFonts w:ascii="Calibri Light" w:eastAsia="Calibri Light" w:hAnsi="Calibri Light" w:cs="Calibri Light"/>
          <w:color w:val="495965"/>
          <w:u w:color="495965"/>
          <w:bdr w:val="nil"/>
          <w:lang w:val="en-US" w:eastAsia="en-AU"/>
        </w:rPr>
        <w:t xml:space="preserve">in </w:t>
      </w:r>
      <w:r w:rsidRPr="00020E5A">
        <w:rPr>
          <w:rFonts w:ascii="Calibri Light" w:eastAsia="Calibri Light" w:hAnsi="Calibri Light" w:cs="Calibri Light"/>
          <w:color w:val="495965"/>
          <w:u w:color="495965"/>
          <w:bdr w:val="nil"/>
          <w:lang w:val="en-US" w:eastAsia="en-AU"/>
        </w:rPr>
        <w:t>mobile phone servicing</w:t>
      </w:r>
      <w:r w:rsidR="005E593D">
        <w:rPr>
          <w:rFonts w:ascii="Calibri Light" w:eastAsia="Calibri Light" w:hAnsi="Calibri Light" w:cs="Calibri Light"/>
          <w:color w:val="495965"/>
          <w:u w:color="495965"/>
          <w:bdr w:val="nil"/>
          <w:lang w:val="en-US" w:eastAsia="en-AU"/>
        </w:rPr>
        <w:t xml:space="preserve"> and </w:t>
      </w:r>
      <w:r w:rsidRPr="00020E5A">
        <w:rPr>
          <w:rFonts w:ascii="Calibri Light" w:eastAsia="Calibri Light" w:hAnsi="Calibri Light" w:cs="Calibri Light"/>
          <w:color w:val="495965"/>
          <w:u w:color="495965"/>
          <w:bdr w:val="nil"/>
          <w:lang w:val="en-US" w:eastAsia="en-AU"/>
        </w:rPr>
        <w:t>tailoring</w:t>
      </w:r>
      <w:r w:rsidRPr="003B6D11">
        <w:rPr>
          <w:rFonts w:ascii="Calibri Light" w:eastAsia="Calibri Light" w:hAnsi="Calibri Light" w:cs="Calibri Light"/>
          <w:color w:val="495965"/>
          <w:u w:color="495965"/>
          <w:bdr w:val="nil"/>
          <w:lang w:val="en-US" w:eastAsia="en-AU"/>
        </w:rPr>
        <w:t>.</w:t>
      </w:r>
      <w:r w:rsidR="003A72A0" w:rsidRPr="003B6D11">
        <w:rPr>
          <w:rFonts w:ascii="Calibri Light" w:eastAsia="Calibri Light" w:hAnsi="Calibri Light" w:cs="Calibri Light"/>
          <w:color w:val="495965"/>
          <w:u w:color="495965"/>
          <w:bdr w:val="nil"/>
          <w:lang w:val="en-US" w:eastAsia="en-AU"/>
        </w:rPr>
        <w:t xml:space="preserve"> Of the total,</w:t>
      </w:r>
      <w:r w:rsidR="00F065E2" w:rsidRPr="003B6D11">
        <w:rPr>
          <w:rFonts w:ascii="Calibri Light" w:eastAsia="Calibri Light" w:hAnsi="Calibri Light" w:cs="Calibri Light"/>
          <w:color w:val="495965"/>
          <w:u w:color="495965"/>
          <w:bdr w:val="nil"/>
          <w:lang w:val="en-US" w:eastAsia="en-AU"/>
        </w:rPr>
        <w:t xml:space="preserve"> 31,578 youths either received job placement</w:t>
      </w:r>
      <w:r w:rsidR="00E06AD6" w:rsidRPr="003B6D11">
        <w:rPr>
          <w:rFonts w:ascii="Calibri Light" w:eastAsia="Calibri Light" w:hAnsi="Calibri Light" w:cs="Calibri Light"/>
          <w:color w:val="495965"/>
          <w:u w:color="495965"/>
          <w:bdr w:val="nil"/>
          <w:lang w:val="en-US" w:eastAsia="en-AU"/>
        </w:rPr>
        <w:t>s</w:t>
      </w:r>
      <w:r w:rsidR="00F065E2" w:rsidRPr="003B6D11">
        <w:rPr>
          <w:rFonts w:ascii="Calibri Light" w:eastAsia="Calibri Light" w:hAnsi="Calibri Light" w:cs="Calibri Light"/>
          <w:color w:val="495965"/>
          <w:u w:color="495965"/>
          <w:bdr w:val="nil"/>
          <w:lang w:val="en-US" w:eastAsia="en-AU"/>
        </w:rPr>
        <w:t xml:space="preserve"> or started t</w:t>
      </w:r>
      <w:r w:rsidR="003A72A0" w:rsidRPr="003B6D11">
        <w:rPr>
          <w:rFonts w:ascii="Calibri Light" w:eastAsia="Calibri Light" w:hAnsi="Calibri Light" w:cs="Calibri Light"/>
          <w:color w:val="495965"/>
          <w:u w:color="495965"/>
          <w:bdr w:val="nil"/>
          <w:lang w:val="en-US" w:eastAsia="en-AU"/>
        </w:rPr>
        <w:t>he</w:t>
      </w:r>
      <w:r w:rsidR="001C4F68" w:rsidRPr="003B6D11">
        <w:rPr>
          <w:rFonts w:ascii="Calibri Light" w:eastAsia="Calibri Light" w:hAnsi="Calibri Light" w:cs="Calibri Light"/>
          <w:color w:val="495965"/>
          <w:u w:color="495965"/>
          <w:bdr w:val="nil"/>
          <w:lang w:val="en-US" w:eastAsia="en-AU"/>
        </w:rPr>
        <w:t xml:space="preserve">ir own business following their </w:t>
      </w:r>
      <w:r w:rsidR="00E06AD6" w:rsidRPr="003B6D11">
        <w:rPr>
          <w:rFonts w:ascii="Calibri Light" w:eastAsia="Calibri Light" w:hAnsi="Calibri Light" w:cs="Calibri Light"/>
          <w:color w:val="495965"/>
          <w:u w:color="495965"/>
          <w:bdr w:val="nil"/>
          <w:lang w:val="en-US" w:eastAsia="en-AU"/>
        </w:rPr>
        <w:t>training</w:t>
      </w:r>
      <w:r w:rsidR="00667EB4" w:rsidRPr="003B6D11">
        <w:rPr>
          <w:rStyle w:val="FootnoteReference"/>
          <w:rFonts w:ascii="Calibri Light" w:eastAsia="Calibri Light" w:hAnsi="Calibri Light" w:cs="Calibri Light"/>
          <w:color w:val="495965"/>
          <w:u w:color="495965"/>
          <w:bdr w:val="nil"/>
          <w:lang w:val="en-US" w:eastAsia="en-AU"/>
        </w:rPr>
        <w:footnoteReference w:id="41"/>
      </w:r>
      <w:r w:rsidR="00F065E2" w:rsidRPr="003B6D11">
        <w:rPr>
          <w:rFonts w:ascii="Calibri Light" w:eastAsia="Calibri Light" w:hAnsi="Calibri Light" w:cs="Calibri Light"/>
          <w:color w:val="495965"/>
          <w:u w:color="495965"/>
          <w:bdr w:val="nil"/>
          <w:lang w:val="en-US" w:eastAsia="en-AU"/>
        </w:rPr>
        <w:t>.</w:t>
      </w:r>
      <w:r w:rsidR="00F47520">
        <w:rPr>
          <w:rFonts w:ascii="Calibri Light" w:eastAsia="Calibri Light" w:hAnsi="Calibri Light" w:cs="Calibri Light"/>
          <w:color w:val="495965"/>
          <w:u w:color="495965"/>
          <w:bdr w:val="nil"/>
          <w:lang w:val="en-US" w:eastAsia="en-AU"/>
        </w:rPr>
        <w:t xml:space="preserve"> </w:t>
      </w:r>
    </w:p>
    <w:p w14:paraId="5949DD96" w14:textId="5096C885" w:rsidR="00F47520" w:rsidRDefault="00766DC8" w:rsidP="00026AE0">
      <w:pPr>
        <w:pBdr>
          <w:top w:val="nil"/>
          <w:left w:val="nil"/>
          <w:bottom w:val="nil"/>
          <w:right w:val="nil"/>
          <w:between w:val="nil"/>
          <w:bar w:val="nil"/>
        </w:pBdr>
        <w:spacing w:after="120" w:line="280" w:lineRule="exact"/>
        <w:jc w:val="both"/>
        <w:rPr>
          <w:rFonts w:ascii="Calibri Light" w:eastAsia="Calibri Light" w:hAnsi="Calibri Light" w:cs="Calibri Light"/>
          <w:color w:val="495965"/>
          <w:u w:color="495965"/>
          <w:bdr w:val="nil"/>
          <w:lang w:val="en-US" w:eastAsia="en-AU"/>
        </w:rPr>
      </w:pPr>
      <w:r w:rsidRPr="00766DC8">
        <w:rPr>
          <w:rFonts w:ascii="Calibri Light" w:eastAsia="Calibri Light" w:hAnsi="Calibri Light" w:cs="Calibri Light"/>
          <w:color w:val="495965"/>
          <w:u w:color="495965"/>
          <w:bdr w:val="nil"/>
          <w:lang w:val="en-US" w:eastAsia="en-AU"/>
        </w:rPr>
        <w:t>In 2016-17 BRAC scaled up its successful skills development pilot and established the Skills Development Program</w:t>
      </w:r>
      <w:r>
        <w:rPr>
          <w:rFonts w:ascii="Calibri Light" w:eastAsia="Calibri Light" w:hAnsi="Calibri Light" w:cs="Calibri Light"/>
          <w:color w:val="495965"/>
          <w:u w:color="495965"/>
          <w:bdr w:val="nil"/>
          <w:lang w:val="en-US" w:eastAsia="en-AU"/>
        </w:rPr>
        <w:t xml:space="preserve"> (SDP)</w:t>
      </w:r>
      <w:r w:rsidRPr="00766DC8">
        <w:rPr>
          <w:rFonts w:ascii="Calibri Light" w:eastAsia="Calibri Light" w:hAnsi="Calibri Light" w:cs="Calibri Light"/>
          <w:color w:val="495965"/>
          <w:u w:color="495965"/>
          <w:bdr w:val="nil"/>
          <w:lang w:val="en-US" w:eastAsia="en-AU"/>
        </w:rPr>
        <w:t xml:space="preserve">, with a strengthened focus on the cross cutting themes of decent work, social inclusion and technology.  </w:t>
      </w:r>
      <w:r>
        <w:rPr>
          <w:rFonts w:ascii="Calibri Light" w:eastAsia="Calibri Light" w:hAnsi="Calibri Light" w:cs="Calibri Light"/>
          <w:color w:val="495965"/>
          <w:u w:color="495965"/>
          <w:bdr w:val="nil"/>
          <w:lang w:val="en-US" w:eastAsia="en-AU"/>
        </w:rPr>
        <w:t>SDP</w:t>
      </w:r>
      <w:r w:rsidR="00020E5A" w:rsidRPr="00020E5A">
        <w:rPr>
          <w:rFonts w:ascii="Calibri Light" w:eastAsia="Calibri Light" w:hAnsi="Calibri Light" w:cs="Calibri Light"/>
          <w:color w:val="495965"/>
          <w:u w:color="495965"/>
          <w:bdr w:val="nil"/>
          <w:lang w:val="en-US" w:eastAsia="en-AU"/>
        </w:rPr>
        <w:t xml:space="preserve"> provi</w:t>
      </w:r>
      <w:r w:rsidR="00B11EF6">
        <w:rPr>
          <w:rFonts w:ascii="Calibri Light" w:eastAsia="Calibri Light" w:hAnsi="Calibri Light" w:cs="Calibri Light"/>
          <w:color w:val="495965"/>
          <w:u w:color="495965"/>
          <w:bdr w:val="nil"/>
          <w:lang w:val="en-US" w:eastAsia="en-AU"/>
        </w:rPr>
        <w:t xml:space="preserve">des on the job </w:t>
      </w:r>
      <w:r w:rsidR="00020E5A" w:rsidRPr="00020E5A">
        <w:rPr>
          <w:rFonts w:ascii="Calibri Light" w:eastAsia="Calibri Light" w:hAnsi="Calibri Light" w:cs="Calibri Light"/>
          <w:color w:val="495965"/>
          <w:u w:color="495965"/>
          <w:bdr w:val="nil"/>
          <w:lang w:val="en-US" w:eastAsia="en-AU"/>
        </w:rPr>
        <w:t xml:space="preserve">skills training through apprenticeships in the formal and informal sectors. </w:t>
      </w:r>
      <w:r w:rsidR="009A6C9E">
        <w:rPr>
          <w:rFonts w:ascii="Calibri Light" w:eastAsia="Calibri Light" w:hAnsi="Calibri Light" w:cs="Calibri Light"/>
          <w:color w:val="495965"/>
          <w:u w:color="495965"/>
          <w:bdr w:val="nil"/>
          <w:lang w:val="en-US" w:eastAsia="en-AU"/>
        </w:rPr>
        <w:t>T</w:t>
      </w:r>
      <w:r w:rsidR="00020E5A" w:rsidRPr="00020E5A">
        <w:rPr>
          <w:rFonts w:ascii="Calibri Light" w:eastAsia="Calibri Light" w:hAnsi="Calibri Light" w:cs="Calibri Light"/>
          <w:color w:val="495965"/>
          <w:u w:color="495965"/>
          <w:bdr w:val="nil"/>
          <w:lang w:val="en-US" w:eastAsia="en-AU"/>
        </w:rPr>
        <w:t>he program links participants with potenti</w:t>
      </w:r>
      <w:r w:rsidR="00B11EF6">
        <w:rPr>
          <w:rFonts w:ascii="Calibri Light" w:eastAsia="Calibri Light" w:hAnsi="Calibri Light" w:cs="Calibri Light"/>
          <w:color w:val="495965"/>
          <w:u w:color="495965"/>
          <w:bdr w:val="nil"/>
          <w:lang w:val="en-US" w:eastAsia="en-AU"/>
        </w:rPr>
        <w:t>al employers</w:t>
      </w:r>
      <w:r w:rsidR="00020E5A" w:rsidRPr="00020E5A">
        <w:rPr>
          <w:rFonts w:ascii="Calibri Light" w:eastAsia="Calibri Light" w:hAnsi="Calibri Light" w:cs="Calibri Light"/>
          <w:color w:val="495965"/>
          <w:u w:color="495965"/>
          <w:bdr w:val="nil"/>
          <w:lang w:val="en-US" w:eastAsia="en-AU"/>
        </w:rPr>
        <w:t xml:space="preserve">. For those </w:t>
      </w:r>
      <w:r w:rsidR="00B11EF6">
        <w:rPr>
          <w:rFonts w:ascii="Calibri Light" w:eastAsia="Calibri Light" w:hAnsi="Calibri Light" w:cs="Calibri Light"/>
          <w:color w:val="495965"/>
          <w:u w:color="495965"/>
          <w:bdr w:val="nil"/>
          <w:lang w:val="en-US" w:eastAsia="en-AU"/>
        </w:rPr>
        <w:t xml:space="preserve">interested in </w:t>
      </w:r>
      <w:r w:rsidR="00020E5A" w:rsidRPr="00020E5A">
        <w:rPr>
          <w:rFonts w:ascii="Calibri Light" w:eastAsia="Calibri Light" w:hAnsi="Calibri Light" w:cs="Calibri Light"/>
          <w:color w:val="495965"/>
          <w:u w:color="495965"/>
          <w:bdr w:val="nil"/>
          <w:lang w:val="en-US" w:eastAsia="en-AU"/>
        </w:rPr>
        <w:t>self-employment, BRAC offers guidanc</w:t>
      </w:r>
      <w:r w:rsidR="00DC730D">
        <w:rPr>
          <w:rFonts w:ascii="Calibri Light" w:eastAsia="Calibri Light" w:hAnsi="Calibri Light" w:cs="Calibri Light"/>
          <w:color w:val="495965"/>
          <w:u w:color="495965"/>
          <w:bdr w:val="nil"/>
          <w:lang w:val="en-US" w:eastAsia="en-AU"/>
        </w:rPr>
        <w:t>e and technical assistance. SDP</w:t>
      </w:r>
      <w:r w:rsidR="00020E5A" w:rsidRPr="00020E5A">
        <w:rPr>
          <w:rFonts w:ascii="Calibri Light" w:eastAsia="Calibri Light" w:hAnsi="Calibri Light" w:cs="Calibri Light"/>
          <w:color w:val="495965"/>
          <w:u w:color="495965"/>
          <w:bdr w:val="nil"/>
          <w:lang w:val="en-US" w:eastAsia="en-AU"/>
        </w:rPr>
        <w:t xml:space="preserve"> identifies occupations</w:t>
      </w:r>
      <w:r w:rsidR="00B11EF6">
        <w:rPr>
          <w:rFonts w:ascii="Calibri Light" w:eastAsia="Calibri Light" w:hAnsi="Calibri Light" w:cs="Calibri Light"/>
          <w:color w:val="495965"/>
          <w:u w:color="495965"/>
          <w:bdr w:val="nil"/>
          <w:lang w:val="en-US" w:eastAsia="en-AU"/>
        </w:rPr>
        <w:t xml:space="preserve"> and skills training in partnership with market actors</w:t>
      </w:r>
      <w:r w:rsidR="00020E5A" w:rsidRPr="00020E5A">
        <w:rPr>
          <w:rFonts w:ascii="Calibri Light" w:eastAsia="Calibri Light" w:hAnsi="Calibri Light" w:cs="Calibri Light"/>
          <w:color w:val="495965"/>
          <w:u w:color="495965"/>
          <w:bdr w:val="nil"/>
          <w:lang w:val="en-US" w:eastAsia="en-AU"/>
        </w:rPr>
        <w:t xml:space="preserve">, considering the demands of an increasingly service-oriented economy. </w:t>
      </w:r>
      <w:r w:rsidRPr="00766DC8">
        <w:rPr>
          <w:rFonts w:ascii="Calibri Light" w:eastAsia="Calibri Light" w:hAnsi="Calibri Light" w:cs="Calibri Light"/>
          <w:color w:val="495965"/>
          <w:u w:color="495965"/>
          <w:bdr w:val="nil"/>
          <w:lang w:val="en-US" w:eastAsia="en-AU"/>
        </w:rPr>
        <w:t>SDP also worked closely with BRAC’s TUP in order to ensure that the most vulnerable adolescents are targeted.</w:t>
      </w:r>
    </w:p>
    <w:p w14:paraId="66C80D24" w14:textId="4D439EBD" w:rsidR="00DE5714" w:rsidRPr="00362A89" w:rsidRDefault="00DE5714" w:rsidP="00362A89">
      <w:pPr>
        <w:pStyle w:val="Heading2"/>
      </w:pPr>
      <w:r w:rsidRPr="00362A89">
        <w:t xml:space="preserve">Cross-cutting, Regional, Global and other Government Departments </w:t>
      </w:r>
    </w:p>
    <w:p w14:paraId="23ACFFDD" w14:textId="77777777" w:rsidR="00DE5714" w:rsidRDefault="002B3BFA" w:rsidP="00DE5714">
      <w:pPr>
        <w:pBdr>
          <w:top w:val="nil"/>
          <w:left w:val="nil"/>
          <w:bottom w:val="nil"/>
          <w:right w:val="nil"/>
          <w:between w:val="nil"/>
          <w:bar w:val="nil"/>
        </w:pBdr>
        <w:spacing w:after="120" w:line="280" w:lineRule="exact"/>
        <w:rPr>
          <w:rFonts w:ascii="Calibri Light" w:eastAsia="Calibri Light" w:hAnsi="Calibri Light" w:cs="Calibri Light"/>
          <w:color w:val="495965"/>
          <w:u w:color="495965"/>
          <w:bdr w:val="nil"/>
          <w:lang w:val="en-US" w:eastAsia="en-AU"/>
        </w:rPr>
      </w:pPr>
      <w:r>
        <w:rPr>
          <w:rFonts w:ascii="Calibri Light" w:eastAsia="Calibri Light" w:hAnsi="Calibri Light" w:cs="Calibri Light"/>
          <w:color w:val="495965"/>
          <w:u w:color="495965"/>
          <w:bdr w:val="nil"/>
          <w:lang w:val="en-US" w:eastAsia="en-AU"/>
        </w:rPr>
        <w:t xml:space="preserve">In addition to </w:t>
      </w:r>
      <w:r w:rsidR="00142ADA">
        <w:rPr>
          <w:rFonts w:ascii="Calibri Light" w:eastAsia="Calibri Light" w:hAnsi="Calibri Light" w:cs="Calibri Light"/>
          <w:color w:val="495965"/>
          <w:u w:color="495965"/>
          <w:bdr w:val="nil"/>
          <w:lang w:val="en-US" w:eastAsia="en-AU"/>
        </w:rPr>
        <w:t>bilateral</w:t>
      </w:r>
      <w:r w:rsidR="00DE5714" w:rsidRPr="00DE5714">
        <w:rPr>
          <w:rFonts w:ascii="Calibri Light" w:eastAsia="Calibri Light" w:hAnsi="Calibri Light" w:cs="Calibri Light"/>
          <w:color w:val="495965"/>
          <w:u w:color="495965"/>
          <w:bdr w:val="nil"/>
          <w:lang w:val="en-US" w:eastAsia="en-AU"/>
        </w:rPr>
        <w:t xml:space="preserve"> aid investments, Australia delivered global and regional initiatives in Bangladesh, includ</w:t>
      </w:r>
      <w:r>
        <w:rPr>
          <w:rFonts w:ascii="Calibri Light" w:eastAsia="Calibri Light" w:hAnsi="Calibri Light" w:cs="Calibri Light"/>
          <w:color w:val="495965"/>
          <w:u w:color="495965"/>
          <w:bdr w:val="nil"/>
          <w:lang w:val="en-US" w:eastAsia="en-AU"/>
        </w:rPr>
        <w:t xml:space="preserve">ing Australia Awards, the Direct Aid Program </w:t>
      </w:r>
      <w:r w:rsidR="00DE5714" w:rsidRPr="00DE5714">
        <w:rPr>
          <w:rFonts w:ascii="Calibri Light" w:eastAsia="Calibri Light" w:hAnsi="Calibri Light" w:cs="Calibri Light"/>
          <w:color w:val="495965"/>
          <w:u w:color="495965"/>
          <w:bdr w:val="nil"/>
          <w:lang w:val="en-US" w:eastAsia="en-AU"/>
        </w:rPr>
        <w:t xml:space="preserve">and the Australian NGO Cooperation Program. </w:t>
      </w:r>
    </w:p>
    <w:p w14:paraId="3EE07656" w14:textId="77777777" w:rsidR="00DA04C0" w:rsidRPr="0035542F" w:rsidRDefault="00DA04C0" w:rsidP="00DA04C0">
      <w:pPr>
        <w:pBdr>
          <w:top w:val="nil"/>
          <w:left w:val="nil"/>
          <w:bottom w:val="nil"/>
          <w:right w:val="nil"/>
          <w:between w:val="nil"/>
          <w:bar w:val="nil"/>
        </w:pBdr>
        <w:spacing w:after="120" w:line="280" w:lineRule="exact"/>
        <w:rPr>
          <w:rFonts w:asciiTheme="majorHAnsi" w:eastAsia="Calibri Light" w:hAnsiTheme="majorHAnsi" w:cs="Calibri Light"/>
          <w:b/>
          <w:bCs/>
          <w:color w:val="495965"/>
          <w:u w:color="495965"/>
          <w:bdr w:val="nil"/>
          <w:lang w:val="en-US" w:eastAsia="en-AU"/>
        </w:rPr>
      </w:pPr>
      <w:r w:rsidRPr="0035542F">
        <w:rPr>
          <w:rFonts w:asciiTheme="majorHAnsi" w:eastAsia="Calibri Light" w:hAnsiTheme="majorHAnsi" w:cs="Calibri Light"/>
          <w:b/>
          <w:bCs/>
          <w:color w:val="495965"/>
          <w:u w:color="495965"/>
          <w:bdr w:val="nil"/>
          <w:lang w:val="en-US" w:eastAsia="en-AU"/>
        </w:rPr>
        <w:t xml:space="preserve">Australia Awards </w:t>
      </w:r>
    </w:p>
    <w:p w14:paraId="44288BCC" w14:textId="51CF0E42" w:rsidR="00DA04C0" w:rsidRDefault="00DA04C0" w:rsidP="00026AE0">
      <w:pPr>
        <w:pBdr>
          <w:top w:val="nil"/>
          <w:left w:val="nil"/>
          <w:bottom w:val="nil"/>
          <w:right w:val="nil"/>
          <w:between w:val="nil"/>
          <w:bar w:val="nil"/>
        </w:pBdr>
        <w:spacing w:after="120" w:line="280" w:lineRule="exact"/>
        <w:jc w:val="both"/>
        <w:rPr>
          <w:rFonts w:ascii="Calibri Light" w:eastAsia="Calibri Light" w:hAnsi="Calibri Light" w:cs="Calibri Light"/>
          <w:color w:val="495965"/>
          <w:u w:color="495965"/>
          <w:bdr w:val="nil"/>
          <w:lang w:val="en-US" w:eastAsia="en-AU"/>
        </w:rPr>
      </w:pPr>
      <w:r w:rsidRPr="00775586">
        <w:rPr>
          <w:rFonts w:ascii="Calibri Light" w:eastAsia="Calibri Light" w:hAnsi="Calibri Light" w:cs="Calibri Light"/>
          <w:color w:val="495965"/>
          <w:u w:color="495965"/>
          <w:bdr w:val="nil"/>
          <w:lang w:val="en-US" w:eastAsia="en-AU"/>
        </w:rPr>
        <w:t xml:space="preserve">Australia Awards support Australia’s development agenda in Bangladesh </w:t>
      </w:r>
      <w:r w:rsidR="002B3BFA">
        <w:rPr>
          <w:rFonts w:ascii="Calibri Light" w:eastAsia="Calibri Light" w:hAnsi="Calibri Light" w:cs="Calibri Light"/>
          <w:color w:val="495965"/>
          <w:u w:color="495965"/>
          <w:bdr w:val="nil"/>
          <w:lang w:val="en-US" w:eastAsia="en-AU"/>
        </w:rPr>
        <w:t xml:space="preserve">by investing in </w:t>
      </w:r>
      <w:r w:rsidR="006F6978">
        <w:rPr>
          <w:rFonts w:ascii="Calibri Light" w:eastAsia="Calibri Light" w:hAnsi="Calibri Light" w:cs="Calibri Light"/>
          <w:color w:val="495965"/>
          <w:u w:color="495965"/>
          <w:bdr w:val="nil"/>
          <w:lang w:val="en-US" w:eastAsia="en-AU"/>
        </w:rPr>
        <w:t xml:space="preserve">human </w:t>
      </w:r>
      <w:r w:rsidRPr="00775586">
        <w:rPr>
          <w:rFonts w:ascii="Calibri Light" w:eastAsia="Calibri Light" w:hAnsi="Calibri Light" w:cs="Calibri Light"/>
          <w:color w:val="495965"/>
          <w:u w:color="495965"/>
          <w:bdr w:val="nil"/>
          <w:lang w:val="en-US" w:eastAsia="en-AU"/>
        </w:rPr>
        <w:t>capacity</w:t>
      </w:r>
      <w:r w:rsidR="006F6978">
        <w:rPr>
          <w:rFonts w:ascii="Calibri Light" w:eastAsia="Calibri Light" w:hAnsi="Calibri Light" w:cs="Calibri Light"/>
          <w:color w:val="495965"/>
          <w:u w:color="495965"/>
          <w:bdr w:val="nil"/>
          <w:lang w:val="en-US" w:eastAsia="en-AU"/>
        </w:rPr>
        <w:t xml:space="preserve"> development</w:t>
      </w:r>
      <w:r w:rsidRPr="00775586">
        <w:rPr>
          <w:rFonts w:ascii="Calibri Light" w:eastAsia="Calibri Light" w:hAnsi="Calibri Light" w:cs="Calibri Light"/>
          <w:color w:val="495965"/>
          <w:u w:color="495965"/>
          <w:bdr w:val="nil"/>
          <w:lang w:val="en-US" w:eastAsia="en-AU"/>
        </w:rPr>
        <w:t xml:space="preserve"> in response to emergin</w:t>
      </w:r>
      <w:r w:rsidR="00681864">
        <w:rPr>
          <w:rFonts w:ascii="Calibri Light" w:eastAsia="Calibri Light" w:hAnsi="Calibri Light" w:cs="Calibri Light"/>
          <w:color w:val="495965"/>
          <w:u w:color="495965"/>
          <w:bdr w:val="nil"/>
          <w:lang w:val="en-US" w:eastAsia="en-AU"/>
        </w:rPr>
        <w:t xml:space="preserve">g issues. In 2016-17, </w:t>
      </w:r>
      <w:r w:rsidR="00610F8B">
        <w:rPr>
          <w:rFonts w:ascii="Calibri Light" w:eastAsia="Calibri Light" w:hAnsi="Calibri Light" w:cs="Calibri Light"/>
          <w:color w:val="495965"/>
          <w:u w:color="495965"/>
          <w:bdr w:val="nil"/>
          <w:lang w:val="en-US" w:eastAsia="en-AU"/>
        </w:rPr>
        <w:t>64</w:t>
      </w:r>
      <w:r w:rsidR="00610F8B" w:rsidRPr="00775586">
        <w:rPr>
          <w:rFonts w:ascii="Calibri Light" w:eastAsia="Calibri Light" w:hAnsi="Calibri Light" w:cs="Calibri Light"/>
          <w:color w:val="495965"/>
          <w:u w:color="495965"/>
          <w:bdr w:val="nil"/>
          <w:lang w:val="en-US" w:eastAsia="en-AU"/>
        </w:rPr>
        <w:t xml:space="preserve"> </w:t>
      </w:r>
      <w:r w:rsidRPr="00775586">
        <w:rPr>
          <w:rFonts w:ascii="Calibri Light" w:eastAsia="Calibri Light" w:hAnsi="Calibri Light" w:cs="Calibri Light"/>
          <w:color w:val="495965"/>
          <w:u w:color="495965"/>
          <w:bdr w:val="nil"/>
          <w:lang w:val="en-US" w:eastAsia="en-AU"/>
        </w:rPr>
        <w:t>Bangladeshi students (</w:t>
      </w:r>
      <w:r w:rsidR="00142ADA" w:rsidRPr="00775586">
        <w:rPr>
          <w:rFonts w:ascii="Calibri Light" w:eastAsia="Calibri Light" w:hAnsi="Calibri Light" w:cs="Calibri Light"/>
          <w:color w:val="495965"/>
          <w:u w:color="495965"/>
          <w:bdr w:val="nil"/>
          <w:lang w:val="en-US" w:eastAsia="en-AU"/>
        </w:rPr>
        <w:t>34 wome</w:t>
      </w:r>
      <w:r w:rsidR="009A6C9E">
        <w:rPr>
          <w:rFonts w:ascii="Calibri Light" w:eastAsia="Calibri Light" w:hAnsi="Calibri Light" w:cs="Calibri Light"/>
          <w:color w:val="495965"/>
          <w:u w:color="495965"/>
          <w:bdr w:val="nil"/>
          <w:lang w:val="en-US" w:eastAsia="en-AU"/>
        </w:rPr>
        <w:t xml:space="preserve">n) </w:t>
      </w:r>
      <w:r w:rsidRPr="00775586">
        <w:rPr>
          <w:rFonts w:ascii="Calibri Light" w:eastAsia="Calibri Light" w:hAnsi="Calibri Light" w:cs="Calibri Light"/>
          <w:color w:val="495965"/>
          <w:u w:color="495965"/>
          <w:bdr w:val="nil"/>
          <w:lang w:val="en-US" w:eastAsia="en-AU"/>
        </w:rPr>
        <w:t>received graduate scholarships to stu</w:t>
      </w:r>
      <w:r w:rsidR="00142ADA" w:rsidRPr="00775586">
        <w:rPr>
          <w:rFonts w:ascii="Calibri Light" w:eastAsia="Calibri Light" w:hAnsi="Calibri Light" w:cs="Calibri Light"/>
          <w:color w:val="495965"/>
          <w:u w:color="495965"/>
          <w:bdr w:val="nil"/>
          <w:lang w:val="en-US" w:eastAsia="en-AU"/>
        </w:rPr>
        <w:t xml:space="preserve">dy </w:t>
      </w:r>
      <w:r w:rsidR="00E951DC">
        <w:rPr>
          <w:rFonts w:ascii="Calibri Light" w:eastAsia="Calibri Light" w:hAnsi="Calibri Light" w:cs="Calibri Light"/>
          <w:color w:val="495965"/>
          <w:u w:color="495965"/>
          <w:bdr w:val="nil"/>
          <w:lang w:val="en-US" w:eastAsia="en-AU"/>
        </w:rPr>
        <w:t xml:space="preserve">in </w:t>
      </w:r>
      <w:r w:rsidR="00142ADA" w:rsidRPr="00775586">
        <w:rPr>
          <w:rFonts w:ascii="Calibri Light" w:eastAsia="Calibri Light" w:hAnsi="Calibri Light" w:cs="Calibri Light"/>
          <w:color w:val="495965"/>
          <w:u w:color="495965"/>
          <w:bdr w:val="nil"/>
          <w:lang w:val="en-US" w:eastAsia="en-AU"/>
        </w:rPr>
        <w:t xml:space="preserve">a range of fields including </w:t>
      </w:r>
      <w:r w:rsidRPr="00775586">
        <w:rPr>
          <w:rFonts w:ascii="Calibri Light" w:eastAsia="Calibri Light" w:hAnsi="Calibri Light" w:cs="Calibri Light"/>
          <w:color w:val="495965"/>
          <w:u w:color="495965"/>
          <w:bdr w:val="nil"/>
          <w:lang w:val="en-US" w:eastAsia="en-AU"/>
        </w:rPr>
        <w:t xml:space="preserve">engineering, </w:t>
      </w:r>
      <w:r w:rsidR="00A7102B">
        <w:rPr>
          <w:rFonts w:ascii="Calibri Light" w:eastAsia="Calibri Light" w:hAnsi="Calibri Light" w:cs="Calibri Light"/>
          <w:color w:val="495965"/>
          <w:u w:color="495965"/>
          <w:bdr w:val="nil"/>
          <w:lang w:val="en-US" w:eastAsia="en-AU"/>
        </w:rPr>
        <w:t>development</w:t>
      </w:r>
      <w:r w:rsidRPr="00775586">
        <w:rPr>
          <w:rFonts w:ascii="Calibri Light" w:eastAsia="Calibri Light" w:hAnsi="Calibri Light" w:cs="Calibri Light"/>
          <w:color w:val="495965"/>
          <w:u w:color="495965"/>
          <w:bdr w:val="nil"/>
          <w:lang w:val="en-US" w:eastAsia="en-AU"/>
        </w:rPr>
        <w:t>, public health, transport and public policy.</w:t>
      </w:r>
      <w:r w:rsidR="00A7102B">
        <w:rPr>
          <w:rFonts w:ascii="Calibri Light" w:eastAsia="Calibri Light" w:hAnsi="Calibri Light" w:cs="Calibri Light"/>
          <w:color w:val="495965"/>
          <w:u w:color="495965"/>
          <w:bdr w:val="nil"/>
          <w:lang w:val="en-US" w:eastAsia="en-AU"/>
        </w:rPr>
        <w:t xml:space="preserve"> </w:t>
      </w:r>
      <w:r w:rsidR="0075323C">
        <w:rPr>
          <w:rFonts w:ascii="Calibri Light" w:eastAsia="Calibri Light" w:hAnsi="Calibri Light" w:cs="Calibri Light"/>
          <w:color w:val="495965"/>
          <w:u w:color="495965"/>
          <w:bdr w:val="nil"/>
          <w:lang w:val="en-US" w:eastAsia="en-AU"/>
        </w:rPr>
        <w:t xml:space="preserve">The </w:t>
      </w:r>
      <w:r w:rsidR="00B1713F">
        <w:rPr>
          <w:rFonts w:ascii="Calibri Light" w:eastAsia="Calibri Light" w:hAnsi="Calibri Light" w:cs="Calibri Light"/>
          <w:color w:val="495965"/>
          <w:u w:color="495965"/>
          <w:bdr w:val="nil"/>
          <w:lang w:val="en-US" w:eastAsia="en-AU"/>
        </w:rPr>
        <w:t>PB/PAF</w:t>
      </w:r>
      <w:r w:rsidR="00A7102B">
        <w:rPr>
          <w:rFonts w:ascii="Calibri Light" w:eastAsia="Calibri Light" w:hAnsi="Calibri Light" w:cs="Calibri Light"/>
          <w:color w:val="495965"/>
          <w:u w:color="495965"/>
          <w:bdr w:val="nil"/>
          <w:lang w:val="en-US" w:eastAsia="en-AU"/>
        </w:rPr>
        <w:t xml:space="preserve"> target to ensure gender equity </w:t>
      </w:r>
      <w:r w:rsidR="00B1713F">
        <w:rPr>
          <w:rFonts w:ascii="Calibri Light" w:eastAsia="Calibri Light" w:hAnsi="Calibri Light" w:cs="Calibri Light"/>
          <w:color w:val="495965"/>
          <w:u w:color="495965"/>
          <w:bdr w:val="nil"/>
          <w:lang w:val="en-US" w:eastAsia="en-AU"/>
        </w:rPr>
        <w:t xml:space="preserve">was met, with around </w:t>
      </w:r>
      <w:r w:rsidR="00A7102B">
        <w:rPr>
          <w:rFonts w:ascii="Calibri Light" w:eastAsia="Calibri Light" w:hAnsi="Calibri Light" w:cs="Calibri Light"/>
          <w:color w:val="495965"/>
          <w:u w:color="495965"/>
          <w:bdr w:val="nil"/>
          <w:lang w:val="en-US" w:eastAsia="en-AU"/>
        </w:rPr>
        <w:t>53 per cent of scholarships awarded to women</w:t>
      </w:r>
      <w:r w:rsidR="00E951DC">
        <w:rPr>
          <w:rFonts w:ascii="Calibri Light" w:eastAsia="Calibri Light" w:hAnsi="Calibri Light" w:cs="Calibri Light"/>
          <w:color w:val="495965"/>
          <w:u w:color="495965"/>
          <w:bdr w:val="nil"/>
          <w:lang w:val="en-US" w:eastAsia="en-AU"/>
        </w:rPr>
        <w:t xml:space="preserve">. </w:t>
      </w:r>
    </w:p>
    <w:p w14:paraId="6287E0AE" w14:textId="47671D33" w:rsidR="00DA04C0" w:rsidRPr="00775586" w:rsidRDefault="00DA04C0" w:rsidP="00026AE0">
      <w:pPr>
        <w:pBdr>
          <w:top w:val="nil"/>
          <w:left w:val="nil"/>
          <w:bottom w:val="nil"/>
          <w:right w:val="nil"/>
          <w:between w:val="nil"/>
          <w:bar w:val="nil"/>
        </w:pBdr>
        <w:spacing w:after="120" w:line="280" w:lineRule="exact"/>
        <w:jc w:val="both"/>
        <w:rPr>
          <w:rFonts w:ascii="Calibri Light" w:eastAsia="Calibri Light" w:hAnsi="Calibri Light" w:cs="Calibri Light"/>
          <w:color w:val="495965"/>
          <w:u w:color="495965"/>
          <w:bdr w:val="nil"/>
          <w:lang w:val="en-US" w:eastAsia="en-AU"/>
        </w:rPr>
      </w:pPr>
      <w:r w:rsidRPr="00775586">
        <w:rPr>
          <w:rFonts w:ascii="Calibri Light" w:eastAsia="Calibri Light" w:hAnsi="Calibri Light" w:cs="Calibri Light"/>
          <w:color w:val="495965"/>
          <w:u w:color="495965"/>
          <w:bdr w:val="nil"/>
          <w:lang w:val="en-US" w:eastAsia="en-AU"/>
        </w:rPr>
        <w:lastRenderedPageBreak/>
        <w:t xml:space="preserve">Short Courses and Informal Learning Opportunities (ILOs) are an expanding feature of the Australia Awards program in Bangladesh. In 2016-17, </w:t>
      </w:r>
      <w:r w:rsidR="00F47520">
        <w:rPr>
          <w:rFonts w:ascii="Calibri Light" w:eastAsia="Calibri Light" w:hAnsi="Calibri Light" w:cs="Calibri Light"/>
          <w:color w:val="495965"/>
          <w:u w:color="495965"/>
          <w:bdr w:val="nil"/>
          <w:lang w:val="en-US" w:eastAsia="en-AU"/>
        </w:rPr>
        <w:t>67</w:t>
      </w:r>
      <w:r w:rsidRPr="00775586">
        <w:rPr>
          <w:rFonts w:ascii="Calibri Light" w:eastAsia="Calibri Light" w:hAnsi="Calibri Light" w:cs="Calibri Light"/>
          <w:color w:val="495965"/>
          <w:u w:color="495965"/>
          <w:bdr w:val="nil"/>
          <w:lang w:val="en-US" w:eastAsia="en-AU"/>
        </w:rPr>
        <w:t xml:space="preserve"> participants attended </w:t>
      </w:r>
      <w:r w:rsidR="00F47520">
        <w:rPr>
          <w:rFonts w:ascii="Calibri Light" w:eastAsia="Calibri Light" w:hAnsi="Calibri Light" w:cs="Calibri Light"/>
          <w:color w:val="495965"/>
          <w:u w:color="495965"/>
          <w:bdr w:val="nil"/>
          <w:lang w:val="en-US" w:eastAsia="en-AU"/>
        </w:rPr>
        <w:t>seven</w:t>
      </w:r>
      <w:r w:rsidRPr="00775586">
        <w:rPr>
          <w:rFonts w:ascii="Calibri Light" w:eastAsia="Calibri Light" w:hAnsi="Calibri Light" w:cs="Calibri Light"/>
          <w:color w:val="495965"/>
          <w:u w:color="495965"/>
          <w:bdr w:val="nil"/>
          <w:lang w:val="en-US" w:eastAsia="en-AU"/>
        </w:rPr>
        <w:t xml:space="preserve"> ILOs and six Short Courses, including on regional energy security, inte</w:t>
      </w:r>
      <w:r w:rsidR="0071415F">
        <w:rPr>
          <w:rFonts w:ascii="Calibri Light" w:eastAsia="Calibri Light" w:hAnsi="Calibri Light" w:cs="Calibri Light"/>
          <w:color w:val="495965"/>
          <w:u w:color="495965"/>
          <w:bdr w:val="nil"/>
          <w:lang w:val="en-US" w:eastAsia="en-AU"/>
        </w:rPr>
        <w:t>rnational trade</w:t>
      </w:r>
      <w:r w:rsidRPr="00775586">
        <w:rPr>
          <w:rFonts w:ascii="Calibri Light" w:eastAsia="Calibri Light" w:hAnsi="Calibri Light" w:cs="Calibri Light"/>
          <w:color w:val="495965"/>
          <w:u w:color="495965"/>
          <w:bdr w:val="nil"/>
          <w:lang w:val="en-US" w:eastAsia="en-AU"/>
        </w:rPr>
        <w:t xml:space="preserve"> and countering terrorism financing. </w:t>
      </w:r>
    </w:p>
    <w:p w14:paraId="11C36FAC" w14:textId="728BF4AD" w:rsidR="00DA04C0" w:rsidRPr="00775586" w:rsidRDefault="00DA04C0" w:rsidP="00026AE0">
      <w:pPr>
        <w:pBdr>
          <w:top w:val="nil"/>
          <w:left w:val="nil"/>
          <w:bottom w:val="nil"/>
          <w:right w:val="nil"/>
          <w:between w:val="nil"/>
          <w:bar w:val="nil"/>
        </w:pBdr>
        <w:spacing w:after="120" w:line="280" w:lineRule="exact"/>
        <w:jc w:val="both"/>
        <w:rPr>
          <w:rFonts w:ascii="Calibri Light" w:eastAsia="Calibri Light" w:hAnsi="Calibri Light" w:cs="Calibri Light"/>
          <w:color w:val="495965"/>
          <w:u w:color="495965"/>
          <w:bdr w:val="nil"/>
          <w:lang w:val="en-US" w:eastAsia="en-AU"/>
        </w:rPr>
      </w:pPr>
      <w:r w:rsidRPr="00775586">
        <w:rPr>
          <w:rFonts w:ascii="Calibri Light" w:eastAsia="Calibri Light" w:hAnsi="Calibri Light" w:cs="Calibri Light"/>
          <w:color w:val="495965"/>
          <w:u w:color="495965"/>
          <w:bdr w:val="nil"/>
          <w:lang w:val="en-US" w:eastAsia="en-AU"/>
        </w:rPr>
        <w:t>Australia Awards Alumni play an important role in facilitating</w:t>
      </w:r>
      <w:r w:rsidR="002B3BFA">
        <w:rPr>
          <w:rFonts w:ascii="Calibri Light" w:eastAsia="Calibri Light" w:hAnsi="Calibri Light" w:cs="Calibri Light"/>
          <w:color w:val="495965"/>
          <w:u w:color="495965"/>
          <w:bdr w:val="nil"/>
          <w:lang w:val="en-US" w:eastAsia="en-AU"/>
        </w:rPr>
        <w:t xml:space="preserve"> on-going institutional links. Of note is </w:t>
      </w:r>
      <w:r w:rsidRPr="00775586">
        <w:rPr>
          <w:rFonts w:ascii="Calibri Light" w:eastAsia="Calibri Light" w:hAnsi="Calibri Light" w:cs="Calibri Light"/>
          <w:color w:val="495965"/>
          <w:u w:color="495965"/>
          <w:bdr w:val="nil"/>
          <w:lang w:val="en-US" w:eastAsia="en-AU"/>
        </w:rPr>
        <w:t xml:space="preserve">a </w:t>
      </w:r>
      <w:r w:rsidR="009A6C9E">
        <w:rPr>
          <w:rFonts w:ascii="Calibri Light" w:eastAsia="Calibri Light" w:hAnsi="Calibri Light" w:cs="Calibri Light"/>
          <w:color w:val="495965"/>
          <w:u w:color="495965"/>
          <w:bdr w:val="nil"/>
          <w:lang w:val="en-US" w:eastAsia="en-AU"/>
        </w:rPr>
        <w:t xml:space="preserve">$7 million </w:t>
      </w:r>
      <w:r w:rsidRPr="00775586">
        <w:rPr>
          <w:rFonts w:ascii="Calibri Light" w:eastAsia="Calibri Light" w:hAnsi="Calibri Light" w:cs="Calibri Light"/>
          <w:color w:val="495965"/>
          <w:u w:color="495965"/>
          <w:bdr w:val="nil"/>
          <w:lang w:val="en-US" w:eastAsia="en-AU"/>
        </w:rPr>
        <w:t xml:space="preserve">Memorandum of Understanding </w:t>
      </w:r>
      <w:r w:rsidR="006F6978">
        <w:rPr>
          <w:rFonts w:ascii="Calibri Light" w:eastAsia="Calibri Light" w:hAnsi="Calibri Light" w:cs="Calibri Light"/>
          <w:color w:val="495965"/>
          <w:u w:color="495965"/>
          <w:bdr w:val="nil"/>
          <w:lang w:val="en-US" w:eastAsia="en-AU"/>
        </w:rPr>
        <w:t xml:space="preserve">initiated by an Australia Awards Alumnus and </w:t>
      </w:r>
      <w:r w:rsidR="002B3BFA">
        <w:rPr>
          <w:rFonts w:ascii="Calibri Light" w:eastAsia="Calibri Light" w:hAnsi="Calibri Light" w:cs="Calibri Light"/>
          <w:color w:val="495965"/>
          <w:u w:color="495965"/>
          <w:bdr w:val="nil"/>
          <w:lang w:val="en-US" w:eastAsia="en-AU"/>
        </w:rPr>
        <w:t xml:space="preserve">signed between the </w:t>
      </w:r>
      <w:r w:rsidRPr="00775586">
        <w:rPr>
          <w:rFonts w:ascii="Calibri Light" w:eastAsia="Calibri Light" w:hAnsi="Calibri Light" w:cs="Calibri Light"/>
          <w:color w:val="495965"/>
          <w:u w:color="495965"/>
          <w:bdr w:val="nil"/>
          <w:lang w:val="en-US" w:eastAsia="en-AU"/>
        </w:rPr>
        <w:t xml:space="preserve">Western Sydney </w:t>
      </w:r>
      <w:r w:rsidR="002B3BFA">
        <w:rPr>
          <w:rFonts w:ascii="Calibri Light" w:eastAsia="Calibri Light" w:hAnsi="Calibri Light" w:cs="Calibri Light"/>
          <w:color w:val="495965"/>
          <w:u w:color="495965"/>
          <w:bdr w:val="nil"/>
          <w:lang w:val="en-US" w:eastAsia="en-AU"/>
        </w:rPr>
        <w:t xml:space="preserve">University </w:t>
      </w:r>
      <w:r w:rsidRPr="00775586">
        <w:rPr>
          <w:rFonts w:ascii="Calibri Light" w:eastAsia="Calibri Light" w:hAnsi="Calibri Light" w:cs="Calibri Light"/>
          <w:color w:val="495965"/>
          <w:u w:color="495965"/>
          <w:bdr w:val="nil"/>
          <w:lang w:val="en-US" w:eastAsia="en-AU"/>
        </w:rPr>
        <w:t>and the Bangladeshi Ministry of Law to train 540 judges in Australi</w:t>
      </w:r>
      <w:r w:rsidR="002B3BFA">
        <w:rPr>
          <w:rFonts w:ascii="Calibri Light" w:eastAsia="Calibri Light" w:hAnsi="Calibri Light" w:cs="Calibri Light"/>
          <w:color w:val="495965"/>
          <w:u w:color="495965"/>
          <w:bdr w:val="nil"/>
          <w:lang w:val="en-US" w:eastAsia="en-AU"/>
        </w:rPr>
        <w:t>a</w:t>
      </w:r>
      <w:r w:rsidR="009A6C9E">
        <w:rPr>
          <w:rFonts w:ascii="Calibri Light" w:eastAsia="Calibri Light" w:hAnsi="Calibri Light" w:cs="Calibri Light"/>
          <w:color w:val="495965"/>
          <w:u w:color="495965"/>
          <w:bdr w:val="nil"/>
          <w:lang w:val="en-US" w:eastAsia="en-AU"/>
        </w:rPr>
        <w:t xml:space="preserve">. </w:t>
      </w:r>
      <w:r w:rsidR="00185FA8">
        <w:rPr>
          <w:rFonts w:ascii="Calibri Light" w:eastAsia="Calibri Light" w:hAnsi="Calibri Light" w:cs="Calibri Light"/>
          <w:color w:val="495965"/>
          <w:u w:color="495965"/>
          <w:bdr w:val="nil"/>
          <w:lang w:val="en-US" w:eastAsia="en-AU"/>
        </w:rPr>
        <w:t xml:space="preserve">The training is fully-funded by the </w:t>
      </w:r>
      <w:r w:rsidR="002B3BFA">
        <w:rPr>
          <w:rFonts w:ascii="Calibri Light" w:eastAsia="Calibri Light" w:hAnsi="Calibri Light" w:cs="Calibri Light"/>
          <w:color w:val="495965"/>
          <w:u w:color="495965"/>
          <w:bdr w:val="nil"/>
          <w:lang w:val="en-US" w:eastAsia="en-AU"/>
        </w:rPr>
        <w:t xml:space="preserve">Government of Bangladesh. </w:t>
      </w:r>
    </w:p>
    <w:p w14:paraId="0F712F40" w14:textId="41F698B6" w:rsidR="009A6C9E" w:rsidRDefault="00DA04C0" w:rsidP="00026AE0">
      <w:pPr>
        <w:pBdr>
          <w:top w:val="nil"/>
          <w:left w:val="nil"/>
          <w:bottom w:val="nil"/>
          <w:right w:val="nil"/>
          <w:between w:val="nil"/>
          <w:bar w:val="nil"/>
        </w:pBdr>
        <w:spacing w:after="120" w:line="280" w:lineRule="exact"/>
        <w:jc w:val="both"/>
        <w:rPr>
          <w:rFonts w:eastAsia="Calibri Light" w:cs="Calibri Light"/>
          <w:b/>
          <w:bCs/>
          <w:color w:val="495965"/>
          <w:u w:color="495965"/>
          <w:bdr w:val="nil"/>
          <w:lang w:val="en-US" w:eastAsia="en-AU"/>
        </w:rPr>
      </w:pPr>
      <w:r w:rsidRPr="00775586">
        <w:rPr>
          <w:rFonts w:ascii="Calibri Light" w:eastAsia="Calibri Light" w:hAnsi="Calibri Light" w:cs="Calibri Light"/>
          <w:color w:val="495965"/>
          <w:u w:color="495965"/>
          <w:bdr w:val="nil"/>
          <w:lang w:val="en-US" w:eastAsia="en-AU"/>
        </w:rPr>
        <w:t xml:space="preserve">Twenty-three Australia Awards fellowships </w:t>
      </w:r>
      <w:r w:rsidR="00D979EE">
        <w:rPr>
          <w:rFonts w:ascii="Calibri Light" w:eastAsia="Calibri Light" w:hAnsi="Calibri Light" w:cs="Calibri Light"/>
          <w:color w:val="495965"/>
          <w:u w:color="495965"/>
          <w:bdr w:val="nil"/>
          <w:lang w:val="en-US" w:eastAsia="en-AU"/>
        </w:rPr>
        <w:t>($0.58 million) were offered to</w:t>
      </w:r>
      <w:r w:rsidRPr="00775586">
        <w:rPr>
          <w:rFonts w:ascii="Calibri Light" w:eastAsia="Calibri Light" w:hAnsi="Calibri Light" w:cs="Calibri Light"/>
          <w:color w:val="495965"/>
          <w:u w:color="495965"/>
          <w:bdr w:val="nil"/>
          <w:lang w:val="en-US" w:eastAsia="en-AU"/>
        </w:rPr>
        <w:t xml:space="preserve"> mid and senior level professionals </w:t>
      </w:r>
      <w:r w:rsidR="00D979EE">
        <w:rPr>
          <w:rFonts w:ascii="Calibri Light" w:eastAsia="Calibri Light" w:hAnsi="Calibri Light" w:cs="Calibri Light"/>
          <w:color w:val="495965"/>
          <w:u w:color="495965"/>
          <w:bdr w:val="nil"/>
          <w:lang w:val="en-US" w:eastAsia="en-AU"/>
        </w:rPr>
        <w:t xml:space="preserve">in areas such as </w:t>
      </w:r>
      <w:r w:rsidRPr="00775586">
        <w:rPr>
          <w:rFonts w:ascii="Calibri Light" w:eastAsia="Calibri Light" w:hAnsi="Calibri Light" w:cs="Calibri Light"/>
          <w:color w:val="495965"/>
          <w:u w:color="495965"/>
          <w:bdr w:val="nil"/>
          <w:lang w:val="en-US" w:eastAsia="en-AU"/>
        </w:rPr>
        <w:t>law and justice, f</w:t>
      </w:r>
      <w:r w:rsidR="00D979EE">
        <w:rPr>
          <w:rFonts w:ascii="Calibri Light" w:eastAsia="Calibri Light" w:hAnsi="Calibri Light" w:cs="Calibri Light"/>
          <w:color w:val="495965"/>
          <w:u w:color="495965"/>
          <w:bdr w:val="nil"/>
          <w:lang w:val="en-US" w:eastAsia="en-AU"/>
        </w:rPr>
        <w:t xml:space="preserve">ood security and gender equality. </w:t>
      </w:r>
      <w:r w:rsidRPr="00775586">
        <w:rPr>
          <w:rFonts w:ascii="Calibri Light" w:eastAsia="Calibri Light" w:hAnsi="Calibri Light" w:cs="Calibri Light"/>
          <w:color w:val="495965"/>
          <w:u w:color="495965"/>
          <w:bdr w:val="nil"/>
          <w:lang w:val="en-US" w:eastAsia="en-AU"/>
        </w:rPr>
        <w:t xml:space="preserve"> </w:t>
      </w:r>
      <w:r w:rsidR="00D979EE">
        <w:rPr>
          <w:rFonts w:ascii="Calibri Light" w:eastAsia="Calibri Light" w:hAnsi="Calibri Light" w:cs="Calibri Light"/>
          <w:color w:val="495965"/>
          <w:u w:color="495965"/>
          <w:bdr w:val="nil"/>
          <w:lang w:val="en-US" w:eastAsia="en-AU"/>
        </w:rPr>
        <w:t xml:space="preserve">For example, </w:t>
      </w:r>
      <w:r w:rsidRPr="00775586">
        <w:rPr>
          <w:rFonts w:ascii="Calibri Light" w:eastAsia="Calibri Light" w:hAnsi="Calibri Light" w:cs="Calibri Light"/>
          <w:color w:val="495965"/>
          <w:u w:color="495965"/>
          <w:bdr w:val="nil"/>
          <w:lang w:val="en-US" w:eastAsia="en-AU"/>
        </w:rPr>
        <w:t>Australian</w:t>
      </w:r>
      <w:r w:rsidR="00D979EE">
        <w:rPr>
          <w:rFonts w:ascii="Calibri Light" w:eastAsia="Calibri Light" w:hAnsi="Calibri Light" w:cs="Calibri Light"/>
          <w:color w:val="495965"/>
          <w:u w:color="495965"/>
          <w:bdr w:val="nil"/>
          <w:lang w:val="en-US" w:eastAsia="en-AU"/>
        </w:rPr>
        <w:t xml:space="preserve"> institutions, including </w:t>
      </w:r>
      <w:r w:rsidRPr="00775586">
        <w:rPr>
          <w:rFonts w:ascii="Calibri Light" w:eastAsia="Calibri Light" w:hAnsi="Calibri Light" w:cs="Calibri Light"/>
          <w:color w:val="495965"/>
          <w:u w:color="495965"/>
          <w:bdr w:val="nil"/>
          <w:lang w:val="en-US" w:eastAsia="en-AU"/>
        </w:rPr>
        <w:t>Macquarie</w:t>
      </w:r>
      <w:r w:rsidR="00D979EE">
        <w:rPr>
          <w:rFonts w:ascii="Calibri Light" w:eastAsia="Calibri Light" w:hAnsi="Calibri Light" w:cs="Calibri Light"/>
          <w:color w:val="495965"/>
          <w:u w:color="495965"/>
          <w:bdr w:val="nil"/>
          <w:lang w:val="en-US" w:eastAsia="en-AU"/>
        </w:rPr>
        <w:t xml:space="preserve"> University provided short term study opportunity for 15 officials (including 7 women) </w:t>
      </w:r>
      <w:r w:rsidRPr="00775586">
        <w:rPr>
          <w:rFonts w:ascii="Calibri Light" w:eastAsia="Calibri Light" w:hAnsi="Calibri Light" w:cs="Calibri Light"/>
          <w:color w:val="495965"/>
          <w:u w:color="495965"/>
          <w:bdr w:val="nil"/>
          <w:lang w:val="en-US" w:eastAsia="en-AU"/>
        </w:rPr>
        <w:t>from the Bangladesh Police Staff College on</w:t>
      </w:r>
      <w:r w:rsidR="00D979EE">
        <w:rPr>
          <w:rFonts w:ascii="Calibri Light" w:eastAsia="Calibri Light" w:hAnsi="Calibri Light" w:cs="Calibri Light"/>
          <w:color w:val="495965"/>
          <w:u w:color="495965"/>
          <w:bdr w:val="nil"/>
          <w:lang w:val="en-US" w:eastAsia="en-AU"/>
        </w:rPr>
        <w:t xml:space="preserve"> countering violent extremism</w:t>
      </w:r>
      <w:r w:rsidR="00DB3A06">
        <w:rPr>
          <w:rFonts w:ascii="Calibri Light" w:eastAsia="Calibri Light" w:hAnsi="Calibri Light" w:cs="Calibri Light"/>
          <w:color w:val="495965"/>
          <w:u w:color="495965"/>
          <w:bdr w:val="nil"/>
          <w:lang w:val="en-US" w:eastAsia="en-AU"/>
        </w:rPr>
        <w:t xml:space="preserve">. </w:t>
      </w:r>
    </w:p>
    <w:p w14:paraId="0B2B1DCA" w14:textId="577296D6" w:rsidR="005B1BF4" w:rsidRPr="0035542F" w:rsidRDefault="005B1BF4" w:rsidP="005B1BF4">
      <w:pPr>
        <w:pBdr>
          <w:top w:val="nil"/>
          <w:left w:val="nil"/>
          <w:bottom w:val="nil"/>
          <w:right w:val="nil"/>
          <w:between w:val="nil"/>
          <w:bar w:val="nil"/>
        </w:pBdr>
        <w:spacing w:after="120" w:line="280" w:lineRule="exact"/>
        <w:rPr>
          <w:rFonts w:asciiTheme="majorHAnsi" w:eastAsia="Calibri Light" w:hAnsiTheme="majorHAnsi" w:cs="Calibri Light"/>
          <w:b/>
          <w:bCs/>
          <w:color w:val="495965"/>
          <w:u w:color="495965"/>
          <w:bdr w:val="nil"/>
          <w:lang w:val="en-US" w:eastAsia="en-AU"/>
        </w:rPr>
      </w:pPr>
      <w:r w:rsidRPr="0035542F">
        <w:rPr>
          <w:rFonts w:asciiTheme="majorHAnsi" w:eastAsia="Calibri Light" w:hAnsiTheme="majorHAnsi" w:cs="Calibri Light"/>
          <w:b/>
          <w:bCs/>
          <w:color w:val="495965"/>
          <w:u w:color="495965"/>
          <w:bdr w:val="nil"/>
          <w:lang w:val="en-US" w:eastAsia="en-AU"/>
        </w:rPr>
        <w:t>Australia</w:t>
      </w:r>
      <w:r w:rsidR="00E34C28" w:rsidRPr="0035542F">
        <w:rPr>
          <w:rFonts w:asciiTheme="majorHAnsi" w:eastAsia="Calibri Light" w:hAnsiTheme="majorHAnsi" w:cs="Calibri Light"/>
          <w:b/>
          <w:bCs/>
          <w:color w:val="495965"/>
          <w:u w:color="495965"/>
          <w:bdr w:val="nil"/>
          <w:lang w:val="en-US" w:eastAsia="en-AU"/>
        </w:rPr>
        <w:t>n</w:t>
      </w:r>
      <w:r w:rsidRPr="0035542F">
        <w:rPr>
          <w:rFonts w:asciiTheme="majorHAnsi" w:eastAsia="Calibri Light" w:hAnsiTheme="majorHAnsi" w:cs="Calibri Light"/>
          <w:b/>
          <w:bCs/>
          <w:color w:val="495965"/>
          <w:u w:color="495965"/>
          <w:bdr w:val="nil"/>
          <w:lang w:val="en-US" w:eastAsia="en-AU"/>
        </w:rPr>
        <w:t xml:space="preserve"> NGO Cooperation Program</w:t>
      </w:r>
    </w:p>
    <w:p w14:paraId="102294D2" w14:textId="1AA4C638" w:rsidR="00142ADA" w:rsidRDefault="005B1BF4" w:rsidP="00026AE0">
      <w:pPr>
        <w:pBdr>
          <w:top w:val="nil"/>
          <w:left w:val="nil"/>
          <w:bottom w:val="nil"/>
          <w:right w:val="nil"/>
          <w:between w:val="nil"/>
          <w:bar w:val="nil"/>
        </w:pBdr>
        <w:spacing w:after="120" w:line="280" w:lineRule="exact"/>
        <w:jc w:val="both"/>
        <w:rPr>
          <w:rFonts w:ascii="Calibri Light" w:eastAsia="Calibri Light" w:hAnsi="Calibri Light" w:cs="Calibri Light"/>
          <w:color w:val="495965"/>
          <w:u w:color="495965"/>
          <w:bdr w:val="nil"/>
          <w:lang w:val="en-US" w:eastAsia="en-AU"/>
        </w:rPr>
      </w:pPr>
      <w:r w:rsidRPr="00DE5714">
        <w:rPr>
          <w:rFonts w:ascii="Calibri Light" w:eastAsia="Calibri Light" w:hAnsi="Calibri Light" w:cs="Calibri Light"/>
          <w:color w:val="495965"/>
          <w:u w:color="495965"/>
          <w:bdr w:val="nil"/>
          <w:lang w:val="en-US" w:eastAsia="en-AU"/>
        </w:rPr>
        <w:t>In 2016-17, 13 Australian NGOs received funding (</w:t>
      </w:r>
      <w:r w:rsidR="00174EDE" w:rsidRPr="00DE5714">
        <w:rPr>
          <w:rFonts w:ascii="Calibri Light" w:eastAsia="Calibri Light" w:hAnsi="Calibri Light" w:cs="Calibri Light"/>
          <w:color w:val="495965"/>
          <w:u w:color="495965"/>
          <w:bdr w:val="nil"/>
          <w:lang w:val="en-US" w:eastAsia="en-AU"/>
        </w:rPr>
        <w:t>totaling</w:t>
      </w:r>
      <w:r w:rsidRPr="00DE5714">
        <w:rPr>
          <w:rFonts w:ascii="Calibri Light" w:eastAsia="Calibri Light" w:hAnsi="Calibri Light" w:cs="Calibri Light"/>
          <w:color w:val="495965"/>
          <w:u w:color="495965"/>
          <w:bdr w:val="nil"/>
          <w:lang w:val="en-US" w:eastAsia="en-AU"/>
        </w:rPr>
        <w:t xml:space="preserve"> $5.1 million) through the Australia</w:t>
      </w:r>
      <w:r w:rsidR="00E34C28">
        <w:rPr>
          <w:rFonts w:ascii="Calibri Light" w:eastAsia="Calibri Light" w:hAnsi="Calibri Light" w:cs="Calibri Light"/>
          <w:color w:val="495965"/>
          <w:u w:color="495965"/>
          <w:bdr w:val="nil"/>
          <w:lang w:val="en-US" w:eastAsia="en-AU"/>
        </w:rPr>
        <w:t>n</w:t>
      </w:r>
      <w:r w:rsidRPr="00DE5714">
        <w:rPr>
          <w:rFonts w:ascii="Calibri Light" w:eastAsia="Calibri Light" w:hAnsi="Calibri Light" w:cs="Calibri Light"/>
          <w:color w:val="495965"/>
          <w:u w:color="495965"/>
          <w:bdr w:val="nil"/>
          <w:lang w:val="en-US" w:eastAsia="en-AU"/>
        </w:rPr>
        <w:t xml:space="preserve"> NGO Cooperation Program (ANCP) to deliver 24 projects across multiple sectors, including </w:t>
      </w:r>
      <w:r w:rsidR="005B4DF5">
        <w:rPr>
          <w:rFonts w:ascii="Calibri Light" w:eastAsia="Calibri Light" w:hAnsi="Calibri Light" w:cs="Calibri Light"/>
          <w:color w:val="495965"/>
          <w:u w:color="495965"/>
          <w:bdr w:val="nil"/>
          <w:lang w:val="en-US" w:eastAsia="en-AU"/>
        </w:rPr>
        <w:t xml:space="preserve">in </w:t>
      </w:r>
      <w:r w:rsidRPr="00DE5714">
        <w:rPr>
          <w:rFonts w:ascii="Calibri Light" w:eastAsia="Calibri Light" w:hAnsi="Calibri Light" w:cs="Calibri Light"/>
          <w:color w:val="495965"/>
          <w:u w:color="495965"/>
          <w:bdr w:val="nil"/>
          <w:lang w:val="en-US" w:eastAsia="en-AU"/>
        </w:rPr>
        <w:t xml:space="preserve">climate change, disaster risk reduction, women’s economic empowerment, and inclusive education. During the reporting period, approximately 700,000 poor women, men and children directly benefited from Australian funding. </w:t>
      </w:r>
    </w:p>
    <w:p w14:paraId="19B3E5E0" w14:textId="452FA032" w:rsidR="00062E9A" w:rsidRPr="00EB69D6" w:rsidRDefault="005B1BF4" w:rsidP="00026AE0">
      <w:pPr>
        <w:pBdr>
          <w:top w:val="nil"/>
          <w:left w:val="nil"/>
          <w:bottom w:val="nil"/>
          <w:right w:val="nil"/>
          <w:between w:val="nil"/>
          <w:bar w:val="nil"/>
        </w:pBdr>
        <w:spacing w:after="120" w:line="280" w:lineRule="exact"/>
        <w:jc w:val="both"/>
        <w:rPr>
          <w:rFonts w:ascii="Calibri Light" w:eastAsia="Calibri Light" w:hAnsi="Calibri Light" w:cs="Calibri Light"/>
          <w:color w:val="495965"/>
          <w:u w:color="495965"/>
          <w:bdr w:val="nil"/>
          <w:lang w:val="en-US" w:eastAsia="en-AU"/>
        </w:rPr>
      </w:pPr>
      <w:r w:rsidRPr="00DE5714">
        <w:rPr>
          <w:rFonts w:ascii="Calibri Light" w:eastAsia="Calibri Light" w:hAnsi="Calibri Light" w:cs="Calibri Light"/>
          <w:color w:val="495965"/>
          <w:u w:color="495965"/>
          <w:bdr w:val="nil"/>
          <w:lang w:val="en-US" w:eastAsia="en-AU"/>
        </w:rPr>
        <w:t xml:space="preserve">For example, Plan </w:t>
      </w:r>
      <w:r>
        <w:rPr>
          <w:rFonts w:ascii="Calibri Light" w:eastAsia="Calibri Light" w:hAnsi="Calibri Light" w:cs="Calibri Light"/>
          <w:color w:val="495965"/>
          <w:u w:color="495965"/>
          <w:bdr w:val="nil"/>
          <w:lang w:val="en-US" w:eastAsia="en-AU"/>
        </w:rPr>
        <w:t>International</w:t>
      </w:r>
      <w:r w:rsidR="006E30E5">
        <w:rPr>
          <w:rFonts w:ascii="Calibri Light" w:eastAsia="Calibri Light" w:hAnsi="Calibri Light" w:cs="Calibri Light"/>
          <w:color w:val="495965"/>
          <w:u w:color="495965"/>
          <w:bdr w:val="nil"/>
          <w:lang w:val="en-US" w:eastAsia="en-AU"/>
        </w:rPr>
        <w:t xml:space="preserve"> (PI)</w:t>
      </w:r>
      <w:r>
        <w:rPr>
          <w:rFonts w:ascii="Calibri Light" w:eastAsia="Calibri Light" w:hAnsi="Calibri Light" w:cs="Calibri Light"/>
          <w:color w:val="495965"/>
          <w:u w:color="495965"/>
          <w:bdr w:val="nil"/>
          <w:lang w:val="en-US" w:eastAsia="en-AU"/>
        </w:rPr>
        <w:t xml:space="preserve"> </w:t>
      </w:r>
      <w:r w:rsidRPr="00DE5714">
        <w:rPr>
          <w:rFonts w:ascii="Calibri Light" w:eastAsia="Calibri Light" w:hAnsi="Calibri Light" w:cs="Calibri Light"/>
          <w:color w:val="495965"/>
          <w:u w:color="495965"/>
          <w:bdr w:val="nil"/>
          <w:lang w:val="en-US" w:eastAsia="en-AU"/>
        </w:rPr>
        <w:t>Australia</w:t>
      </w:r>
      <w:r w:rsidR="006E30E5">
        <w:rPr>
          <w:rFonts w:ascii="Calibri Light" w:eastAsia="Calibri Light" w:hAnsi="Calibri Light" w:cs="Calibri Light"/>
          <w:color w:val="495965"/>
          <w:u w:color="495965"/>
          <w:bdr w:val="nil"/>
          <w:lang w:val="en-US" w:eastAsia="en-AU"/>
        </w:rPr>
        <w:t xml:space="preserve"> has helped improve education access to children with disability</w:t>
      </w:r>
      <w:r w:rsidR="002174BD">
        <w:rPr>
          <w:rFonts w:ascii="Calibri Light" w:eastAsia="Calibri Light" w:hAnsi="Calibri Light" w:cs="Calibri Light"/>
          <w:color w:val="495965"/>
          <w:u w:color="495965"/>
          <w:bdr w:val="nil"/>
          <w:lang w:val="en-US" w:eastAsia="en-AU"/>
        </w:rPr>
        <w:t xml:space="preserve"> through piloting </w:t>
      </w:r>
      <w:r w:rsidR="00826340">
        <w:rPr>
          <w:rFonts w:ascii="Calibri Light" w:eastAsia="Calibri Light" w:hAnsi="Calibri Light" w:cs="Calibri Light"/>
          <w:color w:val="495965"/>
          <w:u w:color="495965"/>
          <w:bdr w:val="nil"/>
          <w:lang w:val="en-US" w:eastAsia="en-AU"/>
        </w:rPr>
        <w:t xml:space="preserve">inclusive </w:t>
      </w:r>
      <w:r w:rsidRPr="00DE5714">
        <w:rPr>
          <w:rFonts w:ascii="Calibri Light" w:eastAsia="Calibri Light" w:hAnsi="Calibri Light" w:cs="Calibri Light"/>
          <w:color w:val="495965"/>
          <w:u w:color="495965"/>
          <w:bdr w:val="nil"/>
          <w:lang w:val="en-US" w:eastAsia="en-AU"/>
        </w:rPr>
        <w:t>education model</w:t>
      </w:r>
      <w:r w:rsidR="00826340">
        <w:rPr>
          <w:rFonts w:ascii="Calibri Light" w:eastAsia="Calibri Light" w:hAnsi="Calibri Light" w:cs="Calibri Light"/>
          <w:color w:val="495965"/>
          <w:u w:color="495965"/>
          <w:bdr w:val="nil"/>
          <w:lang w:val="en-US" w:eastAsia="en-AU"/>
        </w:rPr>
        <w:t>s</w:t>
      </w:r>
      <w:r w:rsidR="006E30E5">
        <w:rPr>
          <w:rFonts w:ascii="Calibri Light" w:eastAsia="Calibri Light" w:hAnsi="Calibri Light" w:cs="Calibri Light"/>
          <w:color w:val="495965"/>
          <w:u w:color="495965"/>
          <w:bdr w:val="nil"/>
          <w:lang w:val="en-US" w:eastAsia="en-AU"/>
        </w:rPr>
        <w:t xml:space="preserve"> </w:t>
      </w:r>
      <w:r w:rsidR="005B4DF5">
        <w:rPr>
          <w:rFonts w:ascii="Calibri Light" w:eastAsia="Calibri Light" w:hAnsi="Calibri Light" w:cs="Calibri Light"/>
          <w:color w:val="495965"/>
          <w:u w:color="495965"/>
          <w:bdr w:val="nil"/>
          <w:lang w:val="en-US" w:eastAsia="en-AU"/>
        </w:rPr>
        <w:t xml:space="preserve">in </w:t>
      </w:r>
      <w:r>
        <w:rPr>
          <w:rFonts w:ascii="Calibri Light" w:eastAsia="Calibri Light" w:hAnsi="Calibri Light" w:cs="Calibri Light"/>
          <w:color w:val="495965"/>
          <w:u w:color="495965"/>
          <w:bdr w:val="nil"/>
          <w:lang w:val="en-US" w:eastAsia="en-AU"/>
        </w:rPr>
        <w:t>50</w:t>
      </w:r>
      <w:r w:rsidR="00142ADA">
        <w:rPr>
          <w:rFonts w:ascii="Calibri Light" w:eastAsia="Calibri Light" w:hAnsi="Calibri Light" w:cs="Calibri Light"/>
          <w:color w:val="495965"/>
          <w:u w:color="495965"/>
          <w:bdr w:val="nil"/>
          <w:lang w:val="en-US" w:eastAsia="en-AU"/>
        </w:rPr>
        <w:t xml:space="preserve"> </w:t>
      </w:r>
      <w:r w:rsidRPr="00DE5714">
        <w:rPr>
          <w:rFonts w:ascii="Calibri Light" w:eastAsia="Calibri Light" w:hAnsi="Calibri Light" w:cs="Calibri Light"/>
          <w:color w:val="495965"/>
          <w:u w:color="495965"/>
          <w:bdr w:val="nil"/>
          <w:lang w:val="en-US" w:eastAsia="en-AU"/>
        </w:rPr>
        <w:t>primary schools</w:t>
      </w:r>
      <w:r w:rsidR="002174BD">
        <w:rPr>
          <w:rFonts w:ascii="Calibri Light" w:eastAsia="Calibri Light" w:hAnsi="Calibri Light" w:cs="Calibri Light"/>
          <w:color w:val="495965"/>
          <w:u w:color="495965"/>
          <w:bdr w:val="nil"/>
          <w:lang w:val="en-US" w:eastAsia="en-AU"/>
        </w:rPr>
        <w:t xml:space="preserve">, including in the </w:t>
      </w:r>
      <w:r w:rsidRPr="00EB69D6">
        <w:rPr>
          <w:rFonts w:ascii="Calibri Light" w:eastAsia="Calibri Light" w:hAnsi="Calibri Light" w:cs="Calibri Light"/>
          <w:color w:val="495965"/>
          <w:u w:color="495965"/>
          <w:bdr w:val="nil"/>
          <w:lang w:val="en-US" w:eastAsia="en-AU"/>
        </w:rPr>
        <w:t>Chittagong Hill Tracts</w:t>
      </w:r>
      <w:r w:rsidR="002174BD">
        <w:rPr>
          <w:rFonts w:ascii="Calibri Light" w:eastAsia="Calibri Light" w:hAnsi="Calibri Light" w:cs="Calibri Light"/>
          <w:color w:val="495965"/>
          <w:u w:color="495965"/>
          <w:bdr w:val="nil"/>
          <w:lang w:val="en-US" w:eastAsia="en-AU"/>
        </w:rPr>
        <w:t xml:space="preserve"> where there are large indigenous communities. </w:t>
      </w:r>
      <w:r w:rsidRPr="00EB69D6">
        <w:rPr>
          <w:rFonts w:ascii="Calibri Light" w:eastAsia="Calibri Light" w:hAnsi="Calibri Light" w:cs="Calibri Light"/>
          <w:color w:val="495965"/>
          <w:u w:color="495965"/>
          <w:bdr w:val="nil"/>
          <w:lang w:val="en-US" w:eastAsia="en-AU"/>
        </w:rPr>
        <w:t xml:space="preserve"> In 201</w:t>
      </w:r>
      <w:r w:rsidR="006F6978">
        <w:rPr>
          <w:rFonts w:ascii="Calibri Light" w:eastAsia="Calibri Light" w:hAnsi="Calibri Light" w:cs="Calibri Light"/>
          <w:color w:val="495965"/>
          <w:u w:color="495965"/>
          <w:bdr w:val="nil"/>
          <w:lang w:val="en-US" w:eastAsia="en-AU"/>
        </w:rPr>
        <w:t>7</w:t>
      </w:r>
      <w:r w:rsidRPr="00EB69D6">
        <w:rPr>
          <w:rFonts w:ascii="Calibri Light" w:eastAsia="Calibri Light" w:hAnsi="Calibri Light" w:cs="Calibri Light"/>
          <w:color w:val="495965"/>
          <w:u w:color="495965"/>
          <w:bdr w:val="nil"/>
          <w:lang w:val="en-US" w:eastAsia="en-AU"/>
        </w:rPr>
        <w:t>, a</w:t>
      </w:r>
      <w:r w:rsidR="005B4DF5">
        <w:rPr>
          <w:rFonts w:ascii="Calibri Light" w:eastAsia="Calibri Light" w:hAnsi="Calibri Light" w:cs="Calibri Light"/>
          <w:color w:val="495965"/>
          <w:u w:color="495965"/>
          <w:bdr w:val="nil"/>
          <w:lang w:val="en-US" w:eastAsia="en-AU"/>
        </w:rPr>
        <w:t xml:space="preserve"> PI Australia</w:t>
      </w:r>
      <w:r w:rsidRPr="003D47D7">
        <w:rPr>
          <w:rFonts w:ascii="Calibri Light" w:eastAsia="Calibri Light" w:hAnsi="Calibri Light" w:cs="Calibri Light"/>
          <w:color w:val="495965"/>
          <w:u w:color="495965"/>
          <w:bdr w:val="nil"/>
          <w:lang w:val="en-US" w:eastAsia="en-AU"/>
        </w:rPr>
        <w:t xml:space="preserve"> </w:t>
      </w:r>
      <w:r w:rsidR="003D47D7">
        <w:rPr>
          <w:rFonts w:ascii="Calibri Light" w:eastAsia="Calibri Light" w:hAnsi="Calibri Light" w:cs="Calibri Light"/>
          <w:color w:val="495965"/>
          <w:u w:color="495965"/>
          <w:bdr w:val="nil"/>
          <w:lang w:val="en-US" w:eastAsia="en-AU"/>
        </w:rPr>
        <w:t xml:space="preserve">supported school </w:t>
      </w:r>
      <w:r w:rsidR="002174BD">
        <w:rPr>
          <w:rFonts w:ascii="Calibri Light" w:eastAsia="Calibri Light" w:hAnsi="Calibri Light" w:cs="Calibri Light"/>
          <w:color w:val="495965"/>
          <w:u w:color="495965"/>
          <w:bdr w:val="nil"/>
          <w:lang w:val="en-US" w:eastAsia="en-AU"/>
        </w:rPr>
        <w:t>was named t</w:t>
      </w:r>
      <w:r w:rsidRPr="00EB69D6">
        <w:rPr>
          <w:rFonts w:ascii="Calibri Light" w:eastAsia="Calibri Light" w:hAnsi="Calibri Light" w:cs="Calibri Light"/>
          <w:color w:val="495965"/>
          <w:u w:color="495965"/>
          <w:bdr w:val="nil"/>
          <w:lang w:val="en-US" w:eastAsia="en-AU"/>
        </w:rPr>
        <w:t>he ‘Best Primary School of the Year’ by the Bangladesh Government</w:t>
      </w:r>
      <w:r w:rsidR="00122872">
        <w:rPr>
          <w:rStyle w:val="FootnoteReference"/>
          <w:rFonts w:ascii="Calibri Light" w:eastAsia="Calibri Light" w:hAnsi="Calibri Light" w:cs="Calibri Light"/>
          <w:color w:val="495965"/>
          <w:u w:color="495965"/>
          <w:bdr w:val="nil"/>
          <w:lang w:val="en-US" w:eastAsia="en-AU"/>
        </w:rPr>
        <w:footnoteReference w:id="42"/>
      </w:r>
      <w:r w:rsidRPr="00EB69D6">
        <w:rPr>
          <w:rFonts w:ascii="Calibri Light" w:eastAsia="Calibri Light" w:hAnsi="Calibri Light" w:cs="Calibri Light"/>
          <w:color w:val="495965"/>
          <w:u w:color="495965"/>
          <w:bdr w:val="nil"/>
          <w:lang w:val="en-US" w:eastAsia="en-AU"/>
        </w:rPr>
        <w:t xml:space="preserve">. </w:t>
      </w:r>
    </w:p>
    <w:p w14:paraId="11514B39" w14:textId="34848DEF" w:rsidR="000D222C" w:rsidRPr="003B6D11" w:rsidRDefault="00826340" w:rsidP="00026AE0">
      <w:pPr>
        <w:pBdr>
          <w:top w:val="nil"/>
          <w:left w:val="nil"/>
          <w:bottom w:val="nil"/>
          <w:right w:val="nil"/>
          <w:between w:val="nil"/>
          <w:bar w:val="nil"/>
        </w:pBdr>
        <w:spacing w:after="120" w:line="280" w:lineRule="exact"/>
        <w:jc w:val="both"/>
        <w:rPr>
          <w:rFonts w:ascii="Calibri Light" w:eastAsia="Calibri Light" w:hAnsi="Calibri Light" w:cs="Calibri Light"/>
          <w:color w:val="495965"/>
          <w:u w:color="495965"/>
          <w:bdr w:val="nil"/>
          <w:lang w:val="en" w:eastAsia="en-AU"/>
        </w:rPr>
      </w:pPr>
      <w:r w:rsidRPr="003B6D11">
        <w:rPr>
          <w:rFonts w:ascii="Calibri Light" w:eastAsia="Calibri Light" w:hAnsi="Calibri Light" w:cs="Calibri Light"/>
          <w:color w:val="495965"/>
          <w:u w:color="495965"/>
          <w:bdr w:val="nil"/>
          <w:lang w:val="en-US" w:eastAsia="en-AU"/>
        </w:rPr>
        <w:t>During the reporting period, ANCP partners engaged with the Australian High Commission</w:t>
      </w:r>
      <w:r w:rsidR="00C5793C" w:rsidRPr="003B6D11">
        <w:rPr>
          <w:rFonts w:ascii="Calibri Light" w:eastAsia="Calibri Light" w:hAnsi="Calibri Light" w:cs="Calibri Light"/>
          <w:color w:val="495965"/>
          <w:u w:color="495965"/>
          <w:bdr w:val="nil"/>
          <w:lang w:val="en-US" w:eastAsia="en-AU"/>
        </w:rPr>
        <w:t xml:space="preserve"> in Bangladesh</w:t>
      </w:r>
      <w:r w:rsidRPr="003B6D11">
        <w:rPr>
          <w:rFonts w:ascii="Calibri Light" w:eastAsia="Calibri Light" w:hAnsi="Calibri Light" w:cs="Calibri Light"/>
          <w:color w:val="495965"/>
          <w:u w:color="495965"/>
          <w:bdr w:val="nil"/>
          <w:lang w:val="en-US" w:eastAsia="en-AU"/>
        </w:rPr>
        <w:t xml:space="preserve"> on the </w:t>
      </w:r>
      <w:r w:rsidR="00AC6C0F" w:rsidRPr="003B6D11">
        <w:rPr>
          <w:rFonts w:ascii="Calibri Light" w:eastAsia="Calibri Light" w:hAnsi="Calibri Light" w:cs="Calibri Light"/>
          <w:color w:val="495965"/>
          <w:u w:color="495965"/>
          <w:bdr w:val="nil"/>
          <w:lang w:val="en-US" w:eastAsia="en-AU"/>
        </w:rPr>
        <w:t xml:space="preserve">introduction of the </w:t>
      </w:r>
      <w:r w:rsidR="00AC6C0F" w:rsidRPr="003B6D11">
        <w:rPr>
          <w:rFonts w:ascii="Calibri Light" w:eastAsia="Calibri Light" w:hAnsi="Calibri Light" w:cs="Calibri Light"/>
          <w:color w:val="495965"/>
          <w:u w:color="495965"/>
          <w:bdr w:val="nil"/>
          <w:lang w:val="en" w:eastAsia="en-AU"/>
        </w:rPr>
        <w:t>Foreign Donations (Voluntary Activities) Regulation Act</w:t>
      </w:r>
      <w:r w:rsidR="000D222C" w:rsidRPr="003B6D11">
        <w:rPr>
          <w:rFonts w:ascii="Calibri Light" w:eastAsia="Calibri Light" w:hAnsi="Calibri Light" w:cs="Calibri Light"/>
          <w:color w:val="495965"/>
          <w:u w:color="495965"/>
          <w:bdr w:val="nil"/>
          <w:lang w:val="en" w:eastAsia="en-AU"/>
        </w:rPr>
        <w:t xml:space="preserve">. The </w:t>
      </w:r>
      <w:r w:rsidRPr="003B6D11">
        <w:rPr>
          <w:rFonts w:ascii="Calibri Light" w:eastAsia="Calibri Light" w:hAnsi="Calibri Light" w:cs="Calibri Light"/>
          <w:color w:val="495965"/>
          <w:u w:color="495965"/>
          <w:bdr w:val="nil"/>
          <w:lang w:val="en" w:eastAsia="en-AU"/>
        </w:rPr>
        <w:t xml:space="preserve">Act </w:t>
      </w:r>
      <w:r w:rsidR="00E26DA4" w:rsidRPr="003B6D11">
        <w:rPr>
          <w:rFonts w:ascii="Calibri Light" w:eastAsia="Calibri Light" w:hAnsi="Calibri Light" w:cs="Calibri Light"/>
          <w:color w:val="495965"/>
          <w:u w:color="495965"/>
          <w:bdr w:val="nil"/>
          <w:lang w:val="en" w:eastAsia="en-AU"/>
        </w:rPr>
        <w:t xml:space="preserve">aims </w:t>
      </w:r>
      <w:r w:rsidR="00F916F5" w:rsidRPr="003B6D11">
        <w:rPr>
          <w:rFonts w:ascii="Calibri Light" w:eastAsia="Calibri Light" w:hAnsi="Calibri Light" w:cs="Calibri Light"/>
          <w:color w:val="495965"/>
          <w:u w:color="495965"/>
          <w:bdr w:val="nil"/>
          <w:lang w:val="en" w:eastAsia="en-AU"/>
        </w:rPr>
        <w:t xml:space="preserve">to regulate </w:t>
      </w:r>
      <w:r w:rsidR="00465364" w:rsidRPr="003B6D11">
        <w:rPr>
          <w:rFonts w:ascii="Calibri Light" w:eastAsia="Calibri Light" w:hAnsi="Calibri Light" w:cs="Calibri Light"/>
          <w:color w:val="495965"/>
          <w:u w:color="495965"/>
          <w:bdr w:val="nil"/>
          <w:lang w:val="en" w:eastAsia="en-AU"/>
        </w:rPr>
        <w:t>NGO a</w:t>
      </w:r>
      <w:r w:rsidR="003940E5" w:rsidRPr="003B6D11">
        <w:rPr>
          <w:rFonts w:ascii="Calibri Light" w:eastAsia="Calibri Light" w:hAnsi="Calibri Light" w:cs="Calibri Light"/>
          <w:color w:val="495965"/>
          <w:u w:color="495965"/>
          <w:bdr w:val="nil"/>
          <w:lang w:val="en" w:eastAsia="en-AU"/>
        </w:rPr>
        <w:t xml:space="preserve">dvocacy and </w:t>
      </w:r>
      <w:r w:rsidR="00F916F5" w:rsidRPr="003B6D11">
        <w:rPr>
          <w:rFonts w:ascii="Calibri Light" w:eastAsia="Calibri Light" w:hAnsi="Calibri Light" w:cs="Calibri Light"/>
          <w:color w:val="495965"/>
          <w:u w:color="495965"/>
          <w:bdr w:val="nil"/>
          <w:lang w:val="en" w:eastAsia="en-AU"/>
        </w:rPr>
        <w:t>act</w:t>
      </w:r>
      <w:r w:rsidR="00647C0F" w:rsidRPr="003B6D11">
        <w:rPr>
          <w:rFonts w:ascii="Calibri Light" w:eastAsia="Calibri Light" w:hAnsi="Calibri Light" w:cs="Calibri Light"/>
          <w:color w:val="495965"/>
          <w:u w:color="495965"/>
          <w:bdr w:val="nil"/>
          <w:lang w:val="en" w:eastAsia="en-AU"/>
        </w:rPr>
        <w:t>ivit</w:t>
      </w:r>
      <w:r w:rsidR="003940E5" w:rsidRPr="003B6D11">
        <w:rPr>
          <w:rFonts w:ascii="Calibri Light" w:eastAsia="Calibri Light" w:hAnsi="Calibri Light" w:cs="Calibri Light"/>
          <w:color w:val="495965"/>
          <w:u w:color="495965"/>
          <w:bdr w:val="nil"/>
          <w:lang w:val="en" w:eastAsia="en-AU"/>
        </w:rPr>
        <w:t>y</w:t>
      </w:r>
      <w:r w:rsidR="00C5793C" w:rsidRPr="003B6D11">
        <w:rPr>
          <w:rFonts w:ascii="Calibri Light" w:eastAsia="Calibri Light" w:hAnsi="Calibri Light" w:cs="Calibri Light"/>
          <w:color w:val="495965"/>
          <w:u w:color="495965"/>
          <w:bdr w:val="nil"/>
          <w:lang w:val="en" w:eastAsia="en-AU"/>
        </w:rPr>
        <w:t xml:space="preserve">. Under this Act, governmental </w:t>
      </w:r>
      <w:r w:rsidR="00834B0E" w:rsidRPr="003B6D11">
        <w:rPr>
          <w:rFonts w:ascii="Calibri Light" w:eastAsia="Calibri Light" w:hAnsi="Calibri Light" w:cs="Calibri Light"/>
          <w:color w:val="495965"/>
          <w:u w:color="495965"/>
          <w:bdr w:val="nil"/>
          <w:lang w:val="en" w:eastAsia="en-AU"/>
        </w:rPr>
        <w:t xml:space="preserve">approval </w:t>
      </w:r>
      <w:r w:rsidR="005B4DF5" w:rsidRPr="003B6D11">
        <w:rPr>
          <w:rFonts w:ascii="Calibri Light" w:eastAsia="Calibri Light" w:hAnsi="Calibri Light" w:cs="Calibri Light"/>
          <w:color w:val="495965"/>
          <w:u w:color="495965"/>
          <w:bdr w:val="nil"/>
          <w:lang w:val="en" w:eastAsia="en-AU"/>
        </w:rPr>
        <w:t xml:space="preserve">is required </w:t>
      </w:r>
      <w:r w:rsidR="00834B0E" w:rsidRPr="003B6D11">
        <w:rPr>
          <w:rFonts w:ascii="Calibri Light" w:eastAsia="Calibri Light" w:hAnsi="Calibri Light" w:cs="Calibri Light"/>
          <w:color w:val="495965"/>
          <w:u w:color="495965"/>
          <w:bdr w:val="nil"/>
          <w:lang w:val="en" w:eastAsia="en-AU"/>
        </w:rPr>
        <w:t>for</w:t>
      </w:r>
      <w:r w:rsidR="00F916F5" w:rsidRPr="003B6D11">
        <w:rPr>
          <w:rFonts w:ascii="Calibri Light" w:eastAsia="Calibri Light" w:hAnsi="Calibri Light" w:cs="Calibri Light"/>
          <w:color w:val="495965"/>
          <w:u w:color="495965"/>
          <w:bdr w:val="nil"/>
          <w:lang w:val="en" w:eastAsia="en-AU"/>
        </w:rPr>
        <w:t xml:space="preserve"> </w:t>
      </w:r>
      <w:r w:rsidR="00647C0F" w:rsidRPr="003B6D11">
        <w:rPr>
          <w:rFonts w:ascii="Calibri Light" w:eastAsia="Calibri Light" w:hAnsi="Calibri Light" w:cs="Calibri Light"/>
          <w:color w:val="495965"/>
          <w:u w:color="495965"/>
          <w:bdr w:val="nil"/>
          <w:lang w:val="en" w:eastAsia="en-AU"/>
        </w:rPr>
        <w:t xml:space="preserve">foreign funded </w:t>
      </w:r>
      <w:r w:rsidR="00F916F5" w:rsidRPr="003B6D11">
        <w:rPr>
          <w:rFonts w:ascii="Calibri Light" w:eastAsia="Calibri Light" w:hAnsi="Calibri Light" w:cs="Calibri Light"/>
          <w:color w:val="495965"/>
          <w:u w:color="495965"/>
          <w:bdr w:val="nil"/>
          <w:lang w:val="en" w:eastAsia="en-AU"/>
        </w:rPr>
        <w:t>projects</w:t>
      </w:r>
      <w:r w:rsidR="000D222C" w:rsidRPr="003B6D11">
        <w:rPr>
          <w:rFonts w:ascii="Calibri Light" w:eastAsia="Calibri Light" w:hAnsi="Calibri Light" w:cs="Calibri Light"/>
          <w:color w:val="495965"/>
          <w:u w:color="495965"/>
          <w:bdr w:val="nil"/>
          <w:lang w:val="en" w:eastAsia="en-AU"/>
        </w:rPr>
        <w:t xml:space="preserve">. </w:t>
      </w:r>
      <w:r w:rsidR="00C5793C" w:rsidRPr="003B6D11">
        <w:rPr>
          <w:rFonts w:ascii="Calibri Light" w:eastAsia="Calibri Light" w:hAnsi="Calibri Light" w:cs="Calibri Light"/>
          <w:color w:val="495965"/>
          <w:u w:color="495965"/>
          <w:bdr w:val="nil"/>
          <w:lang w:val="en" w:eastAsia="en-AU"/>
        </w:rPr>
        <w:t>With the rules governing its implementation still being drafted, ANCP partners and the Australi</w:t>
      </w:r>
      <w:r w:rsidR="003B6D11" w:rsidRPr="003B6D11">
        <w:rPr>
          <w:rFonts w:ascii="Calibri Light" w:eastAsia="Calibri Light" w:hAnsi="Calibri Light" w:cs="Calibri Light"/>
          <w:color w:val="495965"/>
          <w:u w:color="495965"/>
          <w:bdr w:val="nil"/>
          <w:lang w:val="en" w:eastAsia="en-AU"/>
        </w:rPr>
        <w:t xml:space="preserve">an High Commission are engaging </w:t>
      </w:r>
      <w:r w:rsidR="00C5793C" w:rsidRPr="003B6D11">
        <w:rPr>
          <w:rFonts w:ascii="Calibri Light" w:eastAsia="Calibri Light" w:hAnsi="Calibri Light" w:cs="Calibri Light"/>
          <w:color w:val="495965"/>
          <w:u w:color="495965"/>
          <w:bdr w:val="nil"/>
          <w:lang w:val="en" w:eastAsia="en-AU"/>
        </w:rPr>
        <w:t>relevant gove</w:t>
      </w:r>
      <w:r w:rsidR="003B6D11" w:rsidRPr="003B6D11">
        <w:rPr>
          <w:rFonts w:ascii="Calibri Light" w:eastAsia="Calibri Light" w:hAnsi="Calibri Light" w:cs="Calibri Light"/>
          <w:color w:val="495965"/>
          <w:u w:color="495965"/>
          <w:bdr w:val="nil"/>
          <w:lang w:val="en" w:eastAsia="en-AU"/>
        </w:rPr>
        <w:t xml:space="preserve">rnment authorities to ensure that the needs of Australian funded </w:t>
      </w:r>
      <w:r w:rsidR="00A51AC5">
        <w:rPr>
          <w:rFonts w:ascii="Calibri Light" w:eastAsia="Calibri Light" w:hAnsi="Calibri Light" w:cs="Calibri Light"/>
          <w:color w:val="495965"/>
          <w:u w:color="495965"/>
          <w:bdr w:val="nil"/>
          <w:lang w:val="en" w:eastAsia="en-AU"/>
        </w:rPr>
        <w:t>NGOs</w:t>
      </w:r>
      <w:r w:rsidR="003B6D11" w:rsidRPr="003B6D11">
        <w:rPr>
          <w:rFonts w:ascii="Calibri Light" w:eastAsia="Calibri Light" w:hAnsi="Calibri Light" w:cs="Calibri Light"/>
          <w:color w:val="495965"/>
          <w:u w:color="495965"/>
          <w:bdr w:val="nil"/>
          <w:lang w:val="en" w:eastAsia="en-AU"/>
        </w:rPr>
        <w:t xml:space="preserve"> are </w:t>
      </w:r>
      <w:r w:rsidR="003B6D11">
        <w:rPr>
          <w:rFonts w:ascii="Calibri Light" w:eastAsia="Calibri Light" w:hAnsi="Calibri Light" w:cs="Calibri Light"/>
          <w:color w:val="495965"/>
          <w:u w:color="495965"/>
          <w:bdr w:val="nil"/>
          <w:lang w:val="en" w:eastAsia="en-AU"/>
        </w:rPr>
        <w:t>recognis</w:t>
      </w:r>
      <w:r w:rsidR="003B6D11" w:rsidRPr="003B6D11">
        <w:rPr>
          <w:rFonts w:ascii="Calibri Light" w:eastAsia="Calibri Light" w:hAnsi="Calibri Light" w:cs="Calibri Light"/>
          <w:color w:val="495965"/>
          <w:u w:color="495965"/>
          <w:bdr w:val="nil"/>
          <w:lang w:val="en" w:eastAsia="en-AU"/>
        </w:rPr>
        <w:t>ed in implementation</w:t>
      </w:r>
      <w:r w:rsidR="001E64D3" w:rsidRPr="003B6D11">
        <w:rPr>
          <w:rFonts w:ascii="Calibri Light" w:eastAsia="Calibri Light" w:hAnsi="Calibri Light" w:cs="Calibri Light"/>
          <w:color w:val="495965"/>
          <w:u w:color="495965"/>
          <w:bdr w:val="nil"/>
          <w:lang w:val="en" w:eastAsia="en-AU"/>
        </w:rPr>
        <w:t xml:space="preserve">. </w:t>
      </w:r>
    </w:p>
    <w:p w14:paraId="370CE833" w14:textId="77777777" w:rsidR="00C16272" w:rsidRPr="0035542F" w:rsidRDefault="00C16272" w:rsidP="00C16272">
      <w:pPr>
        <w:pBdr>
          <w:top w:val="nil"/>
          <w:left w:val="nil"/>
          <w:bottom w:val="nil"/>
          <w:right w:val="nil"/>
          <w:between w:val="nil"/>
          <w:bar w:val="nil"/>
        </w:pBdr>
        <w:spacing w:after="120" w:line="280" w:lineRule="exact"/>
        <w:rPr>
          <w:rFonts w:asciiTheme="majorHAnsi" w:eastAsia="Calibri Light" w:hAnsiTheme="majorHAnsi" w:cs="Calibri Light"/>
          <w:b/>
          <w:bCs/>
          <w:color w:val="495965"/>
          <w:u w:color="495965"/>
          <w:bdr w:val="nil"/>
          <w:lang w:val="en-US" w:eastAsia="en-AU"/>
        </w:rPr>
      </w:pPr>
      <w:r w:rsidRPr="0035542F">
        <w:rPr>
          <w:rFonts w:asciiTheme="majorHAnsi" w:eastAsia="Calibri Light" w:hAnsiTheme="majorHAnsi" w:cs="Calibri Light"/>
          <w:b/>
          <w:bCs/>
          <w:color w:val="495965"/>
          <w:u w:color="495965"/>
          <w:bdr w:val="nil"/>
          <w:lang w:val="en-US" w:eastAsia="en-AU"/>
        </w:rPr>
        <w:t xml:space="preserve">Direct Aid Program </w:t>
      </w:r>
    </w:p>
    <w:p w14:paraId="354A28AE" w14:textId="749E62A2" w:rsidR="001E64D3" w:rsidRDefault="00C16272" w:rsidP="001E64D3">
      <w:pPr>
        <w:pBdr>
          <w:top w:val="nil"/>
          <w:left w:val="nil"/>
          <w:bottom w:val="nil"/>
          <w:right w:val="nil"/>
          <w:between w:val="nil"/>
          <w:bar w:val="nil"/>
        </w:pBdr>
        <w:spacing w:after="120" w:line="280" w:lineRule="exact"/>
        <w:jc w:val="both"/>
        <w:rPr>
          <w:rFonts w:ascii="Calibri Light" w:eastAsia="Calibri Light" w:hAnsi="Calibri Light" w:cs="Calibri Light"/>
          <w:color w:val="495965"/>
          <w:u w:color="495965"/>
          <w:bdr w:val="nil"/>
          <w:lang w:val="en-US" w:eastAsia="en-AU"/>
        </w:rPr>
      </w:pPr>
      <w:r w:rsidRPr="00C16272">
        <w:rPr>
          <w:rFonts w:ascii="Calibri Light" w:eastAsia="Calibri Light" w:hAnsi="Calibri Light" w:cs="Calibri Light"/>
          <w:color w:val="495965"/>
          <w:u w:color="495965"/>
          <w:bdr w:val="nil"/>
          <w:lang w:eastAsia="en-AU"/>
        </w:rPr>
        <w:t>In 2016-17, 12 projects received small grants</w:t>
      </w:r>
      <w:r w:rsidR="001E64D3">
        <w:rPr>
          <w:rFonts w:ascii="Calibri Light" w:eastAsia="Calibri Light" w:hAnsi="Calibri Light" w:cs="Calibri Light"/>
          <w:color w:val="495965"/>
          <w:u w:color="495965"/>
          <w:bdr w:val="nil"/>
          <w:lang w:eastAsia="en-AU"/>
        </w:rPr>
        <w:t xml:space="preserve"> </w:t>
      </w:r>
      <w:r w:rsidR="001E64D3" w:rsidRPr="001E64D3">
        <w:rPr>
          <w:rFonts w:ascii="Calibri Light" w:eastAsia="Calibri Light" w:hAnsi="Calibri Light" w:cs="Calibri Light"/>
          <w:color w:val="495965"/>
          <w:u w:color="495965"/>
          <w:bdr w:val="nil"/>
          <w:lang w:val="en" w:eastAsia="en-AU"/>
        </w:rPr>
        <w:t>(</w:t>
      </w:r>
      <w:r w:rsidR="0071415F">
        <w:rPr>
          <w:rFonts w:ascii="Calibri Light" w:eastAsia="Calibri Light" w:hAnsi="Calibri Light" w:cs="Calibri Light"/>
          <w:color w:val="495965"/>
          <w:u w:color="495965"/>
          <w:bdr w:val="nil"/>
          <w:lang w:val="en" w:eastAsia="en-AU"/>
        </w:rPr>
        <w:t>totaling</w:t>
      </w:r>
      <w:r w:rsidR="001E64D3">
        <w:rPr>
          <w:rFonts w:ascii="Calibri Light" w:eastAsia="Calibri Light" w:hAnsi="Calibri Light" w:cs="Calibri Light"/>
          <w:color w:val="495965"/>
          <w:u w:color="495965"/>
          <w:bdr w:val="nil"/>
          <w:lang w:val="en" w:eastAsia="en-AU"/>
        </w:rPr>
        <w:t xml:space="preserve"> </w:t>
      </w:r>
      <w:r w:rsidR="001E64D3" w:rsidRPr="001E64D3">
        <w:rPr>
          <w:rFonts w:ascii="Calibri Light" w:eastAsia="Calibri Light" w:hAnsi="Calibri Light" w:cs="Calibri Light"/>
          <w:color w:val="495965"/>
          <w:u w:color="495965"/>
          <w:bdr w:val="nil"/>
          <w:lang w:val="en" w:eastAsia="en-AU"/>
        </w:rPr>
        <w:t>$433,264)</w:t>
      </w:r>
      <w:r w:rsidR="001E64D3" w:rsidRPr="001E64D3">
        <w:rPr>
          <w:rFonts w:ascii="Calibri Light" w:eastAsia="Calibri Light" w:hAnsi="Calibri Light" w:cs="Calibri Light"/>
          <w:color w:val="495965"/>
          <w:u w:color="495965"/>
          <w:bdr w:val="nil"/>
          <w:lang w:val="en-AU" w:eastAsia="en-AU"/>
        </w:rPr>
        <w:t xml:space="preserve"> </w:t>
      </w:r>
      <w:r w:rsidRPr="00C16272">
        <w:rPr>
          <w:rFonts w:ascii="Calibri Light" w:eastAsia="Calibri Light" w:hAnsi="Calibri Light" w:cs="Calibri Light"/>
          <w:color w:val="495965"/>
          <w:u w:color="495965"/>
          <w:bdr w:val="nil"/>
          <w:lang w:eastAsia="en-AU"/>
        </w:rPr>
        <w:t>to support activities in education, health, disability, women’s economic empowerment and water and sanitation. For example, The Society for People’s Action in Change and Equity received $42,000 to improve the livelihoods of poor women and children in Khulna, through skills training, asset transfers an</w:t>
      </w:r>
      <w:r w:rsidR="0071415F">
        <w:rPr>
          <w:rFonts w:ascii="Calibri Light" w:eastAsia="Calibri Light" w:hAnsi="Calibri Light" w:cs="Calibri Light"/>
          <w:color w:val="495965"/>
          <w:u w:color="495965"/>
          <w:bdr w:val="nil"/>
          <w:lang w:eastAsia="en-AU"/>
        </w:rPr>
        <w:t>d establishment of</w:t>
      </w:r>
      <w:r w:rsidR="001E64D3">
        <w:rPr>
          <w:rFonts w:ascii="Calibri Light" w:eastAsia="Calibri Light" w:hAnsi="Calibri Light" w:cs="Calibri Light"/>
          <w:color w:val="495965"/>
          <w:u w:color="495965"/>
          <w:bdr w:val="nil"/>
          <w:lang w:eastAsia="en-AU"/>
        </w:rPr>
        <w:t xml:space="preserve"> market linkages</w:t>
      </w:r>
      <w:r w:rsidRPr="00C16272">
        <w:rPr>
          <w:rFonts w:ascii="Calibri Light" w:eastAsia="Calibri Light" w:hAnsi="Calibri Light" w:cs="Calibri Light"/>
          <w:color w:val="495965"/>
          <w:u w:color="495965"/>
          <w:bdr w:val="nil"/>
          <w:lang w:eastAsia="en-AU"/>
        </w:rPr>
        <w:t xml:space="preserve">. </w:t>
      </w:r>
      <w:r w:rsidR="001E64D3">
        <w:rPr>
          <w:rFonts w:ascii="Calibri Light" w:eastAsia="Calibri Light" w:hAnsi="Calibri Light" w:cs="Calibri Light"/>
          <w:color w:val="495965"/>
          <w:u w:color="495965"/>
          <w:bdr w:val="nil"/>
          <w:lang w:val="en-US" w:eastAsia="en-AU"/>
        </w:rPr>
        <w:t>Of the 12 Direct Aid Program (DAP)</w:t>
      </w:r>
      <w:r w:rsidRPr="00B1713F">
        <w:rPr>
          <w:rFonts w:ascii="Calibri Light" w:eastAsia="Calibri Light" w:hAnsi="Calibri Light" w:cs="Calibri Light"/>
          <w:color w:val="495965"/>
          <w:u w:color="495965"/>
          <w:bdr w:val="nil"/>
          <w:lang w:val="en-US" w:eastAsia="en-AU"/>
        </w:rPr>
        <w:t xml:space="preserve"> funded projects, almost half of the activities either targeted women’s economic empowerment or addressed gender issues, complementing key bilateral aid investments in Bangladesh. </w:t>
      </w:r>
      <w:r w:rsidR="001E64D3">
        <w:rPr>
          <w:rFonts w:ascii="Calibri Light" w:eastAsia="Calibri Light" w:hAnsi="Calibri Light" w:cs="Calibri Light"/>
          <w:color w:val="495965"/>
          <w:u w:color="495965"/>
          <w:bdr w:val="nil"/>
          <w:lang w:val="en-US" w:eastAsia="en-AU"/>
        </w:rPr>
        <w:t>During the reporting period, an</w:t>
      </w:r>
      <w:r w:rsidR="001E64D3" w:rsidRPr="001E64D3">
        <w:rPr>
          <w:rFonts w:ascii="Calibri Light" w:eastAsia="Calibri Light" w:hAnsi="Calibri Light" w:cs="Calibri Light"/>
          <w:color w:val="495965"/>
          <w:u w:color="495965"/>
          <w:bdr w:val="nil"/>
          <w:lang w:val="en-US" w:eastAsia="en-AU"/>
        </w:rPr>
        <w:t xml:space="preserve"> </w:t>
      </w:r>
      <w:r w:rsidR="001E64D3">
        <w:rPr>
          <w:rFonts w:ascii="Calibri Light" w:eastAsia="Calibri Light" w:hAnsi="Calibri Light" w:cs="Calibri Light"/>
          <w:color w:val="495965"/>
          <w:u w:color="495965"/>
          <w:bdr w:val="nil"/>
          <w:lang w:val="en-US" w:eastAsia="en-AU"/>
        </w:rPr>
        <w:t xml:space="preserve">external auditor was appointed to strengthen DAP’s financial monitoring. </w:t>
      </w:r>
    </w:p>
    <w:p w14:paraId="33825DCF" w14:textId="0DF2C3B1" w:rsidR="005B1BF4" w:rsidRPr="0035542F" w:rsidRDefault="00A1313E" w:rsidP="001E64D3">
      <w:pPr>
        <w:pBdr>
          <w:top w:val="nil"/>
          <w:left w:val="nil"/>
          <w:bottom w:val="nil"/>
          <w:right w:val="nil"/>
          <w:between w:val="nil"/>
          <w:bar w:val="nil"/>
        </w:pBdr>
        <w:spacing w:after="120" w:line="280" w:lineRule="exact"/>
        <w:jc w:val="both"/>
        <w:rPr>
          <w:rFonts w:asciiTheme="majorHAnsi" w:eastAsia="Calibri Light" w:hAnsiTheme="majorHAnsi" w:cs="Calibri Light"/>
          <w:color w:val="495965"/>
          <w:u w:color="495965"/>
          <w:bdr w:val="nil"/>
          <w:lang w:val="en-US" w:eastAsia="en-AU"/>
        </w:rPr>
      </w:pPr>
      <w:r w:rsidRPr="0035542F">
        <w:rPr>
          <w:rFonts w:asciiTheme="majorHAnsi" w:eastAsia="Calibri Light" w:hAnsiTheme="majorHAnsi" w:cs="Calibri Light"/>
          <w:b/>
          <w:bCs/>
          <w:color w:val="495965"/>
          <w:u w:color="495965"/>
          <w:bdr w:val="nil"/>
          <w:lang w:val="en-US" w:eastAsia="en-AU"/>
        </w:rPr>
        <w:t>Other Regional</w:t>
      </w:r>
      <w:r w:rsidR="00A7102B" w:rsidRPr="0035542F">
        <w:rPr>
          <w:rFonts w:asciiTheme="majorHAnsi" w:eastAsia="Calibri Light" w:hAnsiTheme="majorHAnsi" w:cs="Calibri Light"/>
          <w:b/>
          <w:bCs/>
          <w:color w:val="495965"/>
          <w:u w:color="495965"/>
          <w:bdr w:val="nil"/>
          <w:lang w:val="en-US" w:eastAsia="en-AU"/>
        </w:rPr>
        <w:t xml:space="preserve"> and </w:t>
      </w:r>
      <w:r w:rsidRPr="0035542F">
        <w:rPr>
          <w:rFonts w:asciiTheme="majorHAnsi" w:eastAsia="Calibri Light" w:hAnsiTheme="majorHAnsi" w:cs="Calibri Light"/>
          <w:b/>
          <w:bCs/>
          <w:color w:val="495965"/>
          <w:u w:color="495965"/>
          <w:bdr w:val="nil"/>
          <w:lang w:val="en-US" w:eastAsia="en-AU"/>
        </w:rPr>
        <w:t>Global</w:t>
      </w:r>
      <w:r w:rsidR="005B1BF4" w:rsidRPr="0035542F">
        <w:rPr>
          <w:rFonts w:asciiTheme="majorHAnsi" w:eastAsia="Calibri Light" w:hAnsiTheme="majorHAnsi" w:cs="Calibri Light"/>
          <w:b/>
          <w:bCs/>
          <w:color w:val="495965"/>
          <w:u w:color="495965"/>
          <w:bdr w:val="nil"/>
          <w:lang w:val="en-US" w:eastAsia="en-AU"/>
        </w:rPr>
        <w:t xml:space="preserve"> Programs</w:t>
      </w:r>
    </w:p>
    <w:p w14:paraId="2B559E00" w14:textId="380B0668" w:rsidR="00CF7CCB" w:rsidRPr="00B1713F" w:rsidRDefault="00C16272" w:rsidP="003F2893">
      <w:pPr>
        <w:pBdr>
          <w:top w:val="nil"/>
          <w:left w:val="nil"/>
          <w:bottom w:val="nil"/>
          <w:right w:val="nil"/>
          <w:between w:val="nil"/>
          <w:bar w:val="nil"/>
        </w:pBdr>
        <w:spacing w:after="120" w:line="280" w:lineRule="exact"/>
        <w:jc w:val="both"/>
        <w:rPr>
          <w:rFonts w:ascii="Calibri Light" w:eastAsia="Calibri Light" w:hAnsi="Calibri Light" w:cs="Calibri Light"/>
          <w:color w:val="495965"/>
          <w:u w:color="495965"/>
          <w:bdr w:val="nil"/>
          <w:lang w:val="en-US" w:eastAsia="en-AU"/>
        </w:rPr>
      </w:pPr>
      <w:r w:rsidRPr="00B1713F">
        <w:rPr>
          <w:rFonts w:ascii="Calibri Light" w:eastAsia="Calibri Light" w:hAnsi="Calibri Light" w:cs="Calibri Light"/>
          <w:color w:val="495965"/>
          <w:u w:color="495965"/>
          <w:bdr w:val="nil"/>
          <w:lang w:val="en-US" w:eastAsia="en-AU"/>
        </w:rPr>
        <w:t xml:space="preserve">Australia’s </w:t>
      </w:r>
      <w:r w:rsidR="00D22101" w:rsidRPr="00B1713F">
        <w:rPr>
          <w:rFonts w:ascii="Calibri Light" w:eastAsia="Calibri Light" w:hAnsi="Calibri Light" w:cs="Calibri Light"/>
          <w:color w:val="495965"/>
          <w:u w:color="495965"/>
          <w:bdr w:val="nil"/>
          <w:lang w:val="en-US" w:eastAsia="en-AU"/>
        </w:rPr>
        <w:t xml:space="preserve">investments implemented through </w:t>
      </w:r>
      <w:r w:rsidRPr="00B1713F">
        <w:rPr>
          <w:rFonts w:ascii="Calibri Light" w:eastAsia="Calibri Light" w:hAnsi="Calibri Light" w:cs="Calibri Light"/>
          <w:color w:val="495965"/>
          <w:u w:color="495965"/>
          <w:bdr w:val="nil"/>
          <w:lang w:val="en-US" w:eastAsia="en-AU"/>
        </w:rPr>
        <w:t>glo</w:t>
      </w:r>
      <w:r w:rsidR="003F2893">
        <w:rPr>
          <w:rFonts w:ascii="Calibri Light" w:eastAsia="Calibri Light" w:hAnsi="Calibri Light" w:cs="Calibri Light"/>
          <w:color w:val="495965"/>
          <w:u w:color="495965"/>
          <w:bdr w:val="nil"/>
          <w:lang w:val="en-US" w:eastAsia="en-AU"/>
        </w:rPr>
        <w:t>bal and regional initiatives have</w:t>
      </w:r>
      <w:r w:rsidRPr="00B1713F">
        <w:rPr>
          <w:rFonts w:ascii="Calibri Light" w:eastAsia="Calibri Light" w:hAnsi="Calibri Light" w:cs="Calibri Light"/>
          <w:color w:val="495965"/>
          <w:u w:color="495965"/>
          <w:bdr w:val="nil"/>
          <w:lang w:val="en-US" w:eastAsia="en-AU"/>
        </w:rPr>
        <w:t xml:space="preserve"> in</w:t>
      </w:r>
      <w:r w:rsidR="00D22101" w:rsidRPr="00B1713F">
        <w:rPr>
          <w:rFonts w:ascii="Calibri Light" w:eastAsia="Calibri Light" w:hAnsi="Calibri Light" w:cs="Calibri Light"/>
          <w:color w:val="495965"/>
          <w:u w:color="495965"/>
          <w:bdr w:val="nil"/>
          <w:lang w:val="en-US" w:eastAsia="en-AU"/>
        </w:rPr>
        <w:t xml:space="preserve">creased, with more than 16 separate initiatives delivered in Bangladesh during the reporting period. </w:t>
      </w:r>
      <w:r w:rsidR="00CF7CCB" w:rsidRPr="00B1713F">
        <w:rPr>
          <w:rFonts w:ascii="Calibri Light" w:eastAsia="Calibri Light" w:hAnsi="Calibri Light" w:cs="Calibri Light"/>
          <w:color w:val="495965"/>
          <w:u w:color="495965"/>
          <w:bdr w:val="nil"/>
          <w:lang w:val="en-US" w:eastAsia="en-AU"/>
        </w:rPr>
        <w:t xml:space="preserve"> </w:t>
      </w:r>
      <w:r w:rsidRPr="00B1713F">
        <w:rPr>
          <w:rFonts w:ascii="Calibri Light" w:eastAsia="Calibri Light" w:hAnsi="Calibri Light" w:cs="Calibri Light"/>
          <w:color w:val="495965"/>
          <w:u w:color="495965"/>
          <w:bdr w:val="nil"/>
          <w:lang w:val="en-US" w:eastAsia="en-AU"/>
        </w:rPr>
        <w:t xml:space="preserve"> </w:t>
      </w:r>
    </w:p>
    <w:p w14:paraId="0E9B2AA3" w14:textId="124AC130" w:rsidR="006F19EA" w:rsidRDefault="00B1713F" w:rsidP="003F2893">
      <w:pPr>
        <w:pBdr>
          <w:top w:val="nil"/>
          <w:left w:val="nil"/>
          <w:bottom w:val="nil"/>
          <w:right w:val="nil"/>
          <w:between w:val="nil"/>
          <w:bar w:val="nil"/>
        </w:pBdr>
        <w:spacing w:after="120" w:line="280" w:lineRule="exact"/>
        <w:jc w:val="both"/>
        <w:rPr>
          <w:rFonts w:ascii="Calibri Light" w:eastAsia="Calibri Light" w:hAnsi="Calibri Light" w:cs="Calibri Light"/>
          <w:color w:val="495965"/>
          <w:u w:color="495965"/>
          <w:bdr w:val="nil"/>
          <w:lang w:val="en-US" w:eastAsia="en-AU"/>
        </w:rPr>
      </w:pPr>
      <w:r>
        <w:rPr>
          <w:rFonts w:ascii="Calibri Light" w:eastAsia="Calibri Light" w:hAnsi="Calibri Light" w:cs="Calibri Light"/>
          <w:color w:val="495965"/>
          <w:u w:color="495965"/>
          <w:bdr w:val="nil"/>
          <w:lang w:eastAsia="en-AU"/>
        </w:rPr>
        <w:t xml:space="preserve">The </w:t>
      </w:r>
      <w:r w:rsidR="006F19EA" w:rsidRPr="00B1713F">
        <w:rPr>
          <w:rFonts w:ascii="Calibri Light" w:eastAsia="Calibri Light" w:hAnsi="Calibri Light" w:cs="Calibri Light"/>
          <w:color w:val="495965"/>
          <w:u w:color="495965"/>
          <w:bdr w:val="nil"/>
          <w:lang w:eastAsia="en-AU"/>
        </w:rPr>
        <w:t xml:space="preserve">key investments </w:t>
      </w:r>
      <w:r w:rsidR="006C48DD" w:rsidRPr="00B1713F">
        <w:rPr>
          <w:rFonts w:ascii="Calibri Light" w:eastAsia="Calibri Light" w:hAnsi="Calibri Light" w:cs="Calibri Light"/>
          <w:color w:val="495965"/>
          <w:u w:color="495965"/>
          <w:bdr w:val="nil"/>
          <w:lang w:eastAsia="en-AU"/>
        </w:rPr>
        <w:t xml:space="preserve">are </w:t>
      </w:r>
      <w:r w:rsidR="00D22101" w:rsidRPr="00B1713F">
        <w:rPr>
          <w:rFonts w:ascii="Calibri Light" w:eastAsia="Calibri Light" w:hAnsi="Calibri Light" w:cs="Calibri Light"/>
          <w:color w:val="495965"/>
          <w:u w:color="495965"/>
          <w:bdr w:val="nil"/>
          <w:lang w:eastAsia="en-AU"/>
        </w:rPr>
        <w:t xml:space="preserve">the </w:t>
      </w:r>
      <w:r w:rsidR="006C48DD" w:rsidRPr="00B1713F">
        <w:rPr>
          <w:rFonts w:ascii="Calibri Light" w:eastAsia="Calibri Light" w:hAnsi="Calibri Light" w:cs="Calibri Light"/>
          <w:color w:val="495965"/>
          <w:u w:color="495965"/>
          <w:bdr w:val="nil"/>
          <w:lang w:eastAsia="en-AU"/>
        </w:rPr>
        <w:t xml:space="preserve">South Asia Regional </w:t>
      </w:r>
      <w:r w:rsidR="00D22101" w:rsidRPr="00B1713F">
        <w:rPr>
          <w:rFonts w:ascii="Calibri Light" w:eastAsia="Calibri Light" w:hAnsi="Calibri Light" w:cs="Calibri Light"/>
          <w:color w:val="495965"/>
          <w:u w:color="495965"/>
          <w:bdr w:val="nil"/>
          <w:lang w:eastAsia="en-AU"/>
        </w:rPr>
        <w:t>Trade Facilitation Program</w:t>
      </w:r>
      <w:r w:rsidR="00092711">
        <w:rPr>
          <w:rFonts w:ascii="Calibri Light" w:eastAsia="Calibri Light" w:hAnsi="Calibri Light" w:cs="Calibri Light"/>
          <w:color w:val="495965"/>
          <w:u w:color="495965"/>
          <w:bdr w:val="nil"/>
          <w:lang w:eastAsia="en-AU"/>
        </w:rPr>
        <w:t xml:space="preserve"> </w:t>
      </w:r>
      <w:r>
        <w:rPr>
          <w:rFonts w:ascii="Calibri Light" w:eastAsia="Calibri Light" w:hAnsi="Calibri Light" w:cs="Calibri Light"/>
          <w:color w:val="495965"/>
          <w:u w:color="495965"/>
          <w:bdr w:val="nil"/>
          <w:lang w:eastAsia="en-AU"/>
        </w:rPr>
        <w:t xml:space="preserve">and </w:t>
      </w:r>
      <w:r w:rsidR="00D22101" w:rsidRPr="00B1713F">
        <w:rPr>
          <w:rFonts w:ascii="Calibri Light" w:eastAsia="Calibri Light" w:hAnsi="Calibri Light" w:cs="Calibri Light"/>
          <w:color w:val="495965"/>
          <w:u w:color="495965"/>
          <w:bdr w:val="nil"/>
          <w:lang w:eastAsia="en-AU"/>
        </w:rPr>
        <w:t xml:space="preserve">the </w:t>
      </w:r>
      <w:r w:rsidR="006C48DD" w:rsidRPr="00B1713F">
        <w:rPr>
          <w:rFonts w:ascii="Calibri Light" w:eastAsia="Calibri Light" w:hAnsi="Calibri Light" w:cs="Calibri Light"/>
          <w:color w:val="495965"/>
          <w:u w:color="495965"/>
          <w:bdr w:val="nil"/>
          <w:lang w:eastAsia="en-AU"/>
        </w:rPr>
        <w:t>Sustainable Development Investment Portfolio, supporting trade facilitation, infrastr</w:t>
      </w:r>
      <w:r w:rsidR="006F19EA" w:rsidRPr="00B1713F">
        <w:rPr>
          <w:rFonts w:ascii="Calibri Light" w:eastAsia="Calibri Light" w:hAnsi="Calibri Light" w:cs="Calibri Light"/>
          <w:color w:val="495965"/>
          <w:u w:color="495965"/>
          <w:bdr w:val="nil"/>
          <w:lang w:eastAsia="en-AU"/>
        </w:rPr>
        <w:t>ucture connectivity</w:t>
      </w:r>
      <w:r w:rsidR="006C48DD" w:rsidRPr="00B1713F">
        <w:rPr>
          <w:rFonts w:ascii="Calibri Light" w:eastAsia="Calibri Light" w:hAnsi="Calibri Light" w:cs="Calibri Light"/>
          <w:color w:val="495965"/>
          <w:u w:color="495965"/>
          <w:bdr w:val="nil"/>
          <w:lang w:eastAsia="en-AU"/>
        </w:rPr>
        <w:t xml:space="preserve"> and</w:t>
      </w:r>
      <w:r w:rsidR="00D22101" w:rsidRPr="00B1713F">
        <w:rPr>
          <w:rFonts w:ascii="Calibri Light" w:eastAsia="Calibri Light" w:hAnsi="Calibri Light" w:cs="Calibri Light"/>
          <w:color w:val="495965"/>
          <w:u w:color="495965"/>
          <w:bdr w:val="nil"/>
          <w:lang w:eastAsia="en-AU"/>
        </w:rPr>
        <w:t xml:space="preserve"> </w:t>
      </w:r>
      <w:r w:rsidR="006C48DD" w:rsidRPr="00B1713F">
        <w:rPr>
          <w:rFonts w:ascii="Calibri Light" w:eastAsia="Calibri Light" w:hAnsi="Calibri Light" w:cs="Calibri Light"/>
          <w:color w:val="495965"/>
          <w:u w:color="495965"/>
          <w:bdr w:val="nil"/>
          <w:lang w:eastAsia="en-AU"/>
        </w:rPr>
        <w:t>integrated manage</w:t>
      </w:r>
      <w:r w:rsidR="00CF7CCB" w:rsidRPr="00B1713F">
        <w:rPr>
          <w:rFonts w:ascii="Calibri Light" w:eastAsia="Calibri Light" w:hAnsi="Calibri Light" w:cs="Calibri Light"/>
          <w:color w:val="495965"/>
          <w:u w:color="495965"/>
          <w:bdr w:val="nil"/>
          <w:lang w:eastAsia="en-AU"/>
        </w:rPr>
        <w:t xml:space="preserve">ment of water, energy and food </w:t>
      </w:r>
      <w:r w:rsidR="006C48DD" w:rsidRPr="00B1713F">
        <w:rPr>
          <w:rFonts w:ascii="Calibri Light" w:eastAsia="Calibri Light" w:hAnsi="Calibri Light" w:cs="Calibri Light"/>
          <w:color w:val="495965"/>
          <w:u w:color="495965"/>
          <w:bdr w:val="nil"/>
          <w:lang w:eastAsia="en-AU"/>
        </w:rPr>
        <w:t xml:space="preserve">in India, Bangladesh, </w:t>
      </w:r>
      <w:r w:rsidR="00D22101" w:rsidRPr="00B1713F">
        <w:rPr>
          <w:rFonts w:ascii="Calibri Light" w:eastAsia="Calibri Light" w:hAnsi="Calibri Light" w:cs="Calibri Light"/>
          <w:color w:val="495965"/>
          <w:u w:color="495965"/>
          <w:bdr w:val="nil"/>
          <w:lang w:eastAsia="en-AU"/>
        </w:rPr>
        <w:t xml:space="preserve">Nepal and </w:t>
      </w:r>
      <w:r w:rsidR="00D22101" w:rsidRPr="00B1713F">
        <w:rPr>
          <w:rFonts w:ascii="Calibri Light" w:eastAsia="Calibri Light" w:hAnsi="Calibri Light" w:cs="Calibri Light"/>
          <w:color w:val="495965"/>
          <w:u w:color="495965"/>
          <w:bdr w:val="nil"/>
          <w:lang w:val="en-US" w:eastAsia="en-AU"/>
        </w:rPr>
        <w:t xml:space="preserve">Bhutan. </w:t>
      </w:r>
      <w:r>
        <w:rPr>
          <w:rFonts w:ascii="Calibri Light" w:eastAsia="Calibri Light" w:hAnsi="Calibri Light" w:cs="Calibri Light"/>
          <w:color w:val="495965"/>
          <w:u w:color="495965"/>
          <w:bdr w:val="nil"/>
          <w:lang w:val="en-US" w:eastAsia="en-AU"/>
        </w:rPr>
        <w:t xml:space="preserve">More than </w:t>
      </w:r>
      <w:r w:rsidR="00E472F4">
        <w:rPr>
          <w:rFonts w:ascii="Calibri Light" w:eastAsia="Calibri Light" w:hAnsi="Calibri Light" w:cs="Calibri Light"/>
          <w:color w:val="495965"/>
          <w:u w:color="495965"/>
          <w:bdr w:val="nil"/>
          <w:lang w:val="en-US" w:eastAsia="en-AU"/>
        </w:rPr>
        <w:t>fifteen</w:t>
      </w:r>
      <w:r w:rsidR="001E64D3">
        <w:rPr>
          <w:rFonts w:ascii="Calibri Light" w:eastAsia="Calibri Light" w:hAnsi="Calibri Light" w:cs="Calibri Light"/>
          <w:color w:val="495965"/>
          <w:u w:color="495965"/>
          <w:bdr w:val="nil"/>
          <w:lang w:val="en-US" w:eastAsia="en-AU"/>
        </w:rPr>
        <w:t xml:space="preserve"> projects were implemented</w:t>
      </w:r>
      <w:r w:rsidR="006F19EA" w:rsidRPr="00B1713F">
        <w:rPr>
          <w:rFonts w:ascii="Calibri Light" w:eastAsia="Calibri Light" w:hAnsi="Calibri Light" w:cs="Calibri Light"/>
          <w:color w:val="495965"/>
          <w:u w:color="495965"/>
          <w:bdr w:val="nil"/>
          <w:lang w:val="en-US" w:eastAsia="en-AU"/>
        </w:rPr>
        <w:t xml:space="preserve"> through these investments, </w:t>
      </w:r>
      <w:r w:rsidR="00155948">
        <w:rPr>
          <w:rFonts w:ascii="Calibri Light" w:eastAsia="Calibri Light" w:hAnsi="Calibri Light" w:cs="Calibri Light"/>
          <w:color w:val="495965"/>
          <w:u w:color="495965"/>
          <w:bdr w:val="nil"/>
          <w:lang w:val="en-US" w:eastAsia="en-AU"/>
        </w:rPr>
        <w:t xml:space="preserve">which will be </w:t>
      </w:r>
      <w:r w:rsidR="006F19EA" w:rsidRPr="00B1713F">
        <w:rPr>
          <w:rFonts w:ascii="Calibri Light" w:eastAsia="Calibri Light" w:hAnsi="Calibri Light" w:cs="Calibri Light"/>
          <w:color w:val="495965"/>
          <w:u w:color="495965"/>
          <w:bdr w:val="nil"/>
          <w:lang w:val="en-US" w:eastAsia="en-AU"/>
        </w:rPr>
        <w:t xml:space="preserve">reported separately </w:t>
      </w:r>
      <w:r w:rsidR="00092711">
        <w:rPr>
          <w:rFonts w:ascii="Calibri Light" w:eastAsia="Calibri Light" w:hAnsi="Calibri Light" w:cs="Calibri Light"/>
          <w:color w:val="495965"/>
          <w:u w:color="495965"/>
          <w:bdr w:val="nil"/>
          <w:lang w:val="en-US" w:eastAsia="en-AU"/>
        </w:rPr>
        <w:t>in the</w:t>
      </w:r>
      <w:r w:rsidR="006F19EA" w:rsidRPr="00B1713F">
        <w:rPr>
          <w:rFonts w:ascii="Calibri Light" w:eastAsia="Calibri Light" w:hAnsi="Calibri Light" w:cs="Calibri Light"/>
          <w:color w:val="495965"/>
          <w:u w:color="495965"/>
          <w:bdr w:val="nil"/>
          <w:lang w:val="en-US" w:eastAsia="en-AU"/>
        </w:rPr>
        <w:t xml:space="preserve"> South Asia Regional APPR.</w:t>
      </w:r>
    </w:p>
    <w:p w14:paraId="6D37EA9F" w14:textId="45CCEFEB" w:rsidR="00092711" w:rsidRPr="00DB3A06" w:rsidRDefault="00092711" w:rsidP="003F2893">
      <w:pPr>
        <w:pBdr>
          <w:top w:val="nil"/>
          <w:left w:val="nil"/>
          <w:bottom w:val="nil"/>
          <w:right w:val="nil"/>
          <w:between w:val="nil"/>
          <w:bar w:val="nil"/>
        </w:pBdr>
        <w:spacing w:after="120" w:line="280" w:lineRule="exact"/>
        <w:jc w:val="both"/>
        <w:rPr>
          <w:rFonts w:ascii="Calibri Light" w:eastAsia="Calibri Light" w:hAnsi="Calibri Light" w:cs="Calibri Light"/>
          <w:color w:val="495965"/>
          <w:u w:color="495965"/>
          <w:bdr w:val="nil"/>
          <w:lang w:val="en-US" w:eastAsia="en-AU"/>
        </w:rPr>
      </w:pPr>
    </w:p>
    <w:p w14:paraId="17BCB98F" w14:textId="4449625D" w:rsidR="009D2D26" w:rsidRPr="009D2D26" w:rsidRDefault="009D2D26" w:rsidP="009D2D26">
      <w:pPr>
        <w:spacing w:after="120" w:line="280" w:lineRule="exact"/>
        <w:rPr>
          <w:rFonts w:ascii="Calibri Light" w:eastAsia="Calibri Light" w:hAnsi="Calibri Light" w:cs="Calibri Light"/>
          <w:color w:val="495965"/>
          <w:bdr w:val="none" w:sz="0" w:space="0" w:color="auto" w:frame="1"/>
          <w:lang w:val="en-US" w:eastAsia="en-AU"/>
        </w:rPr>
      </w:pPr>
      <w:r w:rsidRPr="009D2D26">
        <w:rPr>
          <w:rFonts w:ascii="Calibri Light" w:eastAsia="Calibri Light" w:hAnsi="Calibri Light" w:cs="Calibri Light"/>
          <w:color w:val="495965"/>
          <w:bdr w:val="none" w:sz="0" w:space="0" w:color="auto" w:frame="1"/>
          <w:lang w:val="en-US" w:eastAsia="en-AU"/>
        </w:rPr>
        <w:lastRenderedPageBreak/>
        <w:t xml:space="preserve">Australia through the </w:t>
      </w:r>
      <w:r w:rsidRPr="004935CF">
        <w:rPr>
          <w:rFonts w:ascii="Calibri Light" w:eastAsia="Calibri Light" w:hAnsi="Calibri Light" w:cs="Calibri Light"/>
          <w:color w:val="495965"/>
          <w:bdr w:val="none" w:sz="0" w:space="0" w:color="auto" w:frame="1"/>
          <w:lang w:val="en-US" w:eastAsia="en-AU"/>
        </w:rPr>
        <w:t>Governm</w:t>
      </w:r>
      <w:r w:rsidR="0035542F" w:rsidRPr="004935CF">
        <w:rPr>
          <w:rFonts w:ascii="Calibri Light" w:eastAsia="Calibri Light" w:hAnsi="Calibri Light" w:cs="Calibri Light"/>
          <w:color w:val="495965"/>
          <w:bdr w:val="none" w:sz="0" w:space="0" w:color="auto" w:frame="1"/>
          <w:lang w:val="en-US" w:eastAsia="en-AU"/>
        </w:rPr>
        <w:t>ent Partnership for Development</w:t>
      </w:r>
      <w:r w:rsidRPr="009D2D26">
        <w:rPr>
          <w:rFonts w:ascii="Calibri Light" w:eastAsia="Calibri Light" w:hAnsi="Calibri Light" w:cs="Calibri Light"/>
          <w:color w:val="495965"/>
          <w:bdr w:val="none" w:sz="0" w:space="0" w:color="auto" w:frame="1"/>
          <w:lang w:val="en-US" w:eastAsia="en-AU"/>
        </w:rPr>
        <w:t>, which ended during the reporting period, supported Bangladesh’s energy and power sectors to improve se</w:t>
      </w:r>
      <w:r>
        <w:rPr>
          <w:rFonts w:ascii="Calibri Light" w:eastAsia="Calibri Light" w:hAnsi="Calibri Light" w:cs="Calibri Light"/>
          <w:color w:val="495965"/>
          <w:bdr w:val="none" w:sz="0" w:space="0" w:color="auto" w:frame="1"/>
          <w:lang w:val="en-US" w:eastAsia="en-AU"/>
        </w:rPr>
        <w:t>ctor management through programs</w:t>
      </w:r>
      <w:r w:rsidRPr="009D2D26">
        <w:rPr>
          <w:rFonts w:ascii="Calibri Light" w:eastAsia="Calibri Light" w:hAnsi="Calibri Light" w:cs="Calibri Light"/>
          <w:color w:val="495965"/>
          <w:bdr w:val="none" w:sz="0" w:space="0" w:color="auto" w:frame="1"/>
          <w:lang w:val="en-US" w:eastAsia="en-AU"/>
        </w:rPr>
        <w:t xml:space="preserve"> at the Royal Melbourne Institute of Technology and Monash University. Under this program 75 mid and senior officials and policy makers from the Ministry of Power and Energy, including a State Minister, participated in workshops and undertook site visits to power and energy sector infrastructure in Australia.</w:t>
      </w:r>
    </w:p>
    <w:p w14:paraId="586D58A0" w14:textId="7B4B6DB5" w:rsidR="005A3E60" w:rsidRDefault="00A1313E" w:rsidP="003F2893">
      <w:pPr>
        <w:pBdr>
          <w:top w:val="nil"/>
          <w:left w:val="nil"/>
          <w:bottom w:val="nil"/>
          <w:right w:val="nil"/>
          <w:between w:val="nil"/>
          <w:bar w:val="nil"/>
        </w:pBdr>
        <w:spacing w:after="120" w:line="280" w:lineRule="exact"/>
        <w:jc w:val="both"/>
        <w:rPr>
          <w:rFonts w:ascii="Calibri Light" w:eastAsia="Calibri Light" w:hAnsi="Calibri Light" w:cs="Calibri Light"/>
          <w:color w:val="495965"/>
          <w:u w:color="495965"/>
          <w:bdr w:val="nil"/>
          <w:lang w:val="en-US" w:eastAsia="en-AU"/>
        </w:rPr>
      </w:pPr>
      <w:r w:rsidRPr="00B1713F">
        <w:rPr>
          <w:rFonts w:ascii="Calibri Light" w:eastAsia="Calibri Light" w:hAnsi="Calibri Light" w:cs="Calibri Light"/>
          <w:color w:val="495965"/>
          <w:u w:color="495965"/>
          <w:bdr w:val="nil"/>
          <w:lang w:val="en-US" w:eastAsia="en-AU"/>
        </w:rPr>
        <w:t xml:space="preserve">Other </w:t>
      </w:r>
      <w:r w:rsidR="00B1713F">
        <w:rPr>
          <w:rFonts w:ascii="Calibri Light" w:eastAsia="Calibri Light" w:hAnsi="Calibri Light" w:cs="Calibri Light"/>
          <w:color w:val="495965"/>
          <w:u w:color="495965"/>
          <w:bdr w:val="nil"/>
          <w:lang w:val="en-US" w:eastAsia="en-AU"/>
        </w:rPr>
        <w:t xml:space="preserve">global </w:t>
      </w:r>
      <w:r w:rsidRPr="00B1713F">
        <w:rPr>
          <w:rFonts w:ascii="Calibri Light" w:eastAsia="Calibri Light" w:hAnsi="Calibri Light" w:cs="Calibri Light"/>
          <w:color w:val="495965"/>
          <w:u w:color="495965"/>
          <w:bdr w:val="nil"/>
          <w:lang w:val="en-US" w:eastAsia="en-AU"/>
        </w:rPr>
        <w:t>initiatives in Bangladesh during the reporting period</w:t>
      </w:r>
      <w:r w:rsidR="00092711">
        <w:rPr>
          <w:rFonts w:ascii="Calibri Light" w:eastAsia="Calibri Light" w:hAnsi="Calibri Light" w:cs="Calibri Light"/>
          <w:color w:val="495965"/>
          <w:u w:color="495965"/>
          <w:bdr w:val="nil"/>
          <w:lang w:val="en-US" w:eastAsia="en-AU"/>
        </w:rPr>
        <w:t>,</w:t>
      </w:r>
      <w:r w:rsidRPr="00B1713F">
        <w:rPr>
          <w:rFonts w:ascii="Calibri Light" w:eastAsia="Calibri Light" w:hAnsi="Calibri Light" w:cs="Calibri Light"/>
          <w:color w:val="495965"/>
          <w:u w:color="495965"/>
          <w:bdr w:val="nil"/>
          <w:lang w:val="en-US" w:eastAsia="en-AU"/>
        </w:rPr>
        <w:t xml:space="preserve"> funded through various mechanism</w:t>
      </w:r>
      <w:r w:rsidR="00092711">
        <w:rPr>
          <w:rFonts w:ascii="Calibri Light" w:eastAsia="Calibri Light" w:hAnsi="Calibri Light" w:cs="Calibri Light"/>
          <w:color w:val="495965"/>
          <w:u w:color="495965"/>
          <w:bdr w:val="nil"/>
          <w:lang w:val="en-US" w:eastAsia="en-AU"/>
        </w:rPr>
        <w:t>s</w:t>
      </w:r>
      <w:r w:rsidRPr="00B1713F">
        <w:rPr>
          <w:rFonts w:ascii="Calibri Light" w:eastAsia="Calibri Light" w:hAnsi="Calibri Light" w:cs="Calibri Light"/>
          <w:color w:val="495965"/>
          <w:u w:color="495965"/>
          <w:bdr w:val="nil"/>
          <w:lang w:val="en-US" w:eastAsia="en-AU"/>
        </w:rPr>
        <w:t xml:space="preserve"> include: </w:t>
      </w:r>
      <w:r w:rsidR="00927479">
        <w:rPr>
          <w:rFonts w:ascii="Calibri Light" w:eastAsia="Calibri Light" w:hAnsi="Calibri Light" w:cs="Calibri Light"/>
          <w:color w:val="495965"/>
          <w:u w:color="495965"/>
          <w:bdr w:val="nil"/>
          <w:lang w:val="en-US" w:eastAsia="en-AU"/>
        </w:rPr>
        <w:t>Business Partnership Platform</w:t>
      </w:r>
      <w:r w:rsidR="00092711">
        <w:rPr>
          <w:rFonts w:ascii="Calibri Light" w:eastAsia="Calibri Light" w:hAnsi="Calibri Light" w:cs="Calibri Light"/>
          <w:color w:val="495965"/>
          <w:u w:color="495965"/>
          <w:bdr w:val="nil"/>
          <w:lang w:val="en-US" w:eastAsia="en-AU"/>
        </w:rPr>
        <w:t>,</w:t>
      </w:r>
      <w:r w:rsidR="00927479">
        <w:rPr>
          <w:rFonts w:ascii="Calibri Light" w:eastAsia="Calibri Light" w:hAnsi="Calibri Light" w:cs="Calibri Light"/>
          <w:color w:val="495965"/>
          <w:u w:color="495965"/>
          <w:bdr w:val="nil"/>
          <w:lang w:val="en-US" w:eastAsia="en-AU"/>
        </w:rPr>
        <w:t xml:space="preserve"> </w:t>
      </w:r>
      <w:r w:rsidRPr="00B1713F">
        <w:rPr>
          <w:rFonts w:ascii="Calibri Light" w:eastAsia="Calibri Light" w:hAnsi="Calibri Light" w:cs="Calibri Light"/>
          <w:color w:val="495965"/>
          <w:u w:color="495965"/>
          <w:bdr w:val="nil"/>
          <w:lang w:val="en-US" w:eastAsia="en-AU"/>
        </w:rPr>
        <w:t>Bloomberg Data for Health</w:t>
      </w:r>
      <w:r w:rsidR="00092711">
        <w:rPr>
          <w:rFonts w:ascii="Calibri Light" w:eastAsia="Calibri Light" w:hAnsi="Calibri Light" w:cs="Calibri Light"/>
          <w:color w:val="495965"/>
          <w:u w:color="495965"/>
          <w:bdr w:val="nil"/>
          <w:lang w:val="en-US" w:eastAsia="en-AU"/>
        </w:rPr>
        <w:t>,</w:t>
      </w:r>
      <w:r w:rsidRPr="00B1713F">
        <w:rPr>
          <w:rFonts w:ascii="Calibri Light" w:eastAsia="Calibri Light" w:hAnsi="Calibri Light" w:cs="Calibri Light"/>
          <w:color w:val="495965"/>
          <w:u w:color="495965"/>
          <w:bdr w:val="nil"/>
          <w:lang w:val="en-US" w:eastAsia="en-AU"/>
        </w:rPr>
        <w:t xml:space="preserve"> Girl Effect</w:t>
      </w:r>
      <w:r w:rsidR="00092711">
        <w:rPr>
          <w:rFonts w:ascii="Calibri Light" w:eastAsia="Calibri Light" w:hAnsi="Calibri Light" w:cs="Calibri Light"/>
          <w:color w:val="495965"/>
          <w:u w:color="495965"/>
          <w:bdr w:val="nil"/>
          <w:lang w:val="en-US" w:eastAsia="en-AU"/>
        </w:rPr>
        <w:t xml:space="preserve">, Gender Equality Fund, </w:t>
      </w:r>
      <w:r w:rsidRPr="00B1713F">
        <w:rPr>
          <w:rFonts w:ascii="Calibri Light" w:eastAsia="Calibri Light" w:hAnsi="Calibri Light" w:cs="Calibri Light"/>
          <w:color w:val="495965"/>
          <w:u w:color="495965"/>
          <w:bdr w:val="nil"/>
          <w:lang w:val="en-US" w:eastAsia="en-AU"/>
        </w:rPr>
        <w:t>Civil Society Water</w:t>
      </w:r>
      <w:r w:rsidR="00092711">
        <w:rPr>
          <w:rFonts w:ascii="Calibri Light" w:eastAsia="Calibri Light" w:hAnsi="Calibri Light" w:cs="Calibri Light"/>
          <w:color w:val="495965"/>
          <w:u w:color="495965"/>
          <w:bdr w:val="nil"/>
          <w:lang w:val="en-US" w:eastAsia="en-AU"/>
        </w:rPr>
        <w:t xml:space="preserve"> Fund</w:t>
      </w:r>
      <w:r w:rsidRPr="00B1713F">
        <w:rPr>
          <w:rFonts w:ascii="Calibri Light" w:eastAsia="Calibri Light" w:hAnsi="Calibri Light" w:cs="Calibri Light"/>
          <w:color w:val="495965"/>
          <w:u w:color="495965"/>
          <w:bdr w:val="nil"/>
          <w:lang w:val="en-US" w:eastAsia="en-AU"/>
        </w:rPr>
        <w:t>, Sanitation and Hygiene Fund</w:t>
      </w:r>
      <w:r w:rsidR="00092711">
        <w:rPr>
          <w:rFonts w:ascii="Calibri Light" w:eastAsia="Calibri Light" w:hAnsi="Calibri Light" w:cs="Calibri Light"/>
          <w:color w:val="495965"/>
          <w:u w:color="495965"/>
          <w:bdr w:val="nil"/>
          <w:lang w:val="en-US" w:eastAsia="en-AU"/>
        </w:rPr>
        <w:t>,</w:t>
      </w:r>
      <w:r w:rsidRPr="00B1713F">
        <w:rPr>
          <w:rFonts w:ascii="Calibri Light" w:eastAsia="Calibri Light" w:hAnsi="Calibri Light" w:cs="Calibri Light"/>
          <w:color w:val="495965"/>
          <w:u w:color="495965"/>
          <w:bdr w:val="nil"/>
          <w:lang w:val="en-US" w:eastAsia="en-AU"/>
        </w:rPr>
        <w:t xml:space="preserve"> </w:t>
      </w:r>
      <w:r w:rsidR="005A3E60" w:rsidRPr="00B1713F">
        <w:rPr>
          <w:rFonts w:ascii="Calibri Light" w:eastAsia="Calibri Light" w:hAnsi="Calibri Light" w:cs="Calibri Light"/>
          <w:color w:val="495965"/>
          <w:u w:color="495965"/>
          <w:bdr w:val="nil"/>
          <w:lang w:val="en-US" w:eastAsia="en-AU"/>
        </w:rPr>
        <w:t xml:space="preserve">SPRING, </w:t>
      </w:r>
      <w:r w:rsidR="002B3BFA" w:rsidRPr="00B1713F">
        <w:rPr>
          <w:rFonts w:ascii="Calibri Light" w:eastAsia="Calibri Light" w:hAnsi="Calibri Light" w:cs="Calibri Light"/>
          <w:color w:val="495965"/>
          <w:u w:color="495965"/>
          <w:bdr w:val="nil"/>
          <w:lang w:val="en-US" w:eastAsia="en-AU"/>
        </w:rPr>
        <w:t xml:space="preserve">the </w:t>
      </w:r>
      <w:r w:rsidR="005A3E60" w:rsidRPr="00B1713F">
        <w:rPr>
          <w:rFonts w:ascii="Calibri Light" w:eastAsia="Calibri Light" w:hAnsi="Calibri Light" w:cs="Calibri Light"/>
          <w:color w:val="495965"/>
          <w:u w:color="495965"/>
          <w:bdr w:val="nil"/>
          <w:lang w:val="en-US" w:eastAsia="en-AU"/>
        </w:rPr>
        <w:t xml:space="preserve">Green Climate Fund and the Global Agriculture and Food Security Program. </w:t>
      </w:r>
    </w:p>
    <w:p w14:paraId="75EDC990" w14:textId="280EC244" w:rsidR="002A51CA" w:rsidRDefault="002A51CA" w:rsidP="002A51CA">
      <w:pPr>
        <w:pStyle w:val="Heading2"/>
      </w:pPr>
      <w:r>
        <w:t>Mutual obligations</w:t>
      </w:r>
    </w:p>
    <w:p w14:paraId="3E5A988B" w14:textId="048F2869" w:rsidR="0037212A" w:rsidRPr="00B112DA" w:rsidRDefault="0037212A" w:rsidP="003F2893">
      <w:pPr>
        <w:pBdr>
          <w:top w:val="nil"/>
          <w:left w:val="nil"/>
          <w:bottom w:val="nil"/>
          <w:right w:val="nil"/>
          <w:between w:val="nil"/>
          <w:bar w:val="nil"/>
        </w:pBdr>
        <w:spacing w:after="120" w:line="280" w:lineRule="exact"/>
        <w:jc w:val="both"/>
        <w:rPr>
          <w:rFonts w:ascii="Calibri Light" w:eastAsia="Calibri Light" w:hAnsi="Calibri Light" w:cs="Calibri Light"/>
          <w:color w:val="495965"/>
          <w:u w:color="495965"/>
          <w:bdr w:val="nil"/>
          <w:lang w:val="en-US" w:eastAsia="en-AU"/>
        </w:rPr>
      </w:pPr>
      <w:r w:rsidRPr="00B112DA">
        <w:rPr>
          <w:rFonts w:ascii="Calibri Light" w:eastAsia="Calibri Light" w:hAnsi="Calibri Light" w:cs="Calibri Light"/>
          <w:color w:val="495965"/>
          <w:u w:color="495965"/>
          <w:bdr w:val="nil"/>
          <w:lang w:val="en-US" w:eastAsia="en-AU"/>
        </w:rPr>
        <w:t>The Bangladesh</w:t>
      </w:r>
      <w:r w:rsidR="00142ADA" w:rsidRPr="00B112DA">
        <w:rPr>
          <w:rFonts w:ascii="Calibri Light" w:eastAsia="Calibri Light" w:hAnsi="Calibri Light" w:cs="Calibri Light"/>
          <w:color w:val="495965"/>
          <w:u w:color="495965"/>
          <w:bdr w:val="nil"/>
          <w:lang w:val="en-US" w:eastAsia="en-AU"/>
        </w:rPr>
        <w:t xml:space="preserve"> Aid Investment Plan 2015-2019 aligns with </w:t>
      </w:r>
      <w:r w:rsidR="00C75127">
        <w:rPr>
          <w:rFonts w:ascii="Calibri Light" w:eastAsia="Calibri Light" w:hAnsi="Calibri Light" w:cs="Calibri Light"/>
          <w:color w:val="495965"/>
          <w:u w:color="495965"/>
          <w:bdr w:val="nil"/>
          <w:lang w:val="en-US" w:eastAsia="en-AU"/>
        </w:rPr>
        <w:t xml:space="preserve">the </w:t>
      </w:r>
      <w:r w:rsidRPr="00B112DA">
        <w:rPr>
          <w:rFonts w:ascii="Calibri Light" w:eastAsia="Calibri Light" w:hAnsi="Calibri Light" w:cs="Calibri Light"/>
          <w:color w:val="495965"/>
          <w:u w:color="495965"/>
          <w:bdr w:val="nil"/>
          <w:lang w:val="en-US" w:eastAsia="en-AU"/>
        </w:rPr>
        <w:t>Government</w:t>
      </w:r>
      <w:r w:rsidR="00C75127">
        <w:rPr>
          <w:rFonts w:ascii="Calibri Light" w:eastAsia="Calibri Light" w:hAnsi="Calibri Light" w:cs="Calibri Light"/>
          <w:color w:val="495965"/>
          <w:u w:color="495965"/>
          <w:bdr w:val="nil"/>
          <w:lang w:val="en-US" w:eastAsia="en-AU"/>
        </w:rPr>
        <w:t xml:space="preserve"> of Bangladesh</w:t>
      </w:r>
      <w:r w:rsidRPr="00B112DA">
        <w:rPr>
          <w:rFonts w:ascii="Calibri Light" w:eastAsia="Calibri Light" w:hAnsi="Calibri Light" w:cs="Calibri Light"/>
          <w:color w:val="495965"/>
          <w:u w:color="495965"/>
          <w:bdr w:val="nil"/>
          <w:lang w:val="en-US" w:eastAsia="en-AU"/>
        </w:rPr>
        <w:t xml:space="preserve">’s </w:t>
      </w:r>
      <w:r w:rsidR="00EB1C8B" w:rsidRPr="00B112DA">
        <w:rPr>
          <w:rFonts w:ascii="Calibri Light" w:eastAsia="Calibri Light" w:hAnsi="Calibri Light" w:cs="Calibri Light"/>
          <w:color w:val="495965"/>
          <w:u w:color="495965"/>
          <w:bdr w:val="nil"/>
          <w:lang w:val="en-US" w:eastAsia="en-AU"/>
        </w:rPr>
        <w:t xml:space="preserve">rolling </w:t>
      </w:r>
      <w:r w:rsidR="00142ADA" w:rsidRPr="00B112DA">
        <w:rPr>
          <w:rFonts w:ascii="Calibri Light" w:eastAsia="Calibri Light" w:hAnsi="Calibri Light" w:cs="Calibri Light"/>
          <w:color w:val="495965"/>
          <w:u w:color="495965"/>
          <w:bdr w:val="nil"/>
          <w:lang w:val="en-US" w:eastAsia="en-AU"/>
        </w:rPr>
        <w:t>five year development plan</w:t>
      </w:r>
      <w:r w:rsidR="00EB1C8B" w:rsidRPr="00B112DA">
        <w:rPr>
          <w:rFonts w:ascii="Calibri Light" w:eastAsia="Calibri Light" w:hAnsi="Calibri Light" w:cs="Calibri Light"/>
          <w:color w:val="495965"/>
          <w:u w:color="495965"/>
          <w:bdr w:val="nil"/>
          <w:lang w:val="en-US" w:eastAsia="en-AU"/>
        </w:rPr>
        <w:t>,</w:t>
      </w:r>
      <w:r w:rsidR="00142ADA" w:rsidRPr="00B112DA">
        <w:rPr>
          <w:rFonts w:ascii="Calibri Light" w:eastAsia="Calibri Light" w:hAnsi="Calibri Light" w:cs="Calibri Light"/>
          <w:color w:val="495965"/>
          <w:u w:color="495965"/>
          <w:bdr w:val="nil"/>
          <w:lang w:val="en-US" w:eastAsia="en-AU"/>
        </w:rPr>
        <w:t xml:space="preserve"> </w:t>
      </w:r>
      <w:r w:rsidR="00EB1C8B" w:rsidRPr="00B112DA">
        <w:rPr>
          <w:rFonts w:ascii="Calibri Light" w:eastAsia="Calibri Light" w:hAnsi="Calibri Light" w:cs="Calibri Light"/>
          <w:color w:val="495965"/>
          <w:u w:color="495965"/>
          <w:bdr w:val="nil"/>
          <w:lang w:val="en-US" w:eastAsia="en-AU"/>
        </w:rPr>
        <w:t xml:space="preserve">the </w:t>
      </w:r>
      <w:r w:rsidR="00C75127">
        <w:rPr>
          <w:rFonts w:ascii="Calibri Light" w:eastAsia="Calibri Light" w:hAnsi="Calibri Light" w:cs="Calibri Light"/>
          <w:color w:val="495965"/>
          <w:u w:color="495965"/>
          <w:bdr w:val="nil"/>
          <w:lang w:val="en-US" w:eastAsia="en-AU"/>
        </w:rPr>
        <w:t xml:space="preserve">Seventh </w:t>
      </w:r>
      <w:r w:rsidRPr="00B112DA">
        <w:rPr>
          <w:rFonts w:ascii="Calibri Light" w:eastAsia="Calibri Light" w:hAnsi="Calibri Light" w:cs="Calibri Light"/>
          <w:color w:val="495965"/>
          <w:u w:color="495965"/>
          <w:bdr w:val="nil"/>
          <w:lang w:val="en-US" w:eastAsia="en-AU"/>
        </w:rPr>
        <w:t xml:space="preserve">Five Year Plan (2016-20). </w:t>
      </w:r>
      <w:r w:rsidR="00EB1C8B" w:rsidRPr="00B112DA">
        <w:rPr>
          <w:rFonts w:ascii="Calibri Light" w:eastAsia="Calibri Light" w:hAnsi="Calibri Light" w:cs="Calibri Light"/>
          <w:color w:val="495965"/>
          <w:u w:color="495965"/>
          <w:bdr w:val="nil"/>
          <w:lang w:val="en-US" w:eastAsia="en-AU"/>
        </w:rPr>
        <w:t xml:space="preserve">A donor/Government Statement of Commitment on development cooperation was </w:t>
      </w:r>
      <w:r w:rsidR="003B6D11">
        <w:rPr>
          <w:rFonts w:ascii="Calibri Light" w:eastAsia="Calibri Light" w:hAnsi="Calibri Light" w:cs="Calibri Light"/>
          <w:color w:val="495965"/>
          <w:u w:color="495965"/>
          <w:bdr w:val="nil"/>
          <w:lang w:val="en-US" w:eastAsia="en-AU"/>
        </w:rPr>
        <w:t xml:space="preserve">also </w:t>
      </w:r>
      <w:r w:rsidR="00EB1C8B" w:rsidRPr="00B112DA">
        <w:rPr>
          <w:rFonts w:ascii="Calibri Light" w:eastAsia="Calibri Light" w:hAnsi="Calibri Light" w:cs="Calibri Light"/>
          <w:color w:val="495965"/>
          <w:u w:color="495965"/>
          <w:bdr w:val="nil"/>
          <w:lang w:val="en-US" w:eastAsia="en-AU"/>
        </w:rPr>
        <w:t xml:space="preserve">signed in 2013 </w:t>
      </w:r>
      <w:r w:rsidR="003B6D11">
        <w:rPr>
          <w:rFonts w:ascii="Calibri Light" w:eastAsia="Calibri Light" w:hAnsi="Calibri Light" w:cs="Calibri Light"/>
          <w:color w:val="495965"/>
          <w:u w:color="495965"/>
          <w:bdr w:val="nil"/>
          <w:lang w:val="en-US" w:eastAsia="en-AU"/>
        </w:rPr>
        <w:t xml:space="preserve">to ensure an alignment of donor programs to </w:t>
      </w:r>
      <w:r w:rsidR="00EB1C8B" w:rsidRPr="00B112DA">
        <w:rPr>
          <w:rFonts w:ascii="Calibri Light" w:eastAsia="Calibri Light" w:hAnsi="Calibri Light" w:cs="Calibri Light"/>
          <w:color w:val="495965"/>
          <w:u w:color="495965"/>
          <w:bdr w:val="nil"/>
          <w:lang w:val="en-US" w:eastAsia="en-AU"/>
        </w:rPr>
        <w:t xml:space="preserve">government </w:t>
      </w:r>
      <w:r w:rsidR="003B6D11">
        <w:rPr>
          <w:rFonts w:ascii="Calibri Light" w:eastAsia="Calibri Light" w:hAnsi="Calibri Light" w:cs="Calibri Light"/>
          <w:color w:val="495965"/>
          <w:u w:color="495965"/>
          <w:bdr w:val="nil"/>
          <w:lang w:val="en-US" w:eastAsia="en-AU"/>
        </w:rPr>
        <w:t xml:space="preserve">development </w:t>
      </w:r>
      <w:r w:rsidR="00EB1C8B" w:rsidRPr="00B112DA">
        <w:rPr>
          <w:rFonts w:ascii="Calibri Light" w:eastAsia="Calibri Light" w:hAnsi="Calibri Light" w:cs="Calibri Light"/>
          <w:color w:val="495965"/>
          <w:u w:color="495965"/>
          <w:bdr w:val="nil"/>
          <w:lang w:val="en-US" w:eastAsia="en-AU"/>
        </w:rPr>
        <w:t>strategies</w:t>
      </w:r>
      <w:r w:rsidR="004854D1" w:rsidRPr="00B112DA">
        <w:rPr>
          <w:rFonts w:ascii="Calibri Light" w:eastAsia="Calibri Light" w:hAnsi="Calibri Light" w:cs="Calibri Light"/>
          <w:color w:val="495965"/>
          <w:u w:color="495965"/>
          <w:bdr w:val="nil"/>
          <w:lang w:val="en-US" w:eastAsia="en-AU"/>
        </w:rPr>
        <w:t>.</w:t>
      </w:r>
      <w:r w:rsidR="005E6D5F" w:rsidRPr="00B112DA">
        <w:rPr>
          <w:rFonts w:ascii="Calibri Light" w:eastAsia="Calibri Light" w:hAnsi="Calibri Light" w:cs="Calibri Light"/>
          <w:color w:val="495965"/>
          <w:u w:color="495965"/>
          <w:bdr w:val="nil"/>
          <w:lang w:val="en-US" w:eastAsia="en-AU"/>
        </w:rPr>
        <w:t xml:space="preserve"> </w:t>
      </w:r>
    </w:p>
    <w:p w14:paraId="323BE8AE" w14:textId="2FC107DA" w:rsidR="00CC5172" w:rsidRPr="00B112DA" w:rsidRDefault="00911B49" w:rsidP="003F2893">
      <w:pPr>
        <w:pBdr>
          <w:top w:val="nil"/>
          <w:left w:val="nil"/>
          <w:bottom w:val="nil"/>
          <w:right w:val="nil"/>
          <w:between w:val="nil"/>
          <w:bar w:val="nil"/>
        </w:pBdr>
        <w:spacing w:after="120" w:line="280" w:lineRule="exact"/>
        <w:jc w:val="both"/>
        <w:rPr>
          <w:rFonts w:ascii="Calibri Light" w:eastAsia="Calibri Light" w:hAnsi="Calibri Light" w:cs="Calibri Light"/>
          <w:color w:val="495965"/>
          <w:u w:color="495965"/>
          <w:bdr w:val="nil"/>
          <w:lang w:val="en-US" w:eastAsia="en-AU"/>
        </w:rPr>
      </w:pPr>
      <w:r w:rsidRPr="00B112DA">
        <w:rPr>
          <w:rFonts w:ascii="Calibri Light" w:eastAsia="Calibri Light" w:hAnsi="Calibri Light" w:cs="Calibri Light"/>
          <w:color w:val="495965"/>
          <w:u w:color="495965"/>
          <w:bdr w:val="nil"/>
          <w:lang w:val="en-US" w:eastAsia="en-AU"/>
        </w:rPr>
        <w:t>Australia’s</w:t>
      </w:r>
      <w:r w:rsidR="00F17A7F" w:rsidRPr="00B112DA">
        <w:rPr>
          <w:rFonts w:ascii="Calibri Light" w:eastAsia="Calibri Light" w:hAnsi="Calibri Light" w:cs="Calibri Light"/>
          <w:color w:val="495965"/>
          <w:u w:color="495965"/>
          <w:bdr w:val="nil"/>
          <w:lang w:val="en-US" w:eastAsia="en-AU"/>
        </w:rPr>
        <w:t xml:space="preserve"> funding to PEDP3 is based on mutually agreed Disbursemen</w:t>
      </w:r>
      <w:r w:rsidR="005E6D5F" w:rsidRPr="00B112DA">
        <w:rPr>
          <w:rFonts w:ascii="Calibri Light" w:eastAsia="Calibri Light" w:hAnsi="Calibri Light" w:cs="Calibri Light"/>
          <w:color w:val="495965"/>
          <w:u w:color="495965"/>
          <w:bdr w:val="nil"/>
          <w:lang w:val="en-US" w:eastAsia="en-AU"/>
        </w:rPr>
        <w:t xml:space="preserve">t Linked Indicators (DLIs), </w:t>
      </w:r>
      <w:r w:rsidR="005D30C3" w:rsidRPr="00B112DA">
        <w:rPr>
          <w:rFonts w:ascii="Calibri Light" w:eastAsia="Calibri Light" w:hAnsi="Calibri Light" w:cs="Calibri Light"/>
          <w:color w:val="495965"/>
          <w:u w:color="495965"/>
          <w:bdr w:val="nil"/>
          <w:lang w:val="en-US" w:eastAsia="en-AU"/>
        </w:rPr>
        <w:t xml:space="preserve">which </w:t>
      </w:r>
      <w:r w:rsidRPr="00B112DA">
        <w:rPr>
          <w:rFonts w:ascii="Calibri Light" w:eastAsia="Calibri Light" w:hAnsi="Calibri Light" w:cs="Calibri Light"/>
          <w:color w:val="495965"/>
          <w:u w:color="495965"/>
          <w:bdr w:val="nil"/>
          <w:lang w:val="en-US" w:eastAsia="en-AU"/>
        </w:rPr>
        <w:t>are tied to the achievement</w:t>
      </w:r>
      <w:r w:rsidR="00B53E1E">
        <w:rPr>
          <w:rFonts w:ascii="Calibri Light" w:eastAsia="Calibri Light" w:hAnsi="Calibri Light" w:cs="Calibri Light"/>
          <w:color w:val="495965"/>
          <w:u w:color="495965"/>
          <w:bdr w:val="nil"/>
          <w:lang w:val="en-US" w:eastAsia="en-AU"/>
        </w:rPr>
        <w:t xml:space="preserve"> of Bangladesh Government’s</w:t>
      </w:r>
      <w:r w:rsidRPr="00B112DA">
        <w:rPr>
          <w:rFonts w:ascii="Calibri Light" w:eastAsia="Calibri Light" w:hAnsi="Calibri Light" w:cs="Calibri Light"/>
          <w:color w:val="495965"/>
          <w:u w:color="495965"/>
          <w:bdr w:val="nil"/>
          <w:lang w:val="en-US" w:eastAsia="en-AU"/>
        </w:rPr>
        <w:t xml:space="preserve"> </w:t>
      </w:r>
      <w:r w:rsidR="00B53E1E">
        <w:rPr>
          <w:rFonts w:ascii="Calibri Light" w:eastAsia="Calibri Light" w:hAnsi="Calibri Light" w:cs="Calibri Light"/>
          <w:color w:val="495965"/>
          <w:u w:color="495965"/>
          <w:bdr w:val="nil"/>
          <w:lang w:val="en-US" w:eastAsia="en-AU"/>
        </w:rPr>
        <w:t xml:space="preserve">key </w:t>
      </w:r>
      <w:r w:rsidR="00F17A7F" w:rsidRPr="00B112DA">
        <w:rPr>
          <w:rFonts w:ascii="Calibri Light" w:eastAsia="Calibri Light" w:hAnsi="Calibri Light" w:cs="Calibri Light"/>
          <w:color w:val="495965"/>
          <w:u w:color="495965"/>
          <w:bdr w:val="nil"/>
          <w:lang w:val="en-US" w:eastAsia="en-AU"/>
        </w:rPr>
        <w:t xml:space="preserve">sector reforms. </w:t>
      </w:r>
      <w:r w:rsidRPr="00B112DA">
        <w:rPr>
          <w:rFonts w:ascii="Calibri Light" w:eastAsia="Calibri Light" w:hAnsi="Calibri Light" w:cs="Calibri Light"/>
          <w:color w:val="495965"/>
          <w:u w:color="495965"/>
          <w:bdr w:val="nil"/>
          <w:lang w:val="en-US" w:eastAsia="en-AU"/>
        </w:rPr>
        <w:t>Consist</w:t>
      </w:r>
      <w:r w:rsidR="005E6D5F" w:rsidRPr="00B112DA">
        <w:rPr>
          <w:rFonts w:ascii="Calibri Light" w:eastAsia="Calibri Light" w:hAnsi="Calibri Light" w:cs="Calibri Light"/>
          <w:color w:val="495965"/>
          <w:u w:color="495965"/>
          <w:bdr w:val="nil"/>
          <w:lang w:val="en-US" w:eastAsia="en-AU"/>
        </w:rPr>
        <w:t>ent</w:t>
      </w:r>
      <w:r w:rsidRPr="00B112DA">
        <w:rPr>
          <w:rFonts w:ascii="Calibri Light" w:eastAsia="Calibri Light" w:hAnsi="Calibri Light" w:cs="Calibri Light"/>
          <w:color w:val="495965"/>
          <w:u w:color="495965"/>
          <w:bdr w:val="nil"/>
          <w:lang w:val="en-US" w:eastAsia="en-AU"/>
        </w:rPr>
        <w:t xml:space="preserve"> with perform</w:t>
      </w:r>
      <w:r w:rsidR="00E34C28">
        <w:rPr>
          <w:rFonts w:ascii="Calibri Light" w:eastAsia="Calibri Light" w:hAnsi="Calibri Light" w:cs="Calibri Light"/>
          <w:color w:val="495965"/>
          <w:u w:color="495965"/>
          <w:bdr w:val="nil"/>
          <w:lang w:val="en-US" w:eastAsia="en-AU"/>
        </w:rPr>
        <w:t>ance</w:t>
      </w:r>
      <w:r w:rsidRPr="00B112DA">
        <w:rPr>
          <w:rFonts w:ascii="Calibri Light" w:eastAsia="Calibri Light" w:hAnsi="Calibri Light" w:cs="Calibri Light"/>
          <w:color w:val="495965"/>
          <w:u w:color="495965"/>
          <w:bdr w:val="nil"/>
          <w:lang w:val="en-US" w:eastAsia="en-AU"/>
        </w:rPr>
        <w:t>-based aid, funding was withheld in areas where DLIs were unmet</w:t>
      </w:r>
      <w:r w:rsidR="00883450">
        <w:rPr>
          <w:rStyle w:val="FootnoteReference"/>
          <w:rFonts w:ascii="Calibri Light" w:eastAsia="Calibri Light" w:hAnsi="Calibri Light" w:cs="Calibri Light"/>
          <w:color w:val="495965"/>
          <w:u w:color="495965"/>
          <w:bdr w:val="nil"/>
          <w:lang w:val="en-US" w:eastAsia="en-AU"/>
        </w:rPr>
        <w:footnoteReference w:id="43"/>
      </w:r>
      <w:r w:rsidR="005D30C3" w:rsidRPr="00B112DA">
        <w:rPr>
          <w:rFonts w:ascii="Calibri Light" w:eastAsia="Calibri Light" w:hAnsi="Calibri Light" w:cs="Calibri Light"/>
          <w:color w:val="495965"/>
          <w:u w:color="495965"/>
          <w:bdr w:val="nil"/>
          <w:lang w:val="en-US" w:eastAsia="en-AU"/>
        </w:rPr>
        <w:t>.</w:t>
      </w:r>
      <w:r w:rsidR="003D651C" w:rsidRPr="00B112DA">
        <w:rPr>
          <w:rFonts w:ascii="Calibri Light" w:eastAsia="Calibri Light" w:hAnsi="Calibri Light" w:cs="Calibri Light"/>
          <w:color w:val="495965"/>
          <w:u w:color="495965"/>
          <w:bdr w:val="nil"/>
          <w:lang w:val="en-US" w:eastAsia="en-AU"/>
        </w:rPr>
        <w:t xml:space="preserve"> Australia continued to </w:t>
      </w:r>
      <w:r w:rsidR="003F2893">
        <w:rPr>
          <w:rFonts w:ascii="Calibri Light" w:eastAsia="Calibri Light" w:hAnsi="Calibri Light" w:cs="Calibri Light"/>
          <w:color w:val="495965"/>
          <w:u w:color="495965"/>
          <w:bdr w:val="nil"/>
          <w:lang w:val="en-US" w:eastAsia="en-AU"/>
        </w:rPr>
        <w:t>advocate</w:t>
      </w:r>
      <w:r w:rsidR="00092711">
        <w:rPr>
          <w:rFonts w:ascii="Calibri Light" w:eastAsia="Calibri Light" w:hAnsi="Calibri Light" w:cs="Calibri Light"/>
          <w:color w:val="495965"/>
          <w:u w:color="495965"/>
          <w:bdr w:val="nil"/>
          <w:lang w:val="en-US" w:eastAsia="en-AU"/>
        </w:rPr>
        <w:t xml:space="preserve"> </w:t>
      </w:r>
      <w:r w:rsidR="003D651C" w:rsidRPr="00B112DA">
        <w:rPr>
          <w:rFonts w:ascii="Calibri Light" w:eastAsia="Calibri Light" w:hAnsi="Calibri Light" w:cs="Calibri Light"/>
          <w:color w:val="495965"/>
          <w:u w:color="495965"/>
          <w:bdr w:val="nil"/>
          <w:lang w:val="en-US" w:eastAsia="en-AU"/>
        </w:rPr>
        <w:t>for progress in the</w:t>
      </w:r>
      <w:r w:rsidR="00B33D23" w:rsidRPr="00B112DA">
        <w:rPr>
          <w:rFonts w:ascii="Calibri Light" w:eastAsia="Calibri Light" w:hAnsi="Calibri Light" w:cs="Calibri Light"/>
          <w:color w:val="495965"/>
          <w:u w:color="495965"/>
          <w:bdr w:val="nil"/>
          <w:lang w:val="en-US" w:eastAsia="en-AU"/>
        </w:rPr>
        <w:t xml:space="preserve"> </w:t>
      </w:r>
      <w:r w:rsidR="003D651C" w:rsidRPr="00B112DA">
        <w:rPr>
          <w:rFonts w:ascii="Calibri Light" w:eastAsia="Calibri Light" w:hAnsi="Calibri Light" w:cs="Calibri Light"/>
          <w:color w:val="495965"/>
          <w:u w:color="495965"/>
          <w:bdr w:val="nil"/>
          <w:lang w:val="en-US" w:eastAsia="en-AU"/>
        </w:rPr>
        <w:t xml:space="preserve">unmet </w:t>
      </w:r>
      <w:r w:rsidR="005A4B33" w:rsidRPr="00B112DA">
        <w:rPr>
          <w:rFonts w:ascii="Calibri Light" w:eastAsia="Calibri Light" w:hAnsi="Calibri Light" w:cs="Calibri Light"/>
          <w:color w:val="495965"/>
          <w:u w:color="495965"/>
          <w:bdr w:val="nil"/>
          <w:lang w:val="en-US" w:eastAsia="en-AU"/>
        </w:rPr>
        <w:t xml:space="preserve">DLIs. </w:t>
      </w:r>
    </w:p>
    <w:p w14:paraId="3F5A1C53" w14:textId="73A333FF" w:rsidR="00DA5FA7" w:rsidRPr="007668DA" w:rsidRDefault="00910025" w:rsidP="003F2893">
      <w:pPr>
        <w:pBdr>
          <w:top w:val="nil"/>
          <w:left w:val="nil"/>
          <w:bottom w:val="nil"/>
          <w:right w:val="nil"/>
          <w:between w:val="nil"/>
          <w:bar w:val="nil"/>
        </w:pBdr>
        <w:spacing w:after="120" w:line="280" w:lineRule="exact"/>
        <w:jc w:val="both"/>
        <w:rPr>
          <w:rFonts w:ascii="Calibri Light" w:eastAsia="Calibri Light" w:hAnsi="Calibri Light" w:cs="Calibri Light"/>
          <w:color w:val="495965"/>
          <w:u w:color="495965"/>
          <w:bdr w:val="nil"/>
          <w:lang w:val="en-US" w:eastAsia="en-AU"/>
        </w:rPr>
      </w:pPr>
      <w:r w:rsidRPr="00B112DA">
        <w:rPr>
          <w:rFonts w:ascii="Calibri Light" w:eastAsia="Calibri Light" w:hAnsi="Calibri Light" w:cs="Calibri Light"/>
          <w:color w:val="495965"/>
          <w:u w:color="495965"/>
          <w:bdr w:val="nil"/>
          <w:lang w:val="en-US" w:eastAsia="en-AU"/>
        </w:rPr>
        <w:t xml:space="preserve">The </w:t>
      </w:r>
      <w:r w:rsidR="00B406F5" w:rsidRPr="00B112DA">
        <w:rPr>
          <w:rFonts w:ascii="Calibri Light" w:eastAsia="Calibri Light" w:hAnsi="Calibri Light" w:cs="Calibri Light"/>
          <w:color w:val="495965"/>
          <w:u w:color="495965"/>
          <w:bdr w:val="nil"/>
          <w:lang w:val="en-US" w:eastAsia="en-AU"/>
        </w:rPr>
        <w:t xml:space="preserve">Government of Bangladesh </w:t>
      </w:r>
      <w:r w:rsidR="00965579" w:rsidRPr="00B112DA">
        <w:rPr>
          <w:rFonts w:ascii="Calibri Light" w:eastAsia="Calibri Light" w:hAnsi="Calibri Light" w:cs="Calibri Light"/>
          <w:color w:val="495965"/>
          <w:u w:color="495965"/>
          <w:bdr w:val="nil"/>
          <w:lang w:val="en-US" w:eastAsia="en-AU"/>
        </w:rPr>
        <w:t>has demonstrated commitment to the implementation of the National Social Security Strategy</w:t>
      </w:r>
      <w:r w:rsidR="00B406F5" w:rsidRPr="00B112DA">
        <w:rPr>
          <w:rFonts w:ascii="Calibri Light" w:eastAsia="Calibri Light" w:hAnsi="Calibri Light" w:cs="Calibri Light"/>
          <w:color w:val="495965"/>
          <w:u w:color="495965"/>
          <w:bdr w:val="nil"/>
          <w:lang w:val="en-US" w:eastAsia="en-AU"/>
        </w:rPr>
        <w:t xml:space="preserve"> (NSSS)</w:t>
      </w:r>
      <w:r w:rsidR="00965579" w:rsidRPr="00B112DA">
        <w:rPr>
          <w:rFonts w:ascii="Calibri Light" w:eastAsia="Calibri Light" w:hAnsi="Calibri Light" w:cs="Calibri Light"/>
          <w:color w:val="495965"/>
          <w:u w:color="495965"/>
          <w:bdr w:val="nil"/>
          <w:lang w:val="en-US" w:eastAsia="en-AU"/>
        </w:rPr>
        <w:t>, whic</w:t>
      </w:r>
      <w:r w:rsidR="003D651C" w:rsidRPr="00B112DA">
        <w:rPr>
          <w:rFonts w:ascii="Calibri Light" w:eastAsia="Calibri Light" w:hAnsi="Calibri Light" w:cs="Calibri Light"/>
          <w:color w:val="495965"/>
          <w:u w:color="495965"/>
          <w:bdr w:val="nil"/>
          <w:lang w:val="en-US" w:eastAsia="en-AU"/>
        </w:rPr>
        <w:t>h Australia funds via the</w:t>
      </w:r>
      <w:r w:rsidR="00965579" w:rsidRPr="00B112DA">
        <w:rPr>
          <w:rFonts w:ascii="Calibri Light" w:eastAsia="Calibri Light" w:hAnsi="Calibri Light" w:cs="Calibri Light"/>
          <w:color w:val="495965"/>
          <w:u w:color="495965"/>
          <w:bdr w:val="nil"/>
          <w:lang w:val="en-US" w:eastAsia="en-AU"/>
        </w:rPr>
        <w:t xml:space="preserve"> Strengthening Government Social Protection System (SGSP) </w:t>
      </w:r>
      <w:r w:rsidR="00B406F5" w:rsidRPr="00B112DA">
        <w:rPr>
          <w:rFonts w:ascii="Calibri Light" w:eastAsia="Calibri Light" w:hAnsi="Calibri Light" w:cs="Calibri Light"/>
          <w:color w:val="495965"/>
          <w:u w:color="495965"/>
          <w:bdr w:val="nil"/>
          <w:lang w:val="en-US" w:eastAsia="en-AU"/>
        </w:rPr>
        <w:t>initiative</w:t>
      </w:r>
      <w:r w:rsidR="00965579" w:rsidRPr="00B112DA">
        <w:rPr>
          <w:rFonts w:ascii="Calibri Light" w:eastAsia="Calibri Light" w:hAnsi="Calibri Light" w:cs="Calibri Light"/>
          <w:color w:val="495965"/>
          <w:u w:color="495965"/>
          <w:bdr w:val="nil"/>
          <w:lang w:val="en-US" w:eastAsia="en-AU"/>
        </w:rPr>
        <w:t>.</w:t>
      </w:r>
      <w:r w:rsidR="00B406F5" w:rsidRPr="00B112DA">
        <w:rPr>
          <w:rFonts w:ascii="Calibri Light" w:eastAsia="Calibri Light" w:hAnsi="Calibri Light" w:cs="Calibri Light"/>
          <w:color w:val="495965"/>
          <w:u w:color="495965"/>
          <w:bdr w:val="nil"/>
          <w:lang w:val="en-US" w:eastAsia="en-AU"/>
        </w:rPr>
        <w:t xml:space="preserve"> </w:t>
      </w:r>
      <w:r w:rsidR="003D651C" w:rsidRPr="00B112DA">
        <w:rPr>
          <w:rFonts w:ascii="Calibri Light" w:eastAsia="Calibri Light" w:hAnsi="Calibri Light" w:cs="Calibri Light"/>
          <w:color w:val="495965"/>
          <w:u w:color="495965"/>
          <w:bdr w:val="nil"/>
          <w:lang w:val="en-US" w:eastAsia="en-AU"/>
        </w:rPr>
        <w:t>It has taken</w:t>
      </w:r>
      <w:r w:rsidRPr="00B112DA">
        <w:rPr>
          <w:rFonts w:ascii="Calibri Light" w:eastAsia="Calibri Light" w:hAnsi="Calibri Light" w:cs="Calibri Light"/>
          <w:color w:val="495965"/>
          <w:u w:color="495965"/>
          <w:bdr w:val="nil"/>
          <w:lang w:val="en-US" w:eastAsia="en-AU"/>
        </w:rPr>
        <w:t xml:space="preserve"> significant steps to ensure</w:t>
      </w:r>
      <w:r w:rsidR="00E03F4A" w:rsidRPr="00B112DA">
        <w:rPr>
          <w:rFonts w:ascii="Calibri Light" w:eastAsia="Calibri Light" w:hAnsi="Calibri Light" w:cs="Calibri Light"/>
          <w:color w:val="495965"/>
          <w:u w:color="495965"/>
          <w:bdr w:val="nil"/>
          <w:lang w:val="en-US" w:eastAsia="en-AU"/>
        </w:rPr>
        <w:t xml:space="preserve"> support for </w:t>
      </w:r>
      <w:r w:rsidR="00092711">
        <w:rPr>
          <w:rFonts w:ascii="Calibri Light" w:eastAsia="Calibri Light" w:hAnsi="Calibri Light" w:cs="Calibri Light"/>
          <w:color w:val="495965"/>
          <w:u w:color="495965"/>
          <w:bdr w:val="nil"/>
          <w:lang w:val="en-US" w:eastAsia="en-AU"/>
        </w:rPr>
        <w:t xml:space="preserve">the </w:t>
      </w:r>
      <w:r w:rsidRPr="00B112DA">
        <w:rPr>
          <w:rFonts w:ascii="Calibri Light" w:eastAsia="Calibri Light" w:hAnsi="Calibri Light" w:cs="Calibri Light"/>
          <w:color w:val="495965"/>
          <w:u w:color="495965"/>
          <w:bdr w:val="nil"/>
          <w:lang w:val="en-US" w:eastAsia="en-AU"/>
        </w:rPr>
        <w:t xml:space="preserve">NSSS </w:t>
      </w:r>
      <w:r w:rsidR="00E03F4A" w:rsidRPr="00B112DA">
        <w:rPr>
          <w:rFonts w:ascii="Calibri Light" w:eastAsia="Calibri Light" w:hAnsi="Calibri Light" w:cs="Calibri Light"/>
          <w:color w:val="495965"/>
          <w:u w:color="495965"/>
          <w:bdr w:val="nil"/>
          <w:lang w:val="en-US" w:eastAsia="en-AU"/>
        </w:rPr>
        <w:t>in</w:t>
      </w:r>
      <w:r w:rsidRPr="00B112DA">
        <w:rPr>
          <w:rFonts w:ascii="Calibri Light" w:eastAsia="Calibri Light" w:hAnsi="Calibri Light" w:cs="Calibri Light"/>
          <w:color w:val="495965"/>
          <w:u w:color="495965"/>
          <w:bdr w:val="nil"/>
          <w:lang w:val="en-US" w:eastAsia="en-AU"/>
        </w:rPr>
        <w:t xml:space="preserve"> five c</w:t>
      </w:r>
      <w:r w:rsidR="00E03F4A" w:rsidRPr="00B112DA">
        <w:rPr>
          <w:rFonts w:ascii="Calibri Light" w:eastAsia="Calibri Light" w:hAnsi="Calibri Light" w:cs="Calibri Light"/>
          <w:color w:val="495965"/>
          <w:u w:color="495965"/>
          <w:bdr w:val="nil"/>
          <w:lang w:val="en-US" w:eastAsia="en-AU"/>
        </w:rPr>
        <w:t xml:space="preserve">ore implementing </w:t>
      </w:r>
      <w:r w:rsidRPr="00B112DA">
        <w:rPr>
          <w:rFonts w:ascii="Calibri Light" w:eastAsia="Calibri Light" w:hAnsi="Calibri Light" w:cs="Calibri Light"/>
          <w:color w:val="495965"/>
          <w:u w:color="495965"/>
          <w:bdr w:val="nil"/>
          <w:lang w:val="en-US" w:eastAsia="en-AU"/>
        </w:rPr>
        <w:t>ministries</w:t>
      </w:r>
      <w:r w:rsidR="003D651C" w:rsidRPr="00B112DA">
        <w:rPr>
          <w:rFonts w:ascii="Calibri Light" w:eastAsia="Calibri Light" w:hAnsi="Calibri Light" w:cs="Calibri Light"/>
          <w:color w:val="495965"/>
          <w:u w:color="495965"/>
          <w:bdr w:val="nil"/>
          <w:lang w:val="en-US" w:eastAsia="en-AU"/>
        </w:rPr>
        <w:t xml:space="preserve">. The government </w:t>
      </w:r>
      <w:r w:rsidR="00E03F4A" w:rsidRPr="00B112DA">
        <w:rPr>
          <w:rFonts w:ascii="Calibri Light" w:eastAsia="Calibri Light" w:hAnsi="Calibri Light" w:cs="Calibri Light"/>
          <w:color w:val="495965"/>
          <w:u w:color="495965"/>
          <w:bdr w:val="nil"/>
          <w:lang w:val="en-US" w:eastAsia="en-AU"/>
        </w:rPr>
        <w:t xml:space="preserve">has </w:t>
      </w:r>
      <w:r w:rsidR="00965579" w:rsidRPr="00B112DA">
        <w:rPr>
          <w:rFonts w:ascii="Calibri Light" w:eastAsia="Calibri Light" w:hAnsi="Calibri Light" w:cs="Calibri Light"/>
          <w:color w:val="495965"/>
          <w:u w:color="495965"/>
          <w:bdr w:val="nil"/>
          <w:lang w:val="en-US" w:eastAsia="en-AU"/>
        </w:rPr>
        <w:t xml:space="preserve">met its obligation to </w:t>
      </w:r>
      <w:r w:rsidR="003D651C" w:rsidRPr="00B112DA">
        <w:rPr>
          <w:rFonts w:ascii="Calibri Light" w:eastAsia="Calibri Light" w:hAnsi="Calibri Light" w:cs="Calibri Light"/>
          <w:color w:val="495965"/>
          <w:u w:color="495965"/>
          <w:bdr w:val="nil"/>
          <w:lang w:val="en-US" w:eastAsia="en-AU"/>
        </w:rPr>
        <w:t xml:space="preserve">operationalise the </w:t>
      </w:r>
      <w:r w:rsidR="00965579" w:rsidRPr="00B112DA">
        <w:rPr>
          <w:rFonts w:ascii="Calibri Light" w:eastAsia="Calibri Light" w:hAnsi="Calibri Light" w:cs="Calibri Light"/>
          <w:color w:val="495965"/>
          <w:u w:color="495965"/>
          <w:bdr w:val="nil"/>
          <w:lang w:val="en-US" w:eastAsia="en-AU"/>
        </w:rPr>
        <w:t xml:space="preserve">SGSP established Social Protection </w:t>
      </w:r>
      <w:r w:rsidR="00522B1A">
        <w:rPr>
          <w:rFonts w:ascii="Calibri Light" w:eastAsia="Calibri Light" w:hAnsi="Calibri Light" w:cs="Calibri Light"/>
          <w:color w:val="495965"/>
          <w:u w:color="495965"/>
          <w:bdr w:val="nil"/>
          <w:lang w:val="en-US" w:eastAsia="en-AU"/>
        </w:rPr>
        <w:t>Unit</w:t>
      </w:r>
      <w:r w:rsidR="00965579" w:rsidRPr="00B112DA">
        <w:rPr>
          <w:rFonts w:ascii="Calibri Light" w:eastAsia="Calibri Light" w:hAnsi="Calibri Light" w:cs="Calibri Light"/>
          <w:color w:val="495965"/>
          <w:u w:color="495965"/>
          <w:bdr w:val="nil"/>
          <w:lang w:val="en-US" w:eastAsia="en-AU"/>
        </w:rPr>
        <w:t xml:space="preserve">. The </w:t>
      </w:r>
      <w:r w:rsidR="00522B1A">
        <w:rPr>
          <w:rFonts w:ascii="Calibri Light" w:eastAsia="Calibri Light" w:hAnsi="Calibri Light" w:cs="Calibri Light"/>
          <w:color w:val="495965"/>
          <w:u w:color="495965"/>
          <w:bdr w:val="nil"/>
          <w:lang w:val="en-US" w:eastAsia="en-AU"/>
        </w:rPr>
        <w:t xml:space="preserve">Unit </w:t>
      </w:r>
      <w:r w:rsidR="00B406F5" w:rsidRPr="00B112DA">
        <w:rPr>
          <w:rFonts w:ascii="Calibri Light" w:eastAsia="Calibri Light" w:hAnsi="Calibri Light" w:cs="Calibri Light"/>
          <w:color w:val="495965"/>
          <w:u w:color="495965"/>
          <w:bdr w:val="nil"/>
          <w:lang w:val="en-US" w:eastAsia="en-AU"/>
        </w:rPr>
        <w:t>is now</w:t>
      </w:r>
      <w:r w:rsidR="003D651C" w:rsidRPr="00B112DA">
        <w:rPr>
          <w:rFonts w:ascii="Calibri Light" w:eastAsia="Calibri Light" w:hAnsi="Calibri Light" w:cs="Calibri Light"/>
          <w:color w:val="495965"/>
          <w:u w:color="495965"/>
          <w:bdr w:val="nil"/>
          <w:lang w:val="en-US" w:eastAsia="en-AU"/>
        </w:rPr>
        <w:t xml:space="preserve"> </w:t>
      </w:r>
      <w:r w:rsidR="00E03F4A" w:rsidRPr="00B112DA">
        <w:rPr>
          <w:rFonts w:ascii="Calibri Light" w:eastAsia="Calibri Light" w:hAnsi="Calibri Light" w:cs="Calibri Light"/>
          <w:color w:val="495965"/>
          <w:u w:color="495965"/>
          <w:bdr w:val="nil"/>
          <w:lang w:val="en-US" w:eastAsia="en-AU"/>
        </w:rPr>
        <w:t xml:space="preserve">staffed and </w:t>
      </w:r>
      <w:r w:rsidR="003D651C" w:rsidRPr="00B112DA">
        <w:rPr>
          <w:rFonts w:ascii="Calibri Light" w:eastAsia="Calibri Light" w:hAnsi="Calibri Light" w:cs="Calibri Light"/>
          <w:color w:val="495965"/>
          <w:u w:color="495965"/>
          <w:bdr w:val="nil"/>
          <w:lang w:val="en-US" w:eastAsia="en-AU"/>
        </w:rPr>
        <w:t>embedded within the</w:t>
      </w:r>
      <w:r w:rsidR="00E03F4A" w:rsidRPr="00B112DA">
        <w:rPr>
          <w:rFonts w:ascii="Calibri Light" w:eastAsia="Calibri Light" w:hAnsi="Calibri Light" w:cs="Calibri Light"/>
          <w:color w:val="495965"/>
          <w:u w:color="495965"/>
          <w:bdr w:val="nil"/>
          <w:lang w:val="en-US" w:eastAsia="en-AU"/>
        </w:rPr>
        <w:t xml:space="preserve"> Ministry of Finance, </w:t>
      </w:r>
      <w:r w:rsidR="00965579" w:rsidRPr="00B112DA">
        <w:rPr>
          <w:rFonts w:ascii="Calibri Light" w:eastAsia="Calibri Light" w:hAnsi="Calibri Light" w:cs="Calibri Light"/>
          <w:color w:val="495965"/>
          <w:u w:color="495965"/>
          <w:bdr w:val="nil"/>
          <w:lang w:val="en-US" w:eastAsia="en-AU"/>
        </w:rPr>
        <w:t>ensuring future government budget support and sustainability of Australian investment outcomes</w:t>
      </w:r>
      <w:r w:rsidR="00965579" w:rsidRPr="00864648">
        <w:rPr>
          <w:rFonts w:ascii="Calibri Light" w:eastAsia="Calibri Light" w:hAnsi="Calibri Light" w:cs="Calibri Light"/>
          <w:color w:val="495965"/>
          <w:u w:color="495965"/>
          <w:bdr w:val="nil"/>
          <w:lang w:val="en-US" w:eastAsia="en-AU"/>
        </w:rPr>
        <w:t>.</w:t>
      </w:r>
      <w:r w:rsidR="00C2297A" w:rsidRPr="00864648">
        <w:rPr>
          <w:rFonts w:ascii="Calibri Light" w:eastAsia="Calibri Light" w:hAnsi="Calibri Light" w:cs="Calibri Light"/>
          <w:color w:val="495965"/>
          <w:u w:color="495965"/>
          <w:bdr w:val="nil"/>
          <w:lang w:val="en-US" w:eastAsia="en-AU"/>
        </w:rPr>
        <w:t xml:space="preserve"> </w:t>
      </w:r>
    </w:p>
    <w:p w14:paraId="7EFD7012" w14:textId="2BEBB70C" w:rsidR="00E03F4A" w:rsidRPr="00B112DA" w:rsidRDefault="003F2893" w:rsidP="003F2893">
      <w:pPr>
        <w:pBdr>
          <w:top w:val="nil"/>
          <w:left w:val="nil"/>
          <w:bottom w:val="nil"/>
          <w:right w:val="nil"/>
          <w:between w:val="nil"/>
          <w:bar w:val="nil"/>
        </w:pBdr>
        <w:spacing w:after="120" w:line="280" w:lineRule="exact"/>
        <w:jc w:val="both"/>
        <w:rPr>
          <w:rFonts w:ascii="Calibri Light" w:eastAsia="Calibri Light" w:hAnsi="Calibri Light" w:cs="Calibri Light"/>
          <w:color w:val="495965"/>
          <w:u w:color="495965"/>
          <w:bdr w:val="nil"/>
          <w:lang w:val="en-US" w:eastAsia="en-AU"/>
        </w:rPr>
      </w:pPr>
      <w:r>
        <w:rPr>
          <w:rFonts w:ascii="Calibri Light" w:eastAsia="Calibri Light" w:hAnsi="Calibri Light" w:cs="Calibri Light"/>
          <w:color w:val="495965"/>
          <w:u w:color="495965"/>
          <w:bdr w:val="nil"/>
          <w:lang w:val="en-US" w:eastAsia="en-AU"/>
        </w:rPr>
        <w:t>Australia’s</w:t>
      </w:r>
      <w:r w:rsidR="0075323C">
        <w:rPr>
          <w:rFonts w:ascii="Calibri Light" w:eastAsia="Calibri Light" w:hAnsi="Calibri Light" w:cs="Calibri Light"/>
          <w:color w:val="495965"/>
          <w:u w:color="495965"/>
          <w:bdr w:val="nil"/>
          <w:lang w:val="en-US" w:eastAsia="en-AU"/>
        </w:rPr>
        <w:t xml:space="preserve"> </w:t>
      </w:r>
      <w:r w:rsidR="00C2297A" w:rsidRPr="00B112DA">
        <w:rPr>
          <w:rFonts w:ascii="Calibri Light" w:eastAsia="Calibri Light" w:hAnsi="Calibri Light" w:cs="Calibri Light"/>
          <w:color w:val="495965"/>
          <w:u w:color="495965"/>
          <w:bdr w:val="nil"/>
          <w:lang w:val="en-US" w:eastAsia="en-AU"/>
        </w:rPr>
        <w:t xml:space="preserve">support to WFP </w:t>
      </w:r>
      <w:r w:rsidR="00E03F4A" w:rsidRPr="00B112DA">
        <w:rPr>
          <w:rFonts w:ascii="Calibri Light" w:eastAsia="Calibri Light" w:hAnsi="Calibri Light" w:cs="Calibri Light"/>
          <w:color w:val="495965"/>
          <w:u w:color="495965"/>
          <w:bdr w:val="nil"/>
          <w:lang w:val="en-US" w:eastAsia="en-AU"/>
        </w:rPr>
        <w:t>to assist communities, including Rohingya refugees in Cox’s Bazar District</w:t>
      </w:r>
      <w:r w:rsidR="00092711">
        <w:rPr>
          <w:rFonts w:ascii="Calibri Light" w:eastAsia="Calibri Light" w:hAnsi="Calibri Light" w:cs="Calibri Light"/>
          <w:color w:val="495965"/>
          <w:u w:color="495965"/>
          <w:bdr w:val="nil"/>
          <w:lang w:val="en-US" w:eastAsia="en-AU"/>
        </w:rPr>
        <w:t>,</w:t>
      </w:r>
      <w:r w:rsidR="00E03F4A" w:rsidRPr="00B112DA">
        <w:rPr>
          <w:rFonts w:ascii="Calibri Light" w:eastAsia="Calibri Light" w:hAnsi="Calibri Light" w:cs="Calibri Light"/>
          <w:color w:val="495965"/>
          <w:u w:color="495965"/>
          <w:bdr w:val="nil"/>
          <w:lang w:val="en-US" w:eastAsia="en-AU"/>
        </w:rPr>
        <w:t xml:space="preserve"> is consistent with the Government’s National Strategy on Myanmar Refugees and Undocumented Myanmar Nationals in Bangladesh. </w:t>
      </w:r>
      <w:r w:rsidR="0075323C">
        <w:rPr>
          <w:rFonts w:ascii="Calibri Light" w:eastAsia="Calibri Light" w:hAnsi="Calibri Light" w:cs="Calibri Light"/>
          <w:color w:val="495965"/>
          <w:u w:color="495965"/>
          <w:bdr w:val="nil"/>
          <w:lang w:val="en-US" w:eastAsia="en-AU"/>
        </w:rPr>
        <w:t>The</w:t>
      </w:r>
      <w:r w:rsidR="00C503F9" w:rsidRPr="00B112DA">
        <w:rPr>
          <w:rFonts w:ascii="Calibri Light" w:eastAsia="Calibri Light" w:hAnsi="Calibri Light" w:cs="Calibri Light"/>
          <w:color w:val="495965"/>
          <w:u w:color="495965"/>
          <w:bdr w:val="nil"/>
          <w:lang w:val="en-US" w:eastAsia="en-AU"/>
        </w:rPr>
        <w:t xml:space="preserve"> </w:t>
      </w:r>
      <w:r w:rsidR="00C2297A" w:rsidRPr="00B112DA">
        <w:rPr>
          <w:rFonts w:ascii="Calibri Light" w:eastAsia="Calibri Light" w:hAnsi="Calibri Light" w:cs="Calibri Light"/>
          <w:color w:val="495965"/>
          <w:u w:color="495965"/>
          <w:bdr w:val="nil"/>
          <w:lang w:val="en-US" w:eastAsia="en-AU"/>
        </w:rPr>
        <w:t>partnership with WFP</w:t>
      </w:r>
      <w:r w:rsidR="00C503F9" w:rsidRPr="00B112DA">
        <w:rPr>
          <w:rFonts w:ascii="Calibri Light" w:eastAsia="Calibri Light" w:hAnsi="Calibri Light" w:cs="Calibri Light"/>
          <w:color w:val="495965"/>
          <w:u w:color="495965"/>
          <w:bdr w:val="nil"/>
          <w:lang w:val="en-US" w:eastAsia="en-AU"/>
        </w:rPr>
        <w:t xml:space="preserve"> has not only helped Australia deliver essential services to vulnerable communities in a </w:t>
      </w:r>
      <w:r w:rsidR="00A9513A" w:rsidRPr="00B112DA">
        <w:rPr>
          <w:rFonts w:ascii="Calibri Light" w:eastAsia="Calibri Light" w:hAnsi="Calibri Light" w:cs="Calibri Light"/>
          <w:color w:val="495965"/>
          <w:u w:color="495965"/>
          <w:bdr w:val="nil"/>
          <w:lang w:val="en-US" w:eastAsia="en-AU"/>
        </w:rPr>
        <w:t xml:space="preserve">complex </w:t>
      </w:r>
      <w:r w:rsidR="00C503F9" w:rsidRPr="00B112DA">
        <w:rPr>
          <w:rFonts w:ascii="Calibri Light" w:eastAsia="Calibri Light" w:hAnsi="Calibri Light" w:cs="Calibri Light"/>
          <w:color w:val="495965"/>
          <w:u w:color="495965"/>
          <w:bdr w:val="nil"/>
          <w:lang w:val="en-US" w:eastAsia="en-AU"/>
        </w:rPr>
        <w:t xml:space="preserve">humanitarian context, but also represented </w:t>
      </w:r>
      <w:r w:rsidR="00C2297A" w:rsidRPr="00B112DA">
        <w:rPr>
          <w:rFonts w:ascii="Calibri Light" w:eastAsia="Calibri Light" w:hAnsi="Calibri Light" w:cs="Calibri Light"/>
          <w:color w:val="495965"/>
          <w:u w:color="495965"/>
          <w:bdr w:val="nil"/>
          <w:lang w:val="en-US" w:eastAsia="en-AU"/>
        </w:rPr>
        <w:t>value for money</w:t>
      </w:r>
      <w:r w:rsidR="00B53E1E">
        <w:rPr>
          <w:rStyle w:val="FootnoteReference"/>
          <w:rFonts w:ascii="Calibri Light" w:eastAsia="Calibri Light" w:hAnsi="Calibri Light" w:cs="Calibri Light"/>
          <w:color w:val="495965"/>
          <w:u w:color="495965"/>
          <w:bdr w:val="nil"/>
          <w:lang w:val="en-US" w:eastAsia="en-AU"/>
        </w:rPr>
        <w:footnoteReference w:id="44"/>
      </w:r>
      <w:r w:rsidR="00C2297A" w:rsidRPr="00B112DA">
        <w:rPr>
          <w:rFonts w:ascii="Calibri Light" w:eastAsia="Calibri Light" w:hAnsi="Calibri Light" w:cs="Calibri Light"/>
          <w:color w:val="495965"/>
          <w:u w:color="495965"/>
          <w:bdr w:val="nil"/>
          <w:lang w:val="en-US" w:eastAsia="en-AU"/>
        </w:rPr>
        <w:t xml:space="preserve">.  </w:t>
      </w:r>
    </w:p>
    <w:p w14:paraId="24B6BB94" w14:textId="6DA27869" w:rsidR="00026AE0" w:rsidRDefault="00B406F5" w:rsidP="003F2893">
      <w:pPr>
        <w:pBdr>
          <w:top w:val="nil"/>
          <w:left w:val="nil"/>
          <w:bottom w:val="nil"/>
          <w:right w:val="nil"/>
          <w:between w:val="nil"/>
          <w:bar w:val="nil"/>
        </w:pBdr>
        <w:spacing w:after="120" w:line="280" w:lineRule="exact"/>
        <w:jc w:val="both"/>
        <w:rPr>
          <w:rFonts w:ascii="Calibri Light" w:eastAsia="Calibri Light" w:hAnsi="Calibri Light" w:cs="Calibri Light"/>
          <w:color w:val="495965"/>
          <w:u w:color="495965"/>
          <w:bdr w:val="nil"/>
          <w:lang w:val="en-US" w:eastAsia="en-AU"/>
        </w:rPr>
      </w:pPr>
      <w:r w:rsidRPr="00B112DA">
        <w:rPr>
          <w:rFonts w:ascii="Calibri Light" w:eastAsia="Calibri Light" w:hAnsi="Calibri Light" w:cs="Calibri Light"/>
          <w:color w:val="495965"/>
          <w:u w:color="495965"/>
          <w:bdr w:val="nil"/>
          <w:lang w:val="en-US" w:eastAsia="en-AU"/>
        </w:rPr>
        <w:t>Australia through the local consultative forums</w:t>
      </w:r>
      <w:r w:rsidR="001429CA">
        <w:rPr>
          <w:rFonts w:ascii="Calibri Light" w:eastAsia="Calibri Light" w:hAnsi="Calibri Light" w:cs="Calibri Light"/>
          <w:color w:val="495965"/>
          <w:u w:color="495965"/>
          <w:bdr w:val="nil"/>
          <w:lang w:val="en-US" w:eastAsia="en-AU"/>
        </w:rPr>
        <w:t>,</w:t>
      </w:r>
      <w:r w:rsidRPr="00B112DA">
        <w:rPr>
          <w:rFonts w:ascii="Calibri Light" w:eastAsia="Calibri Light" w:hAnsi="Calibri Light" w:cs="Calibri Light"/>
          <w:color w:val="495965"/>
          <w:u w:color="495965"/>
          <w:bdr w:val="nil"/>
          <w:lang w:val="en-US" w:eastAsia="en-AU"/>
        </w:rPr>
        <w:t xml:space="preserve"> continued dialogue with the Bangladesh Government and</w:t>
      </w:r>
      <w:r w:rsidR="003F2893">
        <w:rPr>
          <w:rFonts w:ascii="Calibri Light" w:eastAsia="Calibri Light" w:hAnsi="Calibri Light" w:cs="Calibri Light"/>
          <w:color w:val="495965"/>
          <w:u w:color="495965"/>
          <w:bdr w:val="nil"/>
          <w:lang w:val="en-US" w:eastAsia="en-AU"/>
        </w:rPr>
        <w:t xml:space="preserve"> other</w:t>
      </w:r>
      <w:r w:rsidRPr="00B112DA">
        <w:rPr>
          <w:rFonts w:ascii="Calibri Light" w:eastAsia="Calibri Light" w:hAnsi="Calibri Light" w:cs="Calibri Light"/>
          <w:color w:val="495965"/>
          <w:u w:color="495965"/>
          <w:bdr w:val="nil"/>
          <w:lang w:val="en-US" w:eastAsia="en-AU"/>
        </w:rPr>
        <w:t xml:space="preserve"> donors on SDG progress and policy developments that im</w:t>
      </w:r>
      <w:r w:rsidR="00092711">
        <w:rPr>
          <w:rFonts w:ascii="Calibri Light" w:eastAsia="Calibri Light" w:hAnsi="Calibri Light" w:cs="Calibri Light"/>
          <w:color w:val="495965"/>
          <w:u w:color="495965"/>
          <w:bdr w:val="nil"/>
          <w:lang w:val="en-US" w:eastAsia="en-AU"/>
        </w:rPr>
        <w:t>pact</w:t>
      </w:r>
      <w:r w:rsidR="00522B1A">
        <w:rPr>
          <w:rFonts w:ascii="Calibri Light" w:eastAsia="Calibri Light" w:hAnsi="Calibri Light" w:cs="Calibri Light"/>
          <w:color w:val="495965"/>
          <w:u w:color="495965"/>
          <w:bdr w:val="nil"/>
          <w:lang w:val="en-US" w:eastAsia="en-AU"/>
        </w:rPr>
        <w:t>ed on</w:t>
      </w:r>
      <w:r w:rsidR="0075323C">
        <w:rPr>
          <w:rFonts w:ascii="Calibri Light" w:eastAsia="Calibri Light" w:hAnsi="Calibri Light" w:cs="Calibri Light"/>
          <w:color w:val="495965"/>
          <w:u w:color="495965"/>
          <w:bdr w:val="nil"/>
          <w:lang w:val="en-US" w:eastAsia="en-AU"/>
        </w:rPr>
        <w:t xml:space="preserve"> </w:t>
      </w:r>
      <w:r w:rsidRPr="00B112DA">
        <w:rPr>
          <w:rFonts w:ascii="Calibri Light" w:eastAsia="Calibri Light" w:hAnsi="Calibri Light" w:cs="Calibri Light"/>
          <w:color w:val="495965"/>
          <w:u w:color="495965"/>
          <w:bdr w:val="nil"/>
          <w:lang w:val="en-US" w:eastAsia="en-AU"/>
        </w:rPr>
        <w:t>development interests in Bangladesh, such as the Foreign Donation Act, Child Marriage Restraint Act of 2016 and the National Policy on Development Cooperation</w:t>
      </w:r>
      <w:r w:rsidR="00DF5A40">
        <w:rPr>
          <w:rStyle w:val="FootnoteReference"/>
          <w:rFonts w:ascii="Calibri Light" w:eastAsia="Calibri Light" w:hAnsi="Calibri Light" w:cs="Calibri Light"/>
          <w:color w:val="495965"/>
          <w:u w:color="495965"/>
          <w:bdr w:val="nil"/>
          <w:lang w:val="en-US" w:eastAsia="en-AU"/>
        </w:rPr>
        <w:footnoteReference w:id="45"/>
      </w:r>
      <w:r w:rsidRPr="00B112DA">
        <w:rPr>
          <w:rFonts w:ascii="Calibri Light" w:eastAsia="Calibri Light" w:hAnsi="Calibri Light" w:cs="Calibri Light"/>
          <w:color w:val="495965"/>
          <w:u w:color="495965"/>
          <w:bdr w:val="nil"/>
          <w:lang w:val="en-US" w:eastAsia="en-AU"/>
        </w:rPr>
        <w:t>. While donor success in influencing policy has been modest, the Bangladesh Government has shown responsive</w:t>
      </w:r>
      <w:r w:rsidR="003F2893">
        <w:rPr>
          <w:rFonts w:ascii="Calibri Light" w:eastAsia="Calibri Light" w:hAnsi="Calibri Light" w:cs="Calibri Light"/>
          <w:color w:val="495965"/>
          <w:u w:color="495965"/>
          <w:bdr w:val="nil"/>
          <w:lang w:val="en-US" w:eastAsia="en-AU"/>
        </w:rPr>
        <w:t>ness</w:t>
      </w:r>
      <w:r w:rsidRPr="00B112DA">
        <w:rPr>
          <w:rFonts w:ascii="Calibri Light" w:eastAsia="Calibri Light" w:hAnsi="Calibri Light" w:cs="Calibri Light"/>
          <w:color w:val="495965"/>
          <w:u w:color="495965"/>
          <w:bdr w:val="nil"/>
          <w:lang w:val="en-US" w:eastAsia="en-AU"/>
        </w:rPr>
        <w:t xml:space="preserve"> to joint donor advocacy, including </w:t>
      </w:r>
      <w:r w:rsidR="003F2893">
        <w:rPr>
          <w:rFonts w:ascii="Calibri Light" w:eastAsia="Calibri Light" w:hAnsi="Calibri Light" w:cs="Calibri Light"/>
          <w:color w:val="495965"/>
          <w:u w:color="495965"/>
          <w:bdr w:val="nil"/>
          <w:lang w:val="en-US" w:eastAsia="en-AU"/>
        </w:rPr>
        <w:t xml:space="preserve">the </w:t>
      </w:r>
      <w:r w:rsidRPr="00B112DA">
        <w:rPr>
          <w:rFonts w:ascii="Calibri Light" w:eastAsia="Calibri Light" w:hAnsi="Calibri Light" w:cs="Calibri Light"/>
          <w:color w:val="495965"/>
          <w:u w:color="495965"/>
          <w:bdr w:val="nil"/>
          <w:lang w:val="en-US" w:eastAsia="en-AU"/>
        </w:rPr>
        <w:t xml:space="preserve">tightening </w:t>
      </w:r>
      <w:r w:rsidR="003F2893">
        <w:rPr>
          <w:rFonts w:ascii="Calibri Light" w:eastAsia="Calibri Light" w:hAnsi="Calibri Light" w:cs="Calibri Light"/>
          <w:color w:val="495965"/>
          <w:u w:color="495965"/>
          <w:bdr w:val="nil"/>
          <w:lang w:val="en-US" w:eastAsia="en-AU"/>
        </w:rPr>
        <w:t xml:space="preserve">of </w:t>
      </w:r>
      <w:r w:rsidRPr="00B112DA">
        <w:rPr>
          <w:rFonts w:ascii="Calibri Light" w:eastAsia="Calibri Light" w:hAnsi="Calibri Light" w:cs="Calibri Light"/>
          <w:color w:val="495965"/>
          <w:u w:color="495965"/>
          <w:bdr w:val="nil"/>
          <w:lang w:val="en-US" w:eastAsia="en-AU"/>
        </w:rPr>
        <w:t>provisions</w:t>
      </w:r>
      <w:r w:rsidR="003F2893">
        <w:rPr>
          <w:rFonts w:ascii="Calibri Light" w:eastAsia="Calibri Light" w:hAnsi="Calibri Light" w:cs="Calibri Light"/>
          <w:color w:val="495965"/>
          <w:u w:color="495965"/>
          <w:bdr w:val="nil"/>
          <w:lang w:val="en-US" w:eastAsia="en-AU"/>
        </w:rPr>
        <w:t xml:space="preserve"> under which</w:t>
      </w:r>
      <w:r w:rsidR="00C75127">
        <w:rPr>
          <w:rFonts w:ascii="Calibri Light" w:eastAsia="Calibri Light" w:hAnsi="Calibri Light" w:cs="Calibri Light"/>
          <w:color w:val="495965"/>
          <w:u w:color="495965"/>
          <w:bdr w:val="nil"/>
          <w:lang w:val="en-US" w:eastAsia="en-AU"/>
        </w:rPr>
        <w:t xml:space="preserve"> child marriage is </w:t>
      </w:r>
      <w:r w:rsidRPr="00B112DA">
        <w:rPr>
          <w:rFonts w:ascii="Calibri Light" w:eastAsia="Calibri Light" w:hAnsi="Calibri Light" w:cs="Calibri Light"/>
          <w:color w:val="495965"/>
          <w:u w:color="495965"/>
          <w:bdr w:val="nil"/>
          <w:lang w:val="en-US" w:eastAsia="en-AU"/>
        </w:rPr>
        <w:t>allowed.</w:t>
      </w:r>
    </w:p>
    <w:p w14:paraId="3CCABB45" w14:textId="40113F43" w:rsidR="00555425" w:rsidRDefault="00555425" w:rsidP="002A51CA">
      <w:pPr>
        <w:pStyle w:val="Heading2"/>
      </w:pPr>
    </w:p>
    <w:p w14:paraId="213DD586" w14:textId="3A74AB8F" w:rsidR="00122872" w:rsidRDefault="00122872" w:rsidP="002A51CA">
      <w:pPr>
        <w:pStyle w:val="Heading2"/>
        <w:rPr>
          <w:rFonts w:asciiTheme="minorHAnsi" w:eastAsiaTheme="minorHAnsi" w:hAnsiTheme="minorHAnsi" w:cstheme="minorBidi"/>
          <w:caps w:val="0"/>
          <w:sz w:val="22"/>
          <w:szCs w:val="22"/>
        </w:rPr>
      </w:pPr>
    </w:p>
    <w:p w14:paraId="28E66358" w14:textId="77777777" w:rsidR="00567400" w:rsidRPr="00567400" w:rsidRDefault="00567400" w:rsidP="00567400"/>
    <w:p w14:paraId="21BA0A05" w14:textId="08F45A6E" w:rsidR="002A51CA" w:rsidRPr="002A51CA" w:rsidRDefault="002A51CA" w:rsidP="002A51CA">
      <w:pPr>
        <w:pStyle w:val="Heading2"/>
      </w:pPr>
      <w:r w:rsidRPr="002A51CA">
        <w:lastRenderedPageBreak/>
        <w:t xml:space="preserve">Program Quality and Partner Performance </w:t>
      </w:r>
    </w:p>
    <w:p w14:paraId="791F1969" w14:textId="77777777" w:rsidR="002A51CA" w:rsidRPr="005C6481" w:rsidRDefault="002A51CA" w:rsidP="002A51CA">
      <w:pPr>
        <w:rPr>
          <w:rFonts w:asciiTheme="majorHAnsi" w:hAnsiTheme="majorHAnsi"/>
          <w:b/>
          <w:lang w:eastAsia="zh-CN"/>
        </w:rPr>
      </w:pPr>
      <w:r w:rsidRPr="005C6481">
        <w:rPr>
          <w:rFonts w:asciiTheme="majorHAnsi" w:hAnsiTheme="majorHAnsi"/>
          <w:b/>
          <w:lang w:eastAsia="zh-CN"/>
        </w:rPr>
        <w:t>Overview</w:t>
      </w:r>
      <w:r w:rsidRPr="005C6481">
        <w:rPr>
          <w:rFonts w:asciiTheme="majorHAnsi" w:hAnsiTheme="majorHAnsi"/>
          <w:b/>
          <w:lang w:eastAsia="zh-CN"/>
        </w:rPr>
        <w:tab/>
      </w:r>
      <w:r w:rsidRPr="005C6481">
        <w:rPr>
          <w:rFonts w:asciiTheme="majorHAnsi" w:hAnsiTheme="majorHAnsi"/>
          <w:b/>
          <w:lang w:eastAsia="zh-CN"/>
        </w:rPr>
        <w:tab/>
      </w:r>
    </w:p>
    <w:p w14:paraId="391EC8CE" w14:textId="7DC256B4" w:rsidR="005A3E60" w:rsidRPr="005A3E60" w:rsidRDefault="0037212A" w:rsidP="003F2893">
      <w:pPr>
        <w:spacing w:after="120" w:line="280" w:lineRule="exact"/>
        <w:jc w:val="both"/>
        <w:rPr>
          <w:rFonts w:ascii="Calibri Light" w:eastAsia="Calibri Light" w:hAnsi="Calibri Light" w:cs="Calibri Light"/>
          <w:bCs/>
          <w:color w:val="495965"/>
          <w:u w:color="495965"/>
          <w:lang w:eastAsia="en-AU"/>
        </w:rPr>
      </w:pPr>
      <w:r w:rsidRPr="001B75B9">
        <w:rPr>
          <w:rFonts w:ascii="Calibri Light" w:eastAsia="Calibri Light" w:hAnsi="Calibri Light" w:cs="Calibri Light"/>
          <w:bCs/>
          <w:color w:val="495965"/>
          <w:u w:color="495965"/>
          <w:lang w:eastAsia="en-AU"/>
        </w:rPr>
        <w:t xml:space="preserve">During the reporting period, </w:t>
      </w:r>
      <w:r w:rsidR="005A3E60">
        <w:rPr>
          <w:rFonts w:ascii="Calibri Light" w:eastAsia="Calibri Light" w:hAnsi="Calibri Light" w:cs="Calibri Light"/>
          <w:bCs/>
          <w:color w:val="495965"/>
          <w:u w:color="495965"/>
          <w:lang w:eastAsia="en-AU"/>
        </w:rPr>
        <w:t xml:space="preserve">Australia’s bilateral </w:t>
      </w:r>
      <w:r>
        <w:rPr>
          <w:rFonts w:ascii="Calibri Light" w:eastAsia="Calibri Light" w:hAnsi="Calibri Light" w:cs="Calibri Light"/>
          <w:bCs/>
          <w:color w:val="495965"/>
          <w:u w:color="495965"/>
          <w:lang w:eastAsia="en-AU"/>
        </w:rPr>
        <w:t>investments were rated eithe</w:t>
      </w:r>
      <w:r w:rsidR="00EE2420">
        <w:rPr>
          <w:rFonts w:ascii="Calibri Light" w:eastAsia="Calibri Light" w:hAnsi="Calibri Light" w:cs="Calibri Light"/>
          <w:bCs/>
          <w:color w:val="495965"/>
          <w:u w:color="495965"/>
          <w:lang w:eastAsia="en-AU"/>
        </w:rPr>
        <w:t>r good or adequate against the Aid Quality C</w:t>
      </w:r>
      <w:r>
        <w:rPr>
          <w:rFonts w:ascii="Calibri Light" w:eastAsia="Calibri Light" w:hAnsi="Calibri Light" w:cs="Calibri Light"/>
          <w:bCs/>
          <w:color w:val="495965"/>
          <w:u w:color="495965"/>
          <w:lang w:eastAsia="en-AU"/>
        </w:rPr>
        <w:t xml:space="preserve">hecks effectiveness and efficiency criteria. </w:t>
      </w:r>
      <w:r w:rsidR="005A3E60">
        <w:rPr>
          <w:rFonts w:ascii="Calibri Light" w:eastAsia="Calibri Light" w:hAnsi="Calibri Light" w:cs="Calibri Light"/>
          <w:bCs/>
          <w:color w:val="495965"/>
          <w:u w:color="495965"/>
          <w:lang w:eastAsia="en-AU"/>
        </w:rPr>
        <w:t xml:space="preserve">Aid Quality Checks, evaluation activities and management responses from the 2015-16 APPR were successful in generating performance information and contributing to program effectiveness in the reporting period. </w:t>
      </w:r>
      <w:r w:rsidR="005A3E60" w:rsidRPr="00124632">
        <w:rPr>
          <w:rFonts w:ascii="Calibri Light" w:eastAsia="Calibri Light" w:hAnsi="Calibri Light" w:cs="Calibri Light"/>
          <w:bCs/>
          <w:color w:val="495965"/>
          <w:u w:color="495965"/>
          <w:lang w:eastAsia="en-AU"/>
        </w:rPr>
        <w:t>See Annex C for evaluation details.</w:t>
      </w:r>
    </w:p>
    <w:p w14:paraId="6D0A63D2" w14:textId="3E3BDD74" w:rsidR="00D35EC8" w:rsidRDefault="006830A8" w:rsidP="003F2893">
      <w:pPr>
        <w:spacing w:after="120" w:line="280" w:lineRule="exact"/>
        <w:jc w:val="both"/>
        <w:rPr>
          <w:rFonts w:ascii="Calibri Light" w:eastAsia="Calibri Light" w:hAnsi="Calibri Light" w:cs="Calibri Light"/>
          <w:color w:val="495965"/>
          <w:u w:color="495965"/>
          <w:lang w:val="en-US" w:eastAsia="en-AU"/>
        </w:rPr>
      </w:pPr>
      <w:r>
        <w:rPr>
          <w:rFonts w:ascii="Calibri Light" w:eastAsia="Calibri Light" w:hAnsi="Calibri Light" w:cs="Calibri Light"/>
          <w:color w:val="495965"/>
          <w:u w:color="495965"/>
          <w:lang w:val="en-US" w:eastAsia="en-AU"/>
        </w:rPr>
        <w:t>The bilat</w:t>
      </w:r>
      <w:r w:rsidR="00E1616A">
        <w:rPr>
          <w:rFonts w:ascii="Calibri Light" w:eastAsia="Calibri Light" w:hAnsi="Calibri Light" w:cs="Calibri Light"/>
          <w:color w:val="495965"/>
          <w:u w:color="495965"/>
          <w:lang w:val="en-US" w:eastAsia="en-AU"/>
        </w:rPr>
        <w:t xml:space="preserve">eral aid program to Bangladesh </w:t>
      </w:r>
      <w:r w:rsidR="002D6A69">
        <w:rPr>
          <w:rFonts w:ascii="Calibri Light" w:eastAsia="Calibri Light" w:hAnsi="Calibri Light" w:cs="Calibri Light"/>
          <w:color w:val="495965"/>
          <w:u w:color="495965"/>
          <w:lang w:val="en-US" w:eastAsia="en-AU"/>
        </w:rPr>
        <w:t xml:space="preserve">is </w:t>
      </w:r>
      <w:r w:rsidR="00E1616A">
        <w:rPr>
          <w:rFonts w:ascii="Calibri Light" w:eastAsia="Calibri Light" w:hAnsi="Calibri Light" w:cs="Calibri Light"/>
          <w:color w:val="495965"/>
          <w:u w:color="495965"/>
          <w:lang w:val="en-US" w:eastAsia="en-AU"/>
        </w:rPr>
        <w:t xml:space="preserve">delivered through </w:t>
      </w:r>
      <w:r>
        <w:rPr>
          <w:rFonts w:ascii="Calibri Light" w:eastAsia="Calibri Light" w:hAnsi="Calibri Light" w:cs="Calibri Light"/>
          <w:color w:val="495965"/>
          <w:u w:color="495965"/>
          <w:lang w:val="en-US" w:eastAsia="en-AU"/>
        </w:rPr>
        <w:t xml:space="preserve">strategic partnerships. </w:t>
      </w:r>
      <w:r w:rsidR="005A3E60" w:rsidRPr="00124632">
        <w:rPr>
          <w:rFonts w:ascii="Calibri Light" w:eastAsia="Calibri Light" w:hAnsi="Calibri Light" w:cs="Calibri Light"/>
          <w:color w:val="495965"/>
          <w:u w:color="495965"/>
          <w:lang w:val="en-US" w:eastAsia="en-AU"/>
        </w:rPr>
        <w:t>Three partnership contracts were extended during the reporting period</w:t>
      </w:r>
      <w:r w:rsidR="005A3E60">
        <w:rPr>
          <w:rFonts w:ascii="Calibri Light" w:eastAsia="Calibri Light" w:hAnsi="Calibri Light" w:cs="Calibri Light"/>
          <w:color w:val="495965"/>
          <w:u w:color="495965"/>
          <w:lang w:val="en-US" w:eastAsia="en-AU"/>
        </w:rPr>
        <w:t xml:space="preserve">. </w:t>
      </w:r>
      <w:r w:rsidR="005A3E60" w:rsidRPr="00124632">
        <w:rPr>
          <w:rFonts w:ascii="Calibri Light" w:eastAsia="Calibri Light" w:hAnsi="Calibri Light" w:cs="Calibri Light"/>
          <w:color w:val="495965"/>
          <w:u w:color="495965"/>
          <w:lang w:val="en-US" w:eastAsia="en-AU"/>
        </w:rPr>
        <w:t xml:space="preserve">PEDP3 received a no-cost extension to </w:t>
      </w:r>
      <w:r w:rsidR="00883450">
        <w:rPr>
          <w:rFonts w:ascii="Calibri Light" w:eastAsia="Calibri Light" w:hAnsi="Calibri Light" w:cs="Calibri Light"/>
          <w:color w:val="495965"/>
          <w:u w:color="495965"/>
          <w:lang w:val="en-US" w:eastAsia="en-AU"/>
        </w:rPr>
        <w:t>June</w:t>
      </w:r>
      <w:r w:rsidR="005A3E60" w:rsidRPr="00124632">
        <w:rPr>
          <w:rFonts w:ascii="Calibri Light" w:eastAsia="Calibri Light" w:hAnsi="Calibri Light" w:cs="Calibri Light"/>
          <w:color w:val="495965"/>
          <w:u w:color="495965"/>
          <w:lang w:val="en-US" w:eastAsia="en-AU"/>
        </w:rPr>
        <w:t xml:space="preserve"> 2018. Given the government’s ambitious </w:t>
      </w:r>
      <w:r w:rsidR="005A3E60">
        <w:rPr>
          <w:rFonts w:ascii="Calibri Light" w:eastAsia="Calibri Light" w:hAnsi="Calibri Light" w:cs="Calibri Light"/>
          <w:color w:val="495965"/>
          <w:u w:color="495965"/>
          <w:lang w:val="en-US" w:eastAsia="en-AU"/>
        </w:rPr>
        <w:t xml:space="preserve">PEDP3 </w:t>
      </w:r>
      <w:r w:rsidR="005A3E60" w:rsidRPr="00124632">
        <w:rPr>
          <w:rFonts w:ascii="Calibri Light" w:eastAsia="Calibri Light" w:hAnsi="Calibri Light" w:cs="Calibri Light"/>
          <w:color w:val="495965"/>
          <w:u w:color="495965"/>
          <w:lang w:val="en-US" w:eastAsia="en-AU"/>
        </w:rPr>
        <w:t>refor</w:t>
      </w:r>
      <w:r w:rsidR="002D6A69">
        <w:rPr>
          <w:rFonts w:ascii="Calibri Light" w:eastAsia="Calibri Light" w:hAnsi="Calibri Light" w:cs="Calibri Light"/>
          <w:color w:val="495965"/>
          <w:u w:color="495965"/>
          <w:lang w:val="en-US" w:eastAsia="en-AU"/>
        </w:rPr>
        <w:t xml:space="preserve">m agenda, this delay was considered acceptable although </w:t>
      </w:r>
      <w:r w:rsidR="001771F7">
        <w:rPr>
          <w:rFonts w:ascii="Calibri Light" w:eastAsia="Calibri Light" w:hAnsi="Calibri Light" w:cs="Calibri Light"/>
          <w:color w:val="495965"/>
          <w:u w:color="495965"/>
          <w:lang w:val="en-US" w:eastAsia="en-AU"/>
        </w:rPr>
        <w:t>Australia will</w:t>
      </w:r>
      <w:r w:rsidR="002D6A69">
        <w:rPr>
          <w:rFonts w:ascii="Calibri Light" w:eastAsia="Calibri Light" w:hAnsi="Calibri Light" w:cs="Calibri Light"/>
          <w:color w:val="495965"/>
          <w:u w:color="495965"/>
          <w:lang w:val="en-US" w:eastAsia="en-AU"/>
        </w:rPr>
        <w:t xml:space="preserve"> continue to advocate</w:t>
      </w:r>
      <w:r w:rsidR="005A3E60">
        <w:rPr>
          <w:rFonts w:ascii="Calibri Light" w:eastAsia="Calibri Light" w:hAnsi="Calibri Light" w:cs="Calibri Light"/>
          <w:color w:val="495965"/>
          <w:u w:color="495965"/>
          <w:lang w:val="en-US" w:eastAsia="en-AU"/>
        </w:rPr>
        <w:t xml:space="preserve"> </w:t>
      </w:r>
      <w:r w:rsidR="005A3E60" w:rsidRPr="00124632">
        <w:rPr>
          <w:rFonts w:ascii="Calibri Light" w:eastAsia="Calibri Light" w:hAnsi="Calibri Light" w:cs="Calibri Light"/>
          <w:color w:val="495965"/>
          <w:u w:color="495965"/>
          <w:lang w:val="en-US" w:eastAsia="en-AU"/>
        </w:rPr>
        <w:t xml:space="preserve">for action in areas where </w:t>
      </w:r>
      <w:r w:rsidR="007551F7">
        <w:rPr>
          <w:rFonts w:ascii="Calibri Light" w:eastAsia="Calibri Light" w:hAnsi="Calibri Light" w:cs="Calibri Light"/>
          <w:color w:val="495965"/>
          <w:u w:color="495965"/>
          <w:lang w:val="en-US" w:eastAsia="en-AU"/>
        </w:rPr>
        <w:t xml:space="preserve">government </w:t>
      </w:r>
      <w:r>
        <w:rPr>
          <w:rFonts w:ascii="Calibri Light" w:eastAsia="Calibri Light" w:hAnsi="Calibri Light" w:cs="Calibri Light"/>
          <w:color w:val="495965"/>
          <w:u w:color="495965"/>
          <w:lang w:val="en-US" w:eastAsia="en-AU"/>
        </w:rPr>
        <w:t xml:space="preserve">performance has lagged. </w:t>
      </w:r>
    </w:p>
    <w:p w14:paraId="42A45917" w14:textId="63FE6898" w:rsidR="005A3E60" w:rsidRPr="005A3E60" w:rsidRDefault="0075323C" w:rsidP="003F2893">
      <w:pPr>
        <w:spacing w:after="120" w:line="280" w:lineRule="exact"/>
        <w:jc w:val="both"/>
        <w:rPr>
          <w:rFonts w:ascii="Calibri Light" w:eastAsia="Calibri Light" w:hAnsi="Calibri Light" w:cs="Calibri Light"/>
          <w:color w:val="495965"/>
          <w:u w:color="495965"/>
          <w:lang w:val="en-US" w:eastAsia="en-AU"/>
        </w:rPr>
      </w:pPr>
      <w:r>
        <w:rPr>
          <w:rFonts w:ascii="Calibri Light" w:eastAsia="Calibri Light" w:hAnsi="Calibri Light" w:cs="Calibri Light"/>
          <w:color w:val="495965"/>
          <w:u w:color="495965"/>
          <w:lang w:val="en-US" w:eastAsia="en-AU"/>
        </w:rPr>
        <w:t>Australia’s</w:t>
      </w:r>
      <w:r w:rsidR="005A3E60" w:rsidRPr="00124632">
        <w:rPr>
          <w:rFonts w:ascii="Calibri Light" w:eastAsia="Calibri Light" w:hAnsi="Calibri Light" w:cs="Calibri Light"/>
          <w:color w:val="495965"/>
          <w:u w:color="495965"/>
          <w:lang w:val="en-US" w:eastAsia="en-AU"/>
        </w:rPr>
        <w:t xml:space="preserve"> investment in Cox’s Bazar through WFP was scheduled to end during the reporting period, but was extended to </w:t>
      </w:r>
      <w:r w:rsidR="00E34C28">
        <w:rPr>
          <w:rFonts w:ascii="Calibri Light" w:eastAsia="Calibri Light" w:hAnsi="Calibri Light" w:cs="Calibri Light"/>
          <w:color w:val="495965"/>
          <w:u w:color="495965"/>
          <w:lang w:val="en-US" w:eastAsia="en-AU"/>
        </w:rPr>
        <w:t>November</w:t>
      </w:r>
      <w:r w:rsidR="00E34C28" w:rsidRPr="00124632">
        <w:rPr>
          <w:rFonts w:ascii="Calibri Light" w:eastAsia="Calibri Light" w:hAnsi="Calibri Light" w:cs="Calibri Light"/>
          <w:color w:val="495965"/>
          <w:u w:color="495965"/>
          <w:lang w:val="en-US" w:eastAsia="en-AU"/>
        </w:rPr>
        <w:t xml:space="preserve"> </w:t>
      </w:r>
      <w:r w:rsidR="005A3E60" w:rsidRPr="00124632">
        <w:rPr>
          <w:rFonts w:ascii="Calibri Light" w:eastAsia="Calibri Light" w:hAnsi="Calibri Light" w:cs="Calibri Light"/>
          <w:color w:val="495965"/>
          <w:u w:color="495965"/>
          <w:lang w:val="en-US" w:eastAsia="en-AU"/>
        </w:rPr>
        <w:t>2017 when an addition</w:t>
      </w:r>
      <w:r w:rsidR="00174EDE">
        <w:rPr>
          <w:rFonts w:ascii="Calibri Light" w:eastAsia="Calibri Light" w:hAnsi="Calibri Light" w:cs="Calibri Light"/>
          <w:color w:val="495965"/>
          <w:u w:color="495965"/>
          <w:lang w:val="en-US" w:eastAsia="en-AU"/>
        </w:rPr>
        <w:t>al</w:t>
      </w:r>
      <w:r w:rsidR="005A3E60" w:rsidRPr="00124632">
        <w:rPr>
          <w:rFonts w:ascii="Calibri Light" w:eastAsia="Calibri Light" w:hAnsi="Calibri Light" w:cs="Calibri Light"/>
          <w:color w:val="495965"/>
          <w:u w:color="495965"/>
          <w:lang w:val="en-US" w:eastAsia="en-AU"/>
        </w:rPr>
        <w:t xml:space="preserve"> contribution of </w:t>
      </w:r>
      <w:r w:rsidR="005A3E60">
        <w:rPr>
          <w:rFonts w:ascii="Calibri Light" w:eastAsia="Calibri Light" w:hAnsi="Calibri Light" w:cs="Calibri Light"/>
          <w:color w:val="495965"/>
          <w:u w:color="495965"/>
          <w:lang w:val="en-US" w:eastAsia="en-AU"/>
        </w:rPr>
        <w:t>AU</w:t>
      </w:r>
      <w:r w:rsidR="00883450">
        <w:rPr>
          <w:rFonts w:ascii="Calibri Light" w:eastAsia="Calibri Light" w:hAnsi="Calibri Light" w:cs="Calibri Light"/>
          <w:color w:val="495965"/>
          <w:u w:color="495965"/>
          <w:lang w:val="en-US" w:eastAsia="en-AU"/>
        </w:rPr>
        <w:t>D</w:t>
      </w:r>
      <w:r w:rsidR="005A3E60" w:rsidRPr="00124632">
        <w:rPr>
          <w:rFonts w:ascii="Calibri Light" w:eastAsia="Calibri Light" w:hAnsi="Calibri Light" w:cs="Calibri Light"/>
          <w:color w:val="495965"/>
          <w:u w:color="495965"/>
          <w:lang w:val="en-US" w:eastAsia="en-AU"/>
        </w:rPr>
        <w:t>$3.9</w:t>
      </w:r>
      <w:r w:rsidR="005A3E60">
        <w:rPr>
          <w:rFonts w:ascii="Calibri Light" w:eastAsia="Calibri Light" w:hAnsi="Calibri Light" w:cs="Calibri Light"/>
          <w:color w:val="495965"/>
          <w:u w:color="495965"/>
          <w:lang w:val="en-US" w:eastAsia="en-AU"/>
        </w:rPr>
        <w:t xml:space="preserve"> </w:t>
      </w:r>
      <w:r w:rsidR="005A3E60" w:rsidRPr="00124632">
        <w:rPr>
          <w:rFonts w:ascii="Calibri Light" w:eastAsia="Calibri Light" w:hAnsi="Calibri Light" w:cs="Calibri Light"/>
          <w:color w:val="495965"/>
          <w:u w:color="495965"/>
          <w:lang w:val="en-US" w:eastAsia="en-AU"/>
        </w:rPr>
        <w:t>million was made to respond to urgent humanitarian needs, arising from the influx of 74,000 Ro</w:t>
      </w:r>
      <w:r w:rsidR="005A3E60">
        <w:rPr>
          <w:rFonts w:ascii="Calibri Light" w:eastAsia="Calibri Light" w:hAnsi="Calibri Light" w:cs="Calibri Light"/>
          <w:color w:val="495965"/>
          <w:u w:color="495965"/>
          <w:lang w:val="en-US" w:eastAsia="en-AU"/>
        </w:rPr>
        <w:t xml:space="preserve">hingya refugees in late 2016.  </w:t>
      </w:r>
    </w:p>
    <w:p w14:paraId="35FA8D1D" w14:textId="32195943" w:rsidR="00DD3B6F" w:rsidRPr="00D35EC8" w:rsidRDefault="00C503F9" w:rsidP="003F2893">
      <w:pPr>
        <w:spacing w:after="120" w:line="280" w:lineRule="exact"/>
        <w:jc w:val="both"/>
        <w:rPr>
          <w:rFonts w:ascii="Calibri Light" w:eastAsia="Calibri Light" w:hAnsi="Calibri Light" w:cs="Calibri Light"/>
          <w:color w:val="495965"/>
          <w:u w:color="495965"/>
          <w:lang w:val="en-US" w:eastAsia="en-AU"/>
        </w:rPr>
      </w:pPr>
      <w:r w:rsidRPr="00D35EC8">
        <w:rPr>
          <w:rFonts w:ascii="Calibri Light" w:eastAsia="Calibri Light" w:hAnsi="Calibri Light" w:cs="Calibri Light"/>
          <w:color w:val="495965"/>
          <w:u w:color="495965"/>
          <w:lang w:val="en-US" w:eastAsia="en-AU"/>
        </w:rPr>
        <w:t xml:space="preserve">During the reporting period, </w:t>
      </w:r>
      <w:r w:rsidR="001771F7">
        <w:rPr>
          <w:rFonts w:ascii="Calibri Light" w:eastAsia="Calibri Light" w:hAnsi="Calibri Light" w:cs="Calibri Light"/>
          <w:color w:val="495965"/>
          <w:u w:color="495965"/>
          <w:lang w:val="en-US" w:eastAsia="en-AU"/>
        </w:rPr>
        <w:t xml:space="preserve">we </w:t>
      </w:r>
      <w:r w:rsidRPr="00D35EC8">
        <w:rPr>
          <w:rFonts w:ascii="Calibri Light" w:eastAsia="Calibri Light" w:hAnsi="Calibri Light" w:cs="Calibri Light"/>
          <w:color w:val="495965"/>
          <w:u w:color="495965"/>
          <w:lang w:val="en-US" w:eastAsia="en-AU"/>
        </w:rPr>
        <w:t xml:space="preserve">did not </w:t>
      </w:r>
      <w:r w:rsidR="002D6A69" w:rsidRPr="00D35EC8">
        <w:rPr>
          <w:rFonts w:ascii="Calibri Light" w:eastAsia="Calibri Light" w:hAnsi="Calibri Light" w:cs="Calibri Light"/>
          <w:color w:val="495965"/>
          <w:u w:color="495965"/>
          <w:lang w:val="en-US" w:eastAsia="en-AU"/>
        </w:rPr>
        <w:t xml:space="preserve">enter into </w:t>
      </w:r>
      <w:r w:rsidR="00B406F5" w:rsidRPr="00D35EC8">
        <w:rPr>
          <w:rFonts w:ascii="Calibri Light" w:eastAsia="Calibri Light" w:hAnsi="Calibri Light" w:cs="Calibri Light"/>
          <w:color w:val="495965"/>
          <w:u w:color="495965"/>
          <w:lang w:val="en-US" w:eastAsia="en-AU"/>
        </w:rPr>
        <w:t xml:space="preserve">any </w:t>
      </w:r>
      <w:r w:rsidR="006F6978">
        <w:rPr>
          <w:rFonts w:ascii="Calibri Light" w:eastAsia="Calibri Light" w:hAnsi="Calibri Light" w:cs="Calibri Light"/>
          <w:color w:val="495965"/>
          <w:u w:color="495965"/>
          <w:lang w:val="en-US" w:eastAsia="en-AU"/>
        </w:rPr>
        <w:t xml:space="preserve">new </w:t>
      </w:r>
      <w:r w:rsidR="005A3E60" w:rsidRPr="00D35EC8">
        <w:rPr>
          <w:rFonts w:ascii="Calibri Light" w:eastAsia="Calibri Light" w:hAnsi="Calibri Light" w:cs="Calibri Light"/>
          <w:color w:val="495965"/>
          <w:u w:color="495965"/>
          <w:lang w:val="en-US" w:eastAsia="en-AU"/>
        </w:rPr>
        <w:t xml:space="preserve">bilateral </w:t>
      </w:r>
      <w:r w:rsidR="007155A5" w:rsidRPr="00D35EC8">
        <w:rPr>
          <w:rFonts w:ascii="Calibri Light" w:eastAsia="Calibri Light" w:hAnsi="Calibri Light" w:cs="Calibri Light"/>
          <w:color w:val="495965"/>
          <w:u w:color="495965"/>
          <w:lang w:val="en-US" w:eastAsia="en-AU"/>
        </w:rPr>
        <w:t>partnerships</w:t>
      </w:r>
      <w:r w:rsidRPr="00D35EC8">
        <w:rPr>
          <w:rFonts w:ascii="Calibri Light" w:eastAsia="Calibri Light" w:hAnsi="Calibri Light" w:cs="Calibri Light"/>
          <w:color w:val="495965"/>
          <w:u w:color="495965"/>
          <w:lang w:val="en-US" w:eastAsia="en-AU"/>
        </w:rPr>
        <w:t xml:space="preserve"> and </w:t>
      </w:r>
      <w:r w:rsidR="00D35EC8">
        <w:rPr>
          <w:rFonts w:ascii="Calibri Light" w:eastAsia="Calibri Light" w:hAnsi="Calibri Light" w:cs="Calibri Light"/>
          <w:color w:val="495965"/>
          <w:u w:color="495965"/>
          <w:lang w:val="en-US" w:eastAsia="en-AU"/>
        </w:rPr>
        <w:t xml:space="preserve">reduced the number of investments from 11 to 8 investments </w:t>
      </w:r>
      <w:r w:rsidRPr="00D35EC8">
        <w:rPr>
          <w:rFonts w:ascii="Calibri Light" w:eastAsia="Calibri Light" w:hAnsi="Calibri Light" w:cs="Calibri Light"/>
          <w:color w:val="495965"/>
          <w:u w:color="495965"/>
          <w:lang w:val="en-US" w:eastAsia="en-AU"/>
        </w:rPr>
        <w:t>(</w:t>
      </w:r>
      <w:r w:rsidR="00D35EC8">
        <w:rPr>
          <w:rFonts w:ascii="Calibri Light" w:eastAsia="Calibri Light" w:hAnsi="Calibri Light" w:cs="Calibri Light"/>
          <w:color w:val="495965"/>
          <w:u w:color="495965"/>
          <w:lang w:val="en-US" w:eastAsia="en-AU"/>
        </w:rPr>
        <w:t>and met the PB and PAF target</w:t>
      </w:r>
      <w:r w:rsidRPr="00D35EC8">
        <w:rPr>
          <w:rFonts w:ascii="Calibri Light" w:eastAsia="Calibri Light" w:hAnsi="Calibri Light" w:cs="Calibri Light"/>
          <w:color w:val="495965"/>
          <w:u w:color="495965"/>
          <w:lang w:val="en-US" w:eastAsia="en-AU"/>
        </w:rPr>
        <w:t xml:space="preserve">). However, the </w:t>
      </w:r>
      <w:r w:rsidR="007155A5" w:rsidRPr="00D35EC8">
        <w:rPr>
          <w:rFonts w:ascii="Calibri Light" w:eastAsia="Calibri Light" w:hAnsi="Calibri Light" w:cs="Calibri Light"/>
          <w:color w:val="495965"/>
          <w:u w:color="495965"/>
          <w:lang w:val="en-US" w:eastAsia="en-AU"/>
        </w:rPr>
        <w:t xml:space="preserve">number of </w:t>
      </w:r>
      <w:r w:rsidR="00294AA3">
        <w:rPr>
          <w:rFonts w:ascii="Calibri Light" w:eastAsia="Calibri Light" w:hAnsi="Calibri Light" w:cs="Calibri Light"/>
          <w:color w:val="495965"/>
          <w:u w:color="495965"/>
          <w:lang w:val="en-US" w:eastAsia="en-AU"/>
        </w:rPr>
        <w:t>regional and global initiatives</w:t>
      </w:r>
      <w:r w:rsidR="007551F7" w:rsidRPr="00D35EC8">
        <w:rPr>
          <w:rFonts w:ascii="Calibri Light" w:eastAsia="Calibri Light" w:hAnsi="Calibri Light" w:cs="Calibri Light"/>
          <w:color w:val="495965"/>
          <w:u w:color="495965"/>
          <w:lang w:val="en-US" w:eastAsia="en-AU"/>
        </w:rPr>
        <w:t xml:space="preserve"> </w:t>
      </w:r>
      <w:r w:rsidR="00883450">
        <w:rPr>
          <w:rFonts w:ascii="Calibri Light" w:eastAsia="Calibri Light" w:hAnsi="Calibri Light" w:cs="Calibri Light"/>
          <w:color w:val="495965"/>
          <w:u w:color="495965"/>
          <w:lang w:val="en-US" w:eastAsia="en-AU"/>
        </w:rPr>
        <w:t>being implemented</w:t>
      </w:r>
      <w:r w:rsidR="00883450" w:rsidRPr="00D35EC8">
        <w:rPr>
          <w:rFonts w:ascii="Calibri Light" w:eastAsia="Calibri Light" w:hAnsi="Calibri Light" w:cs="Calibri Light"/>
          <w:color w:val="495965"/>
          <w:u w:color="495965"/>
          <w:lang w:val="en-US" w:eastAsia="en-AU"/>
        </w:rPr>
        <w:t xml:space="preserve"> </w:t>
      </w:r>
      <w:r w:rsidR="007551F7" w:rsidRPr="00D35EC8">
        <w:rPr>
          <w:rFonts w:ascii="Calibri Light" w:eastAsia="Calibri Light" w:hAnsi="Calibri Light" w:cs="Calibri Light"/>
          <w:color w:val="495965"/>
          <w:u w:color="495965"/>
          <w:lang w:val="en-US" w:eastAsia="en-AU"/>
        </w:rPr>
        <w:t>in Bangladesh</w:t>
      </w:r>
      <w:r w:rsidR="00155948">
        <w:rPr>
          <w:rFonts w:ascii="Calibri Light" w:eastAsia="Calibri Light" w:hAnsi="Calibri Light" w:cs="Calibri Light"/>
          <w:color w:val="495965"/>
          <w:u w:color="495965"/>
          <w:lang w:val="en-US" w:eastAsia="en-AU"/>
        </w:rPr>
        <w:t xml:space="preserve"> had</w:t>
      </w:r>
      <w:r w:rsidR="007155A5" w:rsidRPr="00D35EC8">
        <w:rPr>
          <w:rFonts w:ascii="Calibri Light" w:eastAsia="Calibri Light" w:hAnsi="Calibri Light" w:cs="Calibri Light"/>
          <w:color w:val="495965"/>
          <w:u w:color="495965"/>
          <w:lang w:val="en-US" w:eastAsia="en-AU"/>
        </w:rPr>
        <w:t xml:space="preserve"> increased</w:t>
      </w:r>
      <w:r w:rsidR="007551F7" w:rsidRPr="00D35EC8">
        <w:rPr>
          <w:rFonts w:ascii="Calibri Light" w:eastAsia="Calibri Light" w:hAnsi="Calibri Light" w:cs="Calibri Light"/>
          <w:color w:val="495965"/>
          <w:u w:color="495965"/>
          <w:lang w:val="en-US" w:eastAsia="en-AU"/>
        </w:rPr>
        <w:t>.</w:t>
      </w:r>
      <w:r w:rsidRPr="00D35EC8">
        <w:rPr>
          <w:rFonts w:ascii="Calibri Light" w:eastAsia="Calibri Light" w:hAnsi="Calibri Light" w:cs="Calibri Light"/>
          <w:color w:val="495965"/>
          <w:u w:color="495965"/>
          <w:lang w:val="en-US" w:eastAsia="en-AU"/>
        </w:rPr>
        <w:t xml:space="preserve"> </w:t>
      </w:r>
    </w:p>
    <w:p w14:paraId="68046F7E" w14:textId="77777777" w:rsidR="00600479" w:rsidRPr="005C6481" w:rsidRDefault="00600479" w:rsidP="00BE6C6D">
      <w:pPr>
        <w:rPr>
          <w:rFonts w:asciiTheme="majorHAnsi" w:hAnsiTheme="majorHAnsi"/>
          <w:b/>
          <w:lang w:eastAsia="zh-CN"/>
        </w:rPr>
      </w:pPr>
      <w:r w:rsidRPr="005C6481">
        <w:rPr>
          <w:rFonts w:asciiTheme="majorHAnsi" w:hAnsiTheme="majorHAnsi"/>
          <w:b/>
          <w:lang w:eastAsia="zh-CN"/>
        </w:rPr>
        <w:t>Aid Quality Checks (AQCs)</w:t>
      </w:r>
    </w:p>
    <w:p w14:paraId="0D362C70" w14:textId="2218139E" w:rsidR="00124632" w:rsidRPr="00124632" w:rsidRDefault="00124632" w:rsidP="003F2893">
      <w:pPr>
        <w:spacing w:after="120" w:line="280" w:lineRule="exact"/>
        <w:jc w:val="both"/>
        <w:rPr>
          <w:rFonts w:ascii="Calibri Light" w:eastAsia="Calibri Light" w:hAnsi="Calibri Light" w:cs="Calibri Light"/>
          <w:color w:val="495965"/>
          <w:u w:color="495965"/>
          <w:lang w:val="en-US" w:eastAsia="en-AU"/>
        </w:rPr>
      </w:pPr>
      <w:r w:rsidRPr="00124632">
        <w:rPr>
          <w:rFonts w:ascii="Calibri Light" w:eastAsia="Calibri Light" w:hAnsi="Calibri Light" w:cs="Calibri Light"/>
          <w:color w:val="495965"/>
          <w:u w:color="495965"/>
          <w:lang w:val="en-US" w:eastAsia="en-AU"/>
        </w:rPr>
        <w:t>In 2016-17, Aid Quality Checks</w:t>
      </w:r>
      <w:r w:rsidR="00EE2420">
        <w:rPr>
          <w:rFonts w:ascii="Calibri Light" w:eastAsia="Calibri Light" w:hAnsi="Calibri Light" w:cs="Calibri Light"/>
          <w:color w:val="495965"/>
          <w:u w:color="495965"/>
          <w:lang w:val="en-US" w:eastAsia="en-AU"/>
        </w:rPr>
        <w:t xml:space="preserve"> (AQC)</w:t>
      </w:r>
      <w:r w:rsidRPr="00124632">
        <w:rPr>
          <w:rFonts w:ascii="Calibri Light" w:eastAsia="Calibri Light" w:hAnsi="Calibri Light" w:cs="Calibri Light"/>
          <w:color w:val="495965"/>
          <w:u w:color="495965"/>
          <w:lang w:val="en-US" w:eastAsia="en-AU"/>
        </w:rPr>
        <w:t xml:space="preserve"> for five investments</w:t>
      </w:r>
      <w:r w:rsidR="0051639F">
        <w:rPr>
          <w:rFonts w:ascii="Calibri Light" w:eastAsia="Calibri Light" w:hAnsi="Calibri Light" w:cs="Calibri Light"/>
          <w:color w:val="495965"/>
          <w:u w:color="495965"/>
          <w:lang w:val="en-US" w:eastAsia="en-AU"/>
        </w:rPr>
        <w:t xml:space="preserve"> were conducted</w:t>
      </w:r>
      <w:r w:rsidR="00EE2420">
        <w:rPr>
          <w:rFonts w:ascii="Calibri Light" w:eastAsia="Calibri Light" w:hAnsi="Calibri Light" w:cs="Calibri Light"/>
          <w:color w:val="495965"/>
          <w:u w:color="495965"/>
          <w:lang w:val="en-US" w:eastAsia="en-AU"/>
        </w:rPr>
        <w:t xml:space="preserve">, including a Final AQC </w:t>
      </w:r>
      <w:r w:rsidRPr="00124632">
        <w:rPr>
          <w:rFonts w:ascii="Calibri Light" w:eastAsia="Calibri Light" w:hAnsi="Calibri Light" w:cs="Calibri Light"/>
          <w:color w:val="495965"/>
          <w:u w:color="495965"/>
          <w:lang w:val="en-US" w:eastAsia="en-AU"/>
        </w:rPr>
        <w:t xml:space="preserve">for the WFP investment. A summary of AQC ratings is at Annex D. Overall, performance was above average with all investments receiving a rating of satisfactory (4 or above) across all AQC assessment criteria. </w:t>
      </w:r>
    </w:p>
    <w:p w14:paraId="72537B3C" w14:textId="2259C91F" w:rsidR="00124632" w:rsidRPr="00124632" w:rsidRDefault="00124632" w:rsidP="003F2893">
      <w:pPr>
        <w:spacing w:after="120" w:line="280" w:lineRule="exact"/>
        <w:jc w:val="both"/>
        <w:rPr>
          <w:rFonts w:ascii="Calibri Light" w:eastAsia="Calibri Light" w:hAnsi="Calibri Light" w:cs="Calibri Light"/>
          <w:color w:val="495965"/>
          <w:u w:color="495965"/>
          <w:lang w:val="en-US" w:eastAsia="en-AU"/>
        </w:rPr>
      </w:pPr>
      <w:r w:rsidRPr="00124632">
        <w:rPr>
          <w:rFonts w:ascii="Calibri Light" w:eastAsia="Calibri Light" w:hAnsi="Calibri Light" w:cs="Calibri Light"/>
          <w:color w:val="495965"/>
          <w:u w:color="495965"/>
          <w:lang w:val="en-US" w:eastAsia="en-AU"/>
        </w:rPr>
        <w:t>In general, the performance of portfolio investments varied onl</w:t>
      </w:r>
      <w:r w:rsidR="00221A26">
        <w:rPr>
          <w:rFonts w:ascii="Calibri Light" w:eastAsia="Calibri Light" w:hAnsi="Calibri Light" w:cs="Calibri Light"/>
          <w:color w:val="495965"/>
          <w:u w:color="495965"/>
          <w:lang w:val="en-US" w:eastAsia="en-AU"/>
        </w:rPr>
        <w:t xml:space="preserve">y marginally from 2015-16. The </w:t>
      </w:r>
      <w:r w:rsidRPr="00124632">
        <w:rPr>
          <w:rFonts w:ascii="Calibri Light" w:eastAsia="Calibri Light" w:hAnsi="Calibri Light" w:cs="Calibri Light"/>
          <w:color w:val="495965"/>
          <w:u w:color="495965"/>
          <w:lang w:val="en-US" w:eastAsia="en-AU"/>
        </w:rPr>
        <w:t>exceptions were th</w:t>
      </w:r>
      <w:r w:rsidR="009D2D26">
        <w:rPr>
          <w:rFonts w:ascii="Calibri Light" w:eastAsia="Calibri Light" w:hAnsi="Calibri Light" w:cs="Calibri Light"/>
          <w:color w:val="495965"/>
          <w:u w:color="495965"/>
          <w:lang w:val="en-US" w:eastAsia="en-AU"/>
        </w:rPr>
        <w:t>e Government of Bangladesh led Third Primary Education Development Program (PEDP3)</w:t>
      </w:r>
      <w:r w:rsidR="00EE2420">
        <w:rPr>
          <w:rFonts w:ascii="Calibri Light" w:eastAsia="Calibri Light" w:hAnsi="Calibri Light" w:cs="Calibri Light"/>
          <w:color w:val="495965"/>
          <w:u w:color="495965"/>
          <w:lang w:val="en-US" w:eastAsia="en-AU"/>
        </w:rPr>
        <w:t xml:space="preserve">, </w:t>
      </w:r>
      <w:r w:rsidRPr="00124632">
        <w:rPr>
          <w:rFonts w:ascii="Calibri Light" w:eastAsia="Calibri Light" w:hAnsi="Calibri Light" w:cs="Calibri Light"/>
          <w:color w:val="495965"/>
          <w:u w:color="495965"/>
          <w:lang w:val="en-US" w:eastAsia="en-AU"/>
        </w:rPr>
        <w:t>the DFID implemented s</w:t>
      </w:r>
      <w:r w:rsidR="000B6C8B">
        <w:rPr>
          <w:rFonts w:ascii="Calibri Light" w:eastAsia="Calibri Light" w:hAnsi="Calibri Light" w:cs="Calibri Light"/>
          <w:color w:val="495965"/>
          <w:u w:color="495965"/>
          <w:lang w:val="en-US" w:eastAsia="en-AU"/>
        </w:rPr>
        <w:t xml:space="preserve">ocial protection investments - </w:t>
      </w:r>
      <w:r w:rsidRPr="00124632">
        <w:rPr>
          <w:rFonts w:ascii="Calibri Light" w:eastAsia="Calibri Light" w:hAnsi="Calibri Light" w:cs="Calibri Light"/>
          <w:color w:val="495965"/>
          <w:u w:color="495965"/>
          <w:lang w:val="en-US" w:eastAsia="en-AU"/>
        </w:rPr>
        <w:t>Strengthening Government Social Protection System (SGSP) initiative and the Chars Livelihood Program (CLP2)</w:t>
      </w:r>
      <w:r w:rsidR="00D35EC8">
        <w:rPr>
          <w:rFonts w:ascii="Calibri Light" w:eastAsia="Calibri Light" w:hAnsi="Calibri Light" w:cs="Calibri Light"/>
          <w:color w:val="495965"/>
          <w:u w:color="495965"/>
          <w:lang w:val="en-US" w:eastAsia="en-AU"/>
        </w:rPr>
        <w:t xml:space="preserve"> that</w:t>
      </w:r>
      <w:r w:rsidR="00BA6191">
        <w:rPr>
          <w:rFonts w:ascii="Calibri Light" w:eastAsia="Calibri Light" w:hAnsi="Calibri Light" w:cs="Calibri Light"/>
          <w:color w:val="495965"/>
          <w:u w:color="495965"/>
          <w:lang w:val="en-US" w:eastAsia="en-AU"/>
        </w:rPr>
        <w:t xml:space="preserve"> ended in the previous reporting period</w:t>
      </w:r>
      <w:r w:rsidR="00CA58F3">
        <w:rPr>
          <w:rFonts w:ascii="Calibri Light" w:eastAsia="Calibri Light" w:hAnsi="Calibri Light" w:cs="Calibri Light"/>
          <w:color w:val="495965"/>
          <w:u w:color="495965"/>
          <w:lang w:val="en-US" w:eastAsia="en-AU"/>
        </w:rPr>
        <w:t xml:space="preserve"> (June 2016)</w:t>
      </w:r>
      <w:r w:rsidRPr="00124632">
        <w:rPr>
          <w:rFonts w:ascii="Calibri Light" w:eastAsia="Calibri Light" w:hAnsi="Calibri Light" w:cs="Calibri Light"/>
          <w:color w:val="495965"/>
          <w:u w:color="495965"/>
          <w:lang w:val="en-US" w:eastAsia="en-AU"/>
        </w:rPr>
        <w:t xml:space="preserve">. </w:t>
      </w:r>
    </w:p>
    <w:p w14:paraId="07AB8FA2" w14:textId="527D4FD9" w:rsidR="00124632" w:rsidRPr="00124632" w:rsidRDefault="00124632" w:rsidP="00465364">
      <w:pPr>
        <w:spacing w:after="120" w:line="280" w:lineRule="exact"/>
        <w:jc w:val="both"/>
        <w:rPr>
          <w:rFonts w:ascii="Calibri Light" w:eastAsia="Calibri Light" w:hAnsi="Calibri Light" w:cs="Calibri Light"/>
          <w:color w:val="495965"/>
          <w:u w:color="495965"/>
          <w:lang w:val="en-US" w:eastAsia="en-AU"/>
        </w:rPr>
      </w:pPr>
      <w:r w:rsidRPr="00124632">
        <w:rPr>
          <w:rFonts w:ascii="Calibri Light" w:eastAsia="Calibri Light" w:hAnsi="Calibri Light" w:cs="Calibri Light"/>
          <w:color w:val="495965"/>
          <w:u w:color="495965"/>
          <w:lang w:val="en-US" w:eastAsia="en-AU"/>
        </w:rPr>
        <w:t>PEDP3’s effectiveness and efficiency ratings dropped from ‘good’ to ‘adequate’ in 2016-17 due to delays in achieving agreed</w:t>
      </w:r>
      <w:r w:rsidR="00BA6191">
        <w:rPr>
          <w:rFonts w:ascii="Calibri Light" w:eastAsia="Calibri Light" w:hAnsi="Calibri Light" w:cs="Calibri Light"/>
          <w:color w:val="495965"/>
          <w:u w:color="495965"/>
          <w:lang w:val="en-US" w:eastAsia="en-AU"/>
        </w:rPr>
        <w:t xml:space="preserve"> program outcomes </w:t>
      </w:r>
      <w:r w:rsidR="00D35EC8">
        <w:rPr>
          <w:rFonts w:ascii="Calibri Light" w:eastAsia="Calibri Light" w:hAnsi="Calibri Light" w:cs="Calibri Light"/>
          <w:color w:val="495965"/>
          <w:u w:color="495965"/>
          <w:lang w:val="en-US" w:eastAsia="en-AU"/>
        </w:rPr>
        <w:t xml:space="preserve">arising from </w:t>
      </w:r>
      <w:r w:rsidR="00221A26">
        <w:rPr>
          <w:rFonts w:ascii="Calibri Light" w:eastAsia="Calibri Light" w:hAnsi="Calibri Light" w:cs="Calibri Light"/>
          <w:color w:val="495965"/>
          <w:u w:color="495965"/>
          <w:lang w:val="en-US" w:eastAsia="en-AU"/>
        </w:rPr>
        <w:t>the security</w:t>
      </w:r>
      <w:r w:rsidR="00D35EC8">
        <w:rPr>
          <w:rFonts w:ascii="Calibri Light" w:eastAsia="Calibri Light" w:hAnsi="Calibri Light" w:cs="Calibri Light"/>
          <w:color w:val="495965"/>
          <w:u w:color="495965"/>
          <w:lang w:val="en-US" w:eastAsia="en-AU"/>
        </w:rPr>
        <w:t xml:space="preserve"> environment that</w:t>
      </w:r>
      <w:r w:rsidR="00BA6191">
        <w:rPr>
          <w:rFonts w:ascii="Calibri Light" w:eastAsia="Calibri Light" w:hAnsi="Calibri Light" w:cs="Calibri Light"/>
          <w:color w:val="495965"/>
          <w:u w:color="495965"/>
          <w:lang w:val="en-US" w:eastAsia="en-AU"/>
        </w:rPr>
        <w:t xml:space="preserve"> slowed the </w:t>
      </w:r>
      <w:r w:rsidRPr="00124632">
        <w:rPr>
          <w:rFonts w:ascii="Calibri Light" w:eastAsia="Calibri Light" w:hAnsi="Calibri Light" w:cs="Calibri Light"/>
          <w:color w:val="495965"/>
          <w:u w:color="495965"/>
          <w:lang w:val="en-US" w:eastAsia="en-AU"/>
        </w:rPr>
        <w:t>recruitment of internation</w:t>
      </w:r>
      <w:r w:rsidR="00D35EC8">
        <w:rPr>
          <w:rFonts w:ascii="Calibri Light" w:eastAsia="Calibri Light" w:hAnsi="Calibri Light" w:cs="Calibri Light"/>
          <w:color w:val="495965"/>
          <w:u w:color="495965"/>
          <w:lang w:val="en-US" w:eastAsia="en-AU"/>
        </w:rPr>
        <w:t>al expertise</w:t>
      </w:r>
      <w:r w:rsidR="00EE2420">
        <w:rPr>
          <w:rFonts w:ascii="Calibri Light" w:eastAsia="Calibri Light" w:hAnsi="Calibri Light" w:cs="Calibri Light"/>
          <w:color w:val="495965"/>
          <w:u w:color="495965"/>
          <w:lang w:val="en-US" w:eastAsia="en-AU"/>
        </w:rPr>
        <w:t xml:space="preserve">, which </w:t>
      </w:r>
      <w:r w:rsidR="00D35EC8">
        <w:rPr>
          <w:rFonts w:ascii="Calibri Light" w:eastAsia="Calibri Light" w:hAnsi="Calibri Light" w:cs="Calibri Light"/>
          <w:color w:val="495965"/>
          <w:u w:color="495965"/>
          <w:lang w:val="en-US" w:eastAsia="en-AU"/>
        </w:rPr>
        <w:t xml:space="preserve">led to implementation delays. </w:t>
      </w:r>
    </w:p>
    <w:p w14:paraId="5BB1DD71" w14:textId="0FDD83BC" w:rsidR="00124632" w:rsidRPr="00124632" w:rsidRDefault="00124632" w:rsidP="00465364">
      <w:pPr>
        <w:spacing w:after="120" w:line="280" w:lineRule="exact"/>
        <w:jc w:val="both"/>
        <w:rPr>
          <w:rFonts w:ascii="Calibri Light" w:eastAsia="Calibri Light" w:hAnsi="Calibri Light" w:cs="Calibri Light"/>
          <w:color w:val="495965"/>
          <w:u w:color="495965"/>
          <w:lang w:val="en-US" w:eastAsia="en-AU"/>
        </w:rPr>
      </w:pPr>
      <w:r w:rsidRPr="00124632">
        <w:rPr>
          <w:rFonts w:ascii="Calibri Light" w:eastAsia="Calibri Light" w:hAnsi="Calibri Light" w:cs="Calibri Light"/>
          <w:color w:val="495965"/>
          <w:u w:color="495965"/>
          <w:lang w:val="en-US" w:eastAsia="en-AU"/>
        </w:rPr>
        <w:t>The Social Protection program</w:t>
      </w:r>
      <w:r w:rsidR="00174EDE">
        <w:rPr>
          <w:rFonts w:ascii="Calibri Light" w:eastAsia="Calibri Light" w:hAnsi="Calibri Light" w:cs="Calibri Light"/>
          <w:color w:val="495965"/>
          <w:u w:color="495965"/>
          <w:lang w:val="en-US" w:eastAsia="en-AU"/>
        </w:rPr>
        <w:t>s</w:t>
      </w:r>
      <w:r w:rsidRPr="00124632">
        <w:rPr>
          <w:rFonts w:ascii="Calibri Light" w:eastAsia="Calibri Light" w:hAnsi="Calibri Light" w:cs="Calibri Light"/>
          <w:color w:val="495965"/>
          <w:u w:color="495965"/>
          <w:lang w:val="en-US" w:eastAsia="en-AU"/>
        </w:rPr>
        <w:t xml:space="preserve"> saw improvements in effectiveness and efficiency ratings, from ‘adequate’ to ‘good’, overcoming </w:t>
      </w:r>
      <w:r w:rsidRPr="0051639F">
        <w:rPr>
          <w:rFonts w:ascii="Calibri Light" w:eastAsia="Calibri Light" w:hAnsi="Calibri Light" w:cs="Calibri Light"/>
          <w:color w:val="495965"/>
          <w:u w:color="495965"/>
          <w:lang w:val="en-US" w:eastAsia="en-AU"/>
        </w:rPr>
        <w:t xml:space="preserve">delays </w:t>
      </w:r>
      <w:r w:rsidR="0051639F">
        <w:rPr>
          <w:rFonts w:ascii="Calibri Light" w:eastAsia="Calibri Light" w:hAnsi="Calibri Light" w:cs="Calibri Light"/>
          <w:color w:val="495965"/>
          <w:u w:color="495965"/>
          <w:lang w:val="en-US" w:eastAsia="en-AU"/>
        </w:rPr>
        <w:t xml:space="preserve">in </w:t>
      </w:r>
      <w:r w:rsidR="00BA6191">
        <w:rPr>
          <w:rFonts w:ascii="Calibri Light" w:eastAsia="Calibri Light" w:hAnsi="Calibri Light" w:cs="Calibri Light"/>
          <w:color w:val="495965"/>
          <w:u w:color="495965"/>
          <w:lang w:val="en-US" w:eastAsia="en-AU"/>
        </w:rPr>
        <w:t xml:space="preserve">one activity (SGSP) </w:t>
      </w:r>
      <w:r w:rsidRPr="00124632">
        <w:rPr>
          <w:rFonts w:ascii="Calibri Light" w:eastAsia="Calibri Light" w:hAnsi="Calibri Light" w:cs="Calibri Light"/>
          <w:color w:val="495965"/>
          <w:u w:color="495965"/>
          <w:lang w:val="en-US" w:eastAsia="en-AU"/>
        </w:rPr>
        <w:t xml:space="preserve">and </w:t>
      </w:r>
      <w:r w:rsidR="00BA6191" w:rsidRPr="00124632">
        <w:rPr>
          <w:rFonts w:ascii="Calibri Light" w:eastAsia="Calibri Light" w:hAnsi="Calibri Light" w:cs="Calibri Light"/>
          <w:color w:val="495965"/>
          <w:u w:color="495965"/>
          <w:lang w:val="en-US" w:eastAsia="en-AU"/>
        </w:rPr>
        <w:t xml:space="preserve">achieving strong results </w:t>
      </w:r>
      <w:r w:rsidRPr="00124632">
        <w:rPr>
          <w:rFonts w:ascii="Calibri Light" w:eastAsia="Calibri Light" w:hAnsi="Calibri Light" w:cs="Calibri Light"/>
          <w:color w:val="495965"/>
          <w:u w:color="495965"/>
          <w:lang w:val="en-US" w:eastAsia="en-AU"/>
        </w:rPr>
        <w:t xml:space="preserve">with the second activity (CLP2), </w:t>
      </w:r>
      <w:r w:rsidR="00BA6191" w:rsidRPr="00864648">
        <w:rPr>
          <w:rFonts w:ascii="Calibri Light" w:eastAsia="Calibri Light" w:hAnsi="Calibri Light" w:cs="Calibri Light"/>
          <w:color w:val="495965"/>
          <w:u w:color="495965"/>
          <w:lang w:val="en-US" w:eastAsia="en-AU"/>
        </w:rPr>
        <w:t>which lifted</w:t>
      </w:r>
      <w:r w:rsidR="0028169A" w:rsidRPr="00864648">
        <w:rPr>
          <w:rFonts w:ascii="Calibri Light" w:eastAsia="Calibri Light" w:hAnsi="Calibri Light" w:cs="Calibri Light"/>
          <w:color w:val="495965"/>
          <w:u w:color="495965"/>
          <w:lang w:val="en-US" w:eastAsia="en-AU"/>
        </w:rPr>
        <w:t xml:space="preserve"> 85 per cent</w:t>
      </w:r>
      <w:r w:rsidRPr="00864648">
        <w:rPr>
          <w:rFonts w:ascii="Calibri Light" w:eastAsia="Calibri Light" w:hAnsi="Calibri Light" w:cs="Calibri Light"/>
          <w:color w:val="495965"/>
          <w:u w:color="495965"/>
          <w:lang w:val="en-US" w:eastAsia="en-AU"/>
        </w:rPr>
        <w:t xml:space="preserve"> of its 78,000 participant households out of extreme poverty</w:t>
      </w:r>
      <w:r w:rsidR="00E44C34" w:rsidRPr="00B4365A">
        <w:rPr>
          <w:rStyle w:val="FootnoteReference"/>
          <w:rFonts w:ascii="Calibri Light" w:eastAsia="Calibri Light" w:hAnsi="Calibri Light" w:cs="Calibri Light"/>
          <w:color w:val="495965"/>
          <w:u w:color="495965"/>
          <w:lang w:val="en-US" w:eastAsia="en-AU"/>
        </w:rPr>
        <w:footnoteReference w:id="46"/>
      </w:r>
      <w:r w:rsidRPr="00864648">
        <w:rPr>
          <w:rFonts w:ascii="Calibri Light" w:eastAsia="Calibri Light" w:hAnsi="Calibri Light" w:cs="Calibri Light"/>
          <w:color w:val="495965"/>
          <w:u w:color="495965"/>
          <w:lang w:val="en-US" w:eastAsia="en-AU"/>
        </w:rPr>
        <w:t>.</w:t>
      </w:r>
    </w:p>
    <w:p w14:paraId="51891C9B" w14:textId="0308053B" w:rsidR="0037212A" w:rsidRDefault="00124632" w:rsidP="00465364">
      <w:pPr>
        <w:spacing w:after="120" w:line="280" w:lineRule="exact"/>
        <w:jc w:val="both"/>
        <w:rPr>
          <w:rFonts w:ascii="Calibri Light" w:eastAsia="Calibri Light" w:hAnsi="Calibri Light" w:cs="Calibri Light"/>
          <w:color w:val="495965"/>
          <w:u w:color="495965"/>
          <w:lang w:val="en-US" w:eastAsia="en-AU"/>
        </w:rPr>
      </w:pPr>
      <w:r w:rsidRPr="00124632">
        <w:rPr>
          <w:rFonts w:ascii="Calibri Light" w:eastAsia="Calibri Light" w:hAnsi="Calibri Light" w:cs="Calibri Light"/>
          <w:color w:val="495965"/>
          <w:u w:color="495965"/>
          <w:lang w:val="en-US" w:eastAsia="en-AU"/>
        </w:rPr>
        <w:t>Overall portfolio performance on gender equality was s</w:t>
      </w:r>
      <w:r w:rsidR="00025003">
        <w:rPr>
          <w:rFonts w:ascii="Calibri Light" w:eastAsia="Calibri Light" w:hAnsi="Calibri Light" w:cs="Calibri Light"/>
          <w:color w:val="495965"/>
          <w:u w:color="495965"/>
          <w:lang w:val="en-US" w:eastAsia="en-AU"/>
        </w:rPr>
        <w:t>trong</w:t>
      </w:r>
      <w:r w:rsidRPr="00124632">
        <w:rPr>
          <w:rFonts w:ascii="Calibri Light" w:eastAsia="Calibri Light" w:hAnsi="Calibri Light" w:cs="Calibri Light"/>
          <w:color w:val="495965"/>
          <w:u w:color="495965"/>
          <w:lang w:val="en-US" w:eastAsia="en-AU"/>
        </w:rPr>
        <w:t xml:space="preserve">, and met Australia’s aid program strategic target for gender equality </w:t>
      </w:r>
      <w:r w:rsidR="001B2344">
        <w:rPr>
          <w:rFonts w:ascii="Calibri Light" w:eastAsia="Calibri Light" w:hAnsi="Calibri Light" w:cs="Calibri Light"/>
          <w:color w:val="495965"/>
          <w:u w:color="495965"/>
          <w:lang w:val="en-US" w:eastAsia="en-AU"/>
        </w:rPr>
        <w:t>–</w:t>
      </w:r>
      <w:r w:rsidRPr="00124632">
        <w:rPr>
          <w:rFonts w:ascii="Calibri Light" w:eastAsia="Calibri Light" w:hAnsi="Calibri Light" w:cs="Calibri Light"/>
          <w:color w:val="495965"/>
          <w:u w:color="495965"/>
          <w:lang w:val="en-US" w:eastAsia="en-AU"/>
        </w:rPr>
        <w:t xml:space="preserve"> i</w:t>
      </w:r>
      <w:r w:rsidR="001B2344">
        <w:rPr>
          <w:rFonts w:ascii="Calibri Light" w:eastAsia="Calibri Light" w:hAnsi="Calibri Light" w:cs="Calibri Light"/>
          <w:color w:val="495965"/>
          <w:u w:color="495965"/>
          <w:lang w:val="en-US" w:eastAsia="en-AU"/>
        </w:rPr>
        <w:t>.</w:t>
      </w:r>
      <w:r w:rsidRPr="00124632">
        <w:rPr>
          <w:rFonts w:ascii="Calibri Light" w:eastAsia="Calibri Light" w:hAnsi="Calibri Light" w:cs="Calibri Light"/>
          <w:color w:val="495965"/>
          <w:u w:color="495965"/>
          <w:lang w:val="en-US" w:eastAsia="en-AU"/>
        </w:rPr>
        <w:t xml:space="preserve">e. 80 per cent </w:t>
      </w:r>
      <w:r w:rsidR="00783071">
        <w:rPr>
          <w:rFonts w:ascii="Calibri Light" w:eastAsia="Calibri Light" w:hAnsi="Calibri Light" w:cs="Calibri Light"/>
          <w:color w:val="495965"/>
          <w:u w:color="495965"/>
          <w:lang w:val="en-US" w:eastAsia="en-AU"/>
        </w:rPr>
        <w:t xml:space="preserve">of </w:t>
      </w:r>
      <w:r w:rsidRPr="00124632">
        <w:rPr>
          <w:rFonts w:ascii="Calibri Light" w:eastAsia="Calibri Light" w:hAnsi="Calibri Light" w:cs="Calibri Light"/>
          <w:color w:val="495965"/>
          <w:u w:color="495965"/>
          <w:lang w:val="en-US" w:eastAsia="en-AU"/>
        </w:rPr>
        <w:t xml:space="preserve">investments achieving a rating of satisfactory or above. </w:t>
      </w:r>
    </w:p>
    <w:p w14:paraId="36B9100C" w14:textId="1351D408" w:rsidR="00A95CC0" w:rsidRDefault="0055033D" w:rsidP="00465364">
      <w:pPr>
        <w:spacing w:after="120" w:line="280" w:lineRule="exact"/>
        <w:jc w:val="both"/>
        <w:rPr>
          <w:rFonts w:ascii="Calibri Light" w:hAnsi="Calibri Light"/>
          <w:color w:val="495965"/>
          <w:lang w:val="en-US" w:eastAsia="en-AU"/>
        </w:rPr>
      </w:pPr>
      <w:r>
        <w:rPr>
          <w:rFonts w:ascii="Calibri Light" w:hAnsi="Calibri Light"/>
          <w:color w:val="495965"/>
          <w:lang w:val="en-US" w:eastAsia="en-AU"/>
        </w:rPr>
        <w:t xml:space="preserve">During the reporting period, all investments reported on </w:t>
      </w:r>
      <w:r w:rsidR="002D5B84">
        <w:rPr>
          <w:rFonts w:ascii="Calibri Light" w:hAnsi="Calibri Light"/>
          <w:color w:val="495965"/>
          <w:lang w:val="en-US" w:eastAsia="en-AU"/>
        </w:rPr>
        <w:t>efforts to mainstream d</w:t>
      </w:r>
      <w:r w:rsidR="009D2D26">
        <w:rPr>
          <w:rFonts w:ascii="Calibri Light" w:hAnsi="Calibri Light"/>
          <w:color w:val="495965"/>
          <w:lang w:val="en-US" w:eastAsia="en-AU"/>
        </w:rPr>
        <w:t>i</w:t>
      </w:r>
      <w:r>
        <w:rPr>
          <w:rFonts w:ascii="Calibri Light" w:hAnsi="Calibri Light"/>
          <w:color w:val="495965"/>
          <w:lang w:val="en-US" w:eastAsia="en-AU"/>
        </w:rPr>
        <w:t>sability inclusiveness</w:t>
      </w:r>
      <w:r w:rsidR="009D2D26">
        <w:rPr>
          <w:rFonts w:ascii="Calibri Light" w:hAnsi="Calibri Light"/>
          <w:color w:val="495965"/>
          <w:lang w:val="en-US" w:eastAsia="en-AU"/>
        </w:rPr>
        <w:t>.</w:t>
      </w:r>
      <w:r w:rsidR="00D5418E">
        <w:rPr>
          <w:rFonts w:ascii="Calibri Light" w:hAnsi="Calibri Light"/>
          <w:color w:val="495965"/>
          <w:lang w:val="en-US" w:eastAsia="en-AU"/>
        </w:rPr>
        <w:t xml:space="preserve"> For example</w:t>
      </w:r>
      <w:r w:rsidR="00A95CC0">
        <w:rPr>
          <w:rFonts w:ascii="Calibri Light" w:hAnsi="Calibri Light"/>
          <w:color w:val="495965"/>
          <w:lang w:val="en-US" w:eastAsia="en-AU"/>
        </w:rPr>
        <w:t xml:space="preserve">, WFP conducted a disability survey and collaborated with technical partner (Handicap International) to produce </w:t>
      </w:r>
      <w:r w:rsidR="00522B1A">
        <w:rPr>
          <w:rFonts w:ascii="Calibri Light" w:hAnsi="Calibri Light"/>
          <w:color w:val="495965"/>
          <w:lang w:val="en-US" w:eastAsia="en-AU"/>
        </w:rPr>
        <w:t xml:space="preserve">an </w:t>
      </w:r>
      <w:r w:rsidR="00D5418E">
        <w:rPr>
          <w:rFonts w:ascii="Calibri Light" w:hAnsi="Calibri Light"/>
          <w:color w:val="495965"/>
          <w:lang w:val="en-US" w:eastAsia="en-AU"/>
        </w:rPr>
        <w:t xml:space="preserve">implementation plan that helped improve efforts to </w:t>
      </w:r>
      <w:r>
        <w:rPr>
          <w:rFonts w:ascii="Calibri Light" w:hAnsi="Calibri Light"/>
          <w:color w:val="495965"/>
          <w:lang w:val="en-US" w:eastAsia="en-AU"/>
        </w:rPr>
        <w:t xml:space="preserve">target </w:t>
      </w:r>
      <w:r w:rsidR="00A95CC0">
        <w:rPr>
          <w:rFonts w:ascii="Calibri Light" w:hAnsi="Calibri Light"/>
          <w:color w:val="495965"/>
          <w:lang w:val="en-US" w:eastAsia="en-AU"/>
        </w:rPr>
        <w:t>support to those with disability</w:t>
      </w:r>
      <w:r w:rsidR="00375B0D">
        <w:rPr>
          <w:rStyle w:val="FootnoteReference"/>
          <w:rFonts w:ascii="Calibri Light" w:hAnsi="Calibri Light"/>
          <w:color w:val="495965"/>
          <w:lang w:val="en-US" w:eastAsia="en-AU"/>
        </w:rPr>
        <w:footnoteReference w:id="47"/>
      </w:r>
      <w:r w:rsidR="00A95CC0">
        <w:rPr>
          <w:rFonts w:ascii="Calibri Light" w:hAnsi="Calibri Light"/>
          <w:color w:val="495965"/>
          <w:lang w:val="en-US" w:eastAsia="en-AU"/>
        </w:rPr>
        <w:t>.</w:t>
      </w:r>
      <w:r w:rsidR="00D5418E" w:rsidRPr="00D5418E">
        <w:rPr>
          <w:rFonts w:ascii="Calibri Light" w:hAnsi="Calibri Light"/>
          <w:color w:val="495965"/>
          <w:lang w:val="en-US" w:eastAsia="en-AU"/>
        </w:rPr>
        <w:t xml:space="preserve"> </w:t>
      </w:r>
      <w:r w:rsidR="00D5418E">
        <w:rPr>
          <w:rFonts w:ascii="Calibri Light" w:hAnsi="Calibri Light"/>
          <w:color w:val="495965"/>
          <w:lang w:val="en-US" w:eastAsia="en-AU"/>
        </w:rPr>
        <w:t>Australian funded technical assistance to PEDP3 supported the incorporation of</w:t>
      </w:r>
      <w:r w:rsidR="00D5418E" w:rsidRPr="00D5418E">
        <w:rPr>
          <w:rFonts w:ascii="Calibri Light" w:hAnsi="Calibri Light"/>
          <w:color w:val="495965"/>
          <w:lang w:val="en-US" w:eastAsia="en-AU"/>
        </w:rPr>
        <w:t xml:space="preserve"> disability inclusive education materials in teacher training manuals</w:t>
      </w:r>
      <w:r w:rsidR="00D5418E" w:rsidRPr="00D5418E">
        <w:rPr>
          <w:rFonts w:ascii="Calibri Light" w:hAnsi="Calibri Light"/>
          <w:color w:val="495965"/>
          <w:vertAlign w:val="superscript"/>
          <w:lang w:val="en-US" w:eastAsia="en-AU"/>
        </w:rPr>
        <w:footnoteReference w:id="48"/>
      </w:r>
      <w:r w:rsidR="00D5418E" w:rsidRPr="00D5418E">
        <w:rPr>
          <w:rFonts w:ascii="Calibri Light" w:hAnsi="Calibri Light"/>
          <w:color w:val="495965"/>
          <w:lang w:val="en-US" w:eastAsia="en-AU"/>
        </w:rPr>
        <w:t>.</w:t>
      </w:r>
      <w:r>
        <w:rPr>
          <w:rFonts w:ascii="Calibri Light" w:hAnsi="Calibri Light"/>
          <w:color w:val="1F497D"/>
          <w:lang w:val="en-US" w:eastAsia="en-AU"/>
        </w:rPr>
        <w:t xml:space="preserve"> </w:t>
      </w:r>
      <w:r w:rsidRPr="0055033D">
        <w:rPr>
          <w:rFonts w:ascii="Calibri Light" w:hAnsi="Calibri Light"/>
          <w:color w:val="495965"/>
          <w:lang w:val="en-US" w:eastAsia="en-AU"/>
        </w:rPr>
        <w:t xml:space="preserve">In addition, </w:t>
      </w:r>
      <w:r>
        <w:rPr>
          <w:rFonts w:ascii="Calibri Light" w:hAnsi="Calibri Light"/>
          <w:color w:val="495965"/>
          <w:lang w:val="en-US" w:eastAsia="en-AU"/>
        </w:rPr>
        <w:t>we advocated</w:t>
      </w:r>
      <w:r w:rsidR="002D5B84" w:rsidRPr="002D5B84">
        <w:rPr>
          <w:rFonts w:ascii="Calibri Light" w:hAnsi="Calibri Light"/>
          <w:color w:val="495965"/>
          <w:lang w:val="en-US" w:eastAsia="en-AU"/>
        </w:rPr>
        <w:t xml:space="preserve"> for a greater focus on</w:t>
      </w:r>
      <w:r>
        <w:rPr>
          <w:rFonts w:ascii="Calibri Light" w:hAnsi="Calibri Light"/>
          <w:color w:val="495965"/>
          <w:lang w:val="en-US" w:eastAsia="en-AU"/>
        </w:rPr>
        <w:t xml:space="preserve"> disability inclusiveness </w:t>
      </w:r>
      <w:r w:rsidR="002D5B84" w:rsidRPr="002D5B84">
        <w:rPr>
          <w:rFonts w:ascii="Calibri Light" w:hAnsi="Calibri Light"/>
          <w:color w:val="495965"/>
          <w:lang w:val="en-US" w:eastAsia="en-AU"/>
        </w:rPr>
        <w:t xml:space="preserve">in </w:t>
      </w:r>
      <w:r w:rsidR="003F2893">
        <w:rPr>
          <w:rFonts w:ascii="Calibri Light" w:hAnsi="Calibri Light"/>
          <w:color w:val="495965"/>
          <w:lang w:val="en-US" w:eastAsia="en-AU"/>
        </w:rPr>
        <w:t>BRAC programs</w:t>
      </w:r>
      <w:r>
        <w:rPr>
          <w:rFonts w:ascii="Calibri Light" w:hAnsi="Calibri Light"/>
          <w:color w:val="495965"/>
          <w:lang w:val="en-US" w:eastAsia="en-AU"/>
        </w:rPr>
        <w:t>,</w:t>
      </w:r>
      <w:r w:rsidR="003F2893">
        <w:rPr>
          <w:rFonts w:ascii="Calibri Light" w:hAnsi="Calibri Light"/>
          <w:color w:val="495965"/>
          <w:lang w:val="en-US" w:eastAsia="en-AU"/>
        </w:rPr>
        <w:t xml:space="preserve"> particularly in primary education and early childhood education. </w:t>
      </w:r>
    </w:p>
    <w:p w14:paraId="141B3702" w14:textId="1099DDD5" w:rsidR="00D35EC8" w:rsidRPr="00974B25" w:rsidRDefault="0051639F" w:rsidP="00465364">
      <w:pPr>
        <w:spacing w:after="120" w:line="280" w:lineRule="exact"/>
        <w:jc w:val="both"/>
        <w:rPr>
          <w:rFonts w:ascii="Calibri Light" w:eastAsia="Calibri Light" w:hAnsi="Calibri Light" w:cs="Calibri Light"/>
          <w:color w:val="495965"/>
          <w:u w:color="495965"/>
          <w:lang w:val="en-US" w:eastAsia="en-AU"/>
        </w:rPr>
      </w:pPr>
      <w:r w:rsidRPr="00B4365A">
        <w:rPr>
          <w:rFonts w:ascii="Calibri Light" w:eastAsia="Calibri Light" w:hAnsi="Calibri Light" w:cs="Calibri Light"/>
          <w:color w:val="495965"/>
          <w:u w:color="495965"/>
          <w:lang w:val="en-US" w:eastAsia="en-AU"/>
        </w:rPr>
        <w:t>A</w:t>
      </w:r>
      <w:r w:rsidR="00846DE6" w:rsidRPr="00B4365A">
        <w:rPr>
          <w:rFonts w:ascii="Calibri Light" w:eastAsia="Calibri Light" w:hAnsi="Calibri Light" w:cs="Calibri Light"/>
          <w:color w:val="495965"/>
          <w:u w:color="495965"/>
          <w:lang w:val="en-US" w:eastAsia="en-AU"/>
        </w:rPr>
        <w:t xml:space="preserve">ll </w:t>
      </w:r>
      <w:r w:rsidR="001C54B9" w:rsidRPr="00B4365A">
        <w:rPr>
          <w:rFonts w:ascii="Calibri Light" w:eastAsia="Calibri Light" w:hAnsi="Calibri Light" w:cs="Calibri Light"/>
          <w:color w:val="495965"/>
          <w:u w:color="495965"/>
          <w:lang w:val="en-US" w:eastAsia="en-AU"/>
        </w:rPr>
        <w:t xml:space="preserve">five </w:t>
      </w:r>
      <w:r w:rsidR="00846DE6" w:rsidRPr="00B4365A">
        <w:rPr>
          <w:rFonts w:ascii="Calibri Light" w:eastAsia="Calibri Light" w:hAnsi="Calibri Light" w:cs="Calibri Light"/>
          <w:color w:val="495965"/>
          <w:u w:color="495965"/>
          <w:lang w:val="en-US" w:eastAsia="en-AU"/>
        </w:rPr>
        <w:t>investments reported actions to mainstream climate and disaster risks during implementation.</w:t>
      </w:r>
    </w:p>
    <w:p w14:paraId="439F0187" w14:textId="58B18708" w:rsidR="00555425" w:rsidRDefault="00555425" w:rsidP="00600479">
      <w:pPr>
        <w:rPr>
          <w:rFonts w:asciiTheme="majorHAnsi" w:hAnsiTheme="majorHAnsi"/>
          <w:b/>
          <w:lang w:eastAsia="zh-CN"/>
        </w:rPr>
      </w:pPr>
    </w:p>
    <w:p w14:paraId="731A1340" w14:textId="1D1EDA07" w:rsidR="00600479" w:rsidRPr="005C6481" w:rsidRDefault="00600479" w:rsidP="00600479">
      <w:pPr>
        <w:rPr>
          <w:rFonts w:asciiTheme="majorHAnsi" w:hAnsiTheme="majorHAnsi"/>
          <w:b/>
          <w:lang w:eastAsia="zh-CN"/>
        </w:rPr>
      </w:pPr>
      <w:r w:rsidRPr="005C6481">
        <w:rPr>
          <w:rFonts w:asciiTheme="majorHAnsi" w:hAnsiTheme="majorHAnsi"/>
          <w:b/>
          <w:lang w:eastAsia="zh-CN"/>
        </w:rPr>
        <w:lastRenderedPageBreak/>
        <w:t>Performance of key delivery partners</w:t>
      </w:r>
    </w:p>
    <w:p w14:paraId="4A61820C" w14:textId="79D323E2" w:rsidR="00124632" w:rsidRPr="00124632" w:rsidRDefault="00124632" w:rsidP="00D13811">
      <w:pPr>
        <w:spacing w:after="120" w:line="280" w:lineRule="exact"/>
        <w:jc w:val="both"/>
        <w:rPr>
          <w:rFonts w:ascii="Calibri Light" w:eastAsia="Calibri Light" w:hAnsi="Calibri Light" w:cs="Calibri Light"/>
          <w:color w:val="495965"/>
          <w:u w:color="495965"/>
          <w:lang w:val="en-US" w:eastAsia="en-AU"/>
        </w:rPr>
      </w:pPr>
      <w:r w:rsidRPr="00124632">
        <w:rPr>
          <w:rFonts w:ascii="Calibri Light" w:eastAsia="Calibri Light" w:hAnsi="Calibri Light" w:cs="Calibri Light"/>
          <w:color w:val="495965"/>
          <w:u w:color="495965"/>
          <w:lang w:val="en-US" w:eastAsia="en-AU"/>
        </w:rPr>
        <w:t>Australia’s aid is delivered through strategic partnership</w:t>
      </w:r>
      <w:r w:rsidR="00221A26">
        <w:rPr>
          <w:rFonts w:ascii="Calibri Light" w:eastAsia="Calibri Light" w:hAnsi="Calibri Light" w:cs="Calibri Light"/>
          <w:color w:val="495965"/>
          <w:u w:color="495965"/>
          <w:lang w:val="en-US" w:eastAsia="en-AU"/>
        </w:rPr>
        <w:t>s</w:t>
      </w:r>
      <w:r w:rsidRPr="00124632">
        <w:rPr>
          <w:rFonts w:ascii="Calibri Light" w:eastAsia="Calibri Light" w:hAnsi="Calibri Light" w:cs="Calibri Light"/>
          <w:color w:val="495965"/>
          <w:u w:color="495965"/>
          <w:lang w:val="en-US" w:eastAsia="en-AU"/>
        </w:rPr>
        <w:t xml:space="preserve"> with the </w:t>
      </w:r>
      <w:r w:rsidR="00221A26">
        <w:rPr>
          <w:rFonts w:ascii="Calibri Light" w:eastAsia="Calibri Light" w:hAnsi="Calibri Light" w:cs="Calibri Light"/>
          <w:color w:val="495965"/>
          <w:u w:color="495965"/>
          <w:lang w:val="en-US" w:eastAsia="en-AU"/>
        </w:rPr>
        <w:t xml:space="preserve">Government of Bangladesh, BRAC </w:t>
      </w:r>
      <w:r w:rsidRPr="00124632">
        <w:rPr>
          <w:rFonts w:ascii="Calibri Light" w:eastAsia="Calibri Light" w:hAnsi="Calibri Light" w:cs="Calibri Light"/>
          <w:color w:val="495965"/>
          <w:u w:color="495965"/>
          <w:lang w:val="en-US" w:eastAsia="en-AU"/>
        </w:rPr>
        <w:t xml:space="preserve">and </w:t>
      </w:r>
      <w:r w:rsidR="00221A26">
        <w:rPr>
          <w:rFonts w:ascii="Calibri Light" w:eastAsia="Calibri Light" w:hAnsi="Calibri Light" w:cs="Calibri Light"/>
          <w:color w:val="495965"/>
          <w:u w:color="495965"/>
          <w:lang w:val="en-US" w:eastAsia="en-AU"/>
        </w:rPr>
        <w:t>WFP</w:t>
      </w:r>
      <w:r w:rsidRPr="00124632">
        <w:rPr>
          <w:rFonts w:ascii="Calibri Light" w:eastAsia="Calibri Light" w:hAnsi="Calibri Light" w:cs="Calibri Light"/>
          <w:color w:val="495965"/>
          <w:u w:color="495965"/>
          <w:lang w:val="en-US" w:eastAsia="en-AU"/>
        </w:rPr>
        <w:t xml:space="preserve">, and </w:t>
      </w:r>
      <w:r w:rsidR="00221A26">
        <w:rPr>
          <w:rFonts w:ascii="Calibri Light" w:eastAsia="Calibri Light" w:hAnsi="Calibri Light" w:cs="Calibri Light"/>
          <w:color w:val="495965"/>
          <w:u w:color="495965"/>
          <w:lang w:val="en-US" w:eastAsia="en-AU"/>
        </w:rPr>
        <w:t xml:space="preserve">via </w:t>
      </w:r>
      <w:r w:rsidRPr="00124632">
        <w:rPr>
          <w:rFonts w:ascii="Calibri Light" w:eastAsia="Calibri Light" w:hAnsi="Calibri Light" w:cs="Calibri Light"/>
          <w:color w:val="495965"/>
          <w:u w:color="495965"/>
          <w:lang w:val="en-US" w:eastAsia="en-AU"/>
        </w:rPr>
        <w:t xml:space="preserve">a delegated cooperation arrangement with DFID. </w:t>
      </w:r>
      <w:r w:rsidR="00221A26">
        <w:rPr>
          <w:rFonts w:ascii="Calibri Light" w:eastAsia="Calibri Light" w:hAnsi="Calibri Light" w:cs="Calibri Light"/>
          <w:color w:val="495965"/>
          <w:u w:color="495965"/>
          <w:lang w:val="en-US" w:eastAsia="en-AU"/>
        </w:rPr>
        <w:t>This</w:t>
      </w:r>
      <w:r w:rsidRPr="00124632">
        <w:rPr>
          <w:rFonts w:ascii="Calibri Light" w:eastAsia="Calibri Light" w:hAnsi="Calibri Light" w:cs="Calibri Light"/>
          <w:color w:val="495965"/>
          <w:u w:color="495965"/>
          <w:lang w:val="en-US" w:eastAsia="en-AU"/>
        </w:rPr>
        <w:t xml:space="preserve"> reflect</w:t>
      </w:r>
      <w:r w:rsidR="00221A26">
        <w:rPr>
          <w:rFonts w:ascii="Calibri Light" w:eastAsia="Calibri Light" w:hAnsi="Calibri Light" w:cs="Calibri Light"/>
          <w:color w:val="495965"/>
          <w:u w:color="495965"/>
          <w:lang w:val="en-US" w:eastAsia="en-AU"/>
        </w:rPr>
        <w:t>s</w:t>
      </w:r>
      <w:r w:rsidRPr="00124632">
        <w:rPr>
          <w:rFonts w:ascii="Calibri Light" w:eastAsia="Calibri Light" w:hAnsi="Calibri Light" w:cs="Calibri Light"/>
          <w:color w:val="495965"/>
          <w:u w:color="495965"/>
          <w:lang w:val="en-US" w:eastAsia="en-AU"/>
        </w:rPr>
        <w:t xml:space="preserve"> </w:t>
      </w:r>
      <w:r w:rsidR="0075323C">
        <w:rPr>
          <w:rFonts w:ascii="Calibri Light" w:eastAsia="Calibri Light" w:hAnsi="Calibri Light" w:cs="Calibri Light"/>
          <w:color w:val="495965"/>
          <w:u w:color="495965"/>
          <w:lang w:val="en-US" w:eastAsia="en-AU"/>
        </w:rPr>
        <w:t>the</w:t>
      </w:r>
      <w:r w:rsidR="00221A26">
        <w:rPr>
          <w:rFonts w:ascii="Calibri Light" w:eastAsia="Calibri Light" w:hAnsi="Calibri Light" w:cs="Calibri Light"/>
          <w:color w:val="495965"/>
          <w:u w:color="495965"/>
          <w:lang w:val="en-US" w:eastAsia="en-AU"/>
        </w:rPr>
        <w:t xml:space="preserve"> </w:t>
      </w:r>
      <w:r w:rsidRPr="00124632">
        <w:rPr>
          <w:rFonts w:ascii="Calibri Light" w:eastAsia="Calibri Light" w:hAnsi="Calibri Light" w:cs="Calibri Light"/>
          <w:color w:val="495965"/>
          <w:u w:color="495965"/>
          <w:lang w:val="en-US" w:eastAsia="en-AU"/>
        </w:rPr>
        <w:t>ongoing commitment to consolidati</w:t>
      </w:r>
      <w:r w:rsidR="00221A26">
        <w:rPr>
          <w:rFonts w:ascii="Calibri Light" w:eastAsia="Calibri Light" w:hAnsi="Calibri Light" w:cs="Calibri Light"/>
          <w:color w:val="495965"/>
          <w:u w:color="495965"/>
          <w:lang w:val="en-US" w:eastAsia="en-AU"/>
        </w:rPr>
        <w:t xml:space="preserve">on </w:t>
      </w:r>
      <w:r w:rsidRPr="00124632">
        <w:rPr>
          <w:rFonts w:ascii="Calibri Light" w:eastAsia="Calibri Light" w:hAnsi="Calibri Light" w:cs="Calibri Light"/>
          <w:color w:val="495965"/>
          <w:u w:color="495965"/>
          <w:lang w:val="en-US" w:eastAsia="en-AU"/>
        </w:rPr>
        <w:t xml:space="preserve">and a conscious decision to select complementary partnerships capable of delivering results at scale in a complicated aid context. </w:t>
      </w:r>
    </w:p>
    <w:p w14:paraId="19C6F3AF" w14:textId="6AA747DE" w:rsidR="00124632" w:rsidRPr="00124632" w:rsidRDefault="00124632" w:rsidP="00D13811">
      <w:pPr>
        <w:spacing w:after="120" w:line="280" w:lineRule="exact"/>
        <w:jc w:val="both"/>
        <w:rPr>
          <w:rFonts w:ascii="Calibri Light" w:eastAsia="Calibri Light" w:hAnsi="Calibri Light" w:cs="Calibri Light"/>
          <w:color w:val="495965"/>
          <w:u w:color="495965"/>
          <w:lang w:val="en-US" w:eastAsia="en-AU"/>
        </w:rPr>
      </w:pPr>
      <w:r w:rsidRPr="00124632">
        <w:rPr>
          <w:rFonts w:ascii="Calibri Light" w:eastAsia="Calibri Light" w:hAnsi="Calibri Light" w:cs="Calibri Light"/>
          <w:color w:val="495965"/>
          <w:u w:color="495965"/>
          <w:lang w:val="en-US" w:eastAsia="en-AU"/>
        </w:rPr>
        <w:t>In 2016-17, Partner Performance Assessment</w:t>
      </w:r>
      <w:r w:rsidR="00BA6191">
        <w:rPr>
          <w:rFonts w:ascii="Calibri Light" w:eastAsia="Calibri Light" w:hAnsi="Calibri Light" w:cs="Calibri Light"/>
          <w:color w:val="495965"/>
          <w:u w:color="495965"/>
          <w:lang w:val="en-US" w:eastAsia="en-AU"/>
        </w:rPr>
        <w:t xml:space="preserve">s </w:t>
      </w:r>
      <w:r w:rsidR="00221A26">
        <w:rPr>
          <w:rFonts w:ascii="Calibri Light" w:eastAsia="Calibri Light" w:hAnsi="Calibri Light" w:cs="Calibri Light"/>
          <w:color w:val="495965"/>
          <w:u w:color="495965"/>
          <w:lang w:val="en-US" w:eastAsia="en-AU"/>
        </w:rPr>
        <w:t>were conducted for BRAC and WFP</w:t>
      </w:r>
      <w:r w:rsidRPr="00124632">
        <w:rPr>
          <w:rFonts w:ascii="Calibri Light" w:eastAsia="Calibri Light" w:hAnsi="Calibri Light" w:cs="Calibri Light"/>
          <w:color w:val="495965"/>
          <w:u w:color="495965"/>
          <w:lang w:val="en-US" w:eastAsia="en-AU"/>
        </w:rPr>
        <w:t xml:space="preserve">. Results </w:t>
      </w:r>
      <w:r w:rsidR="00BA6191">
        <w:rPr>
          <w:rFonts w:ascii="Calibri Light" w:eastAsia="Calibri Light" w:hAnsi="Calibri Light" w:cs="Calibri Light"/>
          <w:color w:val="495965"/>
          <w:u w:color="495965"/>
          <w:lang w:val="en-US" w:eastAsia="en-AU"/>
        </w:rPr>
        <w:t>show</w:t>
      </w:r>
      <w:r w:rsidRPr="00124632">
        <w:rPr>
          <w:rFonts w:ascii="Calibri Light" w:eastAsia="Calibri Light" w:hAnsi="Calibri Light" w:cs="Calibri Light"/>
          <w:color w:val="495965"/>
          <w:u w:color="495965"/>
          <w:lang w:val="en-US" w:eastAsia="en-AU"/>
        </w:rPr>
        <w:t xml:space="preserve"> </w:t>
      </w:r>
      <w:r w:rsidR="0075323C">
        <w:rPr>
          <w:rFonts w:ascii="Calibri Light" w:eastAsia="Calibri Light" w:hAnsi="Calibri Light" w:cs="Calibri Light"/>
          <w:color w:val="495965"/>
          <w:u w:color="495965"/>
          <w:lang w:val="en-US" w:eastAsia="en-AU"/>
        </w:rPr>
        <w:t xml:space="preserve">Australia’s </w:t>
      </w:r>
      <w:r w:rsidRPr="00124632">
        <w:rPr>
          <w:rFonts w:ascii="Calibri Light" w:eastAsia="Calibri Light" w:hAnsi="Calibri Light" w:cs="Calibri Light"/>
          <w:color w:val="495965"/>
          <w:u w:color="495965"/>
          <w:lang w:val="en-US" w:eastAsia="en-AU"/>
        </w:rPr>
        <w:t>p</w:t>
      </w:r>
      <w:r w:rsidR="00BA6191">
        <w:rPr>
          <w:rFonts w:ascii="Calibri Light" w:eastAsia="Calibri Light" w:hAnsi="Calibri Light" w:cs="Calibri Light"/>
          <w:color w:val="495965"/>
          <w:u w:color="495965"/>
          <w:lang w:val="en-US" w:eastAsia="en-AU"/>
        </w:rPr>
        <w:t xml:space="preserve">artners are effective </w:t>
      </w:r>
      <w:r w:rsidRPr="00124632">
        <w:rPr>
          <w:rFonts w:ascii="Calibri Light" w:eastAsia="Calibri Light" w:hAnsi="Calibri Light" w:cs="Calibri Light"/>
          <w:color w:val="495965"/>
          <w:u w:color="495965"/>
          <w:lang w:val="en-US" w:eastAsia="en-AU"/>
        </w:rPr>
        <w:t>and that DFAT is achieving value for money</w:t>
      </w:r>
      <w:r w:rsidR="006312FC">
        <w:rPr>
          <w:rStyle w:val="FootnoteReference"/>
          <w:rFonts w:ascii="Calibri Light" w:eastAsia="Calibri Light" w:hAnsi="Calibri Light" w:cs="Calibri Light"/>
          <w:color w:val="495965"/>
          <w:u w:color="495965"/>
          <w:lang w:val="en-US" w:eastAsia="en-AU"/>
        </w:rPr>
        <w:footnoteReference w:id="49"/>
      </w:r>
      <w:r w:rsidRPr="00124632">
        <w:rPr>
          <w:rFonts w:ascii="Calibri Light" w:eastAsia="Calibri Light" w:hAnsi="Calibri Light" w:cs="Calibri Light"/>
          <w:color w:val="495965"/>
          <w:u w:color="495965"/>
          <w:lang w:val="en-US" w:eastAsia="en-AU"/>
        </w:rPr>
        <w:t xml:space="preserve"> in these partnerships. </w:t>
      </w:r>
    </w:p>
    <w:p w14:paraId="007F3494" w14:textId="77777777" w:rsidR="00124632" w:rsidRPr="00F05EDC" w:rsidRDefault="00124632" w:rsidP="00124632">
      <w:pPr>
        <w:spacing w:after="120" w:line="280" w:lineRule="exact"/>
        <w:rPr>
          <w:rFonts w:ascii="Calibri Light" w:eastAsia="Calibri Light" w:hAnsi="Calibri Light" w:cs="Calibri Light"/>
          <w:bCs/>
          <w:i/>
          <w:color w:val="495965"/>
          <w:lang w:val="en-US" w:eastAsia="en-AU"/>
        </w:rPr>
      </w:pPr>
      <w:r w:rsidRPr="00F05EDC">
        <w:rPr>
          <w:rFonts w:ascii="Calibri Light" w:eastAsia="Calibri Light" w:hAnsi="Calibri Light" w:cs="Calibri Light"/>
          <w:bCs/>
          <w:i/>
          <w:color w:val="495965"/>
          <w:lang w:val="en-US" w:eastAsia="en-AU"/>
        </w:rPr>
        <w:t xml:space="preserve">Government of Bangladesh </w:t>
      </w:r>
    </w:p>
    <w:p w14:paraId="2B10C77E" w14:textId="77777777" w:rsidR="00C0179B" w:rsidRDefault="00C0179B" w:rsidP="00D13811">
      <w:pPr>
        <w:spacing w:after="120" w:line="280" w:lineRule="exact"/>
        <w:jc w:val="both"/>
        <w:rPr>
          <w:rFonts w:ascii="Calibri Light" w:eastAsia="Calibri Light" w:hAnsi="Calibri Light" w:cs="Calibri Light"/>
          <w:color w:val="495965"/>
          <w:u w:color="495965"/>
          <w:lang w:val="en-US" w:eastAsia="en-AU"/>
        </w:rPr>
      </w:pPr>
      <w:r w:rsidRPr="00124632">
        <w:rPr>
          <w:rFonts w:ascii="Calibri Light" w:eastAsia="Calibri Light" w:hAnsi="Calibri Light" w:cs="Calibri Light"/>
          <w:color w:val="495965"/>
          <w:u w:color="495965"/>
          <w:lang w:val="en-US" w:eastAsia="en-AU"/>
        </w:rPr>
        <w:t>The Government has maintained its commi</w:t>
      </w:r>
      <w:r>
        <w:rPr>
          <w:rFonts w:ascii="Calibri Light" w:eastAsia="Calibri Light" w:hAnsi="Calibri Light" w:cs="Calibri Light"/>
          <w:color w:val="495965"/>
          <w:u w:color="495965"/>
          <w:lang w:val="en-US" w:eastAsia="en-AU"/>
        </w:rPr>
        <w:t xml:space="preserve">tment to the primary education and social protection sectors where Australia is supporting Government reform agendas.  </w:t>
      </w:r>
    </w:p>
    <w:p w14:paraId="5320A4C6" w14:textId="6B856F38" w:rsidR="00C0179B" w:rsidRDefault="00C0179B" w:rsidP="00D13811">
      <w:pPr>
        <w:spacing w:after="120" w:line="280" w:lineRule="exact"/>
        <w:jc w:val="both"/>
        <w:rPr>
          <w:rFonts w:ascii="Calibri Light" w:eastAsia="Calibri Light" w:hAnsi="Calibri Light" w:cs="Calibri Light"/>
          <w:color w:val="495965"/>
          <w:u w:color="495965"/>
          <w:lang w:val="en-US" w:eastAsia="en-AU"/>
        </w:rPr>
      </w:pPr>
      <w:r>
        <w:rPr>
          <w:rFonts w:ascii="Calibri Light" w:eastAsia="Calibri Light" w:hAnsi="Calibri Light" w:cs="Calibri Light"/>
          <w:color w:val="495965"/>
          <w:u w:color="495965"/>
          <w:lang w:val="en-US" w:eastAsia="en-AU"/>
        </w:rPr>
        <w:t xml:space="preserve">Public </w:t>
      </w:r>
      <w:r w:rsidRPr="00124632">
        <w:rPr>
          <w:rFonts w:ascii="Calibri Light" w:eastAsia="Calibri Light" w:hAnsi="Calibri Light" w:cs="Calibri Light"/>
          <w:color w:val="495965"/>
          <w:u w:color="495965"/>
          <w:lang w:val="en-US" w:eastAsia="en-AU"/>
        </w:rPr>
        <w:t xml:space="preserve">education expenditure as </w:t>
      </w:r>
      <w:r>
        <w:rPr>
          <w:rFonts w:ascii="Calibri Light" w:eastAsia="Calibri Light" w:hAnsi="Calibri Light" w:cs="Calibri Light"/>
          <w:color w:val="495965"/>
          <w:u w:color="495965"/>
          <w:lang w:val="en-US" w:eastAsia="en-AU"/>
        </w:rPr>
        <w:t xml:space="preserve">a </w:t>
      </w:r>
      <w:r w:rsidRPr="00124632">
        <w:rPr>
          <w:rFonts w:ascii="Calibri Light" w:eastAsia="Calibri Light" w:hAnsi="Calibri Light" w:cs="Calibri Light"/>
          <w:color w:val="495965"/>
          <w:u w:color="495965"/>
          <w:lang w:val="en-US" w:eastAsia="en-AU"/>
        </w:rPr>
        <w:t>percent</w:t>
      </w:r>
      <w:r>
        <w:rPr>
          <w:rFonts w:ascii="Calibri Light" w:eastAsia="Calibri Light" w:hAnsi="Calibri Light" w:cs="Calibri Light"/>
          <w:color w:val="495965"/>
          <w:u w:color="495965"/>
          <w:lang w:val="en-US" w:eastAsia="en-AU"/>
        </w:rPr>
        <w:t>age of GDP increased to 2.5 per</w:t>
      </w:r>
      <w:r w:rsidR="007155A5">
        <w:rPr>
          <w:rFonts w:ascii="Calibri Light" w:eastAsia="Calibri Light" w:hAnsi="Calibri Light" w:cs="Calibri Light"/>
          <w:color w:val="495965"/>
          <w:u w:color="495965"/>
          <w:lang w:val="en-US" w:eastAsia="en-AU"/>
        </w:rPr>
        <w:t>cent in 2016-</w:t>
      </w:r>
      <w:r w:rsidRPr="00124632">
        <w:rPr>
          <w:rFonts w:ascii="Calibri Light" w:eastAsia="Calibri Light" w:hAnsi="Calibri Light" w:cs="Calibri Light"/>
          <w:color w:val="495965"/>
          <w:u w:color="495965"/>
          <w:lang w:val="en-US" w:eastAsia="en-AU"/>
        </w:rPr>
        <w:t xml:space="preserve">17 (from </w:t>
      </w:r>
      <w:r>
        <w:rPr>
          <w:rFonts w:ascii="Calibri Light" w:eastAsia="Calibri Light" w:hAnsi="Calibri Light" w:cs="Calibri Light"/>
          <w:color w:val="495965"/>
          <w:u w:color="495965"/>
          <w:lang w:val="en-US" w:eastAsia="en-AU"/>
        </w:rPr>
        <w:t>1.8</w:t>
      </w:r>
      <w:r w:rsidRPr="00124632">
        <w:rPr>
          <w:rFonts w:ascii="Calibri Light" w:eastAsia="Calibri Light" w:hAnsi="Calibri Light" w:cs="Calibri Light"/>
          <w:color w:val="495965"/>
          <w:u w:color="495965"/>
          <w:lang w:val="en-US" w:eastAsia="en-AU"/>
        </w:rPr>
        <w:t xml:space="preserve"> </w:t>
      </w:r>
      <w:r>
        <w:rPr>
          <w:rFonts w:ascii="Calibri Light" w:eastAsia="Calibri Light" w:hAnsi="Calibri Light" w:cs="Calibri Light"/>
          <w:color w:val="495965"/>
          <w:u w:color="495965"/>
          <w:lang w:val="en-US" w:eastAsia="en-AU"/>
        </w:rPr>
        <w:t xml:space="preserve">percent </w:t>
      </w:r>
      <w:r w:rsidR="007155A5">
        <w:rPr>
          <w:rFonts w:ascii="Calibri Light" w:eastAsia="Calibri Light" w:hAnsi="Calibri Light" w:cs="Calibri Light"/>
          <w:color w:val="495965"/>
          <w:u w:color="495965"/>
          <w:lang w:val="en-US" w:eastAsia="en-AU"/>
        </w:rPr>
        <w:t>in 2015-</w:t>
      </w:r>
      <w:r w:rsidRPr="00124632">
        <w:rPr>
          <w:rFonts w:ascii="Calibri Light" w:eastAsia="Calibri Light" w:hAnsi="Calibri Light" w:cs="Calibri Light"/>
          <w:color w:val="495965"/>
          <w:u w:color="495965"/>
          <w:lang w:val="en-US" w:eastAsia="en-AU"/>
        </w:rPr>
        <w:t xml:space="preserve">16).  </w:t>
      </w:r>
      <w:r w:rsidR="001771F7">
        <w:rPr>
          <w:rFonts w:ascii="Calibri Light" w:eastAsia="Calibri Light" w:hAnsi="Calibri Light" w:cs="Calibri Light"/>
          <w:color w:val="495965"/>
          <w:u w:color="495965"/>
          <w:lang w:val="en-US" w:eastAsia="en-AU"/>
        </w:rPr>
        <w:t xml:space="preserve">Australia’s </w:t>
      </w:r>
      <w:r w:rsidRPr="00C0179B">
        <w:rPr>
          <w:rFonts w:ascii="Calibri Light" w:eastAsia="Calibri Light" w:hAnsi="Calibri Light" w:cs="Calibri Light"/>
          <w:color w:val="495965"/>
          <w:u w:color="495965"/>
          <w:lang w:val="en-US" w:eastAsia="en-AU"/>
        </w:rPr>
        <w:t xml:space="preserve">niche support to the Government of Bangladesh’s Third Primary Education Development Program via a Sector Wide Approach allows us to leverage broader education outcomes with a modest investment ($49 million over 5 years; </w:t>
      </w:r>
      <w:r w:rsidR="007155A5">
        <w:t>$7,044,721 million in 2016-</w:t>
      </w:r>
      <w:r>
        <w:t xml:space="preserve">17) </w:t>
      </w:r>
      <w:r w:rsidRPr="00C0179B">
        <w:rPr>
          <w:rFonts w:ascii="Calibri Light" w:eastAsia="Calibri Light" w:hAnsi="Calibri Light" w:cs="Calibri Light"/>
          <w:color w:val="495965"/>
          <w:u w:color="495965"/>
          <w:lang w:val="en-US" w:eastAsia="en-AU"/>
        </w:rPr>
        <w:t>to achieve outcomes at scale, and to achieve sustainable outcomes through government systems.</w:t>
      </w:r>
      <w:r w:rsidR="00F05EDC">
        <w:rPr>
          <w:rFonts w:ascii="Calibri Light" w:eastAsia="Calibri Light" w:hAnsi="Calibri Light" w:cs="Calibri Light"/>
          <w:color w:val="495965"/>
          <w:u w:color="495965"/>
          <w:lang w:val="en-US" w:eastAsia="en-AU"/>
        </w:rPr>
        <w:t xml:space="preserve"> </w:t>
      </w:r>
      <w:r w:rsidR="00465364">
        <w:rPr>
          <w:rFonts w:ascii="Calibri Light" w:eastAsia="Calibri Light" w:hAnsi="Calibri Light" w:cs="Calibri Light"/>
          <w:color w:val="495965"/>
          <w:u w:color="495965"/>
          <w:lang w:val="en-US" w:eastAsia="en-AU"/>
        </w:rPr>
        <w:t>The investment</w:t>
      </w:r>
      <w:r w:rsidRPr="00124632">
        <w:rPr>
          <w:rFonts w:ascii="Calibri Light" w:eastAsia="Calibri Light" w:hAnsi="Calibri Light" w:cs="Calibri Light"/>
          <w:color w:val="495965"/>
          <w:u w:color="495965"/>
          <w:lang w:val="en-US" w:eastAsia="en-AU"/>
        </w:rPr>
        <w:t xml:space="preserve"> </w:t>
      </w:r>
      <w:r w:rsidR="00465364">
        <w:rPr>
          <w:rFonts w:ascii="Calibri Light" w:eastAsia="Calibri Light" w:hAnsi="Calibri Light" w:cs="Calibri Light"/>
          <w:color w:val="495965"/>
          <w:u w:color="495965"/>
          <w:lang w:val="en-US" w:eastAsia="en-AU"/>
        </w:rPr>
        <w:t>will</w:t>
      </w:r>
      <w:r w:rsidRPr="00124632">
        <w:rPr>
          <w:rFonts w:ascii="Calibri Light" w:eastAsia="Calibri Light" w:hAnsi="Calibri Light" w:cs="Calibri Light"/>
          <w:color w:val="495965"/>
          <w:u w:color="495965"/>
          <w:lang w:val="en-US" w:eastAsia="en-AU"/>
        </w:rPr>
        <w:t xml:space="preserve"> finish </w:t>
      </w:r>
      <w:r>
        <w:rPr>
          <w:rFonts w:ascii="Calibri Light" w:eastAsia="Calibri Light" w:hAnsi="Calibri Light" w:cs="Calibri Light"/>
          <w:color w:val="495965"/>
          <w:u w:color="495965"/>
          <w:lang w:val="en-US" w:eastAsia="en-AU"/>
        </w:rPr>
        <w:t xml:space="preserve">in </w:t>
      </w:r>
      <w:r w:rsidRPr="00124632">
        <w:rPr>
          <w:rFonts w:ascii="Calibri Light" w:eastAsia="Calibri Light" w:hAnsi="Calibri Light" w:cs="Calibri Light"/>
          <w:color w:val="495965"/>
          <w:u w:color="495965"/>
          <w:lang w:val="en-US" w:eastAsia="en-AU"/>
        </w:rPr>
        <w:t>the next reporting period</w:t>
      </w:r>
      <w:r>
        <w:rPr>
          <w:rFonts w:ascii="Calibri Light" w:eastAsia="Calibri Light" w:hAnsi="Calibri Light" w:cs="Calibri Light"/>
          <w:color w:val="495965"/>
          <w:u w:color="495965"/>
          <w:lang w:val="en-US" w:eastAsia="en-AU"/>
        </w:rPr>
        <w:t xml:space="preserve"> with </w:t>
      </w:r>
      <w:r w:rsidR="00465364">
        <w:rPr>
          <w:rFonts w:ascii="Calibri Light" w:eastAsia="Calibri Light" w:hAnsi="Calibri Light" w:cs="Calibri Light"/>
          <w:color w:val="495965"/>
          <w:u w:color="495965"/>
          <w:lang w:val="en-US" w:eastAsia="en-AU"/>
        </w:rPr>
        <w:t>a new</w:t>
      </w:r>
      <w:r>
        <w:rPr>
          <w:rFonts w:ascii="Calibri Light" w:eastAsia="Calibri Light" w:hAnsi="Calibri Light" w:cs="Calibri Light"/>
          <w:color w:val="495965"/>
          <w:u w:color="495965"/>
          <w:lang w:val="en-US" w:eastAsia="en-AU"/>
        </w:rPr>
        <w:t xml:space="preserve"> phase currently </w:t>
      </w:r>
      <w:r w:rsidR="00465364">
        <w:rPr>
          <w:rFonts w:ascii="Calibri Light" w:eastAsia="Calibri Light" w:hAnsi="Calibri Light" w:cs="Calibri Light"/>
          <w:color w:val="495965"/>
          <w:u w:color="495965"/>
          <w:lang w:val="en-US" w:eastAsia="en-AU"/>
        </w:rPr>
        <w:t>under</w:t>
      </w:r>
      <w:r>
        <w:rPr>
          <w:rFonts w:ascii="Calibri Light" w:eastAsia="Calibri Light" w:hAnsi="Calibri Light" w:cs="Calibri Light"/>
          <w:color w:val="495965"/>
          <w:u w:color="495965"/>
          <w:lang w:val="en-US" w:eastAsia="en-AU"/>
        </w:rPr>
        <w:t xml:space="preserve"> design by the Government</w:t>
      </w:r>
      <w:r w:rsidRPr="00124632">
        <w:rPr>
          <w:rFonts w:ascii="Calibri Light" w:eastAsia="Calibri Light" w:hAnsi="Calibri Light" w:cs="Calibri Light"/>
          <w:color w:val="495965"/>
          <w:u w:color="495965"/>
          <w:lang w:val="en-US" w:eastAsia="en-AU"/>
        </w:rPr>
        <w:t>.</w:t>
      </w:r>
    </w:p>
    <w:p w14:paraId="1F0C9D6B" w14:textId="5BCAB7E6" w:rsidR="00F05EDC" w:rsidRPr="00F05EDC" w:rsidRDefault="00F547BF" w:rsidP="00F05EDC">
      <w:pPr>
        <w:jc w:val="both"/>
      </w:pPr>
      <w:r>
        <w:rPr>
          <w:lang w:val="en-US"/>
        </w:rPr>
        <w:t>During the reporting period, government</w:t>
      </w:r>
      <w:r w:rsidR="00405BDD">
        <w:rPr>
          <w:lang w:val="en-US"/>
        </w:rPr>
        <w:t xml:space="preserve"> </w:t>
      </w:r>
      <w:r w:rsidR="00CA58F3">
        <w:rPr>
          <w:lang w:val="en-US"/>
        </w:rPr>
        <w:t xml:space="preserve">expenditure </w:t>
      </w:r>
      <w:r w:rsidR="00405BDD">
        <w:rPr>
          <w:lang w:val="en-US"/>
        </w:rPr>
        <w:t xml:space="preserve">on social protection </w:t>
      </w:r>
      <w:r w:rsidR="00CA58F3" w:rsidRPr="00F547BF">
        <w:rPr>
          <w:lang w:val="en-US"/>
        </w:rPr>
        <w:t xml:space="preserve">increased </w:t>
      </w:r>
      <w:r w:rsidR="002E5B37" w:rsidRPr="00B4365A">
        <w:rPr>
          <w:lang w:val="en-US" w:eastAsia="en-AU"/>
        </w:rPr>
        <w:t>from $41.99 billion (2015-16) to $50.34 (2016-17</w:t>
      </w:r>
      <w:r w:rsidR="002E5B37" w:rsidRPr="00B4365A">
        <w:rPr>
          <w:lang w:eastAsia="en-AU"/>
        </w:rPr>
        <w:t>)</w:t>
      </w:r>
      <w:r w:rsidR="002E5B37" w:rsidRPr="00F547BF">
        <w:rPr>
          <w:rStyle w:val="FootnoteReference"/>
          <w:lang w:eastAsia="en-AU"/>
        </w:rPr>
        <w:footnoteReference w:id="50"/>
      </w:r>
      <w:r w:rsidR="002E5B37" w:rsidRPr="00F547BF">
        <w:rPr>
          <w:lang w:eastAsia="en-AU"/>
        </w:rPr>
        <w:t>.</w:t>
      </w:r>
      <w:r w:rsidR="00B01639">
        <w:rPr>
          <w:lang w:eastAsia="en-AU"/>
        </w:rPr>
        <w:t xml:space="preserve"> </w:t>
      </w:r>
      <w:r w:rsidR="00405BDD">
        <w:rPr>
          <w:lang w:eastAsia="en-AU"/>
        </w:rPr>
        <w:t xml:space="preserve">Social protection reform continues to be </w:t>
      </w:r>
      <w:r w:rsidR="009A1DFE">
        <w:rPr>
          <w:lang w:eastAsia="en-AU"/>
        </w:rPr>
        <w:t>a high priority</w:t>
      </w:r>
      <w:r>
        <w:rPr>
          <w:lang w:eastAsia="en-AU"/>
        </w:rPr>
        <w:t xml:space="preserve">, </w:t>
      </w:r>
      <w:r w:rsidR="009A1DFE">
        <w:rPr>
          <w:lang w:eastAsia="en-AU"/>
        </w:rPr>
        <w:t xml:space="preserve">with leadership provided by </w:t>
      </w:r>
      <w:r w:rsidR="00B406F5">
        <w:rPr>
          <w:lang w:eastAsia="en-AU"/>
        </w:rPr>
        <w:t>Cabinet and two central Ministries – Planning and Finance</w:t>
      </w:r>
      <w:r w:rsidR="009A1DFE">
        <w:rPr>
          <w:lang w:eastAsia="en-AU"/>
        </w:rPr>
        <w:t xml:space="preserve">.  Australia’s small but catalytic investment supports strengthening government systems </w:t>
      </w:r>
      <w:r>
        <w:rPr>
          <w:lang w:eastAsia="en-AU"/>
        </w:rPr>
        <w:t xml:space="preserve">towards </w:t>
      </w:r>
      <w:r w:rsidR="009A1DFE">
        <w:rPr>
          <w:lang w:eastAsia="en-AU"/>
        </w:rPr>
        <w:t xml:space="preserve">inclusive economic growth in Bangladesh. </w:t>
      </w:r>
    </w:p>
    <w:p w14:paraId="0534738A" w14:textId="12A025AE" w:rsidR="00124632" w:rsidRPr="00F05EDC" w:rsidRDefault="00124632" w:rsidP="00D13811">
      <w:pPr>
        <w:rPr>
          <w:rFonts w:ascii="Calibri Light" w:eastAsia="Calibri Light" w:hAnsi="Calibri Light" w:cs="Calibri Light"/>
          <w:bCs/>
          <w:i/>
          <w:color w:val="495965"/>
          <w:u w:color="495965"/>
          <w:lang w:val="en-US" w:eastAsia="en-AU"/>
        </w:rPr>
      </w:pPr>
      <w:r w:rsidRPr="00F05EDC">
        <w:rPr>
          <w:rFonts w:ascii="Calibri Light" w:eastAsia="Calibri Light" w:hAnsi="Calibri Light" w:cs="Calibri Light"/>
          <w:bCs/>
          <w:i/>
          <w:color w:val="495965"/>
          <w:u w:color="495965"/>
          <w:lang w:val="en-US" w:eastAsia="en-AU"/>
        </w:rPr>
        <w:t>BRAC</w:t>
      </w:r>
      <w:r w:rsidR="00555425">
        <w:rPr>
          <w:rFonts w:ascii="Calibri Light" w:eastAsia="Calibri Light" w:hAnsi="Calibri Light" w:cs="Calibri Light"/>
          <w:bCs/>
          <w:i/>
          <w:color w:val="495965"/>
          <w:u w:color="495965"/>
          <w:lang w:val="en-US" w:eastAsia="en-AU"/>
        </w:rPr>
        <w:t xml:space="preserve"> NGO</w:t>
      </w:r>
    </w:p>
    <w:p w14:paraId="48413AAB" w14:textId="11FE1A6C" w:rsidR="00C0179B" w:rsidRPr="00F05EDC" w:rsidRDefault="00C0179B" w:rsidP="00F05EDC">
      <w:pPr>
        <w:spacing w:after="120" w:line="280" w:lineRule="exact"/>
        <w:jc w:val="both"/>
        <w:rPr>
          <w:rFonts w:ascii="Calibri Light" w:eastAsia="Calibri Light" w:hAnsi="Calibri Light" w:cs="Calibri Light"/>
          <w:color w:val="495965"/>
          <w:u w:color="495965"/>
          <w:lang w:val="en-US" w:eastAsia="en-AU"/>
        </w:rPr>
      </w:pPr>
      <w:r w:rsidRPr="00C0179B">
        <w:rPr>
          <w:rFonts w:ascii="Calibri Light" w:eastAsia="Calibri Light" w:hAnsi="Calibri Light" w:cs="Calibri Light"/>
          <w:color w:val="495965"/>
          <w:u w:color="495965"/>
          <w:lang w:val="en-US" w:eastAsia="en-AU"/>
        </w:rPr>
        <w:t xml:space="preserve">Australia’s Strategic Partnership Arrangement (SPA) with BRAC continues to leverage BRAC’s high quality, large scale programs in areas of priority for Australia, including in primary education, skills development, and women’s economic empowerment.  BRAC is strongly aligned with the priorities of the Australian aid program, particularly with the aim to help poor and marginalised people into productive activity and to </w:t>
      </w:r>
      <w:r w:rsidR="00F05EDC">
        <w:rPr>
          <w:rFonts w:ascii="Calibri Light" w:eastAsia="Calibri Light" w:hAnsi="Calibri Light" w:cs="Calibri Light"/>
          <w:color w:val="495965"/>
          <w:u w:color="495965"/>
          <w:lang w:val="en-US" w:eastAsia="en-AU"/>
        </w:rPr>
        <w:t>equip the poor</w:t>
      </w:r>
      <w:r w:rsidR="00F05EDC" w:rsidRPr="00F05EDC">
        <w:rPr>
          <w:rFonts w:ascii="Calibri Light" w:eastAsia="Calibri Light" w:hAnsi="Calibri Light" w:cs="Calibri Light"/>
          <w:color w:val="495965"/>
          <w:u w:color="495965"/>
          <w:lang w:val="en-US" w:eastAsia="en-AU"/>
        </w:rPr>
        <w:t xml:space="preserve"> through better education to play a part in society and to contribute to the economy.</w:t>
      </w:r>
      <w:r w:rsidR="00555425">
        <w:rPr>
          <w:rFonts w:ascii="Calibri Light" w:eastAsia="Calibri Light" w:hAnsi="Calibri Light" w:cs="Calibri Light"/>
          <w:color w:val="495965"/>
          <w:u w:color="495965"/>
          <w:lang w:val="en-US" w:eastAsia="en-AU"/>
        </w:rPr>
        <w:t xml:space="preserve"> </w:t>
      </w:r>
      <w:r w:rsidR="00555425" w:rsidRPr="00555425">
        <w:rPr>
          <w:rFonts w:ascii="Calibri Light" w:eastAsia="Calibri Light" w:hAnsi="Calibri Light" w:cs="Calibri Light"/>
          <w:color w:val="495965"/>
          <w:u w:color="495965"/>
          <w:lang w:val="en-US" w:eastAsia="en-AU"/>
        </w:rPr>
        <w:t>BRAC provides direct benefits to the poor to find pathways out of poverty and towards participation in the growing economy, and complements Australia’s work supporting the large scale but slower change achievable through the</w:t>
      </w:r>
      <w:r w:rsidR="00555425">
        <w:rPr>
          <w:rFonts w:ascii="Calibri Light" w:eastAsia="Calibri Light" w:hAnsi="Calibri Light" w:cs="Calibri Light"/>
          <w:color w:val="495965"/>
          <w:u w:color="495965"/>
          <w:lang w:val="en-US" w:eastAsia="en-AU"/>
        </w:rPr>
        <w:t xml:space="preserve"> reform of government systems. </w:t>
      </w:r>
    </w:p>
    <w:p w14:paraId="54A64B02" w14:textId="26AB758C" w:rsidR="00F065E2" w:rsidRDefault="00C0179B" w:rsidP="00D13811">
      <w:pPr>
        <w:spacing w:after="120" w:line="280" w:lineRule="exact"/>
        <w:jc w:val="both"/>
        <w:rPr>
          <w:rFonts w:ascii="Calibri Light" w:eastAsia="Calibri Light" w:hAnsi="Calibri Light" w:cs="Calibri Light"/>
          <w:color w:val="495965"/>
          <w:u w:color="495965"/>
          <w:lang w:val="en-US" w:eastAsia="en-AU"/>
        </w:rPr>
      </w:pPr>
      <w:r w:rsidRPr="00C0179B">
        <w:rPr>
          <w:rFonts w:ascii="Calibri Light" w:eastAsia="Calibri Light" w:hAnsi="Calibri Light" w:cs="Calibri Light"/>
          <w:color w:val="495965"/>
          <w:u w:color="495965"/>
          <w:lang w:val="en-US" w:eastAsia="en-AU"/>
        </w:rPr>
        <w:t>BRAC has embarked on an ambitious organisational reform agenda, responding to changes in Bangladesh driven by t</w:t>
      </w:r>
      <w:r w:rsidR="009B0D82">
        <w:rPr>
          <w:rFonts w:ascii="Calibri Light" w:eastAsia="Calibri Light" w:hAnsi="Calibri Light" w:cs="Calibri Light"/>
          <w:color w:val="495965"/>
          <w:u w:color="495965"/>
          <w:lang w:val="en-US" w:eastAsia="en-AU"/>
        </w:rPr>
        <w:t xml:space="preserve">he country’s economic context. </w:t>
      </w:r>
      <w:r w:rsidRPr="00C0179B">
        <w:rPr>
          <w:rFonts w:ascii="Calibri Light" w:eastAsia="Calibri Light" w:hAnsi="Calibri Light" w:cs="Calibri Light"/>
          <w:color w:val="495965"/>
          <w:u w:color="495965"/>
          <w:lang w:val="en-US" w:eastAsia="en-AU"/>
        </w:rPr>
        <w:t>Central to this change is an ambition for increased financial sustainability and BRAC is trialing a number of new business models</w:t>
      </w:r>
      <w:r w:rsidR="009B0D82">
        <w:rPr>
          <w:rFonts w:ascii="Calibri Light" w:eastAsia="Calibri Light" w:hAnsi="Calibri Light" w:cs="Calibri Light"/>
          <w:color w:val="495965"/>
          <w:u w:color="495965"/>
          <w:lang w:val="en-US" w:eastAsia="en-AU"/>
        </w:rPr>
        <w:t xml:space="preserve"> to achieve this</w:t>
      </w:r>
      <w:r w:rsidRPr="00C0179B">
        <w:rPr>
          <w:rFonts w:ascii="Calibri Light" w:eastAsia="Calibri Light" w:hAnsi="Calibri Light" w:cs="Calibri Light"/>
          <w:color w:val="495965"/>
          <w:u w:color="495965"/>
          <w:lang w:val="en-US" w:eastAsia="en-AU"/>
        </w:rPr>
        <w:t>.</w:t>
      </w:r>
      <w:r w:rsidR="00F065E2">
        <w:rPr>
          <w:rFonts w:ascii="Calibri Light" w:eastAsia="Calibri Light" w:hAnsi="Calibri Light" w:cs="Calibri Light"/>
          <w:color w:val="495965"/>
          <w:u w:color="495965"/>
          <w:lang w:val="en-US" w:eastAsia="en-AU"/>
        </w:rPr>
        <w:t xml:space="preserve"> </w:t>
      </w:r>
      <w:r w:rsidR="001771F7">
        <w:rPr>
          <w:rFonts w:ascii="Calibri Light" w:eastAsia="Calibri Light" w:hAnsi="Calibri Light" w:cs="Calibri Light"/>
          <w:color w:val="495965"/>
          <w:u w:color="495965"/>
          <w:lang w:val="en-US" w:eastAsia="en-AU"/>
        </w:rPr>
        <w:t xml:space="preserve">Australian </w:t>
      </w:r>
      <w:r w:rsidRPr="00C0179B">
        <w:rPr>
          <w:rFonts w:ascii="Calibri Light" w:eastAsia="Calibri Light" w:hAnsi="Calibri Light" w:cs="Calibri Light"/>
          <w:color w:val="495965"/>
          <w:u w:color="495965"/>
          <w:lang w:val="en-US" w:eastAsia="en-AU"/>
        </w:rPr>
        <w:t>support for BRAC’s reform as a strong local development actor both strengthen</w:t>
      </w:r>
      <w:r w:rsidR="006F6978">
        <w:rPr>
          <w:rFonts w:ascii="Calibri Light" w:eastAsia="Calibri Light" w:hAnsi="Calibri Light" w:cs="Calibri Light"/>
          <w:color w:val="495965"/>
          <w:u w:color="495965"/>
          <w:lang w:val="en-US" w:eastAsia="en-AU"/>
        </w:rPr>
        <w:t>ed</w:t>
      </w:r>
      <w:r w:rsidRPr="00C0179B">
        <w:rPr>
          <w:rFonts w:ascii="Calibri Light" w:eastAsia="Calibri Light" w:hAnsi="Calibri Light" w:cs="Calibri Light"/>
          <w:color w:val="495965"/>
          <w:u w:color="495965"/>
          <w:lang w:val="en-US" w:eastAsia="en-AU"/>
        </w:rPr>
        <w:t xml:space="preserve"> local systems in Bangladesh and enable</w:t>
      </w:r>
      <w:r w:rsidR="006F6978">
        <w:rPr>
          <w:rFonts w:ascii="Calibri Light" w:eastAsia="Calibri Light" w:hAnsi="Calibri Light" w:cs="Calibri Light"/>
          <w:color w:val="495965"/>
          <w:u w:color="495965"/>
          <w:lang w:val="en-US" w:eastAsia="en-AU"/>
        </w:rPr>
        <w:t>d</w:t>
      </w:r>
      <w:r w:rsidRPr="00C0179B">
        <w:rPr>
          <w:rFonts w:ascii="Calibri Light" w:eastAsia="Calibri Light" w:hAnsi="Calibri Light" w:cs="Calibri Light"/>
          <w:color w:val="495965"/>
          <w:u w:color="495965"/>
          <w:lang w:val="en-US" w:eastAsia="en-AU"/>
        </w:rPr>
        <w:t xml:space="preserve"> Australia to participate in </w:t>
      </w:r>
      <w:r w:rsidR="00F547BF">
        <w:rPr>
          <w:rFonts w:ascii="Calibri Light" w:eastAsia="Calibri Light" w:hAnsi="Calibri Light" w:cs="Calibri Light"/>
          <w:color w:val="495965"/>
          <w:u w:color="495965"/>
          <w:lang w:val="en-US" w:eastAsia="en-AU"/>
        </w:rPr>
        <w:t>and contribute to</w:t>
      </w:r>
      <w:r w:rsidRPr="00C0179B">
        <w:rPr>
          <w:rFonts w:ascii="Calibri Light" w:eastAsia="Calibri Light" w:hAnsi="Calibri Light" w:cs="Calibri Light"/>
          <w:color w:val="495965"/>
          <w:u w:color="495965"/>
          <w:lang w:val="en-US" w:eastAsia="en-AU"/>
        </w:rPr>
        <w:t xml:space="preserve"> </w:t>
      </w:r>
      <w:r w:rsidR="006F6978">
        <w:rPr>
          <w:rFonts w:ascii="Calibri Light" w:eastAsia="Calibri Light" w:hAnsi="Calibri Light" w:cs="Calibri Light"/>
          <w:color w:val="495965"/>
          <w:u w:color="495965"/>
          <w:lang w:val="en-US" w:eastAsia="en-AU"/>
        </w:rPr>
        <w:t xml:space="preserve">emerging </w:t>
      </w:r>
      <w:r w:rsidRPr="00C0179B">
        <w:rPr>
          <w:rFonts w:ascii="Calibri Light" w:eastAsia="Calibri Light" w:hAnsi="Calibri Light" w:cs="Calibri Light"/>
          <w:color w:val="495965"/>
          <w:u w:color="495965"/>
          <w:lang w:val="en-US" w:eastAsia="en-AU"/>
        </w:rPr>
        <w:t>global discussions on the role of NGOs in a ch</w:t>
      </w:r>
      <w:r w:rsidR="009B0D82">
        <w:rPr>
          <w:rFonts w:ascii="Calibri Light" w:eastAsia="Calibri Light" w:hAnsi="Calibri Light" w:cs="Calibri Light"/>
          <w:color w:val="495965"/>
          <w:u w:color="495965"/>
          <w:lang w:val="en-US" w:eastAsia="en-AU"/>
        </w:rPr>
        <w:t>anging development landscape</w:t>
      </w:r>
      <w:r w:rsidR="006F6978">
        <w:rPr>
          <w:rFonts w:ascii="Calibri Light" w:eastAsia="Calibri Light" w:hAnsi="Calibri Light" w:cs="Calibri Light"/>
          <w:color w:val="495965"/>
          <w:u w:color="495965"/>
          <w:lang w:val="en-US" w:eastAsia="en-AU"/>
        </w:rPr>
        <w:t xml:space="preserve">. The </w:t>
      </w:r>
      <w:r w:rsidR="00F547BF">
        <w:rPr>
          <w:rFonts w:ascii="Calibri Light" w:eastAsia="Calibri Light" w:hAnsi="Calibri Light" w:cs="Calibri Light"/>
          <w:color w:val="495965"/>
          <w:u w:color="495965"/>
          <w:lang w:val="en-US" w:eastAsia="en-AU"/>
        </w:rPr>
        <w:t>BRAC Executive Director’s visit to Australia in October 2016</w:t>
      </w:r>
      <w:r w:rsidR="006F6978">
        <w:rPr>
          <w:rFonts w:ascii="Calibri Light" w:eastAsia="Calibri Light" w:hAnsi="Calibri Light" w:cs="Calibri Light"/>
          <w:color w:val="495965"/>
          <w:u w:color="495965"/>
          <w:lang w:val="en-US" w:eastAsia="en-AU"/>
        </w:rPr>
        <w:t>,</w:t>
      </w:r>
      <w:r w:rsidR="00F547BF">
        <w:rPr>
          <w:rFonts w:ascii="Calibri Light" w:eastAsia="Calibri Light" w:hAnsi="Calibri Light" w:cs="Calibri Light"/>
          <w:color w:val="495965"/>
          <w:u w:color="495965"/>
          <w:lang w:val="en-US" w:eastAsia="en-AU"/>
        </w:rPr>
        <w:t xml:space="preserve"> helped raise </w:t>
      </w:r>
      <w:r w:rsidR="006F6978">
        <w:rPr>
          <w:rFonts w:ascii="Calibri Light" w:eastAsia="Calibri Light" w:hAnsi="Calibri Light" w:cs="Calibri Light"/>
          <w:color w:val="495965"/>
          <w:u w:color="495965"/>
          <w:lang w:val="en-US" w:eastAsia="en-AU"/>
        </w:rPr>
        <w:t xml:space="preserve">the profile </w:t>
      </w:r>
      <w:r w:rsidR="00465364">
        <w:rPr>
          <w:rFonts w:ascii="Calibri Light" w:eastAsia="Calibri Light" w:hAnsi="Calibri Light" w:cs="Calibri Light"/>
          <w:color w:val="495965"/>
          <w:u w:color="495965"/>
          <w:lang w:val="en-US" w:eastAsia="en-AU"/>
        </w:rPr>
        <w:t>of</w:t>
      </w:r>
      <w:r w:rsidR="006F6978">
        <w:rPr>
          <w:rFonts w:ascii="Calibri Light" w:eastAsia="Calibri Light" w:hAnsi="Calibri Light" w:cs="Calibri Light"/>
          <w:color w:val="495965"/>
          <w:u w:color="495965"/>
          <w:lang w:val="en-US" w:eastAsia="en-AU"/>
        </w:rPr>
        <w:t xml:space="preserve"> BRAC’s innovative approach to sustainability and social enterprise</w:t>
      </w:r>
      <w:r w:rsidR="00F065E2" w:rsidRPr="00B4365A">
        <w:rPr>
          <w:rFonts w:ascii="Calibri Light" w:eastAsia="Calibri Light" w:hAnsi="Calibri Light" w:cs="Calibri Light"/>
          <w:color w:val="495965"/>
          <w:u w:color="495965"/>
          <w:lang w:val="en-US" w:eastAsia="en-AU"/>
        </w:rPr>
        <w:t>.</w:t>
      </w:r>
    </w:p>
    <w:p w14:paraId="13C7F9FD" w14:textId="7A0A434A" w:rsidR="000A4130" w:rsidRPr="006312FC" w:rsidRDefault="00C0179B" w:rsidP="00D13811">
      <w:pPr>
        <w:spacing w:after="120" w:line="280" w:lineRule="exact"/>
        <w:jc w:val="both"/>
        <w:rPr>
          <w:rFonts w:ascii="Calibri Light" w:eastAsia="Calibri Light" w:hAnsi="Calibri Light" w:cs="Calibri Light"/>
          <w:color w:val="495965"/>
          <w:u w:color="495965"/>
          <w:lang w:val="en-US" w:eastAsia="en-AU"/>
        </w:rPr>
      </w:pPr>
      <w:r w:rsidRPr="00C0179B">
        <w:rPr>
          <w:rFonts w:ascii="Calibri Light" w:eastAsia="Calibri Light" w:hAnsi="Calibri Light" w:cs="Calibri Light"/>
          <w:color w:val="495965"/>
          <w:u w:color="495965"/>
          <w:lang w:val="en-US" w:eastAsia="en-AU"/>
        </w:rPr>
        <w:t xml:space="preserve">In this first year of the second phase of </w:t>
      </w:r>
      <w:r w:rsidR="001771F7">
        <w:rPr>
          <w:rFonts w:ascii="Calibri Light" w:eastAsia="Calibri Light" w:hAnsi="Calibri Light" w:cs="Calibri Light"/>
          <w:color w:val="495965"/>
          <w:u w:color="495965"/>
          <w:lang w:val="en-US" w:eastAsia="en-AU"/>
        </w:rPr>
        <w:t xml:space="preserve">the </w:t>
      </w:r>
      <w:r w:rsidRPr="00C0179B">
        <w:rPr>
          <w:rFonts w:ascii="Calibri Light" w:eastAsia="Calibri Light" w:hAnsi="Calibri Light" w:cs="Calibri Light"/>
          <w:color w:val="495965"/>
          <w:u w:color="495965"/>
          <w:lang w:val="en-US" w:eastAsia="en-AU"/>
        </w:rPr>
        <w:t>partnership with BRAC</w:t>
      </w:r>
      <w:r w:rsidR="00F547BF">
        <w:rPr>
          <w:rFonts w:ascii="Calibri Light" w:eastAsia="Calibri Light" w:hAnsi="Calibri Light" w:cs="Calibri Light"/>
          <w:color w:val="495965"/>
          <w:u w:color="495965"/>
          <w:lang w:val="en-US" w:eastAsia="en-AU"/>
        </w:rPr>
        <w:t>,</w:t>
      </w:r>
      <w:r w:rsidRPr="00C0179B">
        <w:rPr>
          <w:rFonts w:ascii="Calibri Light" w:eastAsia="Calibri Light" w:hAnsi="Calibri Light" w:cs="Calibri Light"/>
          <w:color w:val="495965"/>
          <w:u w:color="495965"/>
          <w:lang w:val="en-US" w:eastAsia="en-AU"/>
        </w:rPr>
        <w:t xml:space="preserve"> collaboration focused on strengthening frameworks f</w:t>
      </w:r>
      <w:r w:rsidR="009B0D82">
        <w:rPr>
          <w:rFonts w:ascii="Calibri Light" w:eastAsia="Calibri Light" w:hAnsi="Calibri Light" w:cs="Calibri Light"/>
          <w:color w:val="495965"/>
          <w:u w:color="495965"/>
          <w:lang w:val="en-US" w:eastAsia="en-AU"/>
        </w:rPr>
        <w:t xml:space="preserve">or demonstrating results. </w:t>
      </w:r>
    </w:p>
    <w:p w14:paraId="05641F0E" w14:textId="77777777" w:rsidR="00C75127" w:rsidRDefault="00C75127" w:rsidP="00124632">
      <w:pPr>
        <w:spacing w:after="120" w:line="280" w:lineRule="exact"/>
        <w:rPr>
          <w:rFonts w:ascii="Calibri Light" w:eastAsia="Calibri Light" w:hAnsi="Calibri Light" w:cs="Calibri Light"/>
          <w:bCs/>
          <w:i/>
          <w:color w:val="495965"/>
          <w:u w:color="495965"/>
          <w:lang w:val="en-US" w:eastAsia="en-AU"/>
        </w:rPr>
      </w:pPr>
    </w:p>
    <w:p w14:paraId="7A7C63D2" w14:textId="16EFFDA7" w:rsidR="00C75127" w:rsidRDefault="00C75127" w:rsidP="00124632">
      <w:pPr>
        <w:spacing w:after="120" w:line="280" w:lineRule="exact"/>
        <w:rPr>
          <w:rFonts w:ascii="Calibri Light" w:eastAsia="Calibri Light" w:hAnsi="Calibri Light" w:cs="Calibri Light"/>
          <w:bCs/>
          <w:i/>
          <w:color w:val="495965"/>
          <w:u w:color="495965"/>
          <w:lang w:val="en-US" w:eastAsia="en-AU"/>
        </w:rPr>
      </w:pPr>
    </w:p>
    <w:p w14:paraId="0FE2B3DB" w14:textId="77777777" w:rsidR="00567400" w:rsidRDefault="00567400" w:rsidP="00124632">
      <w:pPr>
        <w:spacing w:after="120" w:line="280" w:lineRule="exact"/>
        <w:rPr>
          <w:rFonts w:ascii="Calibri Light" w:eastAsia="Calibri Light" w:hAnsi="Calibri Light" w:cs="Calibri Light"/>
          <w:bCs/>
          <w:i/>
          <w:color w:val="495965"/>
          <w:u w:color="495965"/>
          <w:lang w:val="en-US" w:eastAsia="en-AU"/>
        </w:rPr>
      </w:pPr>
    </w:p>
    <w:p w14:paraId="79CE19E0" w14:textId="095AC676" w:rsidR="004475E8" w:rsidRPr="00A20FBD" w:rsidRDefault="00124632" w:rsidP="00124632">
      <w:pPr>
        <w:spacing w:after="120" w:line="280" w:lineRule="exact"/>
        <w:rPr>
          <w:rFonts w:ascii="Calibri Light" w:eastAsia="Calibri Light" w:hAnsi="Calibri Light" w:cs="Calibri Light"/>
          <w:b/>
          <w:bCs/>
          <w:i/>
          <w:color w:val="495965"/>
          <w:u w:color="495965"/>
          <w:lang w:val="en-US" w:eastAsia="en-AU"/>
        </w:rPr>
      </w:pPr>
      <w:r w:rsidRPr="00A20FBD">
        <w:rPr>
          <w:rFonts w:ascii="Calibri Light" w:eastAsia="Calibri Light" w:hAnsi="Calibri Light" w:cs="Calibri Light"/>
          <w:b/>
          <w:bCs/>
          <w:i/>
          <w:color w:val="495965"/>
          <w:u w:color="495965"/>
          <w:lang w:val="en-US" w:eastAsia="en-AU"/>
        </w:rPr>
        <w:lastRenderedPageBreak/>
        <w:t>World Food Programme</w:t>
      </w:r>
      <w:r w:rsidR="007155A5" w:rsidRPr="00A20FBD">
        <w:rPr>
          <w:rFonts w:ascii="Calibri Light" w:eastAsia="Calibri Light" w:hAnsi="Calibri Light" w:cs="Calibri Light"/>
          <w:b/>
          <w:bCs/>
          <w:i/>
          <w:color w:val="495965"/>
          <w:u w:color="495965"/>
          <w:lang w:val="en-US" w:eastAsia="en-AU"/>
        </w:rPr>
        <w:t xml:space="preserve"> (WFP)</w:t>
      </w:r>
      <w:r w:rsidRPr="00A20FBD">
        <w:rPr>
          <w:rFonts w:ascii="Calibri Light" w:eastAsia="Calibri Light" w:hAnsi="Calibri Light" w:cs="Calibri Light"/>
          <w:b/>
          <w:bCs/>
          <w:i/>
          <w:color w:val="495965"/>
          <w:u w:color="495965"/>
          <w:lang w:val="en-US" w:eastAsia="en-AU"/>
        </w:rPr>
        <w:t xml:space="preserve"> </w:t>
      </w:r>
    </w:p>
    <w:p w14:paraId="72C3A4B4" w14:textId="37ED9023" w:rsidR="00D21679" w:rsidRPr="009A0607" w:rsidRDefault="004475E8" w:rsidP="00D13811">
      <w:pPr>
        <w:spacing w:after="120" w:line="280" w:lineRule="exact"/>
        <w:jc w:val="both"/>
        <w:rPr>
          <w:rFonts w:ascii="Calibri Light" w:eastAsia="Calibri Light" w:hAnsi="Calibri Light" w:cs="Calibri Light"/>
          <w:color w:val="495965"/>
          <w:u w:color="495965"/>
          <w:lang w:val="en-AU" w:eastAsia="en-AU"/>
        </w:rPr>
      </w:pPr>
      <w:r w:rsidRPr="00124632">
        <w:rPr>
          <w:rFonts w:ascii="Calibri Light" w:eastAsia="Calibri Light" w:hAnsi="Calibri Light" w:cs="Calibri Light"/>
          <w:color w:val="495965"/>
          <w:u w:color="495965"/>
          <w:lang w:val="en-US" w:eastAsia="en-AU"/>
        </w:rPr>
        <w:t xml:space="preserve">WFP maintained its strong track record of delivering humanitarian assistance in the complex environment of Cox’s Bazar. </w:t>
      </w:r>
      <w:r w:rsidRPr="009A0607">
        <w:rPr>
          <w:rFonts w:ascii="Calibri Light" w:eastAsia="Calibri Light" w:hAnsi="Calibri Light" w:cs="Calibri Light"/>
          <w:color w:val="495965"/>
          <w:u w:color="495965"/>
          <w:lang w:val="en-US" w:eastAsia="en-AU"/>
        </w:rPr>
        <w:t>During the reporting period, WFP successfully met all targets despite several significant operational challenges, including the influx of over 74,000 new Rohingya arrivals from Myanmar.  WFP also adeptly responded to the changed security contex</w:t>
      </w:r>
      <w:r w:rsidR="00D21679" w:rsidRPr="009A0607">
        <w:rPr>
          <w:rFonts w:ascii="Calibri Light" w:eastAsia="Calibri Light" w:hAnsi="Calibri Light" w:cs="Calibri Light"/>
          <w:color w:val="495965"/>
          <w:u w:color="495965"/>
          <w:lang w:val="en-US" w:eastAsia="en-AU"/>
        </w:rPr>
        <w:t>t.</w:t>
      </w:r>
      <w:r w:rsidR="00D21679" w:rsidRPr="009A0607">
        <w:rPr>
          <w:rFonts w:ascii="Arial" w:hAnsi="Arial" w:cs="Arial"/>
          <w:color w:val="auto"/>
          <w:sz w:val="20"/>
          <w:szCs w:val="20"/>
          <w:lang w:val="en-AU"/>
        </w:rPr>
        <w:t xml:space="preserve"> </w:t>
      </w:r>
      <w:r w:rsidR="00D21679" w:rsidRPr="009A0607">
        <w:rPr>
          <w:rFonts w:ascii="Calibri Light" w:eastAsia="Calibri Light" w:hAnsi="Calibri Light" w:cs="Calibri Light"/>
          <w:color w:val="495965"/>
          <w:u w:color="495965"/>
          <w:lang w:val="en-AU" w:eastAsia="en-AU"/>
        </w:rPr>
        <w:t>WFP continue</w:t>
      </w:r>
      <w:r w:rsidR="00F547BF" w:rsidRPr="009A0607">
        <w:rPr>
          <w:rFonts w:ascii="Calibri Light" w:eastAsia="Calibri Light" w:hAnsi="Calibri Light" w:cs="Calibri Light"/>
          <w:color w:val="495965"/>
          <w:u w:color="495965"/>
          <w:lang w:val="en-AU" w:eastAsia="en-AU"/>
        </w:rPr>
        <w:t>d</w:t>
      </w:r>
      <w:r w:rsidR="00D21679" w:rsidRPr="009A0607">
        <w:rPr>
          <w:rFonts w:ascii="Calibri Light" w:eastAsia="Calibri Light" w:hAnsi="Calibri Light" w:cs="Calibri Light"/>
          <w:color w:val="495965"/>
          <w:u w:color="495965"/>
          <w:lang w:val="en-AU" w:eastAsia="en-AU"/>
        </w:rPr>
        <w:t xml:space="preserve"> its project implementation and monitoring uninterrupted through the deployment of police escorts, third party and remote monitoring and working with the United Nations Department o</w:t>
      </w:r>
      <w:r w:rsidR="00462827" w:rsidRPr="009A0607">
        <w:rPr>
          <w:rFonts w:ascii="Calibri Light" w:eastAsia="Calibri Light" w:hAnsi="Calibri Light" w:cs="Calibri Light"/>
          <w:color w:val="495965"/>
          <w:u w:color="495965"/>
          <w:lang w:val="en-AU" w:eastAsia="en-AU"/>
        </w:rPr>
        <w:t>f Safety and Security</w:t>
      </w:r>
      <w:r w:rsidR="002E5B37" w:rsidRPr="009A0607">
        <w:rPr>
          <w:rFonts w:ascii="Calibri Light" w:eastAsia="Calibri Light" w:hAnsi="Calibri Light" w:cs="Calibri Light"/>
          <w:color w:val="495965"/>
          <w:u w:color="495965"/>
          <w:lang w:val="en-AU" w:eastAsia="en-AU"/>
        </w:rPr>
        <w:t xml:space="preserve"> to support staff field visits</w:t>
      </w:r>
      <w:r w:rsidR="00D934ED" w:rsidRPr="009A0607">
        <w:rPr>
          <w:rFonts w:ascii="Calibri Light" w:eastAsia="Calibri Light" w:hAnsi="Calibri Light" w:cs="Calibri Light"/>
          <w:color w:val="495965"/>
          <w:u w:color="495965"/>
          <w:lang w:val="en-AU" w:eastAsia="en-AU"/>
        </w:rPr>
        <w:t>.</w:t>
      </w:r>
      <w:r w:rsidR="00D93A67" w:rsidRPr="009A0607">
        <w:rPr>
          <w:rStyle w:val="FootnoteReference"/>
          <w:rFonts w:ascii="Calibri Light" w:eastAsia="Calibri Light" w:hAnsi="Calibri Light" w:cs="Calibri Light"/>
          <w:color w:val="495965"/>
          <w:u w:color="495965"/>
          <w:lang w:val="en-AU" w:eastAsia="en-AU"/>
        </w:rPr>
        <w:footnoteReference w:id="51"/>
      </w:r>
      <w:r w:rsidR="00D93A67" w:rsidRPr="009A0607">
        <w:rPr>
          <w:rFonts w:ascii="Calibri Light" w:eastAsia="Calibri Light" w:hAnsi="Calibri Light" w:cs="Calibri Light"/>
          <w:color w:val="495965"/>
          <w:u w:color="495965"/>
          <w:lang w:val="en-AU" w:eastAsia="en-AU"/>
        </w:rPr>
        <w:t xml:space="preserve">  </w:t>
      </w:r>
    </w:p>
    <w:p w14:paraId="569270D2" w14:textId="77777777" w:rsidR="00AA29AE" w:rsidRPr="009A0607" w:rsidRDefault="002E5B37" w:rsidP="00D13811">
      <w:pPr>
        <w:spacing w:after="120" w:line="280" w:lineRule="exact"/>
        <w:jc w:val="both"/>
        <w:rPr>
          <w:rFonts w:ascii="Calibri Light" w:eastAsia="Calibri Light" w:hAnsi="Calibri Light" w:cs="Calibri Light"/>
          <w:color w:val="495965"/>
          <w:u w:color="495965"/>
          <w:lang w:val="en-AU" w:eastAsia="en-AU"/>
        </w:rPr>
      </w:pPr>
      <w:r w:rsidRPr="00B4365A">
        <w:rPr>
          <w:rFonts w:ascii="Calibri Light" w:eastAsia="Calibri Light" w:hAnsi="Calibri Light" w:cs="Calibri Light"/>
          <w:color w:val="495965"/>
          <w:u w:color="495965"/>
          <w:lang w:val="en-AU" w:eastAsia="en-AU"/>
        </w:rPr>
        <w:t xml:space="preserve">The electronic food distribution system, fully implemented in 2016-17, has </w:t>
      </w:r>
      <w:r w:rsidR="00860AB6" w:rsidRPr="00B4365A">
        <w:rPr>
          <w:rFonts w:ascii="Calibri Light" w:eastAsia="Calibri Light" w:hAnsi="Calibri Light" w:cs="Calibri Light"/>
          <w:color w:val="495965"/>
          <w:u w:color="495965"/>
          <w:lang w:val="en-AU" w:eastAsia="en-AU"/>
        </w:rPr>
        <w:t xml:space="preserve">proven to be a success. </w:t>
      </w:r>
      <w:r w:rsidR="00AA29AE" w:rsidRPr="00B4365A">
        <w:rPr>
          <w:rFonts w:ascii="Calibri Light" w:eastAsia="Calibri Light" w:hAnsi="Calibri Light" w:cs="Calibri Light"/>
          <w:color w:val="495965"/>
          <w:u w:color="495965"/>
          <w:lang w:val="en-AU" w:eastAsia="en-AU"/>
        </w:rPr>
        <w:t>A</w:t>
      </w:r>
      <w:r w:rsidRPr="00B4365A">
        <w:rPr>
          <w:rFonts w:ascii="Calibri Light" w:eastAsia="Calibri Light" w:hAnsi="Calibri Light" w:cs="Calibri Light"/>
          <w:color w:val="495965"/>
          <w:u w:color="495965"/>
          <w:lang w:val="en-AU" w:eastAsia="en-AU"/>
        </w:rPr>
        <w:t xml:space="preserve"> 2016 </w:t>
      </w:r>
      <w:r w:rsidR="00440572" w:rsidRPr="00B4365A">
        <w:rPr>
          <w:rFonts w:ascii="Calibri Light" w:eastAsia="Calibri Light" w:hAnsi="Calibri Light" w:cs="Calibri Light"/>
          <w:color w:val="495965"/>
          <w:u w:color="495965"/>
          <w:lang w:val="en-AU" w:eastAsia="en-AU"/>
        </w:rPr>
        <w:t xml:space="preserve">Joint Assessment Mission by </w:t>
      </w:r>
      <w:r w:rsidR="00AA29AE" w:rsidRPr="00B4365A">
        <w:rPr>
          <w:rFonts w:ascii="Calibri Light" w:eastAsia="Calibri Light" w:hAnsi="Calibri Light" w:cs="Calibri Light"/>
          <w:color w:val="495965"/>
          <w:u w:color="495965"/>
          <w:lang w:val="en-AU" w:eastAsia="en-AU"/>
        </w:rPr>
        <w:t>WFP and the Office of the United Nations High Commissioner for Refugees (</w:t>
      </w:r>
      <w:r w:rsidR="00440572" w:rsidRPr="00B4365A">
        <w:rPr>
          <w:rFonts w:ascii="Calibri Light" w:eastAsia="Calibri Light" w:hAnsi="Calibri Light" w:cs="Calibri Light"/>
          <w:color w:val="495965"/>
          <w:u w:color="495965"/>
          <w:lang w:val="en-AU" w:eastAsia="en-AU"/>
        </w:rPr>
        <w:t>UNHCR)</w:t>
      </w:r>
      <w:r w:rsidRPr="00B4365A">
        <w:rPr>
          <w:rFonts w:ascii="Calibri Light" w:eastAsia="Calibri Light" w:hAnsi="Calibri Light" w:cs="Calibri Light"/>
          <w:color w:val="495965"/>
          <w:u w:color="495965"/>
          <w:lang w:val="en-AU" w:eastAsia="en-AU"/>
        </w:rPr>
        <w:t xml:space="preserve"> </w:t>
      </w:r>
      <w:r w:rsidR="00C86C9F" w:rsidRPr="00B4365A">
        <w:rPr>
          <w:rFonts w:ascii="Calibri Light" w:eastAsia="Calibri Light" w:hAnsi="Calibri Light" w:cs="Calibri Light"/>
          <w:color w:val="495965"/>
          <w:u w:color="495965"/>
          <w:lang w:val="en-AU" w:eastAsia="en-AU"/>
        </w:rPr>
        <w:t>found the change in the general food ration modality from the in-kind assistance to the electronic voucher sys</w:t>
      </w:r>
      <w:r w:rsidR="00860AB6" w:rsidRPr="00B4365A">
        <w:rPr>
          <w:rFonts w:ascii="Calibri Light" w:eastAsia="Calibri Light" w:hAnsi="Calibri Light" w:cs="Calibri Light"/>
          <w:color w:val="495965"/>
          <w:u w:color="495965"/>
          <w:lang w:val="en-AU" w:eastAsia="en-AU"/>
        </w:rPr>
        <w:t>tem</w:t>
      </w:r>
      <w:r w:rsidR="00C86C9F" w:rsidRPr="00B4365A">
        <w:rPr>
          <w:rFonts w:ascii="Calibri Light" w:eastAsia="Calibri Light" w:hAnsi="Calibri Light" w:cs="Calibri Light"/>
          <w:color w:val="495965"/>
          <w:u w:color="495965"/>
          <w:lang w:val="en-AU" w:eastAsia="en-AU"/>
        </w:rPr>
        <w:t xml:space="preserve"> </w:t>
      </w:r>
      <w:r w:rsidR="00860AB6" w:rsidRPr="00B4365A">
        <w:rPr>
          <w:rFonts w:ascii="Calibri Light" w:eastAsia="Calibri Light" w:hAnsi="Calibri Light" w:cs="Calibri Light"/>
          <w:color w:val="495965"/>
          <w:u w:color="495965"/>
          <w:lang w:val="en-AU" w:eastAsia="en-AU"/>
        </w:rPr>
        <w:t xml:space="preserve">significantly </w:t>
      </w:r>
      <w:r w:rsidR="00C86C9F" w:rsidRPr="00B4365A">
        <w:rPr>
          <w:rFonts w:ascii="Calibri Light" w:eastAsia="Calibri Light" w:hAnsi="Calibri Light" w:cs="Calibri Light"/>
          <w:color w:val="495965"/>
          <w:u w:color="495965"/>
          <w:lang w:val="en-AU" w:eastAsia="en-AU"/>
        </w:rPr>
        <w:t xml:space="preserve">improved the </w:t>
      </w:r>
      <w:r w:rsidR="00D934ED" w:rsidRPr="00B4365A">
        <w:rPr>
          <w:rFonts w:ascii="Calibri Light" w:eastAsia="Calibri Light" w:hAnsi="Calibri Light" w:cs="Calibri Light"/>
          <w:color w:val="495965"/>
          <w:u w:color="495965"/>
          <w:lang w:val="en-AU" w:eastAsia="en-AU"/>
        </w:rPr>
        <w:t>food assistance</w:t>
      </w:r>
      <w:r w:rsidR="00462827" w:rsidRPr="00B4365A">
        <w:rPr>
          <w:rFonts w:ascii="Calibri Light" w:eastAsia="Calibri Light" w:hAnsi="Calibri Light" w:cs="Calibri Light"/>
          <w:color w:val="495965"/>
          <w:u w:color="495965"/>
          <w:lang w:val="en-AU" w:eastAsia="en-AU"/>
        </w:rPr>
        <w:t xml:space="preserve"> system</w:t>
      </w:r>
      <w:r w:rsidR="00D21679" w:rsidRPr="00B4365A">
        <w:rPr>
          <w:rFonts w:ascii="Calibri Light" w:eastAsia="Calibri Light" w:hAnsi="Calibri Light" w:cs="Calibri Light"/>
          <w:color w:val="495965"/>
          <w:u w:color="495965"/>
          <w:lang w:val="en-AU" w:eastAsia="en-AU"/>
        </w:rPr>
        <w:t xml:space="preserve">. </w:t>
      </w:r>
      <w:r w:rsidRPr="00B4365A">
        <w:rPr>
          <w:rFonts w:ascii="Calibri Light" w:eastAsia="Calibri Light" w:hAnsi="Calibri Light" w:cs="Calibri Light"/>
          <w:color w:val="495965"/>
          <w:u w:color="495965"/>
          <w:lang w:val="en-AU" w:eastAsia="en-AU"/>
        </w:rPr>
        <w:t xml:space="preserve">The new system provided </w:t>
      </w:r>
      <w:r w:rsidR="00AA29AE" w:rsidRPr="00B4365A">
        <w:rPr>
          <w:rFonts w:ascii="Calibri Light" w:eastAsia="Calibri Light" w:hAnsi="Calibri Light" w:cs="Calibri Light"/>
          <w:color w:val="495965"/>
          <w:u w:color="495965"/>
          <w:lang w:val="en-AU" w:eastAsia="en-AU"/>
        </w:rPr>
        <w:t>flexibility and a choice of commodi</w:t>
      </w:r>
      <w:r w:rsidRPr="00B4365A">
        <w:rPr>
          <w:rFonts w:ascii="Calibri Light" w:eastAsia="Calibri Light" w:hAnsi="Calibri Light" w:cs="Calibri Light"/>
          <w:color w:val="495965"/>
          <w:u w:color="495965"/>
          <w:lang w:val="en-AU" w:eastAsia="en-AU"/>
        </w:rPr>
        <w:t>ties. It was</w:t>
      </w:r>
      <w:r w:rsidR="00AA29AE" w:rsidRPr="00B4365A">
        <w:rPr>
          <w:rFonts w:ascii="Calibri Light" w:eastAsia="Calibri Light" w:hAnsi="Calibri Light" w:cs="Calibri Light"/>
          <w:color w:val="495965"/>
          <w:u w:color="495965"/>
          <w:lang w:val="en-AU" w:eastAsia="en-AU"/>
        </w:rPr>
        <w:t xml:space="preserve"> successful in supporting the local market and increasing the availability of local produce. </w:t>
      </w:r>
      <w:r w:rsidR="00D21679" w:rsidRPr="00B4365A">
        <w:rPr>
          <w:rFonts w:ascii="Calibri Light" w:eastAsia="Calibri Light" w:hAnsi="Calibri Light" w:cs="Calibri Light"/>
          <w:color w:val="495965"/>
          <w:u w:color="495965"/>
          <w:lang w:val="en-AU" w:eastAsia="en-AU"/>
        </w:rPr>
        <w:t xml:space="preserve">It had </w:t>
      </w:r>
      <w:r w:rsidRPr="00B4365A">
        <w:rPr>
          <w:rFonts w:ascii="Calibri Light" w:eastAsia="Calibri Light" w:hAnsi="Calibri Light" w:cs="Calibri Light"/>
          <w:color w:val="495965"/>
          <w:u w:color="495965"/>
          <w:lang w:val="en-AU" w:eastAsia="en-AU"/>
        </w:rPr>
        <w:t>also contributed to improving</w:t>
      </w:r>
      <w:r w:rsidR="00D21679" w:rsidRPr="00B4365A">
        <w:rPr>
          <w:rFonts w:ascii="Calibri Light" w:eastAsia="Calibri Light" w:hAnsi="Calibri Light" w:cs="Calibri Light"/>
          <w:color w:val="495965"/>
          <w:u w:color="495965"/>
          <w:lang w:val="en-AU" w:eastAsia="en-AU"/>
        </w:rPr>
        <w:t xml:space="preserve"> the </w:t>
      </w:r>
      <w:r w:rsidR="00AA29AE" w:rsidRPr="00B4365A">
        <w:rPr>
          <w:rFonts w:ascii="Calibri Light" w:eastAsia="Calibri Light" w:hAnsi="Calibri Light" w:cs="Calibri Light"/>
          <w:color w:val="495965"/>
          <w:u w:color="495965"/>
          <w:lang w:val="en-AU" w:eastAsia="en-AU"/>
        </w:rPr>
        <w:t xml:space="preserve">position of women in the households </w:t>
      </w:r>
      <w:r w:rsidR="00D21679" w:rsidRPr="00B4365A">
        <w:rPr>
          <w:rFonts w:ascii="Calibri Light" w:eastAsia="Calibri Light" w:hAnsi="Calibri Light" w:cs="Calibri Light"/>
          <w:color w:val="495965"/>
          <w:u w:color="495965"/>
          <w:lang w:val="en-AU" w:eastAsia="en-AU"/>
        </w:rPr>
        <w:t>by making them the primary card-</w:t>
      </w:r>
      <w:r w:rsidR="00AA29AE" w:rsidRPr="00B4365A">
        <w:rPr>
          <w:rFonts w:ascii="Calibri Light" w:eastAsia="Calibri Light" w:hAnsi="Calibri Light" w:cs="Calibri Light"/>
          <w:color w:val="495965"/>
          <w:u w:color="495965"/>
          <w:lang w:val="en-AU" w:eastAsia="en-AU"/>
        </w:rPr>
        <w:t>holders</w:t>
      </w:r>
      <w:r w:rsidR="00462827" w:rsidRPr="00B4365A">
        <w:rPr>
          <w:rStyle w:val="FootnoteReference"/>
          <w:rFonts w:ascii="Calibri Light" w:eastAsia="Calibri Light" w:hAnsi="Calibri Light" w:cs="Calibri Light"/>
          <w:color w:val="495965"/>
          <w:u w:color="495965"/>
          <w:lang w:val="en-AU" w:eastAsia="en-AU"/>
        </w:rPr>
        <w:footnoteReference w:id="52"/>
      </w:r>
      <w:r w:rsidR="00AA29AE" w:rsidRPr="00B4365A">
        <w:rPr>
          <w:rFonts w:ascii="Calibri Light" w:eastAsia="Calibri Light" w:hAnsi="Calibri Light" w:cs="Calibri Light"/>
          <w:color w:val="495965"/>
          <w:u w:color="495965"/>
          <w:lang w:val="en-AU" w:eastAsia="en-AU"/>
        </w:rPr>
        <w:t>.</w:t>
      </w:r>
    </w:p>
    <w:p w14:paraId="4AFF03A0" w14:textId="59A45563" w:rsidR="004475E8" w:rsidRPr="00497BC3" w:rsidRDefault="004475E8" w:rsidP="00D13811">
      <w:pPr>
        <w:spacing w:after="120" w:line="280" w:lineRule="exact"/>
        <w:jc w:val="both"/>
        <w:rPr>
          <w:rFonts w:ascii="Calibri Light" w:eastAsia="Calibri Light" w:hAnsi="Calibri Light" w:cs="Calibri Light"/>
          <w:color w:val="495965"/>
          <w:u w:color="495965"/>
          <w:lang w:val="en-US" w:eastAsia="en-AU"/>
        </w:rPr>
      </w:pPr>
      <w:r w:rsidRPr="009A0607">
        <w:rPr>
          <w:rFonts w:ascii="Calibri Light" w:eastAsia="Calibri Light" w:hAnsi="Calibri Light" w:cs="Calibri Light"/>
          <w:color w:val="495965"/>
          <w:u w:color="495965"/>
          <w:lang w:val="en-US" w:eastAsia="en-AU"/>
        </w:rPr>
        <w:t>Noting WFP’s strong performance</w:t>
      </w:r>
      <w:r w:rsidR="00465364">
        <w:rPr>
          <w:rFonts w:ascii="Calibri Light" w:eastAsia="Calibri Light" w:hAnsi="Calibri Light" w:cs="Calibri Light"/>
          <w:color w:val="495965"/>
          <w:u w:color="495965"/>
          <w:lang w:val="en-US" w:eastAsia="en-AU"/>
        </w:rPr>
        <w:t>,</w:t>
      </w:r>
      <w:r w:rsidR="009A0607" w:rsidRPr="009A0607">
        <w:rPr>
          <w:rFonts w:ascii="Calibri Light" w:eastAsia="Calibri Light" w:hAnsi="Calibri Light" w:cs="Calibri Light"/>
          <w:color w:val="495965"/>
          <w:u w:color="495965"/>
          <w:lang w:val="en-US" w:eastAsia="en-AU"/>
        </w:rPr>
        <w:t xml:space="preserve"> t</w:t>
      </w:r>
      <w:r w:rsidRPr="009A0607">
        <w:rPr>
          <w:rFonts w:ascii="Calibri Light" w:eastAsia="Calibri Light" w:hAnsi="Calibri Light" w:cs="Calibri Light"/>
          <w:color w:val="495965"/>
          <w:u w:color="495965"/>
          <w:lang w:val="en-US" w:eastAsia="en-AU"/>
        </w:rPr>
        <w:t>he next phase will provide flexible core funding to WFP’s Country Strategic Plan (CSP) 2017-2020. Three out of</w:t>
      </w:r>
      <w:r w:rsidRPr="00124632">
        <w:rPr>
          <w:rFonts w:ascii="Calibri Light" w:eastAsia="Calibri Light" w:hAnsi="Calibri Light" w:cs="Calibri Light"/>
          <w:color w:val="495965"/>
          <w:u w:color="495965"/>
          <w:lang w:val="en-US" w:eastAsia="en-AU"/>
        </w:rPr>
        <w:t xml:space="preserve"> the four CSP objective</w:t>
      </w:r>
      <w:r>
        <w:rPr>
          <w:rFonts w:ascii="Calibri Light" w:eastAsia="Calibri Light" w:hAnsi="Calibri Light" w:cs="Calibri Light"/>
          <w:color w:val="495965"/>
          <w:u w:color="495965"/>
          <w:lang w:val="en-US" w:eastAsia="en-AU"/>
        </w:rPr>
        <w:t>s</w:t>
      </w:r>
      <w:r w:rsidRPr="00124632">
        <w:rPr>
          <w:rFonts w:ascii="Calibri Light" w:eastAsia="Calibri Light" w:hAnsi="Calibri Light" w:cs="Calibri Light"/>
          <w:color w:val="495965"/>
          <w:u w:color="495965"/>
          <w:lang w:val="en-US" w:eastAsia="en-AU"/>
        </w:rPr>
        <w:t xml:space="preserve"> align closely with </w:t>
      </w:r>
      <w:r w:rsidR="00497BC3">
        <w:rPr>
          <w:rFonts w:ascii="Calibri Light" w:eastAsia="Calibri Light" w:hAnsi="Calibri Light" w:cs="Calibri Light"/>
          <w:color w:val="495965"/>
          <w:u w:color="495965"/>
          <w:lang w:val="en-US" w:eastAsia="en-AU"/>
        </w:rPr>
        <w:t xml:space="preserve">Australia’s AIP. </w:t>
      </w:r>
    </w:p>
    <w:p w14:paraId="343AFB13" w14:textId="77777777" w:rsidR="00124632" w:rsidRPr="00F05EDC" w:rsidRDefault="00124632" w:rsidP="00124632">
      <w:pPr>
        <w:spacing w:after="120" w:line="280" w:lineRule="exact"/>
        <w:rPr>
          <w:rFonts w:ascii="Calibri Light" w:eastAsia="Calibri Light" w:hAnsi="Calibri Light" w:cs="Calibri Light"/>
          <w:bCs/>
          <w:i/>
          <w:color w:val="495965"/>
          <w:u w:color="495965"/>
          <w:lang w:val="en-US" w:eastAsia="en-AU"/>
        </w:rPr>
      </w:pPr>
      <w:r w:rsidRPr="00F05EDC">
        <w:rPr>
          <w:rFonts w:ascii="Calibri Light" w:eastAsia="Calibri Light" w:hAnsi="Calibri Light" w:cs="Calibri Light"/>
          <w:bCs/>
          <w:i/>
          <w:color w:val="495965"/>
          <w:u w:color="495965"/>
          <w:lang w:val="en-US" w:eastAsia="en-AU"/>
        </w:rPr>
        <w:t>DFID (UK)</w:t>
      </w:r>
    </w:p>
    <w:p w14:paraId="55BEDB99" w14:textId="3C814615" w:rsidR="000A4130" w:rsidRPr="007017E0" w:rsidRDefault="00124632" w:rsidP="00A20FBD">
      <w:pPr>
        <w:spacing w:after="120" w:line="280" w:lineRule="exact"/>
        <w:jc w:val="both"/>
        <w:rPr>
          <w:rFonts w:ascii="Calibri Light" w:eastAsia="Calibri Light" w:hAnsi="Calibri Light" w:cs="Calibri Light"/>
          <w:color w:val="495965"/>
          <w:u w:color="495965"/>
          <w:lang w:val="en-US" w:eastAsia="en-AU"/>
        </w:rPr>
      </w:pPr>
      <w:r w:rsidRPr="00124632">
        <w:rPr>
          <w:rFonts w:ascii="Calibri Light" w:eastAsia="Calibri Light" w:hAnsi="Calibri Light" w:cs="Calibri Light"/>
          <w:color w:val="495965"/>
          <w:u w:color="495965"/>
          <w:lang w:val="en-US" w:eastAsia="en-AU"/>
        </w:rPr>
        <w:t>Australia and the UK have a strong complementarity of development interests in Bangladesh, including prioritising gender equality and women’s empowerment in</w:t>
      </w:r>
      <w:r w:rsidR="00643654">
        <w:rPr>
          <w:rFonts w:ascii="Calibri Light" w:eastAsia="Calibri Light" w:hAnsi="Calibri Light" w:cs="Calibri Light"/>
          <w:color w:val="495965"/>
          <w:u w:color="495965"/>
          <w:lang w:val="en-US" w:eastAsia="en-AU"/>
        </w:rPr>
        <w:t xml:space="preserve"> their programs. Australia </w:t>
      </w:r>
      <w:r w:rsidRPr="00124632">
        <w:rPr>
          <w:rFonts w:ascii="Calibri Light" w:eastAsia="Calibri Light" w:hAnsi="Calibri Light" w:cs="Calibri Light"/>
          <w:color w:val="495965"/>
          <w:u w:color="495965"/>
          <w:lang w:val="en-US" w:eastAsia="en-AU"/>
        </w:rPr>
        <w:t>partner</w:t>
      </w:r>
      <w:r w:rsidR="00643654">
        <w:rPr>
          <w:rFonts w:ascii="Calibri Light" w:eastAsia="Calibri Light" w:hAnsi="Calibri Light" w:cs="Calibri Light"/>
          <w:color w:val="495965"/>
          <w:u w:color="495965"/>
          <w:lang w:val="en-US" w:eastAsia="en-AU"/>
        </w:rPr>
        <w:t>s</w:t>
      </w:r>
      <w:r w:rsidRPr="00124632">
        <w:rPr>
          <w:rFonts w:ascii="Calibri Light" w:eastAsia="Calibri Light" w:hAnsi="Calibri Light" w:cs="Calibri Light"/>
          <w:color w:val="495965"/>
          <w:u w:color="495965"/>
          <w:lang w:val="en-US" w:eastAsia="en-AU"/>
        </w:rPr>
        <w:t xml:space="preserve"> with DFID in </w:t>
      </w:r>
      <w:r w:rsidR="00294AA3">
        <w:rPr>
          <w:rFonts w:ascii="Calibri Light" w:eastAsia="Calibri Light" w:hAnsi="Calibri Light" w:cs="Calibri Light"/>
          <w:color w:val="495965"/>
          <w:u w:color="495965"/>
          <w:lang w:val="en-US" w:eastAsia="en-AU"/>
        </w:rPr>
        <w:t xml:space="preserve">the </w:t>
      </w:r>
      <w:r w:rsidRPr="00124632">
        <w:rPr>
          <w:rFonts w:ascii="Calibri Light" w:eastAsia="Calibri Light" w:hAnsi="Calibri Light" w:cs="Calibri Light"/>
          <w:color w:val="495965"/>
          <w:u w:color="495965"/>
          <w:lang w:val="en-US" w:eastAsia="en-AU"/>
        </w:rPr>
        <w:t>BRAC SPA</w:t>
      </w:r>
      <w:r w:rsidR="00643654">
        <w:rPr>
          <w:rFonts w:ascii="Calibri Light" w:eastAsia="Calibri Light" w:hAnsi="Calibri Light" w:cs="Calibri Light"/>
          <w:color w:val="495965"/>
          <w:u w:color="495965"/>
          <w:lang w:val="en-US" w:eastAsia="en-AU"/>
        </w:rPr>
        <w:t xml:space="preserve">, </w:t>
      </w:r>
      <w:r w:rsidRPr="00124632">
        <w:rPr>
          <w:rFonts w:ascii="Calibri Light" w:eastAsia="Calibri Light" w:hAnsi="Calibri Light" w:cs="Calibri Light"/>
          <w:color w:val="495965"/>
          <w:u w:color="495965"/>
          <w:lang w:val="en-US" w:eastAsia="en-AU"/>
        </w:rPr>
        <w:t xml:space="preserve">has a delegated cooperation agreement for SGSP, and is a co-participant in support for primary education and humanitarian action in Cox’s Bazar. DFID’s management of the SGSP has been effective with the investment making strong progress on implementation during the reporting period.       </w:t>
      </w:r>
    </w:p>
    <w:p w14:paraId="0DAB7F52" w14:textId="77777777" w:rsidR="00555425" w:rsidRDefault="00555425" w:rsidP="007E5764">
      <w:pPr>
        <w:pStyle w:val="Heading2"/>
      </w:pPr>
    </w:p>
    <w:p w14:paraId="630607D9" w14:textId="77777777" w:rsidR="00555425" w:rsidRDefault="00555425" w:rsidP="007E5764">
      <w:pPr>
        <w:pStyle w:val="Heading2"/>
      </w:pPr>
    </w:p>
    <w:p w14:paraId="02145CA4" w14:textId="77777777" w:rsidR="00555425" w:rsidRDefault="00555425" w:rsidP="007E5764">
      <w:pPr>
        <w:pStyle w:val="Heading2"/>
      </w:pPr>
    </w:p>
    <w:p w14:paraId="7B0C00F0" w14:textId="77777777" w:rsidR="00555425" w:rsidRDefault="00555425" w:rsidP="007E5764">
      <w:pPr>
        <w:pStyle w:val="Heading2"/>
      </w:pPr>
    </w:p>
    <w:p w14:paraId="3B9128BF" w14:textId="77777777" w:rsidR="00555425" w:rsidRDefault="00555425" w:rsidP="007E5764">
      <w:pPr>
        <w:pStyle w:val="Heading2"/>
      </w:pPr>
    </w:p>
    <w:p w14:paraId="438768DE" w14:textId="77777777" w:rsidR="00555425" w:rsidRDefault="00555425" w:rsidP="007E5764">
      <w:pPr>
        <w:pStyle w:val="Heading2"/>
      </w:pPr>
    </w:p>
    <w:p w14:paraId="17405CF7" w14:textId="77777777" w:rsidR="00555425" w:rsidRDefault="00555425" w:rsidP="007E5764">
      <w:pPr>
        <w:pStyle w:val="Heading2"/>
      </w:pPr>
    </w:p>
    <w:p w14:paraId="69FBCDFB" w14:textId="77777777" w:rsidR="00555425" w:rsidRDefault="00555425" w:rsidP="007E5764">
      <w:pPr>
        <w:pStyle w:val="Heading2"/>
      </w:pPr>
    </w:p>
    <w:p w14:paraId="2344A877" w14:textId="77777777" w:rsidR="00555425" w:rsidRDefault="00555425" w:rsidP="007E5764">
      <w:pPr>
        <w:pStyle w:val="Heading2"/>
      </w:pPr>
    </w:p>
    <w:p w14:paraId="44650204" w14:textId="77777777" w:rsidR="00555425" w:rsidRDefault="00555425" w:rsidP="007E5764">
      <w:pPr>
        <w:pStyle w:val="Heading2"/>
      </w:pPr>
    </w:p>
    <w:p w14:paraId="432970DB" w14:textId="77777777" w:rsidR="00555425" w:rsidRDefault="00555425" w:rsidP="007E5764">
      <w:pPr>
        <w:pStyle w:val="Heading2"/>
      </w:pPr>
    </w:p>
    <w:p w14:paraId="75645BE2" w14:textId="77777777" w:rsidR="00555425" w:rsidRDefault="00555425" w:rsidP="007E5764">
      <w:pPr>
        <w:pStyle w:val="Heading2"/>
      </w:pPr>
    </w:p>
    <w:p w14:paraId="2571716C" w14:textId="77777777" w:rsidR="00555425" w:rsidRDefault="00555425" w:rsidP="007E5764">
      <w:pPr>
        <w:pStyle w:val="Heading2"/>
      </w:pPr>
    </w:p>
    <w:p w14:paraId="663149FF" w14:textId="0CFA97BD" w:rsidR="00555425" w:rsidRDefault="00555425" w:rsidP="007E5764">
      <w:pPr>
        <w:pStyle w:val="Heading2"/>
      </w:pPr>
    </w:p>
    <w:p w14:paraId="049BD90C" w14:textId="77777777" w:rsidR="00555425" w:rsidRPr="00555425" w:rsidRDefault="00555425" w:rsidP="00555425"/>
    <w:p w14:paraId="15FB524E" w14:textId="1E082A92" w:rsidR="007E5764" w:rsidRDefault="002A51CA" w:rsidP="007E5764">
      <w:pPr>
        <w:pStyle w:val="Heading2"/>
      </w:pPr>
      <w:r w:rsidRPr="002A51CA">
        <w:lastRenderedPageBreak/>
        <w:t>Risks</w:t>
      </w:r>
    </w:p>
    <w:p w14:paraId="65912604" w14:textId="77777777" w:rsidR="00117519" w:rsidRPr="00117519" w:rsidRDefault="002A51CA" w:rsidP="00117519">
      <w:pPr>
        <w:pStyle w:val="Heading2"/>
        <w:rPr>
          <w:b/>
          <w:sz w:val="24"/>
        </w:rPr>
      </w:pPr>
      <w:r w:rsidRPr="008C2F58">
        <w:rPr>
          <w:b/>
          <w:sz w:val="24"/>
        </w:rPr>
        <w:t>Table 3</w:t>
      </w:r>
      <w:r w:rsidR="00332EC9">
        <w:rPr>
          <w:b/>
          <w:sz w:val="24"/>
        </w:rPr>
        <w:t>:</w:t>
      </w:r>
      <w:r w:rsidRPr="008C2F58">
        <w:rPr>
          <w:b/>
          <w:sz w:val="24"/>
        </w:rPr>
        <w:t xml:space="preserve"> Management of Key Risks to Achieving Objectives</w:t>
      </w:r>
    </w:p>
    <w:tbl>
      <w:tblPr>
        <w:tblW w:w="5742" w:type="pct"/>
        <w:tblInd w:w="-7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00" w:firstRow="0" w:lastRow="0" w:firstColumn="0" w:lastColumn="0" w:noHBand="1" w:noVBand="1"/>
      </w:tblPr>
      <w:tblGrid>
        <w:gridCol w:w="2269"/>
        <w:gridCol w:w="2693"/>
        <w:gridCol w:w="3544"/>
        <w:gridCol w:w="1417"/>
        <w:gridCol w:w="1134"/>
      </w:tblGrid>
      <w:tr w:rsidR="001A2B10" w:rsidRPr="00782E69" w14:paraId="18DB717F" w14:textId="77777777" w:rsidTr="00555425">
        <w:tc>
          <w:tcPr>
            <w:tcW w:w="2269" w:type="dxa"/>
            <w:hideMark/>
          </w:tcPr>
          <w:p w14:paraId="0C6C63B0" w14:textId="77777777" w:rsidR="000E2C51" w:rsidRPr="001A2B10" w:rsidRDefault="000E2C51" w:rsidP="007E576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b/>
                <w:sz w:val="18"/>
                <w:szCs w:val="18"/>
                <w:lang w:val="en-GB"/>
              </w:rPr>
            </w:pPr>
            <w:r w:rsidRPr="001A2B10">
              <w:rPr>
                <w:b/>
                <w:sz w:val="18"/>
                <w:szCs w:val="18"/>
                <w:lang w:val="en-GB"/>
              </w:rPr>
              <w:t>Key risks</w:t>
            </w:r>
          </w:p>
        </w:tc>
        <w:tc>
          <w:tcPr>
            <w:tcW w:w="2693" w:type="dxa"/>
          </w:tcPr>
          <w:p w14:paraId="3539108F" w14:textId="77777777" w:rsidR="000E2C51" w:rsidRPr="001A2B10" w:rsidRDefault="000E2C51" w:rsidP="007E576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b/>
                <w:sz w:val="18"/>
                <w:szCs w:val="18"/>
                <w:lang w:val="en-GB"/>
              </w:rPr>
            </w:pPr>
            <w:r w:rsidRPr="001A2B10">
              <w:rPr>
                <w:b/>
                <w:sz w:val="18"/>
                <w:szCs w:val="18"/>
                <w:lang w:val="en-GB"/>
              </w:rPr>
              <w:t>What actions were taken to manage the risks over the past year?</w:t>
            </w:r>
          </w:p>
        </w:tc>
        <w:tc>
          <w:tcPr>
            <w:tcW w:w="3544" w:type="dxa"/>
          </w:tcPr>
          <w:p w14:paraId="693D0B93" w14:textId="77777777" w:rsidR="000E2C51" w:rsidRPr="001A2B10" w:rsidRDefault="000E2C51" w:rsidP="007E576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b/>
                <w:sz w:val="18"/>
                <w:szCs w:val="18"/>
                <w:lang w:val="en-GB"/>
              </w:rPr>
            </w:pPr>
            <w:r w:rsidRPr="001A2B10">
              <w:rPr>
                <w:b/>
                <w:sz w:val="18"/>
                <w:szCs w:val="18"/>
                <w:lang w:val="en-GB"/>
              </w:rPr>
              <w:t>What further actions will be taken to manage the risks in the coming year?</w:t>
            </w:r>
          </w:p>
        </w:tc>
        <w:tc>
          <w:tcPr>
            <w:tcW w:w="1417" w:type="dxa"/>
          </w:tcPr>
          <w:p w14:paraId="65F1E722" w14:textId="77777777" w:rsidR="000E2C51" w:rsidRPr="001A2B10" w:rsidRDefault="001A2B10" w:rsidP="00461F4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b/>
                <w:sz w:val="18"/>
                <w:szCs w:val="18"/>
                <w:lang w:val="en-GB"/>
              </w:rPr>
            </w:pPr>
            <w:r w:rsidRPr="001A2B10">
              <w:rPr>
                <w:b/>
                <w:sz w:val="18"/>
                <w:szCs w:val="18"/>
                <w:lang w:val="en-GB"/>
              </w:rPr>
              <w:t xml:space="preserve">For </w:t>
            </w:r>
            <w:r w:rsidR="000E2C51" w:rsidRPr="001A2B10">
              <w:rPr>
                <w:b/>
                <w:sz w:val="18"/>
                <w:szCs w:val="18"/>
                <w:lang w:val="en-GB"/>
              </w:rPr>
              <w:t>emerging/</w:t>
            </w:r>
            <w:r w:rsidR="00461F4B">
              <w:rPr>
                <w:b/>
                <w:sz w:val="18"/>
                <w:szCs w:val="18"/>
                <w:lang w:val="en-GB"/>
              </w:rPr>
              <w:t xml:space="preserve"> </w:t>
            </w:r>
            <w:r w:rsidR="000E2C51" w:rsidRPr="001A2B10">
              <w:rPr>
                <w:b/>
                <w:sz w:val="18"/>
                <w:szCs w:val="18"/>
                <w:lang w:val="en-GB"/>
              </w:rPr>
              <w:t>ongoing risks provide a Risk Rating (low, medium, high, very high)</w:t>
            </w:r>
          </w:p>
        </w:tc>
        <w:tc>
          <w:tcPr>
            <w:tcW w:w="1134" w:type="dxa"/>
          </w:tcPr>
          <w:p w14:paraId="0C3CF04D" w14:textId="77777777" w:rsidR="000E2C51" w:rsidRPr="001A2B10" w:rsidRDefault="00FF7855" w:rsidP="007E576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b/>
                <w:sz w:val="18"/>
                <w:szCs w:val="18"/>
                <w:lang w:val="en-GB"/>
              </w:rPr>
            </w:pPr>
            <w:r>
              <w:rPr>
                <w:b/>
                <w:sz w:val="18"/>
                <w:szCs w:val="18"/>
                <w:lang w:val="en-GB"/>
              </w:rPr>
              <w:t xml:space="preserve">Are these same risks in </w:t>
            </w:r>
            <w:r w:rsidR="000E2C51" w:rsidRPr="001A2B10">
              <w:rPr>
                <w:b/>
                <w:sz w:val="18"/>
                <w:szCs w:val="18"/>
                <w:lang w:val="en-GB"/>
              </w:rPr>
              <w:t>Post’s Risk Register (Yes/No)*</w:t>
            </w:r>
          </w:p>
        </w:tc>
      </w:tr>
      <w:tr w:rsidR="001A2B10" w:rsidRPr="00782E69" w14:paraId="594DB0D1" w14:textId="77777777" w:rsidTr="00555425">
        <w:tc>
          <w:tcPr>
            <w:tcW w:w="2269" w:type="dxa"/>
            <w:hideMark/>
          </w:tcPr>
          <w:p w14:paraId="359DDF77" w14:textId="77777777" w:rsidR="000E2C51" w:rsidRPr="001A2B10" w:rsidRDefault="000E2C51" w:rsidP="007E576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sz w:val="18"/>
                <w:szCs w:val="18"/>
                <w:lang w:val="en-GB"/>
              </w:rPr>
            </w:pPr>
            <w:r w:rsidRPr="001A2B10">
              <w:rPr>
                <w:sz w:val="18"/>
                <w:szCs w:val="18"/>
                <w:lang w:val="en-GB"/>
              </w:rPr>
              <w:t>Deteriorating security environment, an increase in violent extremism and poli</w:t>
            </w:r>
            <w:r w:rsidR="00A62E9D" w:rsidRPr="001A2B10">
              <w:rPr>
                <w:sz w:val="18"/>
                <w:szCs w:val="18"/>
                <w:lang w:val="en-GB"/>
              </w:rPr>
              <w:t xml:space="preserve">tical unrest challenges partners’ ability to </w:t>
            </w:r>
            <w:r w:rsidRPr="001A2B10">
              <w:rPr>
                <w:sz w:val="18"/>
                <w:szCs w:val="18"/>
                <w:lang w:val="en-GB"/>
              </w:rPr>
              <w:t xml:space="preserve">deliver and </w:t>
            </w:r>
            <w:r w:rsidR="00A62E9D" w:rsidRPr="001A2B10">
              <w:rPr>
                <w:sz w:val="18"/>
                <w:szCs w:val="18"/>
                <w:lang w:val="en-GB"/>
              </w:rPr>
              <w:t>their effective monitoring</w:t>
            </w:r>
            <w:r w:rsidR="006830A8" w:rsidRPr="001A2B10">
              <w:rPr>
                <w:sz w:val="18"/>
                <w:szCs w:val="18"/>
                <w:lang w:val="en-GB"/>
              </w:rPr>
              <w:t>.</w:t>
            </w:r>
          </w:p>
        </w:tc>
        <w:tc>
          <w:tcPr>
            <w:tcW w:w="2693" w:type="dxa"/>
          </w:tcPr>
          <w:p w14:paraId="0492B944" w14:textId="1B324B6C" w:rsidR="000E2C51" w:rsidRPr="001A2B10" w:rsidRDefault="000E2C51" w:rsidP="007E576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sz w:val="18"/>
                <w:szCs w:val="18"/>
                <w:lang w:val="en-GB"/>
              </w:rPr>
            </w:pPr>
            <w:r w:rsidRPr="001A2B10">
              <w:rPr>
                <w:sz w:val="18"/>
                <w:szCs w:val="18"/>
                <w:lang w:val="en-GB"/>
              </w:rPr>
              <w:t>Close contact maintained with development partners and Government</w:t>
            </w:r>
            <w:r w:rsidR="00A62E9D" w:rsidRPr="001A2B10">
              <w:rPr>
                <w:sz w:val="18"/>
                <w:szCs w:val="18"/>
                <w:lang w:val="en-GB"/>
              </w:rPr>
              <w:t xml:space="preserve"> on impacts of security on partnerships</w:t>
            </w:r>
            <w:r w:rsidRPr="001A2B10">
              <w:rPr>
                <w:sz w:val="18"/>
                <w:szCs w:val="18"/>
                <w:lang w:val="en-GB"/>
              </w:rPr>
              <w:t xml:space="preserve">. </w:t>
            </w:r>
            <w:r w:rsidR="00A62E9D" w:rsidRPr="001A2B10">
              <w:rPr>
                <w:sz w:val="18"/>
                <w:szCs w:val="18"/>
                <w:lang w:val="en-GB"/>
              </w:rPr>
              <w:t>Encourage p</w:t>
            </w:r>
            <w:r w:rsidRPr="001A2B10">
              <w:rPr>
                <w:sz w:val="18"/>
                <w:szCs w:val="18"/>
                <w:lang w:val="en-GB"/>
              </w:rPr>
              <w:t>artners</w:t>
            </w:r>
            <w:r w:rsidR="00A62E9D" w:rsidRPr="001A2B10">
              <w:rPr>
                <w:sz w:val="18"/>
                <w:szCs w:val="18"/>
                <w:lang w:val="en-GB"/>
              </w:rPr>
              <w:t xml:space="preserve"> to utilise</w:t>
            </w:r>
            <w:r w:rsidRPr="001A2B10">
              <w:rPr>
                <w:sz w:val="18"/>
                <w:szCs w:val="18"/>
                <w:lang w:val="en-GB"/>
              </w:rPr>
              <w:t xml:space="preserve"> third party monitoring where appropriate</w:t>
            </w:r>
            <w:r w:rsidR="004635A8">
              <w:rPr>
                <w:sz w:val="18"/>
                <w:szCs w:val="18"/>
                <w:lang w:val="en-GB"/>
              </w:rPr>
              <w:t>.</w:t>
            </w:r>
          </w:p>
        </w:tc>
        <w:tc>
          <w:tcPr>
            <w:tcW w:w="3544" w:type="dxa"/>
          </w:tcPr>
          <w:p w14:paraId="0BDA21CD" w14:textId="77777777" w:rsidR="000E2C51" w:rsidRPr="001A2B10" w:rsidRDefault="00A62E9D" w:rsidP="007E576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sz w:val="18"/>
                <w:szCs w:val="18"/>
                <w:lang w:val="en-GB"/>
              </w:rPr>
            </w:pPr>
            <w:r w:rsidRPr="001A2B10">
              <w:rPr>
                <w:sz w:val="18"/>
                <w:szCs w:val="18"/>
                <w:lang w:val="en-GB"/>
              </w:rPr>
              <w:t xml:space="preserve">Adjust </w:t>
            </w:r>
            <w:r w:rsidR="000E2C51" w:rsidRPr="001A2B10">
              <w:rPr>
                <w:sz w:val="18"/>
                <w:szCs w:val="18"/>
                <w:lang w:val="en-GB"/>
              </w:rPr>
              <w:t xml:space="preserve">expectations according to political and security context and re-align </w:t>
            </w:r>
            <w:r w:rsidRPr="001A2B10">
              <w:rPr>
                <w:sz w:val="18"/>
                <w:szCs w:val="18"/>
                <w:lang w:val="en-GB"/>
              </w:rPr>
              <w:t xml:space="preserve">partnerships </w:t>
            </w:r>
            <w:r w:rsidR="000E2C51" w:rsidRPr="001A2B10">
              <w:rPr>
                <w:sz w:val="18"/>
                <w:szCs w:val="18"/>
                <w:lang w:val="en-GB"/>
              </w:rPr>
              <w:t>as required. Maintain mix of support through govern</w:t>
            </w:r>
            <w:r w:rsidRPr="001A2B10">
              <w:rPr>
                <w:sz w:val="18"/>
                <w:szCs w:val="18"/>
                <w:lang w:val="en-GB"/>
              </w:rPr>
              <w:t>ment and non-government partners</w:t>
            </w:r>
            <w:r w:rsidR="000E2C51" w:rsidRPr="001A2B10">
              <w:rPr>
                <w:sz w:val="18"/>
                <w:szCs w:val="18"/>
                <w:lang w:val="en-GB"/>
              </w:rPr>
              <w:t xml:space="preserve">. </w:t>
            </w:r>
          </w:p>
        </w:tc>
        <w:tc>
          <w:tcPr>
            <w:tcW w:w="1417" w:type="dxa"/>
          </w:tcPr>
          <w:p w14:paraId="4A4F5C83" w14:textId="77777777" w:rsidR="000E2C51" w:rsidRPr="001A2B10" w:rsidRDefault="000E2C51" w:rsidP="007E576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sz w:val="18"/>
                <w:szCs w:val="18"/>
                <w:lang w:val="en-GB"/>
              </w:rPr>
            </w:pPr>
            <w:r w:rsidRPr="001A2B10">
              <w:rPr>
                <w:sz w:val="18"/>
                <w:szCs w:val="18"/>
                <w:lang w:val="en-GB"/>
              </w:rPr>
              <w:t xml:space="preserve"> </w:t>
            </w:r>
            <w:r w:rsidR="00A62E9D" w:rsidRPr="001A2B10">
              <w:rPr>
                <w:sz w:val="18"/>
                <w:szCs w:val="18"/>
                <w:lang w:val="en-GB"/>
              </w:rPr>
              <w:t>H</w:t>
            </w:r>
            <w:r w:rsidRPr="001A2B10">
              <w:rPr>
                <w:sz w:val="18"/>
                <w:szCs w:val="18"/>
                <w:lang w:val="en-GB"/>
              </w:rPr>
              <w:t>igh</w:t>
            </w:r>
          </w:p>
        </w:tc>
        <w:tc>
          <w:tcPr>
            <w:tcW w:w="1134" w:type="dxa"/>
          </w:tcPr>
          <w:p w14:paraId="619CD96A" w14:textId="77777777" w:rsidR="000E2C51" w:rsidRPr="001A2B10" w:rsidRDefault="0045021D" w:rsidP="007E576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sz w:val="18"/>
                <w:szCs w:val="18"/>
                <w:lang w:val="en-GB"/>
              </w:rPr>
            </w:pPr>
            <w:r w:rsidRPr="001A2B10">
              <w:rPr>
                <w:sz w:val="18"/>
                <w:szCs w:val="18"/>
                <w:lang w:val="en-GB"/>
              </w:rPr>
              <w:t>Yes</w:t>
            </w:r>
          </w:p>
        </w:tc>
      </w:tr>
      <w:tr w:rsidR="001A2B10" w:rsidRPr="00782E69" w14:paraId="47C6CACF" w14:textId="77777777" w:rsidTr="00555425">
        <w:trPr>
          <w:trHeight w:val="1555"/>
        </w:trPr>
        <w:tc>
          <w:tcPr>
            <w:tcW w:w="2269" w:type="dxa"/>
            <w:hideMark/>
          </w:tcPr>
          <w:p w14:paraId="14851EB1" w14:textId="3E9DC2B7" w:rsidR="000E2C51" w:rsidRPr="001A2B10" w:rsidRDefault="00B406F5" w:rsidP="007E576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Pr>
                <w:iCs/>
                <w:sz w:val="18"/>
                <w:szCs w:val="18"/>
                <w:lang w:val="en-GB"/>
              </w:rPr>
              <w:t xml:space="preserve">Increasing regulation of </w:t>
            </w:r>
            <w:r w:rsidR="006830A8" w:rsidRPr="001A2B10">
              <w:rPr>
                <w:iCs/>
                <w:sz w:val="18"/>
                <w:szCs w:val="18"/>
                <w:lang w:val="en-GB"/>
              </w:rPr>
              <w:t>operational</w:t>
            </w:r>
            <w:r w:rsidR="000E2C51" w:rsidRPr="001A2B10">
              <w:rPr>
                <w:iCs/>
                <w:sz w:val="18"/>
                <w:szCs w:val="18"/>
                <w:lang w:val="en-GB"/>
              </w:rPr>
              <w:t xml:space="preserve"> spac</w:t>
            </w:r>
            <w:r w:rsidR="00294AA3">
              <w:rPr>
                <w:iCs/>
                <w:sz w:val="18"/>
                <w:szCs w:val="18"/>
                <w:lang w:val="en-GB"/>
              </w:rPr>
              <w:t>e for civil society, affecting</w:t>
            </w:r>
            <w:r w:rsidR="000E2C51" w:rsidRPr="001A2B10">
              <w:rPr>
                <w:iCs/>
                <w:sz w:val="18"/>
                <w:szCs w:val="18"/>
                <w:lang w:val="en-GB"/>
              </w:rPr>
              <w:t xml:space="preserve"> activities o</w:t>
            </w:r>
            <w:r w:rsidR="00A62E9D" w:rsidRPr="001A2B10">
              <w:rPr>
                <w:iCs/>
                <w:sz w:val="18"/>
                <w:szCs w:val="18"/>
                <w:lang w:val="en-GB"/>
              </w:rPr>
              <w:t xml:space="preserve">f Australian NGO and </w:t>
            </w:r>
            <w:r w:rsidR="006830A8" w:rsidRPr="001A2B10">
              <w:rPr>
                <w:iCs/>
                <w:sz w:val="18"/>
                <w:szCs w:val="18"/>
                <w:lang w:val="en-GB"/>
              </w:rPr>
              <w:t>partners.</w:t>
            </w:r>
            <w:r w:rsidR="000E2C51" w:rsidRPr="001A2B10">
              <w:rPr>
                <w:rFonts w:ascii="Times New Roman" w:eastAsia="Arial Unicode MS" w:hAnsi="Times New Roman" w:cs="Times New Roman"/>
                <w:color w:val="auto"/>
                <w:sz w:val="18"/>
                <w:szCs w:val="18"/>
                <w:lang w:eastAsia="en-US"/>
              </w:rPr>
              <w:t xml:space="preserve"> </w:t>
            </w:r>
          </w:p>
        </w:tc>
        <w:tc>
          <w:tcPr>
            <w:tcW w:w="2693" w:type="dxa"/>
          </w:tcPr>
          <w:p w14:paraId="51F71AD5" w14:textId="3469D3BA" w:rsidR="000E2C51" w:rsidRPr="001A2B10" w:rsidRDefault="000E2C51" w:rsidP="007E576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sidRPr="001A2B10">
              <w:rPr>
                <w:iCs/>
                <w:sz w:val="18"/>
                <w:szCs w:val="18"/>
                <w:lang w:val="en-GB"/>
              </w:rPr>
              <w:t xml:space="preserve">Joint advocacy with like-minded donors on the </w:t>
            </w:r>
            <w:r w:rsidRPr="001A2B10">
              <w:rPr>
                <w:iCs/>
                <w:sz w:val="18"/>
                <w:szCs w:val="18"/>
              </w:rPr>
              <w:t xml:space="preserve">Foreign Donations (Voluntary Activities) Regulation Act. Monitoring the impact of the </w:t>
            </w:r>
            <w:r w:rsidR="006F6978">
              <w:rPr>
                <w:iCs/>
                <w:sz w:val="18"/>
                <w:szCs w:val="18"/>
              </w:rPr>
              <w:t>Act</w:t>
            </w:r>
            <w:r w:rsidRPr="001A2B10">
              <w:rPr>
                <w:iCs/>
                <w:sz w:val="18"/>
                <w:szCs w:val="18"/>
              </w:rPr>
              <w:t xml:space="preserve"> on NGO partners.</w:t>
            </w:r>
          </w:p>
        </w:tc>
        <w:tc>
          <w:tcPr>
            <w:tcW w:w="3544" w:type="dxa"/>
          </w:tcPr>
          <w:p w14:paraId="0FCD2F81" w14:textId="408E4AC3" w:rsidR="000E2C51" w:rsidRPr="001A2B10" w:rsidRDefault="00A62E9D" w:rsidP="00294AA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sidRPr="001A2B10">
              <w:rPr>
                <w:iCs/>
                <w:sz w:val="18"/>
                <w:szCs w:val="18"/>
                <w:lang w:val="en-GB"/>
              </w:rPr>
              <w:t>Advocacy</w:t>
            </w:r>
            <w:r w:rsidR="000E2C51" w:rsidRPr="001A2B10">
              <w:rPr>
                <w:iCs/>
                <w:sz w:val="18"/>
                <w:szCs w:val="18"/>
                <w:lang w:val="en-GB"/>
              </w:rPr>
              <w:t xml:space="preserve"> with government and NGOs to </w:t>
            </w:r>
            <w:r w:rsidR="00294AA3">
              <w:rPr>
                <w:iCs/>
                <w:sz w:val="18"/>
                <w:szCs w:val="18"/>
                <w:lang w:val="en-GB"/>
              </w:rPr>
              <w:t xml:space="preserve">ensure the implementation of the </w:t>
            </w:r>
            <w:r w:rsidR="006F6978">
              <w:rPr>
                <w:iCs/>
                <w:sz w:val="18"/>
                <w:szCs w:val="18"/>
                <w:lang w:val="en-GB"/>
              </w:rPr>
              <w:t>Act</w:t>
            </w:r>
            <w:r w:rsidR="00294AA3">
              <w:rPr>
                <w:iCs/>
                <w:sz w:val="18"/>
                <w:szCs w:val="18"/>
                <w:lang w:val="en-GB"/>
              </w:rPr>
              <w:t xml:space="preserve"> takes account of </w:t>
            </w:r>
            <w:r w:rsidR="0047722F">
              <w:rPr>
                <w:iCs/>
                <w:sz w:val="18"/>
                <w:szCs w:val="18"/>
                <w:lang w:val="en-GB"/>
              </w:rPr>
              <w:t xml:space="preserve">the </w:t>
            </w:r>
            <w:r w:rsidR="00294AA3">
              <w:rPr>
                <w:iCs/>
                <w:sz w:val="18"/>
                <w:szCs w:val="18"/>
                <w:lang w:val="en-GB"/>
              </w:rPr>
              <w:t>needs</w:t>
            </w:r>
            <w:r w:rsidR="0047722F">
              <w:rPr>
                <w:iCs/>
                <w:sz w:val="18"/>
                <w:szCs w:val="18"/>
                <w:lang w:val="en-GB"/>
              </w:rPr>
              <w:t xml:space="preserve"> of Australian funded NGOs.</w:t>
            </w:r>
            <w:r w:rsidR="00294AA3">
              <w:rPr>
                <w:iCs/>
                <w:sz w:val="18"/>
                <w:szCs w:val="18"/>
                <w:lang w:val="en-GB"/>
              </w:rPr>
              <w:t xml:space="preserve"> </w:t>
            </w:r>
          </w:p>
        </w:tc>
        <w:tc>
          <w:tcPr>
            <w:tcW w:w="1417" w:type="dxa"/>
          </w:tcPr>
          <w:p w14:paraId="4DA41E56" w14:textId="77777777" w:rsidR="000E2C51" w:rsidRPr="001A2B10" w:rsidRDefault="000E2C51" w:rsidP="007E576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sidRPr="001A2B10">
              <w:rPr>
                <w:iCs/>
                <w:sz w:val="18"/>
                <w:szCs w:val="18"/>
                <w:lang w:val="en-GB"/>
              </w:rPr>
              <w:t>Medium</w:t>
            </w:r>
          </w:p>
        </w:tc>
        <w:tc>
          <w:tcPr>
            <w:tcW w:w="1134" w:type="dxa"/>
          </w:tcPr>
          <w:p w14:paraId="2C2CA51B" w14:textId="77777777" w:rsidR="000E2C51" w:rsidRPr="001A2B10" w:rsidRDefault="0045021D" w:rsidP="007E576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sidRPr="001A2B10">
              <w:rPr>
                <w:iCs/>
                <w:sz w:val="18"/>
                <w:szCs w:val="18"/>
                <w:lang w:val="en-GB"/>
              </w:rPr>
              <w:t>Yes</w:t>
            </w:r>
          </w:p>
        </w:tc>
      </w:tr>
      <w:tr w:rsidR="001A2B10" w:rsidRPr="00782E69" w14:paraId="1214460E" w14:textId="77777777" w:rsidTr="00555425">
        <w:trPr>
          <w:trHeight w:val="1749"/>
        </w:trPr>
        <w:tc>
          <w:tcPr>
            <w:tcW w:w="2269" w:type="dxa"/>
          </w:tcPr>
          <w:p w14:paraId="305F4469" w14:textId="1A36F148" w:rsidR="0045021D" w:rsidRPr="001A2B10" w:rsidRDefault="00220EDA" w:rsidP="007E576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sidRPr="001A2B10">
              <w:rPr>
                <w:iCs/>
                <w:sz w:val="18"/>
                <w:szCs w:val="18"/>
                <w:lang w:val="en-GB"/>
              </w:rPr>
              <w:t>Corruption and fiduciary risks</w:t>
            </w:r>
            <w:r w:rsidR="004635A8">
              <w:rPr>
                <w:iCs/>
                <w:sz w:val="18"/>
                <w:szCs w:val="18"/>
                <w:lang w:val="en-GB"/>
              </w:rPr>
              <w:t>.</w:t>
            </w:r>
          </w:p>
        </w:tc>
        <w:tc>
          <w:tcPr>
            <w:tcW w:w="2693" w:type="dxa"/>
          </w:tcPr>
          <w:p w14:paraId="51D0487C" w14:textId="3B3A3944" w:rsidR="000E2C51" w:rsidRPr="001A2B10" w:rsidRDefault="00220EDA" w:rsidP="00DF5A40">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sidRPr="001A2B10">
              <w:rPr>
                <w:iCs/>
                <w:sz w:val="18"/>
                <w:szCs w:val="18"/>
                <w:lang w:val="en-GB"/>
              </w:rPr>
              <w:t xml:space="preserve">Maintain close liaison with partners to monitor. </w:t>
            </w:r>
            <w:r w:rsidR="004C4A06" w:rsidRPr="001A2B10">
              <w:rPr>
                <w:iCs/>
                <w:sz w:val="18"/>
                <w:szCs w:val="18"/>
                <w:lang w:val="en-GB"/>
              </w:rPr>
              <w:t>Support sound i</w:t>
            </w:r>
            <w:r w:rsidRPr="001A2B10">
              <w:rPr>
                <w:iCs/>
                <w:sz w:val="18"/>
                <w:szCs w:val="18"/>
                <w:lang w:val="en-GB"/>
              </w:rPr>
              <w:t>mplement</w:t>
            </w:r>
            <w:r w:rsidR="004C4A06" w:rsidRPr="001A2B10">
              <w:rPr>
                <w:iCs/>
                <w:sz w:val="18"/>
                <w:szCs w:val="18"/>
                <w:lang w:val="en-GB"/>
              </w:rPr>
              <w:t>ation</w:t>
            </w:r>
            <w:r w:rsidRPr="001A2B10">
              <w:rPr>
                <w:iCs/>
                <w:sz w:val="18"/>
                <w:szCs w:val="18"/>
                <w:lang w:val="en-GB"/>
              </w:rPr>
              <w:t xml:space="preserve"> </w:t>
            </w:r>
            <w:r w:rsidR="004C4A06" w:rsidRPr="001A2B10">
              <w:rPr>
                <w:iCs/>
                <w:sz w:val="18"/>
                <w:szCs w:val="18"/>
                <w:lang w:val="en-GB"/>
              </w:rPr>
              <w:t xml:space="preserve">of </w:t>
            </w:r>
            <w:r w:rsidR="00DF5A40">
              <w:rPr>
                <w:iCs/>
                <w:sz w:val="18"/>
                <w:szCs w:val="18"/>
                <w:lang w:val="en-GB"/>
              </w:rPr>
              <w:t xml:space="preserve">the </w:t>
            </w:r>
            <w:r w:rsidR="00810A8E">
              <w:rPr>
                <w:iCs/>
                <w:sz w:val="18"/>
                <w:szCs w:val="18"/>
                <w:lang w:val="en-GB"/>
              </w:rPr>
              <w:t xml:space="preserve">DFAT </w:t>
            </w:r>
            <w:r w:rsidRPr="001A2B10">
              <w:rPr>
                <w:iCs/>
                <w:sz w:val="18"/>
                <w:szCs w:val="18"/>
                <w:lang w:val="en-GB"/>
              </w:rPr>
              <w:t xml:space="preserve">Fraud </w:t>
            </w:r>
            <w:r w:rsidR="00223178" w:rsidRPr="001A2B10">
              <w:rPr>
                <w:iCs/>
                <w:sz w:val="18"/>
                <w:szCs w:val="18"/>
                <w:lang w:val="en-GB"/>
              </w:rPr>
              <w:t xml:space="preserve">Control </w:t>
            </w:r>
            <w:r w:rsidRPr="001A2B10">
              <w:rPr>
                <w:iCs/>
                <w:sz w:val="18"/>
                <w:szCs w:val="18"/>
                <w:lang w:val="en-GB"/>
              </w:rPr>
              <w:t xml:space="preserve">and Anti-Corruption </w:t>
            </w:r>
            <w:r w:rsidR="00223178" w:rsidRPr="001A2B10">
              <w:rPr>
                <w:iCs/>
                <w:sz w:val="18"/>
                <w:szCs w:val="18"/>
                <w:lang w:val="en-GB"/>
              </w:rPr>
              <w:t>S</w:t>
            </w:r>
            <w:r w:rsidRPr="001A2B10">
              <w:rPr>
                <w:iCs/>
                <w:sz w:val="18"/>
                <w:szCs w:val="18"/>
                <w:lang w:val="en-GB"/>
              </w:rPr>
              <w:t>trategy</w:t>
            </w:r>
            <w:r w:rsidR="00DF5A40">
              <w:rPr>
                <w:iCs/>
                <w:sz w:val="18"/>
                <w:szCs w:val="18"/>
                <w:lang w:val="en-GB"/>
              </w:rPr>
              <w:t xml:space="preserve"> for Bangladesh</w:t>
            </w:r>
            <w:r w:rsidR="00223178" w:rsidRPr="001A2B10">
              <w:rPr>
                <w:iCs/>
                <w:sz w:val="18"/>
                <w:szCs w:val="18"/>
                <w:lang w:val="en-GB"/>
              </w:rPr>
              <w:t xml:space="preserve"> (June 2015)</w:t>
            </w:r>
            <w:r w:rsidR="004C4A06" w:rsidRPr="001A2B10">
              <w:rPr>
                <w:iCs/>
                <w:sz w:val="18"/>
                <w:szCs w:val="18"/>
                <w:lang w:val="en-GB"/>
              </w:rPr>
              <w:t>.</w:t>
            </w:r>
            <w:r w:rsidRPr="001A2B10">
              <w:rPr>
                <w:iCs/>
                <w:sz w:val="18"/>
                <w:szCs w:val="18"/>
                <w:lang w:val="en-GB"/>
              </w:rPr>
              <w:t xml:space="preserve"> </w:t>
            </w:r>
          </w:p>
        </w:tc>
        <w:tc>
          <w:tcPr>
            <w:tcW w:w="3544" w:type="dxa"/>
          </w:tcPr>
          <w:p w14:paraId="3E799CCE" w14:textId="77FD8E27" w:rsidR="000E2C51" w:rsidRPr="001A2B10" w:rsidRDefault="00220ED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sidRPr="001A2B10">
              <w:rPr>
                <w:iCs/>
                <w:sz w:val="18"/>
                <w:szCs w:val="18"/>
                <w:lang w:val="en-GB"/>
              </w:rPr>
              <w:t>Conti</w:t>
            </w:r>
            <w:r w:rsidR="004C4A06" w:rsidRPr="001A2B10">
              <w:rPr>
                <w:iCs/>
                <w:sz w:val="18"/>
                <w:szCs w:val="18"/>
                <w:lang w:val="en-GB"/>
              </w:rPr>
              <w:t>nue report to the Fraud Control Section in DFAT</w:t>
            </w:r>
            <w:r w:rsidR="00DE1B08">
              <w:rPr>
                <w:iCs/>
                <w:sz w:val="18"/>
                <w:szCs w:val="18"/>
                <w:lang w:val="en-GB"/>
              </w:rPr>
              <w:t xml:space="preserve">. </w:t>
            </w:r>
            <w:r w:rsidR="00217D9E">
              <w:rPr>
                <w:iCs/>
                <w:sz w:val="18"/>
                <w:szCs w:val="18"/>
                <w:lang w:val="en-GB"/>
              </w:rPr>
              <w:t xml:space="preserve">Engage a Public Financial Management Advisor to provide specialist advice on GoB investments – PEDP3 and Social Protection. </w:t>
            </w:r>
          </w:p>
        </w:tc>
        <w:tc>
          <w:tcPr>
            <w:tcW w:w="1417" w:type="dxa"/>
          </w:tcPr>
          <w:p w14:paraId="5A8169EB" w14:textId="77777777" w:rsidR="000E2C51" w:rsidRPr="001A2B10" w:rsidRDefault="004C4A06" w:rsidP="007E576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sidRPr="001A2B10">
              <w:rPr>
                <w:iCs/>
                <w:sz w:val="18"/>
                <w:szCs w:val="18"/>
                <w:lang w:val="en-GB"/>
              </w:rPr>
              <w:t>High</w:t>
            </w:r>
          </w:p>
        </w:tc>
        <w:tc>
          <w:tcPr>
            <w:tcW w:w="1134" w:type="dxa"/>
          </w:tcPr>
          <w:p w14:paraId="31C94978" w14:textId="77777777" w:rsidR="000E2C51" w:rsidRPr="001A2B10" w:rsidRDefault="0045021D" w:rsidP="007E576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sidRPr="001A2B10">
              <w:rPr>
                <w:iCs/>
                <w:sz w:val="18"/>
                <w:szCs w:val="18"/>
                <w:lang w:val="en-GB"/>
              </w:rPr>
              <w:t>Yes</w:t>
            </w:r>
          </w:p>
        </w:tc>
      </w:tr>
      <w:tr w:rsidR="001A2B10" w:rsidRPr="00782E69" w14:paraId="71D4C3F7" w14:textId="77777777" w:rsidTr="00555425">
        <w:trPr>
          <w:trHeight w:val="56"/>
        </w:trPr>
        <w:tc>
          <w:tcPr>
            <w:tcW w:w="2269" w:type="dxa"/>
          </w:tcPr>
          <w:p w14:paraId="2ED0492D" w14:textId="68775341" w:rsidR="0045021D" w:rsidRPr="001A2B10" w:rsidRDefault="0045021D" w:rsidP="0047722F">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sidRPr="001A2B10">
              <w:rPr>
                <w:iCs/>
                <w:sz w:val="18"/>
                <w:szCs w:val="18"/>
                <w:lang w:val="en-GB"/>
              </w:rPr>
              <w:t xml:space="preserve">Stakeholder management of key delivery partners is weak and does </w:t>
            </w:r>
            <w:r w:rsidR="0047722F">
              <w:rPr>
                <w:iCs/>
                <w:sz w:val="18"/>
                <w:szCs w:val="18"/>
                <w:lang w:val="en-GB"/>
              </w:rPr>
              <w:t>result in partnership approaches that</w:t>
            </w:r>
            <w:r w:rsidRPr="001A2B10">
              <w:rPr>
                <w:iCs/>
                <w:sz w:val="18"/>
                <w:szCs w:val="18"/>
                <w:lang w:val="en-GB"/>
              </w:rPr>
              <w:t xml:space="preserve"> guarantee outcomes</w:t>
            </w:r>
            <w:r w:rsidR="004635A8">
              <w:rPr>
                <w:iCs/>
                <w:sz w:val="18"/>
                <w:szCs w:val="18"/>
                <w:lang w:val="en-GB"/>
              </w:rPr>
              <w:t>.</w:t>
            </w:r>
          </w:p>
        </w:tc>
        <w:tc>
          <w:tcPr>
            <w:tcW w:w="2693" w:type="dxa"/>
          </w:tcPr>
          <w:p w14:paraId="0793FEC5" w14:textId="77777777" w:rsidR="0045021D" w:rsidRPr="001A2B10" w:rsidRDefault="0045021D" w:rsidP="007E576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sidRPr="001A2B10">
              <w:rPr>
                <w:iCs/>
                <w:sz w:val="18"/>
                <w:szCs w:val="18"/>
                <w:lang w:val="en-GB"/>
              </w:rPr>
              <w:t>The program invested in partner relationships and clearly articulated Australia’s expectations for strategic partnership. Strategic decisions were made on resource allocation to ensure adequate support for the 3 key partners</w:t>
            </w:r>
          </w:p>
        </w:tc>
        <w:tc>
          <w:tcPr>
            <w:tcW w:w="3544" w:type="dxa"/>
          </w:tcPr>
          <w:p w14:paraId="53A1809D" w14:textId="0A6AD79D" w:rsidR="00950EE9" w:rsidRDefault="00950EE9" w:rsidP="007E576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Pr>
                <w:iCs/>
                <w:sz w:val="18"/>
                <w:szCs w:val="18"/>
                <w:lang w:val="en-GB"/>
              </w:rPr>
              <w:t xml:space="preserve">Continue to influence partners’ strategic directions through the access partnerships provide to partners’ </w:t>
            </w:r>
            <w:r w:rsidR="0047722F">
              <w:rPr>
                <w:iCs/>
                <w:sz w:val="18"/>
                <w:szCs w:val="18"/>
                <w:lang w:val="en-GB"/>
              </w:rPr>
              <w:t xml:space="preserve">decision-making </w:t>
            </w:r>
            <w:r>
              <w:rPr>
                <w:iCs/>
                <w:sz w:val="18"/>
                <w:szCs w:val="18"/>
                <w:lang w:val="en-GB"/>
              </w:rPr>
              <w:t>mechanisms</w:t>
            </w:r>
            <w:r w:rsidR="00CF2D26">
              <w:rPr>
                <w:iCs/>
                <w:sz w:val="18"/>
                <w:szCs w:val="18"/>
                <w:lang w:val="en-GB"/>
              </w:rPr>
              <w:t>.</w:t>
            </w:r>
          </w:p>
          <w:p w14:paraId="22E8E33A" w14:textId="1F7C8606" w:rsidR="00217D9E" w:rsidRPr="001A2B10" w:rsidRDefault="00217D9E" w:rsidP="007E576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Pr>
                <w:iCs/>
                <w:sz w:val="18"/>
                <w:szCs w:val="18"/>
                <w:lang w:val="en-GB"/>
              </w:rPr>
              <w:t>Partnership training will be provided to DFAT and partner key staff to</w:t>
            </w:r>
            <w:r w:rsidR="00950EE9">
              <w:rPr>
                <w:iCs/>
                <w:sz w:val="18"/>
                <w:szCs w:val="18"/>
                <w:lang w:val="en-GB"/>
              </w:rPr>
              <w:t xml:space="preserve"> </w:t>
            </w:r>
            <w:r>
              <w:rPr>
                <w:iCs/>
                <w:sz w:val="18"/>
                <w:szCs w:val="18"/>
                <w:lang w:val="en-GB"/>
              </w:rPr>
              <w:t>strengthen shared partnership objectives, and understanding of DFAT’s expectations of performance within the partnership modality</w:t>
            </w:r>
            <w:r w:rsidR="00CF2D26">
              <w:rPr>
                <w:iCs/>
                <w:sz w:val="18"/>
                <w:szCs w:val="18"/>
                <w:lang w:val="en-GB"/>
              </w:rPr>
              <w:t>.</w:t>
            </w:r>
          </w:p>
        </w:tc>
        <w:tc>
          <w:tcPr>
            <w:tcW w:w="1417" w:type="dxa"/>
          </w:tcPr>
          <w:p w14:paraId="5B61DE2B" w14:textId="77777777" w:rsidR="0045021D" w:rsidRPr="001A2B10" w:rsidRDefault="0045021D" w:rsidP="007E576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sidRPr="001A2B10">
              <w:rPr>
                <w:iCs/>
                <w:sz w:val="18"/>
                <w:szCs w:val="18"/>
                <w:lang w:val="en-GB"/>
              </w:rPr>
              <w:t>Medium</w:t>
            </w:r>
          </w:p>
        </w:tc>
        <w:tc>
          <w:tcPr>
            <w:tcW w:w="1134" w:type="dxa"/>
          </w:tcPr>
          <w:p w14:paraId="5494F701" w14:textId="77777777" w:rsidR="0045021D" w:rsidRPr="001A2B10" w:rsidRDefault="0045021D" w:rsidP="007E576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rPr>
                <w:iCs/>
                <w:sz w:val="18"/>
                <w:szCs w:val="18"/>
                <w:lang w:val="en-GB"/>
              </w:rPr>
            </w:pPr>
            <w:r w:rsidRPr="001A2B10">
              <w:rPr>
                <w:iCs/>
                <w:sz w:val="18"/>
                <w:szCs w:val="18"/>
                <w:lang w:val="en-GB"/>
              </w:rPr>
              <w:t>No</w:t>
            </w:r>
          </w:p>
        </w:tc>
      </w:tr>
    </w:tbl>
    <w:p w14:paraId="37D4A85C" w14:textId="77777777" w:rsidR="00CF2B7D" w:rsidRDefault="00CF2B7D"/>
    <w:p w14:paraId="5A0B51FC" w14:textId="02E57560" w:rsidR="00650E3A" w:rsidRPr="000321FD" w:rsidRDefault="00CF2D26">
      <w:r w:rsidRPr="000321FD">
        <w:t>The operational environment remained fragile and the associated risk remained medium to high throughout 2016-17.</w:t>
      </w:r>
      <w:r w:rsidR="00555425" w:rsidRPr="000321FD">
        <w:t xml:space="preserve"> </w:t>
      </w:r>
      <w:r w:rsidR="00117519" w:rsidRPr="000321FD">
        <w:t xml:space="preserve"> Australia manag</w:t>
      </w:r>
      <w:r w:rsidR="00440572" w:rsidRPr="000321FD">
        <w:t xml:space="preserve">ed risks </w:t>
      </w:r>
      <w:r w:rsidR="006D5479" w:rsidRPr="000321FD">
        <w:t>by</w:t>
      </w:r>
      <w:r w:rsidR="00871871" w:rsidRPr="000321FD">
        <w:t xml:space="preserve">: maintaining </w:t>
      </w:r>
      <w:r w:rsidRPr="000321FD">
        <w:t>a</w:t>
      </w:r>
      <w:r w:rsidR="00440572" w:rsidRPr="000321FD">
        <w:t xml:space="preserve"> </w:t>
      </w:r>
      <w:r w:rsidR="00EE4348" w:rsidRPr="000321FD">
        <w:t>program-level risk register</w:t>
      </w:r>
      <w:r w:rsidR="00440572" w:rsidRPr="000321FD">
        <w:t>; strengthen</w:t>
      </w:r>
      <w:r w:rsidR="00871871" w:rsidRPr="000321FD">
        <w:t>ing</w:t>
      </w:r>
      <w:r w:rsidR="008B2F97" w:rsidRPr="000321FD">
        <w:t xml:space="preserve"> </w:t>
      </w:r>
      <w:r w:rsidRPr="000321FD">
        <w:t xml:space="preserve">contextual </w:t>
      </w:r>
      <w:r w:rsidR="008B2F97" w:rsidRPr="000321FD">
        <w:t xml:space="preserve">understanding </w:t>
      </w:r>
      <w:r w:rsidR="00871871" w:rsidRPr="000321FD">
        <w:t>including through media monitoring</w:t>
      </w:r>
      <w:r w:rsidR="00DF5A40" w:rsidRPr="000321FD">
        <w:t>, communication with like-minded missions</w:t>
      </w:r>
      <w:r w:rsidRPr="000321FD">
        <w:t xml:space="preserve">, </w:t>
      </w:r>
      <w:r w:rsidR="00DF5A40" w:rsidRPr="000321FD">
        <w:t>participation at Local Consultative Groups</w:t>
      </w:r>
      <w:r w:rsidRPr="000321FD">
        <w:t>,</w:t>
      </w:r>
      <w:r w:rsidR="00555425" w:rsidRPr="000321FD">
        <w:t xml:space="preserve"> and contracting</w:t>
      </w:r>
      <w:r w:rsidRPr="000321FD">
        <w:t xml:space="preserve"> p</w:t>
      </w:r>
      <w:r w:rsidR="00D05F1C" w:rsidRPr="000321FD">
        <w:t xml:space="preserve">ublic </w:t>
      </w:r>
      <w:r w:rsidRPr="000321FD">
        <w:t>f</w:t>
      </w:r>
      <w:r w:rsidR="00D05F1C" w:rsidRPr="000321FD">
        <w:t xml:space="preserve">inancial </w:t>
      </w:r>
      <w:r w:rsidRPr="000321FD">
        <w:t>m</w:t>
      </w:r>
      <w:r w:rsidR="00D05F1C" w:rsidRPr="000321FD">
        <w:t>anagement</w:t>
      </w:r>
      <w:r w:rsidR="00555425" w:rsidRPr="000321FD">
        <w:t xml:space="preserve"> expertise</w:t>
      </w:r>
      <w:r w:rsidRPr="000321FD">
        <w:t xml:space="preserve"> </w:t>
      </w:r>
      <w:r w:rsidR="00D05F1C" w:rsidRPr="000321FD">
        <w:t xml:space="preserve">to audit and monitor government systems; </w:t>
      </w:r>
      <w:r w:rsidRPr="000321FD">
        <w:t xml:space="preserve"> </w:t>
      </w:r>
      <w:r w:rsidR="00D05F1C" w:rsidRPr="000321FD">
        <w:t xml:space="preserve">and </w:t>
      </w:r>
      <w:r w:rsidR="006A071B" w:rsidRPr="000321FD">
        <w:t xml:space="preserve">formalising </w:t>
      </w:r>
      <w:r w:rsidRPr="000321FD">
        <w:t>senior</w:t>
      </w:r>
      <w:r w:rsidR="00D05F1C" w:rsidRPr="000321FD">
        <w:t xml:space="preserve"> stakeholder discussions</w:t>
      </w:r>
      <w:r w:rsidR="006A071B" w:rsidRPr="000321FD">
        <w:t xml:space="preserve"> such as the annual </w:t>
      </w:r>
      <w:r w:rsidR="00D05F1C" w:rsidRPr="000321FD">
        <w:t xml:space="preserve">BRAC Health Check. </w:t>
      </w:r>
      <w:r w:rsidR="006A071B" w:rsidRPr="000321FD">
        <w:t xml:space="preserve"> </w:t>
      </w:r>
    </w:p>
    <w:p w14:paraId="1013FDE3" w14:textId="77777777" w:rsidR="00CF2B7D" w:rsidRDefault="00CF2B7D" w:rsidP="00D13811"/>
    <w:p w14:paraId="57E0870E" w14:textId="592A6947" w:rsidR="00026AE0" w:rsidRPr="000321FD" w:rsidRDefault="000321FD" w:rsidP="00D13811">
      <w:pPr>
        <w:rPr>
          <w:rFonts w:asciiTheme="majorHAnsi" w:eastAsiaTheme="majorEastAsia" w:hAnsiTheme="majorHAnsi" w:cstheme="majorBidi"/>
          <w:caps/>
          <w:sz w:val="38"/>
          <w:szCs w:val="26"/>
        </w:rPr>
      </w:pPr>
      <w:r w:rsidRPr="00CF2B7D">
        <w:lastRenderedPageBreak/>
        <w:t xml:space="preserve">With corruption continuing to remain a serious problem in Bangladesh, </w:t>
      </w:r>
      <w:r w:rsidR="00DF5A40" w:rsidRPr="00CF2B7D">
        <w:t>DFAT</w:t>
      </w:r>
      <w:r w:rsidR="00DF5A40" w:rsidRPr="000321FD">
        <w:t xml:space="preserve"> made a significant contribution to the development </w:t>
      </w:r>
      <w:r w:rsidR="00E34C28" w:rsidRPr="000321FD">
        <w:t xml:space="preserve">of a Fraud and Risk Register </w:t>
      </w:r>
      <w:r w:rsidR="00DF5A40" w:rsidRPr="000321FD">
        <w:t xml:space="preserve">among BRAC SPA partners allowing a common approach to managing and reporting on risk and fraud. </w:t>
      </w:r>
      <w:r w:rsidR="00E34C28" w:rsidRPr="000321FD">
        <w:t>A</w:t>
      </w:r>
      <w:r w:rsidR="00DF5A40" w:rsidRPr="000321FD">
        <w:t xml:space="preserve"> monthly fraud register is maintained with BRAC and reported to </w:t>
      </w:r>
      <w:r w:rsidR="00815E6D">
        <w:t xml:space="preserve">DFAT’s </w:t>
      </w:r>
      <w:r w:rsidR="00DF5A40" w:rsidRPr="000321FD">
        <w:t>Fraud Control Section along with a</w:t>
      </w:r>
      <w:r w:rsidR="00F6510A">
        <w:t xml:space="preserve">ll other program-level fraud </w:t>
      </w:r>
      <w:r w:rsidR="00DF5A40" w:rsidRPr="000321FD">
        <w:t>mon</w:t>
      </w:r>
      <w:r w:rsidR="00810A8E" w:rsidRPr="000321FD">
        <w:t xml:space="preserve">itored at post in line with </w:t>
      </w:r>
      <w:r w:rsidR="00815E6D">
        <w:t xml:space="preserve">the Aid Program’s </w:t>
      </w:r>
      <w:r w:rsidR="00DF5A40" w:rsidRPr="000321FD">
        <w:t xml:space="preserve">Fraud Control and Anti-Corruption Strategy for Bangladesh developed in June 2015. </w:t>
      </w:r>
    </w:p>
    <w:p w14:paraId="7C9BE836" w14:textId="2F367984" w:rsidR="002A51CA" w:rsidRPr="000321FD" w:rsidRDefault="002A51CA" w:rsidP="002A51CA">
      <w:pPr>
        <w:pStyle w:val="Heading2"/>
      </w:pPr>
      <w:r w:rsidRPr="000321FD">
        <w:t xml:space="preserve">Management </w:t>
      </w:r>
      <w:r w:rsidR="00AC302F" w:rsidRPr="000321FD">
        <w:t>actions</w:t>
      </w:r>
      <w:r w:rsidRPr="000321FD">
        <w:tab/>
      </w:r>
      <w:r w:rsidRPr="000321FD">
        <w:tab/>
      </w:r>
    </w:p>
    <w:p w14:paraId="0428587B" w14:textId="77777777" w:rsidR="002A51CA" w:rsidRPr="000321FD" w:rsidRDefault="000E2C51" w:rsidP="002A51CA">
      <w:pPr>
        <w:rPr>
          <w:b/>
        </w:rPr>
      </w:pPr>
      <w:r w:rsidRPr="000321FD">
        <w:t>The 2015-16 APPR management responses were all met.</w:t>
      </w:r>
      <w:r w:rsidR="002A51CA" w:rsidRPr="000321FD">
        <w:t xml:space="preserve"> A summary of progress on management </w:t>
      </w:r>
      <w:r w:rsidR="00AC302F" w:rsidRPr="000321FD">
        <w:t>actions</w:t>
      </w:r>
      <w:r w:rsidRPr="000321FD">
        <w:t xml:space="preserve"> is </w:t>
      </w:r>
      <w:r w:rsidR="002A51CA" w:rsidRPr="000321FD">
        <w:t xml:space="preserve">included in the table in </w:t>
      </w:r>
      <w:r w:rsidR="002A51CA" w:rsidRPr="000321FD">
        <w:rPr>
          <w:b/>
        </w:rPr>
        <w:t>Annex A.</w:t>
      </w:r>
    </w:p>
    <w:p w14:paraId="1AD719B6" w14:textId="77777777" w:rsidR="000E2C51" w:rsidRPr="000321FD" w:rsidRDefault="000E2C51" w:rsidP="000E2C51">
      <w:r w:rsidRPr="000321FD">
        <w:t>Management responses for the Bangladesh aid program for 2016-17 are as follows:</w:t>
      </w:r>
    </w:p>
    <w:p w14:paraId="49022958" w14:textId="6EFD50D3" w:rsidR="008C3805" w:rsidRPr="000321FD" w:rsidRDefault="008C3805" w:rsidP="008C3805">
      <w:pPr>
        <w:pStyle w:val="ListParagraph"/>
        <w:numPr>
          <w:ilvl w:val="0"/>
          <w:numId w:val="15"/>
        </w:numPr>
        <w:rPr>
          <w:rFonts w:asciiTheme="minorHAnsi" w:eastAsiaTheme="minorHAnsi" w:hAnsiTheme="minorHAnsi" w:cstheme="minorBidi"/>
          <w:color w:val="495965" w:themeColor="text2"/>
          <w:sz w:val="22"/>
          <w:szCs w:val="22"/>
          <w:lang w:val="en-GB"/>
        </w:rPr>
      </w:pPr>
      <w:r w:rsidRPr="000321FD">
        <w:rPr>
          <w:rFonts w:asciiTheme="minorHAnsi" w:eastAsiaTheme="minorHAnsi" w:hAnsiTheme="minorHAnsi" w:cstheme="minorBidi"/>
          <w:color w:val="495965" w:themeColor="text2"/>
          <w:sz w:val="22"/>
          <w:szCs w:val="22"/>
          <w:lang w:val="en-GB"/>
        </w:rPr>
        <w:t xml:space="preserve">Determine Australia’s involvement in the next phase of the Bangladesh Government’s Primary Education and Social Protection programs by </w:t>
      </w:r>
      <w:r w:rsidR="0047722F" w:rsidRPr="000321FD">
        <w:rPr>
          <w:rFonts w:asciiTheme="minorHAnsi" w:eastAsiaTheme="minorHAnsi" w:hAnsiTheme="minorHAnsi" w:cstheme="minorBidi"/>
          <w:color w:val="495965" w:themeColor="text2"/>
          <w:sz w:val="22"/>
          <w:szCs w:val="22"/>
          <w:lang w:val="en-GB"/>
        </w:rPr>
        <w:t>supporting and</w:t>
      </w:r>
      <w:r w:rsidR="006414B3" w:rsidRPr="000321FD">
        <w:rPr>
          <w:rFonts w:asciiTheme="minorHAnsi" w:eastAsiaTheme="minorHAnsi" w:hAnsiTheme="minorHAnsi" w:cstheme="minorBidi"/>
          <w:color w:val="495965" w:themeColor="text2"/>
          <w:sz w:val="22"/>
          <w:szCs w:val="22"/>
          <w:lang w:val="en-GB"/>
        </w:rPr>
        <w:t xml:space="preserve"> </w:t>
      </w:r>
      <w:r w:rsidR="0047722F" w:rsidRPr="000321FD">
        <w:rPr>
          <w:rFonts w:asciiTheme="minorHAnsi" w:eastAsiaTheme="minorHAnsi" w:hAnsiTheme="minorHAnsi" w:cstheme="minorBidi"/>
          <w:color w:val="495965" w:themeColor="text2"/>
          <w:sz w:val="22"/>
          <w:szCs w:val="22"/>
          <w:lang w:val="en-GB"/>
        </w:rPr>
        <w:t xml:space="preserve">engaging </w:t>
      </w:r>
      <w:r w:rsidRPr="000321FD">
        <w:rPr>
          <w:rFonts w:asciiTheme="minorHAnsi" w:eastAsiaTheme="minorHAnsi" w:hAnsiTheme="minorHAnsi" w:cstheme="minorBidi"/>
          <w:color w:val="495965" w:themeColor="text2"/>
          <w:sz w:val="22"/>
          <w:szCs w:val="22"/>
          <w:lang w:val="en-GB"/>
        </w:rPr>
        <w:t xml:space="preserve">in </w:t>
      </w:r>
      <w:r w:rsidR="006414B3" w:rsidRPr="000321FD">
        <w:rPr>
          <w:rFonts w:asciiTheme="minorHAnsi" w:eastAsiaTheme="minorHAnsi" w:hAnsiTheme="minorHAnsi" w:cstheme="minorBidi"/>
          <w:color w:val="495965" w:themeColor="text2"/>
          <w:sz w:val="22"/>
          <w:szCs w:val="22"/>
          <w:lang w:val="en-GB"/>
        </w:rPr>
        <w:t xml:space="preserve">partner </w:t>
      </w:r>
      <w:r w:rsidRPr="000321FD">
        <w:rPr>
          <w:rFonts w:asciiTheme="minorHAnsi" w:eastAsiaTheme="minorHAnsi" w:hAnsiTheme="minorHAnsi" w:cstheme="minorBidi"/>
          <w:color w:val="495965" w:themeColor="text2"/>
          <w:sz w:val="22"/>
          <w:szCs w:val="22"/>
          <w:lang w:val="en-GB"/>
        </w:rPr>
        <w:t>design processes</w:t>
      </w:r>
    </w:p>
    <w:p w14:paraId="72F8E0B8" w14:textId="49F419A5" w:rsidR="008C3805" w:rsidRPr="000321FD" w:rsidRDefault="008C3805" w:rsidP="008C3805">
      <w:pPr>
        <w:pStyle w:val="ListParagraph"/>
        <w:numPr>
          <w:ilvl w:val="0"/>
          <w:numId w:val="16"/>
        </w:numPr>
        <w:rPr>
          <w:rFonts w:asciiTheme="minorHAnsi" w:eastAsiaTheme="minorHAnsi" w:hAnsiTheme="minorHAnsi" w:cstheme="minorBidi"/>
          <w:color w:val="495965" w:themeColor="text2"/>
          <w:sz w:val="22"/>
          <w:szCs w:val="22"/>
          <w:lang w:val="en-GB"/>
        </w:rPr>
      </w:pPr>
      <w:r w:rsidRPr="000321FD">
        <w:rPr>
          <w:rFonts w:asciiTheme="minorHAnsi" w:eastAsiaTheme="minorHAnsi" w:hAnsiTheme="minorHAnsi" w:cstheme="minorBidi"/>
          <w:color w:val="495965" w:themeColor="text2"/>
          <w:sz w:val="22"/>
          <w:szCs w:val="22"/>
          <w:lang w:val="en-GB"/>
        </w:rPr>
        <w:t>Utilise Australian commissioned studies on lessons learned from teaching and learning quality intervent</w:t>
      </w:r>
      <w:r w:rsidR="00A51AC5" w:rsidRPr="000321FD">
        <w:rPr>
          <w:rFonts w:asciiTheme="minorHAnsi" w:eastAsiaTheme="minorHAnsi" w:hAnsiTheme="minorHAnsi" w:cstheme="minorBidi"/>
          <w:color w:val="495965" w:themeColor="text2"/>
          <w:sz w:val="22"/>
          <w:szCs w:val="22"/>
          <w:lang w:val="en-GB"/>
        </w:rPr>
        <w:t>ions in PEDP3 to support the Government of Bangladesh</w:t>
      </w:r>
      <w:r w:rsidRPr="000321FD">
        <w:rPr>
          <w:rFonts w:asciiTheme="minorHAnsi" w:eastAsiaTheme="minorHAnsi" w:hAnsiTheme="minorHAnsi" w:cstheme="minorBidi"/>
          <w:color w:val="495965" w:themeColor="text2"/>
          <w:sz w:val="22"/>
          <w:szCs w:val="22"/>
          <w:lang w:val="en-GB"/>
        </w:rPr>
        <w:t xml:space="preserve"> to include effective quality reform initiatives in the PEDP4 design.</w:t>
      </w:r>
    </w:p>
    <w:p w14:paraId="50D1E52F" w14:textId="77777777" w:rsidR="008C3805" w:rsidRPr="000321FD" w:rsidRDefault="008C3805" w:rsidP="00B4365A">
      <w:pPr>
        <w:pStyle w:val="ListParagraph"/>
        <w:ind w:left="1070"/>
        <w:rPr>
          <w:rFonts w:asciiTheme="minorHAnsi" w:eastAsiaTheme="minorHAnsi" w:hAnsiTheme="minorHAnsi" w:cstheme="minorBidi"/>
          <w:color w:val="495965" w:themeColor="text2"/>
          <w:sz w:val="22"/>
          <w:szCs w:val="22"/>
          <w:lang w:val="en-GB"/>
        </w:rPr>
      </w:pPr>
    </w:p>
    <w:p w14:paraId="1F521D1C" w14:textId="77777777" w:rsidR="008C3805" w:rsidRPr="000321FD" w:rsidRDefault="008C3805" w:rsidP="00B4365A">
      <w:pPr>
        <w:pStyle w:val="ListParagraph"/>
        <w:numPr>
          <w:ilvl w:val="0"/>
          <w:numId w:val="15"/>
        </w:numPr>
        <w:rPr>
          <w:rFonts w:asciiTheme="minorHAnsi" w:eastAsiaTheme="minorHAnsi" w:hAnsiTheme="minorHAnsi" w:cstheme="minorBidi"/>
          <w:color w:val="495965" w:themeColor="text2"/>
          <w:sz w:val="22"/>
          <w:szCs w:val="22"/>
          <w:lang w:val="en-GB"/>
        </w:rPr>
      </w:pPr>
      <w:r w:rsidRPr="000321FD">
        <w:rPr>
          <w:rFonts w:asciiTheme="minorHAnsi" w:eastAsiaTheme="minorHAnsi" w:hAnsiTheme="minorHAnsi" w:cstheme="minorBidi"/>
          <w:color w:val="495965" w:themeColor="text2"/>
          <w:sz w:val="22"/>
          <w:szCs w:val="22"/>
          <w:lang w:val="en-GB"/>
        </w:rPr>
        <w:t xml:space="preserve">Monitor and assess the Post resource implications of increased DFAT global and regional investments in Bangladesh and, through DFAT’s Senior Management in Canberra, advocate for greater visibility of these investments and a streamlined approach to implementation, including through clearly identified roles and responsibilities. </w:t>
      </w:r>
    </w:p>
    <w:p w14:paraId="2C337744" w14:textId="77777777" w:rsidR="008C3805" w:rsidRPr="000321FD" w:rsidRDefault="008C3805" w:rsidP="00B4365A">
      <w:pPr>
        <w:pStyle w:val="ListParagraph"/>
        <w:ind w:left="644"/>
        <w:rPr>
          <w:rFonts w:asciiTheme="minorHAnsi" w:eastAsiaTheme="minorHAnsi" w:hAnsiTheme="minorHAnsi" w:cstheme="minorBidi"/>
          <w:color w:val="495965" w:themeColor="text2"/>
          <w:sz w:val="22"/>
          <w:szCs w:val="22"/>
          <w:lang w:val="en-GB"/>
        </w:rPr>
      </w:pPr>
    </w:p>
    <w:p w14:paraId="4D73391B" w14:textId="6D110881" w:rsidR="008C3805" w:rsidRPr="000321FD" w:rsidRDefault="0047722F" w:rsidP="008C3805">
      <w:pPr>
        <w:pStyle w:val="ListParagraph"/>
        <w:numPr>
          <w:ilvl w:val="0"/>
          <w:numId w:val="15"/>
        </w:numPr>
      </w:pPr>
      <w:r w:rsidRPr="000321FD">
        <w:rPr>
          <w:rFonts w:asciiTheme="minorHAnsi" w:eastAsiaTheme="minorHAnsi" w:hAnsiTheme="minorHAnsi" w:cstheme="minorBidi"/>
          <w:color w:val="495965" w:themeColor="text2"/>
          <w:sz w:val="22"/>
          <w:szCs w:val="22"/>
          <w:lang w:val="en-GB"/>
        </w:rPr>
        <w:t xml:space="preserve">Continue to build on our </w:t>
      </w:r>
      <w:r w:rsidR="008C3805" w:rsidRPr="000321FD">
        <w:rPr>
          <w:rFonts w:asciiTheme="minorHAnsi" w:eastAsiaTheme="minorHAnsi" w:hAnsiTheme="minorHAnsi" w:cstheme="minorBidi"/>
          <w:color w:val="495965" w:themeColor="text2"/>
          <w:sz w:val="22"/>
          <w:szCs w:val="22"/>
          <w:lang w:val="en-GB"/>
        </w:rPr>
        <w:t>understanding of the political, economic</w:t>
      </w:r>
      <w:r w:rsidR="006414B3" w:rsidRPr="000321FD">
        <w:rPr>
          <w:rFonts w:asciiTheme="minorHAnsi" w:eastAsiaTheme="minorHAnsi" w:hAnsiTheme="minorHAnsi" w:cstheme="minorBidi"/>
          <w:color w:val="495965" w:themeColor="text2"/>
          <w:sz w:val="22"/>
          <w:szCs w:val="22"/>
          <w:lang w:val="en-GB"/>
        </w:rPr>
        <w:t>, environmental</w:t>
      </w:r>
      <w:r w:rsidR="008C3805" w:rsidRPr="000321FD">
        <w:rPr>
          <w:rFonts w:asciiTheme="minorHAnsi" w:eastAsiaTheme="minorHAnsi" w:hAnsiTheme="minorHAnsi" w:cstheme="minorBidi"/>
          <w:color w:val="495965" w:themeColor="text2"/>
          <w:sz w:val="22"/>
          <w:szCs w:val="22"/>
          <w:lang w:val="en-GB"/>
        </w:rPr>
        <w:t xml:space="preserve"> and security </w:t>
      </w:r>
      <w:r w:rsidRPr="000321FD">
        <w:rPr>
          <w:rFonts w:asciiTheme="minorHAnsi" w:eastAsiaTheme="minorHAnsi" w:hAnsiTheme="minorHAnsi" w:cstheme="minorBidi"/>
          <w:color w:val="495965" w:themeColor="text2"/>
          <w:sz w:val="22"/>
          <w:szCs w:val="22"/>
          <w:lang w:val="en-GB"/>
        </w:rPr>
        <w:t xml:space="preserve">context in Bangladesh in order to inform our </w:t>
      </w:r>
      <w:r w:rsidR="008C3805" w:rsidRPr="000321FD">
        <w:rPr>
          <w:rFonts w:asciiTheme="minorHAnsi" w:eastAsiaTheme="minorHAnsi" w:hAnsiTheme="minorHAnsi" w:cstheme="minorBidi"/>
          <w:color w:val="495965" w:themeColor="text2"/>
          <w:sz w:val="22"/>
          <w:szCs w:val="22"/>
          <w:lang w:val="en-GB"/>
        </w:rPr>
        <w:t xml:space="preserve">expectations of partner performance and </w:t>
      </w:r>
      <w:r w:rsidR="006414B3" w:rsidRPr="000321FD">
        <w:rPr>
          <w:rFonts w:asciiTheme="minorHAnsi" w:eastAsiaTheme="minorHAnsi" w:hAnsiTheme="minorHAnsi" w:cstheme="minorBidi"/>
          <w:color w:val="495965" w:themeColor="text2"/>
          <w:sz w:val="22"/>
          <w:szCs w:val="22"/>
          <w:lang w:val="en-GB"/>
        </w:rPr>
        <w:t xml:space="preserve">decisions on </w:t>
      </w:r>
      <w:r w:rsidR="008C3805" w:rsidRPr="000321FD">
        <w:rPr>
          <w:rFonts w:asciiTheme="minorHAnsi" w:eastAsiaTheme="minorHAnsi" w:hAnsiTheme="minorHAnsi" w:cstheme="minorBidi"/>
          <w:color w:val="495965" w:themeColor="text2"/>
          <w:sz w:val="22"/>
          <w:szCs w:val="22"/>
          <w:lang w:val="en-GB"/>
        </w:rPr>
        <w:t>new investments</w:t>
      </w:r>
    </w:p>
    <w:p w14:paraId="58628CA3" w14:textId="058A41B9" w:rsidR="008C3805" w:rsidRPr="000321FD" w:rsidRDefault="008C3805" w:rsidP="008C3805">
      <w:pPr>
        <w:pStyle w:val="ListParagraph"/>
        <w:numPr>
          <w:ilvl w:val="0"/>
          <w:numId w:val="16"/>
        </w:numPr>
        <w:rPr>
          <w:rFonts w:asciiTheme="minorHAnsi" w:eastAsiaTheme="minorHAnsi" w:hAnsiTheme="minorHAnsi" w:cstheme="minorBidi"/>
          <w:color w:val="495965" w:themeColor="text2"/>
          <w:sz w:val="22"/>
          <w:szCs w:val="22"/>
          <w:lang w:val="en-GB"/>
        </w:rPr>
      </w:pPr>
      <w:r w:rsidRPr="000321FD">
        <w:rPr>
          <w:rFonts w:asciiTheme="minorHAnsi" w:eastAsiaTheme="minorHAnsi" w:hAnsiTheme="minorHAnsi" w:cstheme="minorBidi"/>
          <w:color w:val="495965" w:themeColor="text2"/>
          <w:sz w:val="22"/>
          <w:szCs w:val="22"/>
          <w:lang w:val="en-GB"/>
        </w:rPr>
        <w:t>Maintain relevant networks with donors, government and local partners to share information, including on security developments an</w:t>
      </w:r>
      <w:r w:rsidR="004635A8" w:rsidRPr="000321FD">
        <w:rPr>
          <w:rFonts w:asciiTheme="minorHAnsi" w:eastAsiaTheme="minorHAnsi" w:hAnsiTheme="minorHAnsi" w:cstheme="minorBidi"/>
          <w:color w:val="495965" w:themeColor="text2"/>
          <w:sz w:val="22"/>
          <w:szCs w:val="22"/>
          <w:lang w:val="en-GB"/>
        </w:rPr>
        <w:t>d on political economy analysis.</w:t>
      </w:r>
      <w:r w:rsidRPr="000321FD">
        <w:rPr>
          <w:rFonts w:asciiTheme="minorHAnsi" w:eastAsiaTheme="minorHAnsi" w:hAnsiTheme="minorHAnsi" w:cstheme="minorBidi"/>
          <w:color w:val="495965" w:themeColor="text2"/>
          <w:sz w:val="22"/>
          <w:szCs w:val="22"/>
          <w:lang w:val="en-GB"/>
        </w:rPr>
        <w:t xml:space="preserve"> </w:t>
      </w:r>
    </w:p>
    <w:p w14:paraId="57BA1C29" w14:textId="77777777" w:rsidR="008C3805" w:rsidRPr="000321FD" w:rsidRDefault="008C3805" w:rsidP="00B4365A">
      <w:pPr>
        <w:pStyle w:val="ListParagraph"/>
        <w:numPr>
          <w:ilvl w:val="0"/>
          <w:numId w:val="16"/>
        </w:numPr>
        <w:rPr>
          <w:rFonts w:asciiTheme="minorHAnsi" w:eastAsiaTheme="minorHAnsi" w:hAnsiTheme="minorHAnsi" w:cstheme="minorBidi"/>
          <w:color w:val="495965" w:themeColor="text2"/>
          <w:sz w:val="22"/>
          <w:szCs w:val="22"/>
          <w:lang w:val="en-GB"/>
        </w:rPr>
      </w:pPr>
      <w:r w:rsidRPr="000321FD">
        <w:rPr>
          <w:rFonts w:asciiTheme="minorHAnsi" w:eastAsiaTheme="minorHAnsi" w:hAnsiTheme="minorHAnsi" w:cstheme="minorBidi"/>
          <w:color w:val="495965" w:themeColor="text2"/>
          <w:sz w:val="22"/>
          <w:szCs w:val="22"/>
          <w:lang w:val="en-GB"/>
        </w:rPr>
        <w:t xml:space="preserve">Consult with aid partners on </w:t>
      </w:r>
      <w:r w:rsidR="006414B3" w:rsidRPr="000321FD">
        <w:rPr>
          <w:rFonts w:asciiTheme="minorHAnsi" w:eastAsiaTheme="minorHAnsi" w:hAnsiTheme="minorHAnsi" w:cstheme="minorBidi"/>
          <w:color w:val="495965" w:themeColor="text2"/>
          <w:sz w:val="22"/>
          <w:szCs w:val="22"/>
          <w:lang w:val="en-GB"/>
        </w:rPr>
        <w:t>changes in the context and their impact</w:t>
      </w:r>
      <w:r w:rsidRPr="000321FD">
        <w:rPr>
          <w:rFonts w:asciiTheme="minorHAnsi" w:eastAsiaTheme="minorHAnsi" w:hAnsiTheme="minorHAnsi" w:cstheme="minorBidi"/>
          <w:color w:val="495965" w:themeColor="text2"/>
          <w:sz w:val="22"/>
          <w:szCs w:val="22"/>
          <w:lang w:val="en-GB"/>
        </w:rPr>
        <w:t xml:space="preserve"> on the delivery of Australian aid investments.  </w:t>
      </w:r>
    </w:p>
    <w:p w14:paraId="19D72DA9" w14:textId="77777777" w:rsidR="0050361E" w:rsidRPr="000321FD" w:rsidRDefault="0050361E" w:rsidP="00B4365A">
      <w:pPr>
        <w:pStyle w:val="ListParagraph"/>
        <w:ind w:left="1070"/>
        <w:rPr>
          <w:rFonts w:asciiTheme="minorHAnsi" w:eastAsiaTheme="minorHAnsi" w:hAnsiTheme="minorHAnsi" w:cstheme="minorBidi"/>
          <w:color w:val="495965" w:themeColor="text2"/>
          <w:sz w:val="22"/>
          <w:szCs w:val="22"/>
          <w:lang w:val="en-GB"/>
        </w:rPr>
      </w:pPr>
    </w:p>
    <w:p w14:paraId="6EFF5AEC" w14:textId="19920A85" w:rsidR="00221A26" w:rsidRPr="000321FD" w:rsidRDefault="008C3805" w:rsidP="00DC4AC8">
      <w:pPr>
        <w:pStyle w:val="ListParagraph"/>
        <w:numPr>
          <w:ilvl w:val="0"/>
          <w:numId w:val="15"/>
        </w:numPr>
        <w:rPr>
          <w:rFonts w:asciiTheme="minorHAnsi" w:eastAsiaTheme="minorHAnsi" w:hAnsiTheme="minorHAnsi" w:cstheme="minorBidi"/>
          <w:color w:val="495965" w:themeColor="text2"/>
          <w:sz w:val="22"/>
          <w:szCs w:val="22"/>
          <w:lang w:val="en-GB"/>
        </w:rPr>
      </w:pPr>
      <w:r w:rsidRPr="000321FD">
        <w:rPr>
          <w:rFonts w:asciiTheme="minorHAnsi" w:eastAsiaTheme="minorHAnsi" w:hAnsiTheme="minorHAnsi" w:cstheme="minorBidi"/>
          <w:color w:val="495965" w:themeColor="text2"/>
          <w:sz w:val="22"/>
          <w:szCs w:val="22"/>
          <w:lang w:val="en-GB"/>
        </w:rPr>
        <w:t>R</w:t>
      </w:r>
      <w:r w:rsidR="005A3E60" w:rsidRPr="000321FD">
        <w:rPr>
          <w:rFonts w:asciiTheme="minorHAnsi" w:eastAsiaTheme="minorHAnsi" w:hAnsiTheme="minorHAnsi" w:cstheme="minorBidi"/>
          <w:color w:val="495965" w:themeColor="text2"/>
          <w:sz w:val="22"/>
          <w:szCs w:val="22"/>
          <w:lang w:val="en-GB"/>
        </w:rPr>
        <w:t xml:space="preserve">eview the PAF by </w:t>
      </w:r>
      <w:r w:rsidR="008E4271" w:rsidRPr="000321FD">
        <w:rPr>
          <w:rFonts w:asciiTheme="minorHAnsi" w:eastAsiaTheme="minorHAnsi" w:hAnsiTheme="minorHAnsi" w:cstheme="minorBidi"/>
          <w:color w:val="495965" w:themeColor="text2"/>
          <w:sz w:val="22"/>
          <w:szCs w:val="22"/>
          <w:lang w:val="en-GB"/>
        </w:rPr>
        <w:t>March</w:t>
      </w:r>
      <w:r w:rsidR="005A3E60" w:rsidRPr="000321FD">
        <w:rPr>
          <w:rFonts w:asciiTheme="minorHAnsi" w:eastAsiaTheme="minorHAnsi" w:hAnsiTheme="minorHAnsi" w:cstheme="minorBidi"/>
          <w:color w:val="495965" w:themeColor="text2"/>
          <w:sz w:val="22"/>
          <w:szCs w:val="22"/>
          <w:lang w:val="en-GB"/>
        </w:rPr>
        <w:t xml:space="preserve"> 2018 to </w:t>
      </w:r>
      <w:r w:rsidRPr="000321FD">
        <w:rPr>
          <w:rFonts w:asciiTheme="minorHAnsi" w:eastAsiaTheme="minorHAnsi" w:hAnsiTheme="minorHAnsi" w:cstheme="minorBidi"/>
          <w:color w:val="495965" w:themeColor="text2"/>
          <w:sz w:val="22"/>
          <w:szCs w:val="22"/>
          <w:lang w:val="en-GB"/>
        </w:rPr>
        <w:t xml:space="preserve">confirm it </w:t>
      </w:r>
      <w:r w:rsidR="005A3E60" w:rsidRPr="000321FD">
        <w:rPr>
          <w:rFonts w:asciiTheme="minorHAnsi" w:eastAsiaTheme="minorHAnsi" w:hAnsiTheme="minorHAnsi" w:cstheme="minorBidi"/>
          <w:color w:val="495965" w:themeColor="text2"/>
          <w:sz w:val="22"/>
          <w:szCs w:val="22"/>
          <w:lang w:val="en-GB"/>
        </w:rPr>
        <w:t>align</w:t>
      </w:r>
      <w:r w:rsidRPr="000321FD">
        <w:rPr>
          <w:rFonts w:asciiTheme="minorHAnsi" w:eastAsiaTheme="minorHAnsi" w:hAnsiTheme="minorHAnsi" w:cstheme="minorBidi"/>
          <w:color w:val="495965" w:themeColor="text2"/>
          <w:sz w:val="22"/>
          <w:szCs w:val="22"/>
          <w:lang w:val="en-GB"/>
        </w:rPr>
        <w:t>s</w:t>
      </w:r>
      <w:r w:rsidR="00B406F5" w:rsidRPr="000321FD">
        <w:rPr>
          <w:rFonts w:asciiTheme="minorHAnsi" w:eastAsiaTheme="minorHAnsi" w:hAnsiTheme="minorHAnsi" w:cstheme="minorBidi"/>
          <w:color w:val="495965" w:themeColor="text2"/>
          <w:sz w:val="22"/>
          <w:szCs w:val="22"/>
          <w:lang w:val="en-GB"/>
        </w:rPr>
        <w:t xml:space="preserve"> with Australia’s strategic priorities and </w:t>
      </w:r>
      <w:r w:rsidRPr="000321FD">
        <w:rPr>
          <w:rFonts w:asciiTheme="minorHAnsi" w:eastAsiaTheme="minorHAnsi" w:hAnsiTheme="minorHAnsi" w:cstheme="minorBidi"/>
          <w:color w:val="495965" w:themeColor="text2"/>
          <w:sz w:val="22"/>
          <w:szCs w:val="22"/>
          <w:lang w:val="en-GB"/>
        </w:rPr>
        <w:t xml:space="preserve">incorporates </w:t>
      </w:r>
    </w:p>
    <w:p w14:paraId="55500838" w14:textId="361DC9E4" w:rsidR="006414B3" w:rsidRPr="000321FD" w:rsidRDefault="00E34C28" w:rsidP="00CE0406">
      <w:pPr>
        <w:pStyle w:val="ListParagraph"/>
        <w:numPr>
          <w:ilvl w:val="1"/>
          <w:numId w:val="15"/>
        </w:numPr>
        <w:ind w:left="993" w:hanging="284"/>
        <w:rPr>
          <w:rFonts w:asciiTheme="minorHAnsi" w:eastAsiaTheme="minorHAnsi" w:hAnsiTheme="minorHAnsi" w:cstheme="minorBidi"/>
          <w:color w:val="495965" w:themeColor="text2"/>
          <w:sz w:val="22"/>
          <w:szCs w:val="22"/>
          <w:lang w:val="en-GB"/>
        </w:rPr>
      </w:pPr>
      <w:r w:rsidRPr="000321FD">
        <w:rPr>
          <w:rFonts w:asciiTheme="minorHAnsi" w:eastAsiaTheme="minorHAnsi" w:hAnsiTheme="minorHAnsi" w:cstheme="minorBidi"/>
          <w:color w:val="495965" w:themeColor="text2"/>
          <w:sz w:val="22"/>
          <w:szCs w:val="22"/>
          <w:lang w:val="en-GB"/>
        </w:rPr>
        <w:t>T</w:t>
      </w:r>
      <w:r w:rsidR="006414B3" w:rsidRPr="000321FD">
        <w:rPr>
          <w:rFonts w:asciiTheme="minorHAnsi" w:eastAsiaTheme="minorHAnsi" w:hAnsiTheme="minorHAnsi" w:cstheme="minorBidi"/>
          <w:color w:val="495965" w:themeColor="text2"/>
          <w:sz w:val="22"/>
          <w:szCs w:val="22"/>
          <w:lang w:val="en-GB"/>
        </w:rPr>
        <w:t>he impact of new ph</w:t>
      </w:r>
      <w:r w:rsidR="0047722F" w:rsidRPr="000321FD">
        <w:rPr>
          <w:rFonts w:asciiTheme="minorHAnsi" w:eastAsiaTheme="minorHAnsi" w:hAnsiTheme="minorHAnsi" w:cstheme="minorBidi"/>
          <w:color w:val="495965" w:themeColor="text2"/>
          <w:sz w:val="22"/>
          <w:szCs w:val="22"/>
          <w:lang w:val="en-GB"/>
        </w:rPr>
        <w:t>ases of strategic partnerships i</w:t>
      </w:r>
      <w:r w:rsidR="006414B3" w:rsidRPr="000321FD">
        <w:rPr>
          <w:rFonts w:asciiTheme="minorHAnsi" w:eastAsiaTheme="minorHAnsi" w:hAnsiTheme="minorHAnsi" w:cstheme="minorBidi"/>
          <w:color w:val="495965" w:themeColor="text2"/>
          <w:sz w:val="22"/>
          <w:szCs w:val="22"/>
          <w:lang w:val="en-GB"/>
        </w:rPr>
        <w:t>n primary education, social protection and humanitarian support</w:t>
      </w:r>
      <w:r w:rsidR="004635A8" w:rsidRPr="000321FD">
        <w:rPr>
          <w:rFonts w:asciiTheme="minorHAnsi" w:eastAsiaTheme="minorHAnsi" w:hAnsiTheme="minorHAnsi" w:cstheme="minorBidi"/>
          <w:color w:val="495965" w:themeColor="text2"/>
          <w:sz w:val="22"/>
          <w:szCs w:val="22"/>
          <w:lang w:val="en-GB"/>
        </w:rPr>
        <w:t>.</w:t>
      </w:r>
    </w:p>
    <w:p w14:paraId="7A58292D" w14:textId="6F054D77" w:rsidR="00A62E17" w:rsidRPr="000321FD" w:rsidRDefault="00E34C28" w:rsidP="00CE0406">
      <w:pPr>
        <w:pStyle w:val="ListParagraph"/>
        <w:numPr>
          <w:ilvl w:val="1"/>
          <w:numId w:val="15"/>
        </w:numPr>
        <w:ind w:left="993" w:hanging="284"/>
        <w:rPr>
          <w:rFonts w:asciiTheme="minorHAnsi" w:eastAsiaTheme="minorHAnsi" w:hAnsiTheme="minorHAnsi" w:cstheme="minorBidi"/>
          <w:color w:val="495965" w:themeColor="text2"/>
          <w:sz w:val="22"/>
          <w:szCs w:val="22"/>
          <w:lang w:val="en-GB"/>
        </w:rPr>
      </w:pPr>
      <w:r w:rsidRPr="000321FD">
        <w:rPr>
          <w:rFonts w:asciiTheme="minorHAnsi" w:eastAsiaTheme="minorHAnsi" w:hAnsiTheme="minorHAnsi" w:cstheme="minorBidi"/>
          <w:color w:val="495965" w:themeColor="text2"/>
          <w:sz w:val="22"/>
          <w:szCs w:val="22"/>
          <w:lang w:val="en-GB"/>
        </w:rPr>
        <w:t>T</w:t>
      </w:r>
      <w:r w:rsidR="00B75C77" w:rsidRPr="000321FD">
        <w:rPr>
          <w:rFonts w:asciiTheme="minorHAnsi" w:eastAsiaTheme="minorHAnsi" w:hAnsiTheme="minorHAnsi" w:cstheme="minorBidi"/>
          <w:color w:val="495965" w:themeColor="text2"/>
          <w:sz w:val="22"/>
          <w:szCs w:val="22"/>
          <w:lang w:val="en-GB"/>
        </w:rPr>
        <w:t xml:space="preserve">he </w:t>
      </w:r>
      <w:r w:rsidR="00B406F5" w:rsidRPr="000321FD">
        <w:rPr>
          <w:rFonts w:asciiTheme="minorHAnsi" w:eastAsiaTheme="minorHAnsi" w:hAnsiTheme="minorHAnsi" w:cstheme="minorBidi"/>
          <w:color w:val="495965" w:themeColor="text2"/>
          <w:sz w:val="22"/>
          <w:szCs w:val="22"/>
          <w:lang w:val="en-GB"/>
        </w:rPr>
        <w:t>new BRAC Results Framework</w:t>
      </w:r>
      <w:r w:rsidR="00221A26" w:rsidRPr="000321FD">
        <w:rPr>
          <w:rFonts w:asciiTheme="minorHAnsi" w:eastAsiaTheme="minorHAnsi" w:hAnsiTheme="minorHAnsi" w:cstheme="minorBidi"/>
          <w:color w:val="495965" w:themeColor="text2"/>
          <w:sz w:val="22"/>
          <w:szCs w:val="22"/>
          <w:lang w:val="en-GB"/>
        </w:rPr>
        <w:t>, in</w:t>
      </w:r>
      <w:r w:rsidR="00252872" w:rsidRPr="000321FD">
        <w:rPr>
          <w:rFonts w:asciiTheme="minorHAnsi" w:eastAsiaTheme="minorHAnsi" w:hAnsiTheme="minorHAnsi" w:cstheme="minorBidi"/>
          <w:color w:val="495965" w:themeColor="text2"/>
          <w:sz w:val="22"/>
          <w:szCs w:val="22"/>
          <w:lang w:val="en-GB"/>
        </w:rPr>
        <w:t xml:space="preserve">cluding changed indicators for </w:t>
      </w:r>
      <w:r w:rsidR="008C3805" w:rsidRPr="000321FD">
        <w:rPr>
          <w:rFonts w:asciiTheme="minorHAnsi" w:eastAsiaTheme="minorHAnsi" w:hAnsiTheme="minorHAnsi" w:cstheme="minorBidi"/>
          <w:color w:val="495965" w:themeColor="text2"/>
          <w:sz w:val="22"/>
          <w:szCs w:val="22"/>
          <w:lang w:val="en-GB"/>
        </w:rPr>
        <w:t>BRAC’s Targeting the Ultra Poor program</w:t>
      </w:r>
      <w:r w:rsidR="004635A8" w:rsidRPr="000321FD">
        <w:rPr>
          <w:rFonts w:asciiTheme="minorHAnsi" w:eastAsiaTheme="minorHAnsi" w:hAnsiTheme="minorHAnsi" w:cstheme="minorBidi"/>
          <w:color w:val="495965" w:themeColor="text2"/>
          <w:sz w:val="22"/>
          <w:szCs w:val="22"/>
          <w:lang w:val="en-GB"/>
        </w:rPr>
        <w:t>.</w:t>
      </w:r>
    </w:p>
    <w:p w14:paraId="1C4CC68E" w14:textId="578D3128" w:rsidR="005A3E60" w:rsidRPr="000321FD" w:rsidRDefault="00E34C28" w:rsidP="00CE0406">
      <w:pPr>
        <w:pStyle w:val="ListParagraph"/>
        <w:numPr>
          <w:ilvl w:val="1"/>
          <w:numId w:val="15"/>
        </w:numPr>
        <w:ind w:left="993" w:hanging="284"/>
        <w:rPr>
          <w:rFonts w:asciiTheme="minorHAnsi" w:eastAsiaTheme="minorHAnsi" w:hAnsiTheme="minorHAnsi" w:cstheme="minorBidi"/>
          <w:color w:val="495965" w:themeColor="text2"/>
          <w:sz w:val="22"/>
          <w:szCs w:val="22"/>
          <w:lang w:val="en-GB"/>
        </w:rPr>
      </w:pPr>
      <w:r w:rsidRPr="000321FD">
        <w:rPr>
          <w:rFonts w:asciiTheme="minorHAnsi" w:eastAsiaTheme="minorHAnsi" w:hAnsiTheme="minorHAnsi" w:cstheme="minorBidi"/>
          <w:color w:val="495965" w:themeColor="text2"/>
          <w:sz w:val="22"/>
          <w:szCs w:val="22"/>
          <w:lang w:val="en-GB"/>
        </w:rPr>
        <w:t>I</w:t>
      </w:r>
      <w:r w:rsidR="00252872" w:rsidRPr="000321FD">
        <w:rPr>
          <w:rFonts w:asciiTheme="minorHAnsi" w:eastAsiaTheme="minorHAnsi" w:hAnsiTheme="minorHAnsi" w:cstheme="minorBidi"/>
          <w:color w:val="495965" w:themeColor="text2"/>
          <w:sz w:val="22"/>
          <w:szCs w:val="22"/>
          <w:lang w:val="en-GB"/>
        </w:rPr>
        <w:t xml:space="preserve">ncreased </w:t>
      </w:r>
      <w:r w:rsidR="008C3805" w:rsidRPr="000321FD">
        <w:rPr>
          <w:rFonts w:asciiTheme="minorHAnsi" w:eastAsiaTheme="minorHAnsi" w:hAnsiTheme="minorHAnsi" w:cstheme="minorBidi"/>
          <w:color w:val="495965" w:themeColor="text2"/>
          <w:sz w:val="22"/>
          <w:szCs w:val="22"/>
          <w:lang w:val="en-GB"/>
        </w:rPr>
        <w:t xml:space="preserve">Australian </w:t>
      </w:r>
      <w:r w:rsidR="00252872" w:rsidRPr="000321FD">
        <w:rPr>
          <w:rFonts w:asciiTheme="minorHAnsi" w:eastAsiaTheme="minorHAnsi" w:hAnsiTheme="minorHAnsi" w:cstheme="minorBidi"/>
          <w:color w:val="495965" w:themeColor="text2"/>
          <w:sz w:val="22"/>
          <w:szCs w:val="22"/>
          <w:lang w:val="en-GB"/>
        </w:rPr>
        <w:t xml:space="preserve">regional programming in Bangladesh and opportunities to accommodate and capitalise on </w:t>
      </w:r>
      <w:r w:rsidR="008C3805" w:rsidRPr="000321FD">
        <w:rPr>
          <w:rFonts w:asciiTheme="minorHAnsi" w:eastAsiaTheme="minorHAnsi" w:hAnsiTheme="minorHAnsi" w:cstheme="minorBidi"/>
          <w:color w:val="495965" w:themeColor="text2"/>
          <w:sz w:val="22"/>
          <w:szCs w:val="22"/>
          <w:lang w:val="en-GB"/>
        </w:rPr>
        <w:t xml:space="preserve">these </w:t>
      </w:r>
      <w:r w:rsidR="00252872" w:rsidRPr="000321FD">
        <w:rPr>
          <w:rFonts w:asciiTheme="minorHAnsi" w:eastAsiaTheme="minorHAnsi" w:hAnsiTheme="minorHAnsi" w:cstheme="minorBidi"/>
          <w:color w:val="495965" w:themeColor="text2"/>
          <w:sz w:val="22"/>
          <w:szCs w:val="22"/>
          <w:lang w:val="en-GB"/>
        </w:rPr>
        <w:t>regional investments</w:t>
      </w:r>
      <w:r w:rsidR="004635A8" w:rsidRPr="000321FD">
        <w:rPr>
          <w:rFonts w:asciiTheme="minorHAnsi" w:eastAsiaTheme="minorHAnsi" w:hAnsiTheme="minorHAnsi" w:cstheme="minorBidi"/>
          <w:color w:val="495965" w:themeColor="text2"/>
          <w:sz w:val="22"/>
          <w:szCs w:val="22"/>
          <w:lang w:val="en-GB"/>
        </w:rPr>
        <w:t>.</w:t>
      </w:r>
    </w:p>
    <w:p w14:paraId="4869FA5F" w14:textId="607D5A6F" w:rsidR="006414B3" w:rsidRPr="000321FD" w:rsidRDefault="006414B3" w:rsidP="00CE0406">
      <w:pPr>
        <w:pStyle w:val="ListParagraph"/>
        <w:numPr>
          <w:ilvl w:val="1"/>
          <w:numId w:val="15"/>
        </w:numPr>
        <w:ind w:left="993" w:hanging="284"/>
        <w:rPr>
          <w:rFonts w:asciiTheme="minorHAnsi" w:eastAsiaTheme="minorHAnsi" w:hAnsiTheme="minorHAnsi" w:cstheme="minorBidi"/>
          <w:color w:val="495965" w:themeColor="text2"/>
          <w:sz w:val="22"/>
          <w:szCs w:val="22"/>
          <w:lang w:val="en-GB"/>
        </w:rPr>
      </w:pPr>
      <w:r w:rsidRPr="000321FD">
        <w:rPr>
          <w:rFonts w:asciiTheme="minorHAnsi" w:eastAsiaTheme="minorHAnsi" w:hAnsiTheme="minorHAnsi" w:cstheme="minorBidi"/>
          <w:color w:val="495965" w:themeColor="text2"/>
          <w:sz w:val="22"/>
          <w:szCs w:val="22"/>
          <w:lang w:val="en-GB"/>
        </w:rPr>
        <w:t>Ongoing</w:t>
      </w:r>
      <w:r w:rsidR="0050361E" w:rsidRPr="000321FD">
        <w:rPr>
          <w:rFonts w:asciiTheme="minorHAnsi" w:eastAsiaTheme="minorHAnsi" w:hAnsiTheme="minorHAnsi" w:cstheme="minorBidi"/>
          <w:color w:val="495965" w:themeColor="text2"/>
          <w:sz w:val="22"/>
          <w:szCs w:val="22"/>
          <w:lang w:val="en-GB"/>
        </w:rPr>
        <w:t>,</w:t>
      </w:r>
      <w:r w:rsidRPr="000321FD">
        <w:rPr>
          <w:rFonts w:asciiTheme="minorHAnsi" w:eastAsiaTheme="minorHAnsi" w:hAnsiTheme="minorHAnsi" w:cstheme="minorBidi"/>
          <w:color w:val="495965" w:themeColor="text2"/>
          <w:sz w:val="22"/>
          <w:szCs w:val="22"/>
          <w:lang w:val="en-GB"/>
        </w:rPr>
        <w:t xml:space="preserve"> strengthened</w:t>
      </w:r>
      <w:r w:rsidR="0050361E" w:rsidRPr="000321FD">
        <w:rPr>
          <w:rFonts w:asciiTheme="minorHAnsi" w:eastAsiaTheme="minorHAnsi" w:hAnsiTheme="minorHAnsi" w:cstheme="minorBidi"/>
          <w:color w:val="495965" w:themeColor="text2"/>
          <w:sz w:val="22"/>
          <w:szCs w:val="22"/>
          <w:lang w:val="en-GB"/>
        </w:rPr>
        <w:t xml:space="preserve"> and overt</w:t>
      </w:r>
      <w:r w:rsidRPr="000321FD">
        <w:rPr>
          <w:rFonts w:asciiTheme="minorHAnsi" w:eastAsiaTheme="minorHAnsi" w:hAnsiTheme="minorHAnsi" w:cstheme="minorBidi"/>
          <w:color w:val="495965" w:themeColor="text2"/>
          <w:sz w:val="22"/>
          <w:szCs w:val="22"/>
          <w:lang w:val="en-GB"/>
        </w:rPr>
        <w:t xml:space="preserve"> focus on gender results</w:t>
      </w:r>
      <w:r w:rsidR="004635A8" w:rsidRPr="000321FD">
        <w:rPr>
          <w:rFonts w:asciiTheme="minorHAnsi" w:eastAsiaTheme="minorHAnsi" w:hAnsiTheme="minorHAnsi" w:cstheme="minorBidi"/>
          <w:color w:val="495965" w:themeColor="text2"/>
          <w:sz w:val="22"/>
          <w:szCs w:val="22"/>
          <w:lang w:val="en-GB"/>
        </w:rPr>
        <w:t>.</w:t>
      </w:r>
    </w:p>
    <w:p w14:paraId="24B6DE9D" w14:textId="46391693" w:rsidR="002A6DF3" w:rsidRPr="000321FD" w:rsidRDefault="0047722F" w:rsidP="00CE0406">
      <w:pPr>
        <w:pStyle w:val="ListParagraph"/>
        <w:numPr>
          <w:ilvl w:val="1"/>
          <w:numId w:val="15"/>
        </w:numPr>
        <w:ind w:left="993" w:hanging="284"/>
        <w:rPr>
          <w:rFonts w:asciiTheme="minorHAnsi" w:eastAsiaTheme="minorHAnsi" w:hAnsiTheme="minorHAnsi" w:cstheme="minorBidi"/>
          <w:color w:val="495965" w:themeColor="text2"/>
          <w:sz w:val="22"/>
          <w:szCs w:val="22"/>
          <w:lang w:val="en-GB"/>
        </w:rPr>
      </w:pPr>
      <w:r w:rsidRPr="000321FD">
        <w:rPr>
          <w:rFonts w:asciiTheme="minorHAnsi" w:eastAsiaTheme="minorHAnsi" w:hAnsiTheme="minorHAnsi" w:cstheme="minorBidi"/>
          <w:color w:val="495965" w:themeColor="text2"/>
          <w:sz w:val="22"/>
          <w:szCs w:val="22"/>
          <w:lang w:val="en-GB"/>
        </w:rPr>
        <w:t>Measures of d</w:t>
      </w:r>
      <w:r w:rsidR="002A6DF3" w:rsidRPr="000321FD">
        <w:rPr>
          <w:rFonts w:asciiTheme="minorHAnsi" w:eastAsiaTheme="minorHAnsi" w:hAnsiTheme="minorHAnsi" w:cstheme="minorBidi"/>
          <w:color w:val="495965" w:themeColor="text2"/>
          <w:sz w:val="22"/>
          <w:szCs w:val="22"/>
          <w:lang w:val="en-GB"/>
        </w:rPr>
        <w:t xml:space="preserve">isability inclusive </w:t>
      </w:r>
      <w:r w:rsidR="00CE0406" w:rsidRPr="000321FD">
        <w:rPr>
          <w:rFonts w:asciiTheme="minorHAnsi" w:eastAsiaTheme="minorHAnsi" w:hAnsiTheme="minorHAnsi" w:cstheme="minorBidi"/>
          <w:color w:val="495965" w:themeColor="text2"/>
          <w:sz w:val="22"/>
          <w:szCs w:val="22"/>
          <w:lang w:val="en-GB"/>
        </w:rPr>
        <w:t>d</w:t>
      </w:r>
      <w:r w:rsidR="002A6DF3" w:rsidRPr="000321FD">
        <w:rPr>
          <w:rFonts w:asciiTheme="minorHAnsi" w:eastAsiaTheme="minorHAnsi" w:hAnsiTheme="minorHAnsi" w:cstheme="minorBidi"/>
          <w:color w:val="495965" w:themeColor="text2"/>
          <w:sz w:val="22"/>
          <w:szCs w:val="22"/>
          <w:lang w:val="en-GB"/>
        </w:rPr>
        <w:t>evelopment</w:t>
      </w:r>
      <w:r w:rsidR="00CE0406" w:rsidRPr="000321FD">
        <w:rPr>
          <w:rFonts w:asciiTheme="minorHAnsi" w:eastAsiaTheme="minorHAnsi" w:hAnsiTheme="minorHAnsi" w:cstheme="minorBidi"/>
          <w:color w:val="495965" w:themeColor="text2"/>
          <w:sz w:val="22"/>
          <w:szCs w:val="22"/>
          <w:lang w:val="en-GB"/>
        </w:rPr>
        <w:t>.</w:t>
      </w:r>
    </w:p>
    <w:p w14:paraId="1686E72F" w14:textId="77777777" w:rsidR="008C3805" w:rsidRDefault="008C3805" w:rsidP="00CE0406">
      <w:pPr>
        <w:pStyle w:val="ListParagraph"/>
        <w:ind w:left="993" w:hanging="284"/>
        <w:rPr>
          <w:rFonts w:asciiTheme="minorHAnsi" w:eastAsiaTheme="minorHAnsi" w:hAnsiTheme="minorHAnsi" w:cstheme="minorBidi"/>
          <w:color w:val="495965" w:themeColor="text2"/>
          <w:sz w:val="22"/>
          <w:szCs w:val="22"/>
          <w:lang w:val="en-GB"/>
        </w:rPr>
      </w:pPr>
    </w:p>
    <w:p w14:paraId="37FCBED4" w14:textId="5326821B" w:rsidR="006F1807" w:rsidRPr="00B4365A" w:rsidRDefault="00530D61" w:rsidP="00CE0406">
      <w:pPr>
        <w:ind w:left="993" w:hanging="284"/>
      </w:pPr>
      <w:r w:rsidRPr="00B4365A">
        <w:t xml:space="preserve"> </w:t>
      </w:r>
    </w:p>
    <w:p w14:paraId="763189A7" w14:textId="77777777" w:rsidR="00D15A00" w:rsidRDefault="00D15A00" w:rsidP="002B374A">
      <w:pPr>
        <w:pStyle w:val="ListParagraph"/>
        <w:ind w:left="1440"/>
      </w:pPr>
    </w:p>
    <w:p w14:paraId="657AC62C" w14:textId="77777777" w:rsidR="008E5C15" w:rsidRDefault="008E5C15" w:rsidP="008E5C15"/>
    <w:p w14:paraId="32118597" w14:textId="77777777" w:rsidR="008E5C15" w:rsidRDefault="008E5C15" w:rsidP="008E5C15">
      <w:pPr>
        <w:ind w:left="360"/>
        <w:sectPr w:rsidR="008E5C15" w:rsidSect="00C6626C">
          <w:pgSz w:w="11906" w:h="16838" w:code="9"/>
          <w:pgMar w:top="1527" w:right="1134" w:bottom="851" w:left="1134" w:header="1418" w:footer="567" w:gutter="0"/>
          <w:cols w:space="397"/>
          <w:docGrid w:linePitch="360"/>
        </w:sectPr>
      </w:pPr>
    </w:p>
    <w:p w14:paraId="653EB224" w14:textId="77777777" w:rsidR="000E2C51" w:rsidRPr="00DA620C" w:rsidRDefault="000E2C51" w:rsidP="000E2C51">
      <w:pPr>
        <w:pStyle w:val="Subtitle"/>
        <w:rPr>
          <w:b/>
          <w:sz w:val="28"/>
          <w:szCs w:val="28"/>
        </w:rPr>
      </w:pPr>
      <w:r w:rsidRPr="00DA620C">
        <w:rPr>
          <w:b/>
          <w:sz w:val="28"/>
          <w:szCs w:val="28"/>
        </w:rPr>
        <w:lastRenderedPageBreak/>
        <w:t>Annex A - Progress in Addressing Management Responses</w:t>
      </w:r>
    </w:p>
    <w:p w14:paraId="31450970" w14:textId="77777777" w:rsidR="000E2C51" w:rsidRPr="005C017E" w:rsidRDefault="000E2C51" w:rsidP="000E2C51">
      <w:pPr>
        <w:pStyle w:val="BodyA"/>
        <w:rPr>
          <w:b/>
          <w:sz w:val="24"/>
          <w:szCs w:val="24"/>
        </w:rPr>
      </w:pPr>
      <w:r w:rsidRPr="005C017E">
        <w:rPr>
          <w:b/>
          <w:sz w:val="24"/>
          <w:szCs w:val="24"/>
        </w:rPr>
        <w:t>Describe progress made against management responses in 2015-16 report</w:t>
      </w:r>
    </w:p>
    <w:tbl>
      <w:tblPr>
        <w:tblW w:w="152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1E9E4"/>
        <w:tblLayout w:type="fixed"/>
        <w:tblLook w:val="04A0" w:firstRow="1" w:lastRow="0" w:firstColumn="1" w:lastColumn="0" w:noHBand="0" w:noVBand="1"/>
      </w:tblPr>
      <w:tblGrid>
        <w:gridCol w:w="6871"/>
        <w:gridCol w:w="1050"/>
        <w:gridCol w:w="7316"/>
      </w:tblGrid>
      <w:tr w:rsidR="000E2C51" w14:paraId="6ADA21B2" w14:textId="77777777" w:rsidTr="0037212A">
        <w:trPr>
          <w:trHeight w:val="379"/>
        </w:trPr>
        <w:tc>
          <w:tcPr>
            <w:tcW w:w="6871" w:type="dxa"/>
            <w:tcBorders>
              <w:top w:val="nil"/>
              <w:left w:val="nil"/>
              <w:bottom w:val="nil"/>
              <w:right w:val="nil"/>
            </w:tcBorders>
            <w:shd w:val="clear" w:color="auto" w:fill="auto"/>
            <w:tcMar>
              <w:top w:w="80" w:type="dxa"/>
              <w:left w:w="80" w:type="dxa"/>
              <w:bottom w:w="80" w:type="dxa"/>
              <w:right w:w="80" w:type="dxa"/>
            </w:tcMar>
          </w:tcPr>
          <w:p w14:paraId="4087D8EA" w14:textId="77777777" w:rsidR="000E2C51" w:rsidRPr="009D1DEE" w:rsidRDefault="000E2C51" w:rsidP="0037212A">
            <w:pPr>
              <w:pStyle w:val="BodyA"/>
              <w:keepLines/>
              <w:spacing w:before="80" w:after="80" w:line="200" w:lineRule="atLeast"/>
              <w:rPr>
                <w:rFonts w:asciiTheme="minorHAnsi" w:hAnsiTheme="minorHAnsi"/>
              </w:rPr>
            </w:pPr>
            <w:r w:rsidRPr="009D1DEE">
              <w:rPr>
                <w:rStyle w:val="NoneA"/>
                <w:rFonts w:asciiTheme="minorHAnsi" w:hAnsiTheme="minorHAnsi"/>
                <w:b/>
                <w:bCs/>
                <w:sz w:val="17"/>
                <w:szCs w:val="17"/>
              </w:rPr>
              <w:t>Management responses identified in 2015-16 APPR</w:t>
            </w:r>
            <w:r w:rsidRPr="009D1DEE">
              <w:rPr>
                <w:rStyle w:val="NoneA"/>
                <w:rFonts w:asciiTheme="minorHAnsi" w:hAnsiTheme="minorHAnsi"/>
                <w:b/>
                <w:bCs/>
                <w:sz w:val="17"/>
                <w:szCs w:val="17"/>
              </w:rPr>
              <w:tab/>
            </w:r>
          </w:p>
        </w:tc>
        <w:tc>
          <w:tcPr>
            <w:tcW w:w="1050" w:type="dxa"/>
            <w:tcBorders>
              <w:top w:val="nil"/>
              <w:left w:val="nil"/>
              <w:bottom w:val="nil"/>
              <w:right w:val="nil"/>
            </w:tcBorders>
            <w:shd w:val="clear" w:color="auto" w:fill="auto"/>
            <w:tcMar>
              <w:top w:w="80" w:type="dxa"/>
              <w:left w:w="80" w:type="dxa"/>
              <w:bottom w:w="80" w:type="dxa"/>
              <w:right w:w="80" w:type="dxa"/>
            </w:tcMar>
          </w:tcPr>
          <w:p w14:paraId="369970EF" w14:textId="77777777" w:rsidR="000E2C51" w:rsidRPr="009D1DEE" w:rsidRDefault="000E2C51" w:rsidP="0037212A">
            <w:pPr>
              <w:pStyle w:val="BodyA"/>
              <w:keepLines/>
              <w:spacing w:before="80" w:after="80" w:line="200" w:lineRule="atLeast"/>
              <w:rPr>
                <w:rFonts w:asciiTheme="minorHAnsi" w:hAnsiTheme="minorHAnsi"/>
              </w:rPr>
            </w:pPr>
            <w:r w:rsidRPr="009D1DEE">
              <w:rPr>
                <w:rStyle w:val="NoneA"/>
                <w:rFonts w:asciiTheme="minorHAnsi" w:hAnsiTheme="minorHAnsi"/>
                <w:b/>
                <w:bCs/>
                <w:sz w:val="17"/>
                <w:szCs w:val="17"/>
              </w:rPr>
              <w:t>Rating</w:t>
            </w:r>
          </w:p>
        </w:tc>
        <w:tc>
          <w:tcPr>
            <w:tcW w:w="7316" w:type="dxa"/>
            <w:tcBorders>
              <w:top w:val="nil"/>
              <w:left w:val="nil"/>
              <w:bottom w:val="nil"/>
              <w:right w:val="nil"/>
            </w:tcBorders>
            <w:shd w:val="clear" w:color="auto" w:fill="auto"/>
            <w:tcMar>
              <w:top w:w="80" w:type="dxa"/>
              <w:left w:w="80" w:type="dxa"/>
              <w:bottom w:w="80" w:type="dxa"/>
              <w:right w:w="80" w:type="dxa"/>
            </w:tcMar>
          </w:tcPr>
          <w:p w14:paraId="378E5831" w14:textId="77777777" w:rsidR="000E2C51" w:rsidRPr="009D1DEE" w:rsidRDefault="000E2C51" w:rsidP="0037212A">
            <w:pPr>
              <w:pStyle w:val="BodyA"/>
              <w:keepLines/>
              <w:spacing w:before="80" w:after="80" w:line="200" w:lineRule="atLeast"/>
              <w:jc w:val="center"/>
              <w:rPr>
                <w:rFonts w:asciiTheme="minorHAnsi" w:hAnsiTheme="minorHAnsi"/>
              </w:rPr>
            </w:pPr>
            <w:r w:rsidRPr="009D1DEE">
              <w:rPr>
                <w:rStyle w:val="NoneA"/>
                <w:rFonts w:asciiTheme="minorHAnsi" w:hAnsiTheme="minorHAnsi"/>
                <w:b/>
                <w:bCs/>
                <w:sz w:val="17"/>
                <w:szCs w:val="17"/>
              </w:rPr>
              <w:t>Progress made  in 2016-17</w:t>
            </w:r>
          </w:p>
        </w:tc>
      </w:tr>
      <w:tr w:rsidR="000E2C51" w14:paraId="3892D45B" w14:textId="77777777" w:rsidTr="00451B3E">
        <w:trPr>
          <w:trHeight w:val="471"/>
        </w:trPr>
        <w:tc>
          <w:tcPr>
            <w:tcW w:w="6871" w:type="dxa"/>
            <w:tcBorders>
              <w:top w:val="nil"/>
              <w:left w:val="nil"/>
              <w:bottom w:val="nil"/>
              <w:right w:val="nil"/>
            </w:tcBorders>
            <w:shd w:val="clear" w:color="auto" w:fill="auto"/>
            <w:tcMar>
              <w:top w:w="80" w:type="dxa"/>
              <w:left w:w="80" w:type="dxa"/>
              <w:bottom w:w="80" w:type="dxa"/>
              <w:right w:w="80" w:type="dxa"/>
            </w:tcMar>
          </w:tcPr>
          <w:p w14:paraId="4D4B97F5" w14:textId="77777777" w:rsidR="000E2C51" w:rsidRPr="009D1DEE" w:rsidRDefault="000E2C51" w:rsidP="0037212A">
            <w:pPr>
              <w:pStyle w:val="BodyA"/>
              <w:rPr>
                <w:sz w:val="17"/>
                <w:szCs w:val="17"/>
              </w:rPr>
            </w:pPr>
            <w:r w:rsidRPr="009D1DEE">
              <w:rPr>
                <w:sz w:val="17"/>
                <w:szCs w:val="17"/>
              </w:rPr>
              <w:t>Ensure aid programming integrates an understanding of the political economy and security environment in Bangladesh</w:t>
            </w:r>
          </w:p>
          <w:p w14:paraId="68117A3A" w14:textId="77777777" w:rsidR="000E2C51" w:rsidRPr="009D1DEE" w:rsidRDefault="000E2C51" w:rsidP="00DC4AC8">
            <w:pPr>
              <w:pStyle w:val="BodyA"/>
              <w:numPr>
                <w:ilvl w:val="0"/>
                <w:numId w:val="14"/>
              </w:numPr>
              <w:rPr>
                <w:sz w:val="17"/>
                <w:szCs w:val="17"/>
              </w:rPr>
            </w:pPr>
            <w:r w:rsidRPr="009D1DEE">
              <w:rPr>
                <w:sz w:val="17"/>
                <w:szCs w:val="17"/>
              </w:rPr>
              <w:t xml:space="preserve">Collaborate with other diplomatic missions and donors in Bangladesh to share information and inform analysis  on the delivery of aid in a changing environment </w:t>
            </w:r>
          </w:p>
          <w:p w14:paraId="018AF650" w14:textId="77777777" w:rsidR="000E2C51" w:rsidRPr="009D1DEE" w:rsidRDefault="000E2C51" w:rsidP="00DC4AC8">
            <w:pPr>
              <w:pStyle w:val="BodyA"/>
              <w:numPr>
                <w:ilvl w:val="0"/>
                <w:numId w:val="14"/>
              </w:numPr>
              <w:rPr>
                <w:sz w:val="17"/>
                <w:szCs w:val="17"/>
              </w:rPr>
            </w:pPr>
            <w:r w:rsidRPr="009D1DEE">
              <w:rPr>
                <w:sz w:val="17"/>
                <w:szCs w:val="17"/>
              </w:rPr>
              <w:t xml:space="preserve">Consult with aid partners to assess the impact of the current security situation on the delivery of Australian aid investments.  </w:t>
            </w:r>
          </w:p>
        </w:tc>
        <w:tc>
          <w:tcPr>
            <w:tcW w:w="1050" w:type="dxa"/>
            <w:tcBorders>
              <w:top w:val="nil"/>
              <w:left w:val="nil"/>
              <w:bottom w:val="nil"/>
              <w:right w:val="nil"/>
            </w:tcBorders>
            <w:shd w:val="clear" w:color="auto" w:fill="72AF50"/>
            <w:tcMar>
              <w:top w:w="80" w:type="dxa"/>
              <w:left w:w="80" w:type="dxa"/>
              <w:bottom w:w="80" w:type="dxa"/>
              <w:right w:w="80" w:type="dxa"/>
            </w:tcMar>
          </w:tcPr>
          <w:p w14:paraId="4B181C79" w14:textId="77777777" w:rsidR="000E2C51" w:rsidRPr="009D1DEE" w:rsidRDefault="000E2C51" w:rsidP="00451B3E">
            <w:pPr>
              <w:pStyle w:val="BodyA"/>
              <w:keepLines/>
              <w:shd w:val="clear" w:color="auto" w:fill="72AF50"/>
              <w:spacing w:before="40" w:after="40" w:line="200" w:lineRule="atLeast"/>
              <w:jc w:val="center"/>
              <w:rPr>
                <w:sz w:val="17"/>
                <w:szCs w:val="17"/>
              </w:rPr>
            </w:pPr>
            <w:r w:rsidRPr="009D1DEE">
              <w:rPr>
                <w:rStyle w:val="NoneA"/>
                <w:color w:val="FFFFFF"/>
                <w:sz w:val="17"/>
                <w:szCs w:val="17"/>
                <w:u w:color="FFFFFF"/>
              </w:rPr>
              <w:t>Achieved</w:t>
            </w:r>
          </w:p>
        </w:tc>
        <w:tc>
          <w:tcPr>
            <w:tcW w:w="7316" w:type="dxa"/>
            <w:tcBorders>
              <w:top w:val="nil"/>
              <w:left w:val="nil"/>
              <w:bottom w:val="nil"/>
              <w:right w:val="nil"/>
            </w:tcBorders>
            <w:shd w:val="clear" w:color="auto" w:fill="auto"/>
            <w:tcMar>
              <w:top w:w="80" w:type="dxa"/>
              <w:left w:w="80" w:type="dxa"/>
              <w:bottom w:w="80" w:type="dxa"/>
              <w:right w:w="80" w:type="dxa"/>
            </w:tcMar>
          </w:tcPr>
          <w:p w14:paraId="77093DC0" w14:textId="77777777" w:rsidR="000E2C51" w:rsidRPr="009D1DEE" w:rsidRDefault="00A62E9D" w:rsidP="00905359">
            <w:pPr>
              <w:pStyle w:val="BodyA"/>
              <w:rPr>
                <w:sz w:val="17"/>
                <w:szCs w:val="17"/>
              </w:rPr>
            </w:pPr>
            <w:r w:rsidRPr="009D1DEE">
              <w:rPr>
                <w:sz w:val="17"/>
                <w:szCs w:val="17"/>
              </w:rPr>
              <w:t xml:space="preserve">Australia </w:t>
            </w:r>
            <w:r w:rsidR="000E2C51" w:rsidRPr="009D1DEE">
              <w:rPr>
                <w:sz w:val="17"/>
                <w:szCs w:val="17"/>
              </w:rPr>
              <w:t xml:space="preserve">collaborated with </w:t>
            </w:r>
            <w:r w:rsidRPr="009D1DEE">
              <w:rPr>
                <w:sz w:val="17"/>
                <w:szCs w:val="17"/>
              </w:rPr>
              <w:t xml:space="preserve">local partners and </w:t>
            </w:r>
            <w:r w:rsidR="000E2C51" w:rsidRPr="009D1DEE">
              <w:rPr>
                <w:sz w:val="17"/>
                <w:szCs w:val="17"/>
              </w:rPr>
              <w:t xml:space="preserve">donors, including through the Local Consultative </w:t>
            </w:r>
            <w:r w:rsidRPr="009D1DEE">
              <w:rPr>
                <w:sz w:val="17"/>
                <w:szCs w:val="17"/>
              </w:rPr>
              <w:t xml:space="preserve">Groups, </w:t>
            </w:r>
            <w:r w:rsidR="002948E7" w:rsidRPr="009D1DEE">
              <w:rPr>
                <w:sz w:val="17"/>
                <w:szCs w:val="17"/>
              </w:rPr>
              <w:t xml:space="preserve">to share </w:t>
            </w:r>
            <w:r w:rsidR="000E2C51" w:rsidRPr="009D1DEE">
              <w:rPr>
                <w:sz w:val="17"/>
                <w:szCs w:val="17"/>
              </w:rPr>
              <w:t xml:space="preserve">security and political assessments. </w:t>
            </w:r>
            <w:r w:rsidRPr="009D1DEE">
              <w:rPr>
                <w:sz w:val="17"/>
                <w:szCs w:val="17"/>
              </w:rPr>
              <w:t xml:space="preserve">DFAT </w:t>
            </w:r>
            <w:r w:rsidR="000E2C51" w:rsidRPr="009D1DEE">
              <w:rPr>
                <w:sz w:val="17"/>
                <w:szCs w:val="17"/>
              </w:rPr>
              <w:t xml:space="preserve">commissioned a </w:t>
            </w:r>
            <w:r w:rsidR="00483823" w:rsidRPr="009D1DEE">
              <w:rPr>
                <w:sz w:val="17"/>
                <w:szCs w:val="17"/>
              </w:rPr>
              <w:t xml:space="preserve">2-year </w:t>
            </w:r>
            <w:r w:rsidR="000E2C51" w:rsidRPr="009D1DEE">
              <w:rPr>
                <w:sz w:val="17"/>
                <w:szCs w:val="17"/>
              </w:rPr>
              <w:t xml:space="preserve">survey </w:t>
            </w:r>
            <w:r w:rsidR="00483823" w:rsidRPr="009D1DEE">
              <w:rPr>
                <w:sz w:val="17"/>
                <w:szCs w:val="17"/>
              </w:rPr>
              <w:t xml:space="preserve">with The Asia Foundation </w:t>
            </w:r>
            <w:r w:rsidR="000E2C51" w:rsidRPr="009D1DEE">
              <w:rPr>
                <w:sz w:val="17"/>
                <w:szCs w:val="17"/>
              </w:rPr>
              <w:t>on community attitudes towards democracy an</w:t>
            </w:r>
            <w:r w:rsidRPr="009D1DEE">
              <w:rPr>
                <w:sz w:val="17"/>
                <w:szCs w:val="17"/>
              </w:rPr>
              <w:t xml:space="preserve">d related public institutions. </w:t>
            </w:r>
            <w:r w:rsidR="00905359" w:rsidRPr="009D1DEE">
              <w:rPr>
                <w:sz w:val="17"/>
                <w:szCs w:val="17"/>
              </w:rPr>
              <w:t>Partners explored</w:t>
            </w:r>
            <w:r w:rsidR="000E2C51" w:rsidRPr="009D1DEE">
              <w:rPr>
                <w:sz w:val="17"/>
                <w:szCs w:val="17"/>
              </w:rPr>
              <w:t xml:space="preserve"> alternative monitoring arrangements, </w:t>
            </w:r>
            <w:r w:rsidR="00905359" w:rsidRPr="009D1DEE">
              <w:rPr>
                <w:sz w:val="17"/>
                <w:szCs w:val="17"/>
              </w:rPr>
              <w:t xml:space="preserve">such as WFP implementation of </w:t>
            </w:r>
            <w:r w:rsidR="000E2C51" w:rsidRPr="009D1DEE">
              <w:rPr>
                <w:sz w:val="17"/>
                <w:szCs w:val="17"/>
              </w:rPr>
              <w:t xml:space="preserve">including third party monitoring in areas restricted to international staff movement. </w:t>
            </w:r>
          </w:p>
        </w:tc>
      </w:tr>
      <w:tr w:rsidR="000E2C51" w14:paraId="51281139" w14:textId="77777777" w:rsidTr="00451B3E">
        <w:trPr>
          <w:trHeight w:val="471"/>
        </w:trPr>
        <w:tc>
          <w:tcPr>
            <w:tcW w:w="6871" w:type="dxa"/>
            <w:tcBorders>
              <w:top w:val="nil"/>
              <w:left w:val="nil"/>
              <w:bottom w:val="nil"/>
              <w:right w:val="nil"/>
            </w:tcBorders>
            <w:shd w:val="clear" w:color="auto" w:fill="auto"/>
            <w:tcMar>
              <w:top w:w="80" w:type="dxa"/>
              <w:left w:w="80" w:type="dxa"/>
              <w:bottom w:w="80" w:type="dxa"/>
              <w:right w:w="80" w:type="dxa"/>
            </w:tcMar>
          </w:tcPr>
          <w:p w14:paraId="73E96638" w14:textId="77777777" w:rsidR="000E2C51" w:rsidRPr="009D1DEE" w:rsidRDefault="000E2C51" w:rsidP="0037212A">
            <w:pPr>
              <w:pStyle w:val="BodyA"/>
              <w:rPr>
                <w:sz w:val="17"/>
                <w:szCs w:val="17"/>
              </w:rPr>
            </w:pPr>
            <w:r w:rsidRPr="009D1DEE">
              <w:rPr>
                <w:sz w:val="17"/>
                <w:szCs w:val="17"/>
              </w:rPr>
              <w:t>Better communicate and contextualise Australia’s aid investments</w:t>
            </w:r>
          </w:p>
          <w:p w14:paraId="5C037744" w14:textId="77777777" w:rsidR="000E2C51" w:rsidRPr="009D1DEE" w:rsidRDefault="000E2C51" w:rsidP="00DC4AC8">
            <w:pPr>
              <w:pStyle w:val="BodyA"/>
              <w:numPr>
                <w:ilvl w:val="0"/>
                <w:numId w:val="14"/>
              </w:numPr>
              <w:rPr>
                <w:sz w:val="17"/>
                <w:szCs w:val="17"/>
              </w:rPr>
            </w:pPr>
            <w:r w:rsidRPr="009D1DEE">
              <w:rPr>
                <w:sz w:val="17"/>
                <w:szCs w:val="17"/>
              </w:rPr>
              <w:t>Draft a social media plan to assist in building the profile and good reputation of Australian development in Bangladesh</w:t>
            </w:r>
          </w:p>
          <w:p w14:paraId="0C034E89" w14:textId="77777777" w:rsidR="000E2C51" w:rsidRPr="009D1DEE" w:rsidRDefault="000E2C51" w:rsidP="00DC4AC8">
            <w:pPr>
              <w:pStyle w:val="BodyA"/>
              <w:numPr>
                <w:ilvl w:val="0"/>
                <w:numId w:val="14"/>
              </w:numPr>
              <w:rPr>
                <w:sz w:val="17"/>
                <w:szCs w:val="17"/>
              </w:rPr>
            </w:pPr>
            <w:r w:rsidRPr="009D1DEE">
              <w:rPr>
                <w:sz w:val="17"/>
                <w:szCs w:val="17"/>
              </w:rPr>
              <w:t>Increase and improve the impact of advocacy with the Ministry of Foreign Affairs, Home Ministry and Ministry of Finance-Economic Relations Division.</w:t>
            </w:r>
          </w:p>
        </w:tc>
        <w:tc>
          <w:tcPr>
            <w:tcW w:w="1050" w:type="dxa"/>
            <w:tcBorders>
              <w:top w:val="nil"/>
              <w:left w:val="nil"/>
              <w:bottom w:val="nil"/>
              <w:right w:val="nil"/>
            </w:tcBorders>
            <w:shd w:val="clear" w:color="auto" w:fill="72AF50"/>
            <w:tcMar>
              <w:top w:w="80" w:type="dxa"/>
              <w:left w:w="80" w:type="dxa"/>
              <w:bottom w:w="80" w:type="dxa"/>
              <w:right w:w="80" w:type="dxa"/>
            </w:tcMar>
          </w:tcPr>
          <w:p w14:paraId="75E8A7A5" w14:textId="77777777" w:rsidR="000E2C51" w:rsidRPr="009D1DEE" w:rsidRDefault="000E2C51" w:rsidP="00451B3E">
            <w:pPr>
              <w:pStyle w:val="BodyA"/>
              <w:keepLines/>
              <w:shd w:val="clear" w:color="auto" w:fill="72AF50"/>
              <w:spacing w:before="40" w:after="40" w:line="200" w:lineRule="atLeast"/>
              <w:jc w:val="center"/>
              <w:rPr>
                <w:sz w:val="17"/>
                <w:szCs w:val="17"/>
              </w:rPr>
            </w:pPr>
            <w:r w:rsidRPr="009D1DEE">
              <w:rPr>
                <w:rStyle w:val="NoneA"/>
                <w:color w:val="FFFFFF"/>
                <w:sz w:val="17"/>
                <w:szCs w:val="17"/>
                <w:u w:color="FFFFFF"/>
              </w:rPr>
              <w:t>Achieved</w:t>
            </w:r>
          </w:p>
        </w:tc>
        <w:tc>
          <w:tcPr>
            <w:tcW w:w="7316" w:type="dxa"/>
            <w:tcBorders>
              <w:top w:val="nil"/>
              <w:left w:val="nil"/>
              <w:bottom w:val="nil"/>
              <w:right w:val="nil"/>
            </w:tcBorders>
            <w:shd w:val="clear" w:color="auto" w:fill="auto"/>
            <w:tcMar>
              <w:top w:w="80" w:type="dxa"/>
              <w:left w:w="80" w:type="dxa"/>
              <w:bottom w:w="80" w:type="dxa"/>
              <w:right w:w="80" w:type="dxa"/>
            </w:tcMar>
          </w:tcPr>
          <w:p w14:paraId="797468E3" w14:textId="02BEFC98" w:rsidR="000E2C51" w:rsidRDefault="000E2C51" w:rsidP="00A62E9D">
            <w:pPr>
              <w:rPr>
                <w:rFonts w:ascii="Calibri Light" w:eastAsia="Calibri Light" w:hAnsi="Calibri Light" w:cs="Calibri Light"/>
                <w:color w:val="495965"/>
                <w:sz w:val="17"/>
                <w:szCs w:val="17"/>
                <w:u w:color="495965"/>
                <w:lang w:eastAsia="en-AU"/>
              </w:rPr>
            </w:pPr>
            <w:r w:rsidRPr="009D1DEE">
              <w:rPr>
                <w:rFonts w:ascii="Calibri Light" w:eastAsia="Calibri Light" w:hAnsi="Calibri Light" w:cs="Calibri Light"/>
                <w:color w:val="495965"/>
                <w:sz w:val="17"/>
                <w:szCs w:val="17"/>
                <w:u w:color="495965"/>
                <w:lang w:eastAsia="en-AU"/>
              </w:rPr>
              <w:t>A social</w:t>
            </w:r>
            <w:r w:rsidRPr="009D1DEE">
              <w:rPr>
                <w:sz w:val="17"/>
                <w:szCs w:val="17"/>
              </w:rPr>
              <w:t xml:space="preserve"> </w:t>
            </w:r>
            <w:r w:rsidRPr="009D1DEE">
              <w:rPr>
                <w:rFonts w:ascii="Calibri Light" w:eastAsia="Calibri Light" w:hAnsi="Calibri Light" w:cs="Calibri Light"/>
                <w:color w:val="495965"/>
                <w:sz w:val="17"/>
                <w:szCs w:val="17"/>
                <w:u w:color="495965"/>
                <w:lang w:eastAsia="en-AU"/>
              </w:rPr>
              <w:t xml:space="preserve">media plan was </w:t>
            </w:r>
            <w:r w:rsidR="00A62E9D" w:rsidRPr="009D1DEE">
              <w:rPr>
                <w:rFonts w:ascii="Calibri Light" w:eastAsia="Calibri Light" w:hAnsi="Calibri Light" w:cs="Calibri Light"/>
                <w:color w:val="495965"/>
                <w:sz w:val="17"/>
                <w:szCs w:val="17"/>
                <w:u w:color="495965"/>
                <w:lang w:eastAsia="en-AU"/>
              </w:rPr>
              <w:t>implemented</w:t>
            </w:r>
            <w:r w:rsidRPr="009D1DEE">
              <w:rPr>
                <w:rFonts w:ascii="Calibri Light" w:eastAsia="Calibri Light" w:hAnsi="Calibri Light" w:cs="Calibri Light"/>
                <w:color w:val="495965"/>
                <w:sz w:val="17"/>
                <w:szCs w:val="17"/>
                <w:u w:color="495965"/>
                <w:lang w:eastAsia="en-AU"/>
              </w:rPr>
              <w:t xml:space="preserve">. The Australian High Commission Facebook page regularly featured stories, highlighting Post activities, and achievements of aid investments. </w:t>
            </w:r>
          </w:p>
          <w:p w14:paraId="01E8C7BA" w14:textId="26AB1E6B" w:rsidR="00DF5A40" w:rsidRDefault="00DF5A40" w:rsidP="00DF5A40">
            <w:pPr>
              <w:rPr>
                <w:rFonts w:ascii="Calibri Light" w:eastAsia="Calibri Light" w:hAnsi="Calibri Light" w:cs="Calibri Light"/>
                <w:color w:val="495965"/>
                <w:sz w:val="17"/>
                <w:szCs w:val="17"/>
                <w:u w:color="495965"/>
                <w:lang w:eastAsia="en-AU"/>
              </w:rPr>
            </w:pPr>
            <w:r>
              <w:rPr>
                <w:rFonts w:ascii="Calibri Light" w:eastAsia="Calibri Light" w:hAnsi="Calibri Light" w:cs="Calibri Light"/>
                <w:color w:val="495965"/>
                <w:sz w:val="17"/>
                <w:szCs w:val="17"/>
                <w:u w:color="495965"/>
                <w:lang w:eastAsia="en-AU"/>
              </w:rPr>
              <w:t xml:space="preserve">In 2016-17 86 Government of Bangladesh officials (from the Ministry of Foreign Affairs, Home Ministry and Ministry of Finance) attended long-term and short course scholarships to Australia. </w:t>
            </w:r>
          </w:p>
          <w:p w14:paraId="5A42D667" w14:textId="50B8AB0A" w:rsidR="00DF5A40" w:rsidRPr="009D1DEE" w:rsidRDefault="00DF5A40">
            <w:pPr>
              <w:rPr>
                <w:sz w:val="17"/>
                <w:szCs w:val="17"/>
              </w:rPr>
            </w:pPr>
            <w:r>
              <w:rPr>
                <w:rFonts w:ascii="Calibri Light" w:eastAsia="Calibri Light" w:hAnsi="Calibri Light" w:cs="Calibri Light"/>
                <w:color w:val="495965"/>
                <w:sz w:val="17"/>
                <w:szCs w:val="17"/>
                <w:u w:color="495965"/>
                <w:lang w:eastAsia="en-AU"/>
              </w:rPr>
              <w:t xml:space="preserve">The Aid Program continues to maintain financial visibility of ODA by quarterly updating </w:t>
            </w:r>
            <w:r w:rsidR="00CF2D26">
              <w:rPr>
                <w:rFonts w:ascii="Calibri Light" w:eastAsia="Calibri Light" w:hAnsi="Calibri Light" w:cs="Calibri Light"/>
                <w:color w:val="495965"/>
                <w:sz w:val="17"/>
                <w:szCs w:val="17"/>
                <w:u w:color="495965"/>
                <w:lang w:eastAsia="en-AU"/>
              </w:rPr>
              <w:t xml:space="preserve">the Government </w:t>
            </w:r>
            <w:r>
              <w:rPr>
                <w:rFonts w:ascii="Calibri Light" w:eastAsia="Calibri Light" w:hAnsi="Calibri Light" w:cs="Calibri Light"/>
                <w:color w:val="495965"/>
                <w:sz w:val="17"/>
                <w:szCs w:val="17"/>
                <w:u w:color="495965"/>
                <w:lang w:eastAsia="en-AU"/>
              </w:rPr>
              <w:t>online portal</w:t>
            </w:r>
            <w:r w:rsidR="00CF2D26">
              <w:rPr>
                <w:rFonts w:ascii="Calibri Light" w:eastAsia="Calibri Light" w:hAnsi="Calibri Light" w:cs="Calibri Light"/>
                <w:color w:val="495965"/>
                <w:sz w:val="17"/>
                <w:szCs w:val="17"/>
                <w:u w:color="495965"/>
                <w:lang w:eastAsia="en-AU"/>
              </w:rPr>
              <w:t xml:space="preserve">, </w:t>
            </w:r>
            <w:r>
              <w:rPr>
                <w:rFonts w:ascii="Calibri Light" w:eastAsia="Calibri Light" w:hAnsi="Calibri Light" w:cs="Calibri Light"/>
                <w:color w:val="495965"/>
                <w:sz w:val="17"/>
                <w:szCs w:val="17"/>
                <w:u w:color="495965"/>
                <w:lang w:eastAsia="en-AU"/>
              </w:rPr>
              <w:t>Aid Information Management System (AIMS) used to track aid flow into the country.</w:t>
            </w:r>
          </w:p>
        </w:tc>
      </w:tr>
      <w:tr w:rsidR="000E2C51" w14:paraId="1C41DBE9" w14:textId="77777777" w:rsidTr="00451B3E">
        <w:trPr>
          <w:trHeight w:val="723"/>
        </w:trPr>
        <w:tc>
          <w:tcPr>
            <w:tcW w:w="6871" w:type="dxa"/>
            <w:tcBorders>
              <w:top w:val="nil"/>
              <w:left w:val="nil"/>
              <w:bottom w:val="nil"/>
              <w:right w:val="nil"/>
            </w:tcBorders>
            <w:shd w:val="clear" w:color="auto" w:fill="auto"/>
            <w:tcMar>
              <w:top w:w="80" w:type="dxa"/>
              <w:left w:w="80" w:type="dxa"/>
              <w:bottom w:w="80" w:type="dxa"/>
              <w:right w:w="80" w:type="dxa"/>
            </w:tcMar>
          </w:tcPr>
          <w:p w14:paraId="0929A674" w14:textId="77777777" w:rsidR="000E2C51" w:rsidRPr="009D1DEE" w:rsidRDefault="000E2C51" w:rsidP="0037212A">
            <w:pPr>
              <w:pStyle w:val="BodyA"/>
              <w:rPr>
                <w:sz w:val="17"/>
                <w:szCs w:val="17"/>
              </w:rPr>
            </w:pPr>
            <w:r w:rsidRPr="009D1DEE">
              <w:rPr>
                <w:sz w:val="17"/>
                <w:szCs w:val="17"/>
              </w:rPr>
              <w:t>Contribute to partner-led designs for next phase aid investments to ensure pipeline</w:t>
            </w:r>
          </w:p>
        </w:tc>
        <w:tc>
          <w:tcPr>
            <w:tcW w:w="1050" w:type="dxa"/>
            <w:tcBorders>
              <w:top w:val="nil"/>
              <w:left w:val="nil"/>
              <w:bottom w:val="nil"/>
              <w:right w:val="nil"/>
            </w:tcBorders>
            <w:shd w:val="clear" w:color="auto" w:fill="72AF50"/>
            <w:tcMar>
              <w:top w:w="80" w:type="dxa"/>
              <w:left w:w="80" w:type="dxa"/>
              <w:bottom w:w="80" w:type="dxa"/>
              <w:right w:w="80" w:type="dxa"/>
            </w:tcMar>
          </w:tcPr>
          <w:p w14:paraId="1DE37574" w14:textId="77777777" w:rsidR="000E2C51" w:rsidRPr="009D1DEE" w:rsidRDefault="000E2C51" w:rsidP="0037212A">
            <w:pPr>
              <w:pStyle w:val="BodyA"/>
              <w:keepLines/>
              <w:spacing w:before="40" w:after="40" w:line="200" w:lineRule="atLeast"/>
              <w:jc w:val="center"/>
              <w:rPr>
                <w:sz w:val="17"/>
                <w:szCs w:val="17"/>
              </w:rPr>
            </w:pPr>
            <w:r w:rsidRPr="009D1DEE">
              <w:rPr>
                <w:rStyle w:val="NoneA"/>
                <w:color w:val="FFFFFF"/>
                <w:sz w:val="17"/>
                <w:szCs w:val="17"/>
                <w:u w:color="FFFFFF"/>
              </w:rPr>
              <w:t>Achieved</w:t>
            </w:r>
          </w:p>
        </w:tc>
        <w:tc>
          <w:tcPr>
            <w:tcW w:w="7316" w:type="dxa"/>
            <w:tcBorders>
              <w:top w:val="nil"/>
              <w:left w:val="nil"/>
              <w:bottom w:val="nil"/>
              <w:right w:val="nil"/>
            </w:tcBorders>
            <w:shd w:val="clear" w:color="auto" w:fill="auto"/>
            <w:tcMar>
              <w:top w:w="80" w:type="dxa"/>
              <w:left w:w="80" w:type="dxa"/>
              <w:bottom w:w="80" w:type="dxa"/>
              <w:right w:w="80" w:type="dxa"/>
            </w:tcMar>
          </w:tcPr>
          <w:p w14:paraId="3A1D974B" w14:textId="77777777" w:rsidR="000E2C51" w:rsidRPr="009D1DEE" w:rsidRDefault="000E2C51" w:rsidP="0037212A">
            <w:pPr>
              <w:rPr>
                <w:rFonts w:ascii="Calibri Light" w:eastAsia="Calibri Light" w:hAnsi="Calibri Light" w:cs="Calibri Light"/>
                <w:color w:val="495965"/>
                <w:sz w:val="17"/>
                <w:szCs w:val="17"/>
                <w:u w:color="495965"/>
                <w:lang w:eastAsia="en-AU"/>
              </w:rPr>
            </w:pPr>
            <w:r w:rsidRPr="009D1DEE">
              <w:rPr>
                <w:rFonts w:ascii="Calibri Light" w:eastAsia="Calibri Light" w:hAnsi="Calibri Light" w:cs="Calibri Light"/>
                <w:color w:val="495965"/>
                <w:sz w:val="17"/>
                <w:szCs w:val="17"/>
                <w:u w:color="495965"/>
                <w:lang w:eastAsia="en-AU"/>
              </w:rPr>
              <w:t>DF</w:t>
            </w:r>
            <w:r w:rsidR="00905359" w:rsidRPr="009D1DEE">
              <w:rPr>
                <w:rFonts w:ascii="Calibri Light" w:eastAsia="Calibri Light" w:hAnsi="Calibri Light" w:cs="Calibri Light"/>
                <w:color w:val="495965"/>
                <w:sz w:val="17"/>
                <w:szCs w:val="17"/>
                <w:u w:color="495965"/>
                <w:lang w:eastAsia="en-AU"/>
              </w:rPr>
              <w:t xml:space="preserve">AT commissioned a </w:t>
            </w:r>
            <w:r w:rsidRPr="009D1DEE">
              <w:rPr>
                <w:rFonts w:ascii="Calibri Light" w:eastAsia="Calibri Light" w:hAnsi="Calibri Light" w:cs="Calibri Light"/>
                <w:color w:val="495965"/>
                <w:sz w:val="17"/>
                <w:szCs w:val="17"/>
                <w:u w:color="495965"/>
                <w:lang w:eastAsia="en-AU"/>
              </w:rPr>
              <w:t>D</w:t>
            </w:r>
            <w:r w:rsidR="00A62E9D" w:rsidRPr="009D1DEE">
              <w:rPr>
                <w:rFonts w:ascii="Calibri Light" w:eastAsia="Calibri Light" w:hAnsi="Calibri Light" w:cs="Calibri Light"/>
                <w:color w:val="495965"/>
                <w:sz w:val="17"/>
                <w:szCs w:val="17"/>
                <w:u w:color="495965"/>
                <w:lang w:eastAsia="en-AU"/>
              </w:rPr>
              <w:t>ue Diligence Assessment of WFP</w:t>
            </w:r>
            <w:r w:rsidRPr="009D1DEE">
              <w:rPr>
                <w:rFonts w:ascii="Calibri Light" w:eastAsia="Calibri Light" w:hAnsi="Calibri Light" w:cs="Calibri Light"/>
                <w:color w:val="495965"/>
                <w:sz w:val="17"/>
                <w:szCs w:val="17"/>
                <w:u w:color="495965"/>
                <w:lang w:eastAsia="en-AU"/>
              </w:rPr>
              <w:t xml:space="preserve">, </w:t>
            </w:r>
            <w:r w:rsidR="00A62E9D" w:rsidRPr="009D1DEE">
              <w:rPr>
                <w:rFonts w:ascii="Calibri Light" w:eastAsia="Calibri Light" w:hAnsi="Calibri Light" w:cs="Calibri Light"/>
                <w:color w:val="495965"/>
                <w:sz w:val="17"/>
                <w:szCs w:val="17"/>
                <w:u w:color="495965"/>
                <w:lang w:eastAsia="en-AU"/>
              </w:rPr>
              <w:t>to</w:t>
            </w:r>
            <w:r w:rsidRPr="009D1DEE">
              <w:rPr>
                <w:rFonts w:ascii="Calibri Light" w:eastAsia="Calibri Light" w:hAnsi="Calibri Light" w:cs="Calibri Light"/>
                <w:color w:val="495965"/>
                <w:sz w:val="17"/>
                <w:szCs w:val="17"/>
                <w:u w:color="495965"/>
                <w:lang w:eastAsia="en-AU"/>
              </w:rPr>
              <w:t xml:space="preserve"> info</w:t>
            </w:r>
            <w:r w:rsidR="00A62E9D" w:rsidRPr="009D1DEE">
              <w:rPr>
                <w:rFonts w:ascii="Calibri Light" w:eastAsia="Calibri Light" w:hAnsi="Calibri Light" w:cs="Calibri Light"/>
                <w:color w:val="495965"/>
                <w:sz w:val="17"/>
                <w:szCs w:val="17"/>
                <w:u w:color="495965"/>
                <w:lang w:eastAsia="en-AU"/>
              </w:rPr>
              <w:t xml:space="preserve">rm the </w:t>
            </w:r>
            <w:r w:rsidR="00905359" w:rsidRPr="009D1DEE">
              <w:rPr>
                <w:rFonts w:ascii="Calibri Light" w:eastAsia="Calibri Light" w:hAnsi="Calibri Light" w:cs="Calibri Light"/>
                <w:color w:val="495965"/>
                <w:sz w:val="17"/>
                <w:szCs w:val="17"/>
                <w:u w:color="495965"/>
                <w:lang w:eastAsia="en-AU"/>
              </w:rPr>
              <w:t>new strategic partnership</w:t>
            </w:r>
            <w:r w:rsidR="00A62E9D" w:rsidRPr="009D1DEE">
              <w:rPr>
                <w:rFonts w:ascii="Calibri Light" w:eastAsia="Calibri Light" w:hAnsi="Calibri Light" w:cs="Calibri Light"/>
                <w:color w:val="495965"/>
                <w:sz w:val="17"/>
                <w:szCs w:val="17"/>
                <w:u w:color="495965"/>
                <w:lang w:eastAsia="en-AU"/>
              </w:rPr>
              <w:t xml:space="preserve">. DFAT </w:t>
            </w:r>
            <w:r w:rsidRPr="009D1DEE">
              <w:rPr>
                <w:rFonts w:ascii="Calibri Light" w:eastAsia="Calibri Light" w:hAnsi="Calibri Light" w:cs="Calibri Light"/>
                <w:color w:val="495965"/>
                <w:sz w:val="17"/>
                <w:szCs w:val="17"/>
                <w:u w:color="495965"/>
                <w:lang w:eastAsia="en-AU"/>
              </w:rPr>
              <w:t>commissi</w:t>
            </w:r>
            <w:r w:rsidR="00A62E9D" w:rsidRPr="009D1DEE">
              <w:rPr>
                <w:rFonts w:ascii="Calibri Light" w:eastAsia="Calibri Light" w:hAnsi="Calibri Light" w:cs="Calibri Light"/>
                <w:color w:val="495965"/>
                <w:sz w:val="17"/>
                <w:szCs w:val="17"/>
                <w:u w:color="495965"/>
                <w:lang w:eastAsia="en-AU"/>
              </w:rPr>
              <w:t xml:space="preserve">oned several technical reports </w:t>
            </w:r>
            <w:r w:rsidRPr="009D1DEE">
              <w:rPr>
                <w:rFonts w:ascii="Calibri Light" w:eastAsia="Calibri Light" w:hAnsi="Calibri Light" w:cs="Calibri Light"/>
                <w:color w:val="495965"/>
                <w:sz w:val="17"/>
                <w:szCs w:val="17"/>
                <w:u w:color="495965"/>
                <w:lang w:eastAsia="en-AU"/>
              </w:rPr>
              <w:t>on second chance education, gender, technical assistance, literacy and numeracy and f</w:t>
            </w:r>
            <w:r w:rsidR="00A62E9D" w:rsidRPr="009D1DEE">
              <w:rPr>
                <w:rFonts w:ascii="Calibri Light" w:eastAsia="Calibri Light" w:hAnsi="Calibri Light" w:cs="Calibri Light"/>
                <w:color w:val="495965"/>
                <w:sz w:val="17"/>
                <w:szCs w:val="17"/>
                <w:u w:color="495965"/>
                <w:lang w:eastAsia="en-AU"/>
              </w:rPr>
              <w:t xml:space="preserve">inancial modelling, to </w:t>
            </w:r>
            <w:r w:rsidRPr="009D1DEE">
              <w:rPr>
                <w:rFonts w:ascii="Calibri Light" w:eastAsia="Calibri Light" w:hAnsi="Calibri Light" w:cs="Calibri Light"/>
                <w:color w:val="495965"/>
                <w:sz w:val="17"/>
                <w:szCs w:val="17"/>
                <w:u w:color="495965"/>
                <w:lang w:eastAsia="en-AU"/>
              </w:rPr>
              <w:t>i</w:t>
            </w:r>
            <w:r w:rsidR="00A62E9D" w:rsidRPr="009D1DEE">
              <w:rPr>
                <w:rFonts w:ascii="Calibri Light" w:eastAsia="Calibri Light" w:hAnsi="Calibri Light" w:cs="Calibri Light"/>
                <w:color w:val="495965"/>
                <w:sz w:val="17"/>
                <w:szCs w:val="17"/>
                <w:u w:color="495965"/>
                <w:lang w:eastAsia="en-AU"/>
              </w:rPr>
              <w:t>nfluence PEDP</w:t>
            </w:r>
            <w:r w:rsidRPr="009D1DEE">
              <w:rPr>
                <w:rFonts w:ascii="Calibri Light" w:eastAsia="Calibri Light" w:hAnsi="Calibri Light" w:cs="Calibri Light"/>
                <w:color w:val="495965"/>
                <w:sz w:val="17"/>
                <w:szCs w:val="17"/>
                <w:u w:color="495965"/>
                <w:lang w:eastAsia="en-AU"/>
              </w:rPr>
              <w:t xml:space="preserve">’s next phase.  </w:t>
            </w:r>
          </w:p>
        </w:tc>
      </w:tr>
      <w:tr w:rsidR="000E2C51" w14:paraId="00655ED4" w14:textId="77777777" w:rsidTr="00451B3E">
        <w:trPr>
          <w:trHeight w:val="697"/>
        </w:trPr>
        <w:tc>
          <w:tcPr>
            <w:tcW w:w="6871" w:type="dxa"/>
            <w:tcBorders>
              <w:top w:val="nil"/>
              <w:left w:val="nil"/>
              <w:bottom w:val="nil"/>
              <w:right w:val="nil"/>
            </w:tcBorders>
            <w:shd w:val="clear" w:color="auto" w:fill="auto"/>
            <w:tcMar>
              <w:top w:w="80" w:type="dxa"/>
              <w:left w:w="80" w:type="dxa"/>
              <w:bottom w:w="80" w:type="dxa"/>
              <w:right w:w="80" w:type="dxa"/>
            </w:tcMar>
          </w:tcPr>
          <w:p w14:paraId="259E2DF2" w14:textId="77777777" w:rsidR="000E2C51" w:rsidRPr="009D1DEE" w:rsidRDefault="000E2C51" w:rsidP="0037212A">
            <w:pPr>
              <w:pStyle w:val="BodyA"/>
              <w:rPr>
                <w:sz w:val="17"/>
                <w:szCs w:val="17"/>
              </w:rPr>
            </w:pPr>
            <w:r w:rsidRPr="009D1DEE">
              <w:rPr>
                <w:sz w:val="17"/>
                <w:szCs w:val="17"/>
              </w:rPr>
              <w:t>Strengthen and capitalise on strategic partnerships, particularly with BRAC</w:t>
            </w:r>
          </w:p>
          <w:p w14:paraId="40556E83" w14:textId="77777777" w:rsidR="000E2C51" w:rsidRPr="009D1DEE" w:rsidRDefault="000E2C51" w:rsidP="00DC4AC8">
            <w:pPr>
              <w:pStyle w:val="BodyA"/>
              <w:numPr>
                <w:ilvl w:val="0"/>
                <w:numId w:val="14"/>
              </w:numPr>
              <w:rPr>
                <w:sz w:val="17"/>
                <w:szCs w:val="17"/>
              </w:rPr>
            </w:pPr>
            <w:r w:rsidRPr="009D1DEE">
              <w:rPr>
                <w:sz w:val="17"/>
                <w:szCs w:val="17"/>
              </w:rPr>
              <w:t>Deepen the awareness and engagement on the BRAC SPA within DFAT</w:t>
            </w:r>
          </w:p>
          <w:p w14:paraId="287D6A03" w14:textId="77777777" w:rsidR="000E2C51" w:rsidRPr="009D1DEE" w:rsidRDefault="000E2C51" w:rsidP="00DC4AC8">
            <w:pPr>
              <w:pStyle w:val="BodyA"/>
              <w:numPr>
                <w:ilvl w:val="0"/>
                <w:numId w:val="14"/>
              </w:numPr>
              <w:rPr>
                <w:sz w:val="17"/>
                <w:szCs w:val="17"/>
              </w:rPr>
            </w:pPr>
            <w:r w:rsidRPr="009D1DEE">
              <w:rPr>
                <w:sz w:val="17"/>
                <w:szCs w:val="17"/>
              </w:rPr>
              <w:t>Ensure adequate levels of staffing are allocated to achieve the expectations for the SPA’s next phase; and</w:t>
            </w:r>
          </w:p>
        </w:tc>
        <w:tc>
          <w:tcPr>
            <w:tcW w:w="1050" w:type="dxa"/>
            <w:tcBorders>
              <w:top w:val="nil"/>
              <w:left w:val="nil"/>
              <w:bottom w:val="nil"/>
              <w:right w:val="nil"/>
            </w:tcBorders>
            <w:shd w:val="clear" w:color="auto" w:fill="72AF50"/>
            <w:tcMar>
              <w:top w:w="80" w:type="dxa"/>
              <w:left w:w="80" w:type="dxa"/>
              <w:bottom w:w="80" w:type="dxa"/>
              <w:right w:w="80" w:type="dxa"/>
            </w:tcMar>
          </w:tcPr>
          <w:p w14:paraId="6E58C76F" w14:textId="77777777" w:rsidR="000E2C51" w:rsidRPr="009D1DEE" w:rsidRDefault="000E2C51" w:rsidP="0037212A">
            <w:pPr>
              <w:pStyle w:val="BodyA"/>
              <w:keepLines/>
              <w:spacing w:before="40" w:after="40" w:line="200" w:lineRule="atLeast"/>
              <w:jc w:val="center"/>
              <w:rPr>
                <w:sz w:val="17"/>
                <w:szCs w:val="17"/>
              </w:rPr>
            </w:pPr>
            <w:r w:rsidRPr="009D1DEE">
              <w:rPr>
                <w:rStyle w:val="NoneA"/>
                <w:color w:val="FFFFFF"/>
                <w:sz w:val="17"/>
                <w:szCs w:val="17"/>
                <w:u w:color="FFFFFF"/>
              </w:rPr>
              <w:t>Achieved</w:t>
            </w:r>
          </w:p>
        </w:tc>
        <w:tc>
          <w:tcPr>
            <w:tcW w:w="7316" w:type="dxa"/>
            <w:tcBorders>
              <w:top w:val="nil"/>
              <w:left w:val="nil"/>
              <w:bottom w:val="nil"/>
              <w:right w:val="nil"/>
            </w:tcBorders>
            <w:shd w:val="clear" w:color="auto" w:fill="auto"/>
            <w:tcMar>
              <w:top w:w="80" w:type="dxa"/>
              <w:left w:w="80" w:type="dxa"/>
              <w:bottom w:w="80" w:type="dxa"/>
              <w:right w:w="80" w:type="dxa"/>
            </w:tcMar>
          </w:tcPr>
          <w:p w14:paraId="5EE7DF10" w14:textId="5EB41583" w:rsidR="00A90B1E" w:rsidRPr="009D1DEE" w:rsidRDefault="000E2C51" w:rsidP="002948E7">
            <w:pPr>
              <w:rPr>
                <w:rFonts w:ascii="Calibri Light" w:eastAsia="Calibri Light" w:hAnsi="Calibri Light" w:cs="Calibri Light"/>
                <w:color w:val="495965"/>
                <w:sz w:val="17"/>
                <w:szCs w:val="17"/>
                <w:u w:color="495965"/>
                <w:lang w:eastAsia="en-AU"/>
              </w:rPr>
            </w:pPr>
            <w:r w:rsidRPr="009D1DEE">
              <w:rPr>
                <w:rFonts w:ascii="Calibri Light" w:eastAsia="Calibri Light" w:hAnsi="Calibri Light" w:cs="Calibri Light"/>
                <w:color w:val="495965"/>
                <w:sz w:val="17"/>
                <w:szCs w:val="17"/>
                <w:u w:color="495965"/>
                <w:lang w:eastAsia="en-AU"/>
              </w:rPr>
              <w:t>BRA</w:t>
            </w:r>
            <w:r w:rsidR="002948E7" w:rsidRPr="009D1DEE">
              <w:rPr>
                <w:rFonts w:ascii="Calibri Light" w:eastAsia="Calibri Light" w:hAnsi="Calibri Light" w:cs="Calibri Light"/>
                <w:color w:val="495965"/>
                <w:sz w:val="17"/>
                <w:szCs w:val="17"/>
                <w:u w:color="495965"/>
                <w:lang w:eastAsia="en-AU"/>
              </w:rPr>
              <w:t>C Executive Director’s</w:t>
            </w:r>
            <w:r w:rsidRPr="009D1DEE">
              <w:rPr>
                <w:rFonts w:ascii="Calibri Light" w:eastAsia="Calibri Light" w:hAnsi="Calibri Light" w:cs="Calibri Light"/>
                <w:color w:val="495965"/>
                <w:sz w:val="17"/>
                <w:szCs w:val="17"/>
                <w:u w:color="495965"/>
                <w:lang w:eastAsia="en-AU"/>
              </w:rPr>
              <w:t xml:space="preserve"> visit t</w:t>
            </w:r>
            <w:r w:rsidR="00905359" w:rsidRPr="009D1DEE">
              <w:rPr>
                <w:rFonts w:ascii="Calibri Light" w:eastAsia="Calibri Light" w:hAnsi="Calibri Light" w:cs="Calibri Light"/>
                <w:color w:val="495965"/>
                <w:sz w:val="17"/>
                <w:szCs w:val="17"/>
                <w:u w:color="495965"/>
                <w:lang w:eastAsia="en-AU"/>
              </w:rPr>
              <w:t xml:space="preserve">o Australia in October 2016 </w:t>
            </w:r>
            <w:r w:rsidRPr="009D1DEE">
              <w:rPr>
                <w:rFonts w:ascii="Calibri Light" w:eastAsia="Calibri Light" w:hAnsi="Calibri Light" w:cs="Calibri Light"/>
                <w:color w:val="495965"/>
                <w:sz w:val="17"/>
                <w:szCs w:val="17"/>
                <w:u w:color="495965"/>
                <w:lang w:eastAsia="en-AU"/>
              </w:rPr>
              <w:t xml:space="preserve">raised the profile </w:t>
            </w:r>
            <w:r w:rsidR="002948E7" w:rsidRPr="009D1DEE">
              <w:rPr>
                <w:rFonts w:ascii="Calibri Light" w:eastAsia="Calibri Light" w:hAnsi="Calibri Light" w:cs="Calibri Light"/>
                <w:color w:val="495965"/>
                <w:sz w:val="17"/>
                <w:szCs w:val="17"/>
                <w:u w:color="495965"/>
                <w:lang w:eastAsia="en-AU"/>
              </w:rPr>
              <w:t xml:space="preserve">and understanding </w:t>
            </w:r>
            <w:r w:rsidRPr="009D1DEE">
              <w:rPr>
                <w:rFonts w:ascii="Calibri Light" w:eastAsia="Calibri Light" w:hAnsi="Calibri Light" w:cs="Calibri Light"/>
                <w:color w:val="495965"/>
                <w:sz w:val="17"/>
                <w:szCs w:val="17"/>
                <w:u w:color="495965"/>
                <w:lang w:eastAsia="en-AU"/>
              </w:rPr>
              <w:t xml:space="preserve">of </w:t>
            </w:r>
            <w:r w:rsidR="002948E7" w:rsidRPr="009D1DEE">
              <w:rPr>
                <w:rFonts w:ascii="Calibri Light" w:eastAsia="Calibri Light" w:hAnsi="Calibri Light" w:cs="Calibri Light"/>
                <w:color w:val="495965"/>
                <w:sz w:val="17"/>
                <w:szCs w:val="17"/>
                <w:u w:color="495965"/>
                <w:lang w:eastAsia="en-AU"/>
              </w:rPr>
              <w:t>BRAC</w:t>
            </w:r>
            <w:r w:rsidR="006D5479">
              <w:rPr>
                <w:rFonts w:ascii="Calibri Light" w:eastAsia="Calibri Light" w:hAnsi="Calibri Light" w:cs="Calibri Light"/>
                <w:color w:val="495965"/>
                <w:sz w:val="17"/>
                <w:szCs w:val="17"/>
                <w:u w:color="495965"/>
                <w:lang w:eastAsia="en-AU"/>
              </w:rPr>
              <w:t xml:space="preserve"> </w:t>
            </w:r>
            <w:r w:rsidRPr="009D1DEE">
              <w:rPr>
                <w:rFonts w:ascii="Calibri Light" w:eastAsia="Calibri Light" w:hAnsi="Calibri Light" w:cs="Calibri Light"/>
                <w:color w:val="495965"/>
                <w:sz w:val="17"/>
                <w:szCs w:val="17"/>
                <w:u w:color="495965"/>
                <w:lang w:eastAsia="en-AU"/>
              </w:rPr>
              <w:t xml:space="preserve">in DFAT and among a wider audience, including Australian NGOs and academic institutions. </w:t>
            </w:r>
            <w:r w:rsidR="00905359" w:rsidRPr="009D1DEE">
              <w:rPr>
                <w:rFonts w:ascii="Calibri Light" w:eastAsia="Calibri Light" w:hAnsi="Calibri Light" w:cs="Calibri Light"/>
                <w:color w:val="495965"/>
                <w:sz w:val="17"/>
                <w:szCs w:val="17"/>
                <w:u w:color="495965"/>
                <w:lang w:eastAsia="en-AU"/>
              </w:rPr>
              <w:t xml:space="preserve">Roundtable discussions focused on </w:t>
            </w:r>
            <w:r w:rsidRPr="009D1DEE">
              <w:rPr>
                <w:rFonts w:ascii="Calibri Light" w:eastAsia="Calibri Light" w:hAnsi="Calibri Light" w:cs="Calibri Light"/>
                <w:color w:val="495965"/>
                <w:sz w:val="17"/>
                <w:szCs w:val="17"/>
                <w:u w:color="495965"/>
                <w:lang w:eastAsia="en-AU"/>
              </w:rPr>
              <w:t xml:space="preserve">BRAC’s </w:t>
            </w:r>
            <w:r w:rsidR="00905359" w:rsidRPr="009D1DEE">
              <w:rPr>
                <w:rFonts w:ascii="Calibri Light" w:eastAsia="Calibri Light" w:hAnsi="Calibri Light" w:cs="Calibri Light"/>
                <w:color w:val="495965"/>
                <w:sz w:val="17"/>
                <w:szCs w:val="17"/>
                <w:u w:color="495965"/>
                <w:lang w:eastAsia="en-AU"/>
              </w:rPr>
              <w:t xml:space="preserve">innovation and </w:t>
            </w:r>
            <w:r w:rsidR="002948E7" w:rsidRPr="009D1DEE">
              <w:rPr>
                <w:rFonts w:ascii="Calibri Light" w:eastAsia="Calibri Light" w:hAnsi="Calibri Light" w:cs="Calibri Light"/>
                <w:color w:val="495965"/>
                <w:sz w:val="17"/>
                <w:szCs w:val="17"/>
                <w:u w:color="495965"/>
                <w:lang w:eastAsia="en-AU"/>
              </w:rPr>
              <w:t xml:space="preserve">sustainability </w:t>
            </w:r>
            <w:r w:rsidRPr="009D1DEE">
              <w:rPr>
                <w:rFonts w:ascii="Calibri Light" w:eastAsia="Calibri Light" w:hAnsi="Calibri Light" w:cs="Calibri Light"/>
                <w:color w:val="495965"/>
                <w:sz w:val="17"/>
                <w:szCs w:val="17"/>
                <w:u w:color="495965"/>
                <w:lang w:eastAsia="en-AU"/>
              </w:rPr>
              <w:t>agenda</w:t>
            </w:r>
            <w:r w:rsidR="00A90B1E" w:rsidRPr="009D1DEE">
              <w:rPr>
                <w:rFonts w:ascii="Calibri Light" w:eastAsia="Calibri Light" w:hAnsi="Calibri Light" w:cs="Calibri Light"/>
                <w:color w:val="495965"/>
                <w:sz w:val="17"/>
                <w:szCs w:val="17"/>
                <w:u w:color="495965"/>
                <w:lang w:eastAsia="en-AU"/>
              </w:rPr>
              <w:t xml:space="preserve">. </w:t>
            </w:r>
            <w:r w:rsidR="00A62E9D" w:rsidRPr="009D1DEE">
              <w:rPr>
                <w:rFonts w:ascii="Calibri Light" w:eastAsia="Calibri Light" w:hAnsi="Calibri Light" w:cs="Calibri Light"/>
                <w:color w:val="495965"/>
                <w:sz w:val="17"/>
                <w:szCs w:val="17"/>
                <w:u w:color="495965"/>
                <w:lang w:eastAsia="en-AU"/>
              </w:rPr>
              <w:t xml:space="preserve">Staffing levels are adequate. </w:t>
            </w:r>
          </w:p>
        </w:tc>
      </w:tr>
      <w:tr w:rsidR="000E2C51" w14:paraId="3F9523F3" w14:textId="77777777" w:rsidTr="00451B3E">
        <w:trPr>
          <w:trHeight w:val="697"/>
        </w:trPr>
        <w:tc>
          <w:tcPr>
            <w:tcW w:w="6871" w:type="dxa"/>
            <w:tcBorders>
              <w:top w:val="nil"/>
              <w:left w:val="nil"/>
              <w:bottom w:val="nil"/>
              <w:right w:val="nil"/>
            </w:tcBorders>
            <w:shd w:val="clear" w:color="auto" w:fill="auto"/>
            <w:tcMar>
              <w:top w:w="80" w:type="dxa"/>
              <w:left w:w="80" w:type="dxa"/>
              <w:bottom w:w="80" w:type="dxa"/>
              <w:right w:w="80" w:type="dxa"/>
            </w:tcMar>
          </w:tcPr>
          <w:p w14:paraId="4BF3A1B6" w14:textId="45A0B0A3" w:rsidR="000E2C51" w:rsidRPr="009D1DEE" w:rsidRDefault="000E2C51" w:rsidP="0037212A">
            <w:pPr>
              <w:pStyle w:val="BodyA"/>
              <w:rPr>
                <w:sz w:val="17"/>
                <w:szCs w:val="17"/>
              </w:rPr>
            </w:pPr>
            <w:r w:rsidRPr="009D1DEE">
              <w:rPr>
                <w:sz w:val="17"/>
                <w:szCs w:val="17"/>
              </w:rPr>
              <w:t xml:space="preserve">Build on the program’s gender equality and women’s empowerment work by developing a Gender Action Plan </w:t>
            </w:r>
            <w:r w:rsidR="006D5479">
              <w:rPr>
                <w:sz w:val="17"/>
                <w:szCs w:val="17"/>
              </w:rPr>
              <w:t xml:space="preserve">to </w:t>
            </w:r>
            <w:r w:rsidRPr="009D1DEE">
              <w:rPr>
                <w:sz w:val="17"/>
                <w:szCs w:val="17"/>
              </w:rPr>
              <w:t xml:space="preserve">support progress towards the Division’s objectives on gender equity. </w:t>
            </w:r>
          </w:p>
        </w:tc>
        <w:tc>
          <w:tcPr>
            <w:tcW w:w="1050" w:type="dxa"/>
            <w:tcBorders>
              <w:top w:val="nil"/>
              <w:left w:val="nil"/>
              <w:bottom w:val="nil"/>
              <w:right w:val="nil"/>
            </w:tcBorders>
            <w:shd w:val="clear" w:color="auto" w:fill="72AF50"/>
            <w:tcMar>
              <w:top w:w="80" w:type="dxa"/>
              <w:left w:w="80" w:type="dxa"/>
              <w:bottom w:w="80" w:type="dxa"/>
              <w:right w:w="80" w:type="dxa"/>
            </w:tcMar>
          </w:tcPr>
          <w:p w14:paraId="5C8FB3E2" w14:textId="77777777" w:rsidR="000E2C51" w:rsidRPr="009D1DEE" w:rsidRDefault="000E2C51" w:rsidP="0037212A">
            <w:pPr>
              <w:pStyle w:val="BodyA"/>
              <w:keepLines/>
              <w:spacing w:before="40" w:after="40" w:line="200" w:lineRule="atLeast"/>
              <w:jc w:val="center"/>
              <w:rPr>
                <w:sz w:val="17"/>
                <w:szCs w:val="17"/>
              </w:rPr>
            </w:pPr>
            <w:r w:rsidRPr="009D1DEE">
              <w:rPr>
                <w:rStyle w:val="NoneA"/>
                <w:color w:val="FFFFFF"/>
                <w:sz w:val="17"/>
                <w:szCs w:val="17"/>
                <w:u w:color="FFFFFF"/>
              </w:rPr>
              <w:t>Achieved</w:t>
            </w:r>
          </w:p>
        </w:tc>
        <w:tc>
          <w:tcPr>
            <w:tcW w:w="7316" w:type="dxa"/>
            <w:tcBorders>
              <w:top w:val="nil"/>
              <w:left w:val="nil"/>
              <w:bottom w:val="nil"/>
              <w:right w:val="nil"/>
            </w:tcBorders>
            <w:shd w:val="clear" w:color="auto" w:fill="auto"/>
            <w:tcMar>
              <w:top w:w="80" w:type="dxa"/>
              <w:left w:w="80" w:type="dxa"/>
              <w:bottom w:w="80" w:type="dxa"/>
              <w:right w:w="80" w:type="dxa"/>
            </w:tcMar>
          </w:tcPr>
          <w:p w14:paraId="0FF4DB7E" w14:textId="77777777" w:rsidR="000E2C51" w:rsidRPr="009D1DEE" w:rsidRDefault="00A62E9D" w:rsidP="00A62E9D">
            <w:pPr>
              <w:rPr>
                <w:sz w:val="17"/>
                <w:szCs w:val="17"/>
              </w:rPr>
            </w:pPr>
            <w:r w:rsidRPr="009D1DEE">
              <w:rPr>
                <w:rFonts w:ascii="Calibri Light" w:eastAsia="Calibri Light" w:hAnsi="Calibri Light" w:cs="Calibri Light"/>
                <w:color w:val="495965"/>
                <w:sz w:val="17"/>
                <w:szCs w:val="17"/>
                <w:u w:color="495965"/>
                <w:lang w:eastAsia="en-AU"/>
              </w:rPr>
              <w:t>A</w:t>
            </w:r>
            <w:r w:rsidR="000E2C51" w:rsidRPr="009D1DEE">
              <w:rPr>
                <w:rFonts w:ascii="Calibri Light" w:eastAsia="Calibri Light" w:hAnsi="Calibri Light" w:cs="Calibri Light"/>
                <w:color w:val="495965"/>
                <w:sz w:val="17"/>
                <w:szCs w:val="17"/>
                <w:u w:color="495965"/>
                <w:lang w:eastAsia="en-AU"/>
              </w:rPr>
              <w:t xml:space="preserve"> Gender Action Plan was developed, and most action items implemented during the reporting period. </w:t>
            </w:r>
          </w:p>
        </w:tc>
      </w:tr>
    </w:tbl>
    <w:p w14:paraId="5790FD70"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 xml:space="preserve">Note: </w:t>
      </w:r>
    </w:p>
    <w:p w14:paraId="70579B8F"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in addressing the issue </w:t>
      </w:r>
    </w:p>
    <w:p w14:paraId="6BF7B009"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in addressing the issue, but the issue has not been resolved </w:t>
      </w:r>
    </w:p>
    <w:p w14:paraId="18294979" w14:textId="77777777" w:rsidR="00DA620C" w:rsidRPr="00DA620C" w:rsidRDefault="00400B0F" w:rsidP="00DA620C">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in addressing the issue has been significantly below expectations</w:t>
      </w:r>
    </w:p>
    <w:p w14:paraId="02F478B5" w14:textId="77777777" w:rsidR="00756E3E" w:rsidRPr="00DA620C" w:rsidRDefault="00756E3E" w:rsidP="00756E3E">
      <w:pPr>
        <w:pStyle w:val="Subtitle"/>
        <w:rPr>
          <w:b/>
          <w:sz w:val="28"/>
          <w:szCs w:val="28"/>
        </w:rPr>
      </w:pPr>
      <w:r w:rsidRPr="00DA620C">
        <w:rPr>
          <w:b/>
          <w:sz w:val="28"/>
          <w:szCs w:val="28"/>
        </w:rPr>
        <w:lastRenderedPageBreak/>
        <w:t>Annex B - Progress towards Performance Benchmarks in 2016-17</w:t>
      </w:r>
    </w:p>
    <w:tbl>
      <w:tblPr>
        <w:tblW w:w="14027" w:type="dxa"/>
        <w:tblInd w:w="4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65C5B4"/>
        <w:tblLayout w:type="fixed"/>
        <w:tblLook w:val="04A0" w:firstRow="1" w:lastRow="0" w:firstColumn="1" w:lastColumn="0" w:noHBand="0" w:noVBand="1"/>
      </w:tblPr>
      <w:tblGrid>
        <w:gridCol w:w="1978"/>
        <w:gridCol w:w="2410"/>
        <w:gridCol w:w="850"/>
        <w:gridCol w:w="8789"/>
      </w:tblGrid>
      <w:tr w:rsidR="00756E3E" w14:paraId="3241C467" w14:textId="77777777" w:rsidTr="00D3290F">
        <w:trPr>
          <w:trHeight w:val="545"/>
          <w:tblHeader/>
        </w:trPr>
        <w:tc>
          <w:tcPr>
            <w:tcW w:w="1978" w:type="dxa"/>
            <w:tcBorders>
              <w:top w:val="single" w:sz="12" w:space="0" w:color="000000"/>
              <w:left w:val="nil"/>
              <w:bottom w:val="nil"/>
              <w:right w:val="nil"/>
            </w:tcBorders>
            <w:shd w:val="clear" w:color="auto" w:fill="auto"/>
            <w:tcMar>
              <w:top w:w="80" w:type="dxa"/>
              <w:left w:w="80" w:type="dxa"/>
              <w:bottom w:w="80" w:type="dxa"/>
              <w:right w:w="80" w:type="dxa"/>
            </w:tcMar>
          </w:tcPr>
          <w:p w14:paraId="77C771BF" w14:textId="77777777" w:rsidR="00756E3E" w:rsidRDefault="00756E3E" w:rsidP="0037212A">
            <w:pPr>
              <w:pStyle w:val="BodyA"/>
              <w:keepLines/>
              <w:spacing w:before="80" w:after="80" w:line="200" w:lineRule="atLeast"/>
            </w:pPr>
            <w:r>
              <w:rPr>
                <w:rStyle w:val="NoneA"/>
                <w:rFonts w:ascii="Helvetica" w:hAnsi="Helvetica"/>
                <w:b/>
                <w:bCs/>
                <w:sz w:val="17"/>
                <w:szCs w:val="17"/>
              </w:rPr>
              <w:t>Aid objective</w:t>
            </w:r>
          </w:p>
        </w:tc>
        <w:tc>
          <w:tcPr>
            <w:tcW w:w="2410" w:type="dxa"/>
            <w:tcBorders>
              <w:top w:val="single" w:sz="12" w:space="0" w:color="000000"/>
              <w:left w:val="nil"/>
              <w:bottom w:val="nil"/>
              <w:right w:val="nil"/>
            </w:tcBorders>
            <w:shd w:val="clear" w:color="auto" w:fill="auto"/>
            <w:tcMar>
              <w:top w:w="80" w:type="dxa"/>
              <w:left w:w="80" w:type="dxa"/>
              <w:bottom w:w="80" w:type="dxa"/>
              <w:right w:w="80" w:type="dxa"/>
            </w:tcMar>
          </w:tcPr>
          <w:p w14:paraId="39639CDB" w14:textId="77777777" w:rsidR="00756E3E" w:rsidRDefault="00756E3E" w:rsidP="00957207">
            <w:pPr>
              <w:pStyle w:val="BodyA"/>
              <w:keepLines/>
              <w:spacing w:before="80" w:after="80" w:line="200" w:lineRule="atLeast"/>
            </w:pPr>
            <w:r>
              <w:rPr>
                <w:rStyle w:val="NoneA"/>
                <w:rFonts w:ascii="Helvetica" w:hAnsi="Helvetica"/>
                <w:b/>
                <w:bCs/>
                <w:sz w:val="17"/>
                <w:szCs w:val="17"/>
              </w:rPr>
              <w:t xml:space="preserve"> </w:t>
            </w:r>
            <w:r w:rsidR="00957207">
              <w:rPr>
                <w:rStyle w:val="NoneA"/>
                <w:rFonts w:ascii="Helvetica" w:hAnsi="Helvetica"/>
                <w:b/>
                <w:bCs/>
                <w:sz w:val="17"/>
                <w:szCs w:val="17"/>
              </w:rPr>
              <w:t>Performance B</w:t>
            </w:r>
            <w:r>
              <w:rPr>
                <w:rStyle w:val="NoneA"/>
                <w:rFonts w:ascii="Helvetica" w:hAnsi="Helvetica"/>
                <w:b/>
                <w:bCs/>
                <w:sz w:val="17"/>
                <w:szCs w:val="17"/>
              </w:rPr>
              <w:t xml:space="preserve">enchmark </w:t>
            </w:r>
          </w:p>
        </w:tc>
        <w:tc>
          <w:tcPr>
            <w:tcW w:w="850" w:type="dxa"/>
            <w:tcBorders>
              <w:top w:val="single" w:sz="12" w:space="0" w:color="000000"/>
              <w:left w:val="nil"/>
              <w:bottom w:val="nil"/>
              <w:right w:val="nil"/>
            </w:tcBorders>
            <w:shd w:val="clear" w:color="auto" w:fill="auto"/>
            <w:tcMar>
              <w:top w:w="80" w:type="dxa"/>
              <w:left w:w="80" w:type="dxa"/>
              <w:bottom w:w="80" w:type="dxa"/>
              <w:right w:w="80" w:type="dxa"/>
            </w:tcMar>
          </w:tcPr>
          <w:p w14:paraId="3D8560B0" w14:textId="77777777" w:rsidR="00756E3E" w:rsidRDefault="00756E3E" w:rsidP="0037212A">
            <w:pPr>
              <w:pStyle w:val="BodyA"/>
              <w:keepLines/>
              <w:spacing w:before="80" w:after="80" w:line="200" w:lineRule="atLeast"/>
              <w:jc w:val="center"/>
            </w:pPr>
            <w:r>
              <w:rPr>
                <w:rStyle w:val="NoneA"/>
                <w:rFonts w:ascii="Helvetica" w:hAnsi="Helvetica"/>
                <w:b/>
                <w:bCs/>
                <w:sz w:val="17"/>
                <w:szCs w:val="17"/>
              </w:rPr>
              <w:t>Rating</w:t>
            </w:r>
          </w:p>
        </w:tc>
        <w:tc>
          <w:tcPr>
            <w:tcW w:w="8789" w:type="dxa"/>
            <w:tcBorders>
              <w:top w:val="single" w:sz="12" w:space="0" w:color="000000"/>
              <w:left w:val="nil"/>
              <w:bottom w:val="nil"/>
              <w:right w:val="nil"/>
            </w:tcBorders>
            <w:shd w:val="clear" w:color="auto" w:fill="auto"/>
            <w:tcMar>
              <w:top w:w="80" w:type="dxa"/>
              <w:left w:w="80" w:type="dxa"/>
              <w:bottom w:w="80" w:type="dxa"/>
              <w:right w:w="80" w:type="dxa"/>
            </w:tcMar>
          </w:tcPr>
          <w:p w14:paraId="40DB25B1" w14:textId="77777777" w:rsidR="00756E3E" w:rsidRDefault="00756E3E" w:rsidP="0037212A">
            <w:pPr>
              <w:pStyle w:val="BodyA"/>
              <w:keepLines/>
              <w:spacing w:before="80" w:after="80" w:line="200" w:lineRule="atLeast"/>
              <w:jc w:val="center"/>
            </w:pPr>
            <w:r>
              <w:rPr>
                <w:rStyle w:val="NoneA"/>
                <w:rFonts w:ascii="Helvetica" w:hAnsi="Helvetica"/>
                <w:b/>
                <w:bCs/>
                <w:sz w:val="17"/>
                <w:szCs w:val="17"/>
              </w:rPr>
              <w:t>Progress in 2016-17</w:t>
            </w:r>
          </w:p>
        </w:tc>
      </w:tr>
      <w:tr w:rsidR="00756E3E" w14:paraId="75BBF24D" w14:textId="77777777" w:rsidTr="00451B3E">
        <w:tblPrEx>
          <w:shd w:val="clear" w:color="auto" w:fill="D1E9E4"/>
        </w:tblPrEx>
        <w:trPr>
          <w:trHeight w:val="852"/>
        </w:trPr>
        <w:tc>
          <w:tcPr>
            <w:tcW w:w="1978" w:type="dxa"/>
            <w:tcBorders>
              <w:top w:val="nil"/>
              <w:left w:val="nil"/>
              <w:bottom w:val="nil"/>
              <w:right w:val="nil"/>
            </w:tcBorders>
            <w:shd w:val="clear" w:color="auto" w:fill="auto"/>
            <w:tcMar>
              <w:top w:w="80" w:type="dxa"/>
              <w:left w:w="80" w:type="dxa"/>
              <w:bottom w:w="80" w:type="dxa"/>
              <w:right w:w="80" w:type="dxa"/>
            </w:tcMar>
          </w:tcPr>
          <w:p w14:paraId="201879BD" w14:textId="77777777" w:rsidR="00756E3E" w:rsidRPr="00DA620C" w:rsidRDefault="00E6139C" w:rsidP="0037212A">
            <w:pPr>
              <w:pStyle w:val="BodyA"/>
              <w:keepLines/>
              <w:spacing w:before="40" w:after="40" w:line="200" w:lineRule="atLeast"/>
              <w:rPr>
                <w:sz w:val="17"/>
                <w:szCs w:val="17"/>
              </w:rPr>
            </w:pPr>
            <w:r w:rsidRPr="00DA620C">
              <w:rPr>
                <w:iCs/>
                <w:sz w:val="17"/>
                <w:szCs w:val="17"/>
                <w:lang w:val="en-AU"/>
              </w:rPr>
              <w:t>Improving education access, equity, efficiency and learning outcomes</w:t>
            </w:r>
          </w:p>
        </w:tc>
        <w:tc>
          <w:tcPr>
            <w:tcW w:w="2410" w:type="dxa"/>
            <w:tcBorders>
              <w:top w:val="nil"/>
              <w:left w:val="nil"/>
              <w:bottom w:val="nil"/>
              <w:right w:val="nil"/>
            </w:tcBorders>
            <w:shd w:val="clear" w:color="auto" w:fill="auto"/>
            <w:tcMar>
              <w:top w:w="80" w:type="dxa"/>
              <w:left w:w="80" w:type="dxa"/>
              <w:bottom w:w="80" w:type="dxa"/>
              <w:right w:w="80" w:type="dxa"/>
            </w:tcMar>
          </w:tcPr>
          <w:p w14:paraId="660304BA" w14:textId="77777777" w:rsidR="00756E3E" w:rsidRDefault="00957207" w:rsidP="0037212A">
            <w:pPr>
              <w:pStyle w:val="BodyA"/>
              <w:keepLines/>
              <w:spacing w:before="40" w:after="40" w:line="200" w:lineRule="atLeast"/>
              <w:rPr>
                <w:rStyle w:val="NoneA"/>
                <w:sz w:val="17"/>
                <w:szCs w:val="17"/>
              </w:rPr>
            </w:pPr>
            <w:r w:rsidRPr="00DA620C">
              <w:rPr>
                <w:rStyle w:val="NoneA"/>
                <w:sz w:val="17"/>
                <w:szCs w:val="17"/>
              </w:rPr>
              <w:t xml:space="preserve">The quality of end of primary cycle </w:t>
            </w:r>
            <w:r w:rsidR="00D3290F" w:rsidRPr="00DA620C">
              <w:rPr>
                <w:rStyle w:val="NoneA"/>
                <w:sz w:val="17"/>
                <w:szCs w:val="17"/>
              </w:rPr>
              <w:t>examination is improved</w:t>
            </w:r>
          </w:p>
          <w:p w14:paraId="1CD92ED6" w14:textId="77777777" w:rsidR="00D72A85" w:rsidRPr="00D72A85" w:rsidRDefault="00C46591" w:rsidP="0037212A">
            <w:pPr>
              <w:pStyle w:val="BodyA"/>
              <w:keepLines/>
              <w:spacing w:before="40" w:after="40" w:line="200" w:lineRule="atLeast"/>
              <w:rPr>
                <w:i/>
                <w:sz w:val="17"/>
                <w:szCs w:val="17"/>
              </w:rPr>
            </w:pPr>
            <w:r>
              <w:rPr>
                <w:rStyle w:val="FootnoteReference"/>
                <w:i/>
                <w:sz w:val="17"/>
                <w:szCs w:val="17"/>
              </w:rPr>
              <w:footnoteReference w:id="53"/>
            </w:r>
            <w:r>
              <w:rPr>
                <w:rStyle w:val="NoneA"/>
                <w:i/>
                <w:sz w:val="17"/>
                <w:szCs w:val="17"/>
              </w:rPr>
              <w:t xml:space="preserve">Target: </w:t>
            </w:r>
            <w:r w:rsidR="00D72A85" w:rsidRPr="00D72A85">
              <w:rPr>
                <w:rStyle w:val="NoneA"/>
                <w:i/>
                <w:sz w:val="17"/>
                <w:szCs w:val="17"/>
              </w:rPr>
              <w:t>5</w:t>
            </w:r>
            <w:r>
              <w:rPr>
                <w:rStyle w:val="NoneA"/>
                <w:i/>
                <w:sz w:val="17"/>
                <w:szCs w:val="17"/>
              </w:rPr>
              <w:t>0</w:t>
            </w:r>
            <w:r w:rsidR="00D72A85" w:rsidRPr="00D72A85">
              <w:rPr>
                <w:rStyle w:val="NoneA"/>
                <w:i/>
                <w:sz w:val="17"/>
                <w:szCs w:val="17"/>
              </w:rPr>
              <w:t>%</w:t>
            </w:r>
          </w:p>
        </w:tc>
        <w:tc>
          <w:tcPr>
            <w:tcW w:w="850" w:type="dxa"/>
            <w:tcBorders>
              <w:top w:val="nil"/>
              <w:left w:val="nil"/>
              <w:bottom w:val="nil"/>
              <w:right w:val="nil"/>
            </w:tcBorders>
            <w:shd w:val="clear" w:color="auto" w:fill="72AF50"/>
            <w:tcMar>
              <w:top w:w="80" w:type="dxa"/>
              <w:left w:w="80" w:type="dxa"/>
              <w:bottom w:w="80" w:type="dxa"/>
              <w:right w:w="80" w:type="dxa"/>
            </w:tcMar>
          </w:tcPr>
          <w:p w14:paraId="52E6845C" w14:textId="77777777" w:rsidR="00756E3E" w:rsidRPr="00DA620C" w:rsidRDefault="0074304D" w:rsidP="00451B3E">
            <w:pPr>
              <w:pStyle w:val="BodyA"/>
              <w:keepLines/>
              <w:shd w:val="clear" w:color="auto" w:fill="72AF50"/>
              <w:spacing w:before="40" w:after="40" w:line="200" w:lineRule="atLeast"/>
              <w:rPr>
                <w:sz w:val="17"/>
                <w:szCs w:val="17"/>
              </w:rPr>
            </w:pPr>
            <w:r>
              <w:rPr>
                <w:rStyle w:val="NoneA"/>
                <w:color w:val="FFFFFF"/>
                <w:sz w:val="17"/>
                <w:szCs w:val="17"/>
                <w:u w:color="FFFFFF"/>
              </w:rPr>
              <w:t xml:space="preserve"> </w:t>
            </w:r>
            <w:r w:rsidR="00756E3E" w:rsidRPr="00DA620C">
              <w:rPr>
                <w:rStyle w:val="NoneA"/>
                <w:color w:val="FFFFFF"/>
                <w:sz w:val="17"/>
                <w:szCs w:val="17"/>
                <w:u w:color="FFFFFF"/>
              </w:rPr>
              <w:t>Achieved</w:t>
            </w:r>
          </w:p>
          <w:p w14:paraId="7070953C" w14:textId="77777777" w:rsidR="00756E3E" w:rsidRPr="00DA620C" w:rsidRDefault="00756E3E" w:rsidP="00451B3E">
            <w:pPr>
              <w:pStyle w:val="BodyA"/>
              <w:keepLines/>
              <w:shd w:val="clear" w:color="auto" w:fill="72AF50"/>
              <w:spacing w:before="40" w:after="40" w:line="200" w:lineRule="atLeast"/>
              <w:jc w:val="center"/>
              <w:rPr>
                <w:sz w:val="17"/>
                <w:szCs w:val="17"/>
              </w:rPr>
            </w:pPr>
          </w:p>
          <w:p w14:paraId="2A1A1A81" w14:textId="77777777" w:rsidR="00756E3E" w:rsidRPr="00DA620C" w:rsidRDefault="00756E3E" w:rsidP="0037212A">
            <w:pPr>
              <w:rPr>
                <w:sz w:val="17"/>
                <w:szCs w:val="17"/>
                <w:lang w:eastAsia="en-AU"/>
              </w:rPr>
            </w:pPr>
          </w:p>
        </w:tc>
        <w:tc>
          <w:tcPr>
            <w:tcW w:w="8789" w:type="dxa"/>
            <w:tcBorders>
              <w:top w:val="nil"/>
              <w:left w:val="nil"/>
              <w:bottom w:val="nil"/>
              <w:right w:val="nil"/>
            </w:tcBorders>
            <w:shd w:val="clear" w:color="auto" w:fill="auto"/>
            <w:tcMar>
              <w:top w:w="80" w:type="dxa"/>
              <w:left w:w="80" w:type="dxa"/>
              <w:bottom w:w="80" w:type="dxa"/>
              <w:right w:w="80" w:type="dxa"/>
            </w:tcMar>
          </w:tcPr>
          <w:p w14:paraId="46779C82" w14:textId="6A78DDCB" w:rsidR="00756E3E" w:rsidRPr="00DA620C" w:rsidRDefault="00957207" w:rsidP="00681864">
            <w:pPr>
              <w:pStyle w:val="BodyA"/>
              <w:keepLines/>
              <w:spacing w:before="40" w:after="40" w:line="200" w:lineRule="atLeast"/>
              <w:rPr>
                <w:sz w:val="17"/>
                <w:szCs w:val="17"/>
              </w:rPr>
            </w:pPr>
            <w:r w:rsidRPr="00DA620C">
              <w:rPr>
                <w:rStyle w:val="NoneA"/>
                <w:sz w:val="17"/>
                <w:szCs w:val="17"/>
              </w:rPr>
              <w:t xml:space="preserve">Australia funds the Bangladesh primary education program to increase the proportion of </w:t>
            </w:r>
            <w:r w:rsidR="0074304D" w:rsidRPr="00DA620C">
              <w:rPr>
                <w:rStyle w:val="NoneA"/>
                <w:sz w:val="17"/>
                <w:szCs w:val="17"/>
              </w:rPr>
              <w:t>competency-based</w:t>
            </w:r>
            <w:r w:rsidRPr="00DA620C">
              <w:rPr>
                <w:rStyle w:val="NoneA"/>
                <w:sz w:val="17"/>
                <w:szCs w:val="17"/>
              </w:rPr>
              <w:t xml:space="preserve"> questions in Grade 5 exams, shifting questions based on rote learning and memory to competency based</w:t>
            </w:r>
            <w:r w:rsidR="0047722F">
              <w:rPr>
                <w:rStyle w:val="NoneA"/>
                <w:sz w:val="17"/>
                <w:szCs w:val="17"/>
              </w:rPr>
              <w:t xml:space="preserve"> approaches</w:t>
            </w:r>
            <w:r w:rsidRPr="00DA620C">
              <w:rPr>
                <w:rStyle w:val="NoneA"/>
                <w:sz w:val="17"/>
                <w:szCs w:val="17"/>
              </w:rPr>
              <w:t>.</w:t>
            </w:r>
            <w:r w:rsidR="002948E7" w:rsidRPr="00DA620C">
              <w:rPr>
                <w:rStyle w:val="NoneA"/>
                <w:sz w:val="17"/>
                <w:szCs w:val="17"/>
              </w:rPr>
              <w:t xml:space="preserve"> </w:t>
            </w:r>
            <w:r w:rsidR="0074304D">
              <w:rPr>
                <w:rStyle w:val="NoneA"/>
                <w:sz w:val="17"/>
                <w:szCs w:val="17"/>
              </w:rPr>
              <w:t>In 20</w:t>
            </w:r>
            <w:r w:rsidR="00C46591">
              <w:rPr>
                <w:rStyle w:val="NoneA"/>
                <w:sz w:val="17"/>
                <w:szCs w:val="17"/>
              </w:rPr>
              <w:t>16-17</w:t>
            </w:r>
            <w:r w:rsidR="00681864">
              <w:rPr>
                <w:rStyle w:val="NoneA"/>
                <w:sz w:val="17"/>
                <w:szCs w:val="17"/>
              </w:rPr>
              <w:t>, 50 per cent (the target) of the Grade 5 exam consisted</w:t>
            </w:r>
            <w:r w:rsidR="009700C6">
              <w:rPr>
                <w:rStyle w:val="NoneA"/>
                <w:sz w:val="17"/>
                <w:szCs w:val="17"/>
              </w:rPr>
              <w:t xml:space="preserve"> of</w:t>
            </w:r>
            <w:r w:rsidR="0074304D">
              <w:rPr>
                <w:rStyle w:val="NoneA"/>
                <w:sz w:val="17"/>
                <w:szCs w:val="17"/>
              </w:rPr>
              <w:t xml:space="preserve"> competency based</w:t>
            </w:r>
            <w:r w:rsidR="009700C6">
              <w:rPr>
                <w:rStyle w:val="NoneA"/>
                <w:sz w:val="17"/>
                <w:szCs w:val="17"/>
              </w:rPr>
              <w:t xml:space="preserve"> questions</w:t>
            </w:r>
            <w:r w:rsidR="00C46591">
              <w:rPr>
                <w:rStyle w:val="NoneA"/>
                <w:sz w:val="17"/>
                <w:szCs w:val="17"/>
              </w:rPr>
              <w:t>.</w:t>
            </w:r>
            <w:r w:rsidR="009700C6">
              <w:rPr>
                <w:rStyle w:val="NoneA"/>
                <w:sz w:val="17"/>
                <w:szCs w:val="17"/>
              </w:rPr>
              <w:t xml:space="preserve"> </w:t>
            </w:r>
            <w:r w:rsidR="0074304D">
              <w:rPr>
                <w:rStyle w:val="NoneA"/>
                <w:sz w:val="17"/>
                <w:szCs w:val="17"/>
              </w:rPr>
              <w:t xml:space="preserve"> </w:t>
            </w:r>
            <w:r w:rsidR="00905359" w:rsidRPr="00DA620C">
              <w:rPr>
                <w:rStyle w:val="NoneA"/>
                <w:sz w:val="17"/>
                <w:szCs w:val="17"/>
              </w:rPr>
              <w:t xml:space="preserve"> </w:t>
            </w:r>
          </w:p>
        </w:tc>
      </w:tr>
      <w:tr w:rsidR="00E6139C" w14:paraId="558AEBFF" w14:textId="77777777" w:rsidTr="00451B3E">
        <w:tblPrEx>
          <w:shd w:val="clear" w:color="auto" w:fill="D1E9E4"/>
        </w:tblPrEx>
        <w:trPr>
          <w:trHeight w:val="1052"/>
        </w:trPr>
        <w:tc>
          <w:tcPr>
            <w:tcW w:w="1978" w:type="dxa"/>
            <w:tcBorders>
              <w:top w:val="nil"/>
              <w:left w:val="nil"/>
              <w:bottom w:val="nil"/>
              <w:right w:val="nil"/>
            </w:tcBorders>
            <w:shd w:val="clear" w:color="auto" w:fill="auto"/>
            <w:tcMar>
              <w:top w:w="80" w:type="dxa"/>
              <w:left w:w="80" w:type="dxa"/>
              <w:bottom w:w="80" w:type="dxa"/>
              <w:right w:w="80" w:type="dxa"/>
            </w:tcMar>
          </w:tcPr>
          <w:p w14:paraId="464B7453" w14:textId="77777777" w:rsidR="00E6139C" w:rsidRPr="00DA620C" w:rsidRDefault="00E6139C" w:rsidP="00E6139C">
            <w:pPr>
              <w:pStyle w:val="BodyA"/>
              <w:keepLines/>
              <w:spacing w:before="40" w:after="40" w:line="200" w:lineRule="atLeast"/>
              <w:rPr>
                <w:sz w:val="17"/>
                <w:szCs w:val="17"/>
              </w:rPr>
            </w:pPr>
          </w:p>
        </w:tc>
        <w:tc>
          <w:tcPr>
            <w:tcW w:w="2410" w:type="dxa"/>
            <w:tcBorders>
              <w:top w:val="nil"/>
              <w:left w:val="nil"/>
              <w:bottom w:val="nil"/>
              <w:right w:val="nil"/>
            </w:tcBorders>
            <w:shd w:val="clear" w:color="auto" w:fill="auto"/>
            <w:tcMar>
              <w:top w:w="80" w:type="dxa"/>
              <w:left w:w="80" w:type="dxa"/>
              <w:bottom w:w="80" w:type="dxa"/>
              <w:right w:w="80" w:type="dxa"/>
            </w:tcMar>
          </w:tcPr>
          <w:p w14:paraId="57BA73D6" w14:textId="77777777" w:rsidR="00D72A85" w:rsidRDefault="00957207" w:rsidP="00957207">
            <w:pPr>
              <w:pStyle w:val="BodyA"/>
              <w:keepLines/>
              <w:spacing w:before="40" w:after="40" w:line="200" w:lineRule="atLeast"/>
              <w:rPr>
                <w:sz w:val="17"/>
                <w:szCs w:val="17"/>
              </w:rPr>
            </w:pPr>
            <w:r w:rsidRPr="00DA620C">
              <w:rPr>
                <w:sz w:val="17"/>
                <w:szCs w:val="17"/>
              </w:rPr>
              <w:t>BRAC meets targets  for numbers of children completing a course of primary or pre-primary education</w:t>
            </w:r>
          </w:p>
          <w:p w14:paraId="26FAB0DC" w14:textId="73ED0F62" w:rsidR="00E6139C" w:rsidRPr="00D72A85" w:rsidRDefault="00840D25" w:rsidP="00957207">
            <w:pPr>
              <w:pStyle w:val="BodyA"/>
              <w:keepLines/>
              <w:spacing w:before="40" w:after="40" w:line="200" w:lineRule="atLeast"/>
              <w:rPr>
                <w:i/>
                <w:sz w:val="17"/>
                <w:szCs w:val="17"/>
              </w:rPr>
            </w:pPr>
            <w:r>
              <w:rPr>
                <w:i/>
                <w:sz w:val="17"/>
                <w:szCs w:val="17"/>
              </w:rPr>
              <w:t xml:space="preserve">Target: 470,075 </w:t>
            </w:r>
            <w:r w:rsidR="00957207" w:rsidRPr="00D72A85">
              <w:rPr>
                <w:i/>
                <w:sz w:val="17"/>
                <w:szCs w:val="17"/>
              </w:rPr>
              <w:t xml:space="preserve"> </w:t>
            </w:r>
          </w:p>
        </w:tc>
        <w:tc>
          <w:tcPr>
            <w:tcW w:w="850" w:type="dxa"/>
            <w:tcBorders>
              <w:top w:val="nil"/>
              <w:left w:val="nil"/>
              <w:bottom w:val="nil"/>
              <w:right w:val="nil"/>
            </w:tcBorders>
            <w:shd w:val="clear" w:color="auto" w:fill="72AF50"/>
            <w:tcMar>
              <w:top w:w="80" w:type="dxa"/>
              <w:left w:w="80" w:type="dxa"/>
              <w:bottom w:w="80" w:type="dxa"/>
              <w:right w:w="80" w:type="dxa"/>
            </w:tcMar>
          </w:tcPr>
          <w:p w14:paraId="7A5FB2C6" w14:textId="77777777" w:rsidR="00E6139C" w:rsidRPr="00DA620C" w:rsidRDefault="00E6139C" w:rsidP="002948E7">
            <w:pPr>
              <w:pStyle w:val="BodyA"/>
              <w:keepLines/>
              <w:spacing w:before="40" w:after="40" w:line="200" w:lineRule="atLeast"/>
              <w:rPr>
                <w:sz w:val="17"/>
                <w:szCs w:val="17"/>
              </w:rPr>
            </w:pPr>
            <w:r w:rsidRPr="00DA620C">
              <w:rPr>
                <w:rStyle w:val="NoneA"/>
                <w:color w:val="FFFFFF"/>
                <w:sz w:val="17"/>
                <w:szCs w:val="17"/>
                <w:u w:color="FFFFFF"/>
              </w:rPr>
              <w:t>Achieved</w:t>
            </w:r>
          </w:p>
        </w:tc>
        <w:tc>
          <w:tcPr>
            <w:tcW w:w="8789" w:type="dxa"/>
            <w:tcBorders>
              <w:top w:val="nil"/>
              <w:left w:val="nil"/>
              <w:bottom w:val="nil"/>
              <w:right w:val="nil"/>
            </w:tcBorders>
            <w:shd w:val="clear" w:color="auto" w:fill="auto"/>
            <w:tcMar>
              <w:top w:w="80" w:type="dxa"/>
              <w:left w:w="80" w:type="dxa"/>
              <w:bottom w:w="80" w:type="dxa"/>
              <w:right w:w="80" w:type="dxa"/>
            </w:tcMar>
          </w:tcPr>
          <w:p w14:paraId="445A4160" w14:textId="77777777" w:rsidR="00E6139C" w:rsidRPr="00DA620C" w:rsidRDefault="00957207" w:rsidP="00E6139C">
            <w:pPr>
              <w:pStyle w:val="BodyA"/>
              <w:keepLines/>
              <w:spacing w:before="40" w:after="40" w:line="200" w:lineRule="atLeast"/>
              <w:rPr>
                <w:sz w:val="17"/>
                <w:szCs w:val="17"/>
              </w:rPr>
            </w:pPr>
            <w:r w:rsidRPr="00DA620C">
              <w:rPr>
                <w:rStyle w:val="NoneA"/>
                <w:sz w:val="17"/>
                <w:szCs w:val="17"/>
              </w:rPr>
              <w:t>Australia provides non-</w:t>
            </w:r>
            <w:r w:rsidR="00D3290F" w:rsidRPr="00DA620C">
              <w:rPr>
                <w:rStyle w:val="NoneA"/>
                <w:sz w:val="17"/>
                <w:szCs w:val="17"/>
              </w:rPr>
              <w:t>earmarked funding to BRAC complementing the</w:t>
            </w:r>
            <w:r w:rsidRPr="00DA620C">
              <w:rPr>
                <w:rStyle w:val="NoneA"/>
                <w:sz w:val="17"/>
                <w:szCs w:val="17"/>
              </w:rPr>
              <w:t xml:space="preserve"> investment in the Government’s primary education program. In 2016-17, 631,222 children completed pre-primary and primary education</w:t>
            </w:r>
            <w:r w:rsidR="00840D25">
              <w:rPr>
                <w:rStyle w:val="NoneA"/>
                <w:sz w:val="17"/>
                <w:szCs w:val="17"/>
              </w:rPr>
              <w:t>, exceeding the benchmark of 470,075</w:t>
            </w:r>
            <w:r w:rsidRPr="00DA620C">
              <w:rPr>
                <w:rStyle w:val="NoneA"/>
                <w:sz w:val="17"/>
                <w:szCs w:val="17"/>
              </w:rPr>
              <w:t>.</w:t>
            </w:r>
            <w:r w:rsidR="00840D25">
              <w:rPr>
                <w:rStyle w:val="NoneA"/>
                <w:sz w:val="17"/>
                <w:szCs w:val="17"/>
              </w:rPr>
              <w:t xml:space="preserve"> (</w:t>
            </w:r>
            <w:r w:rsidR="00576D7C">
              <w:rPr>
                <w:rStyle w:val="NoneA"/>
                <w:sz w:val="17"/>
                <w:szCs w:val="17"/>
              </w:rPr>
              <w:t>This program target was adjusted from 293,200).</w:t>
            </w:r>
            <w:r w:rsidR="00840D25">
              <w:rPr>
                <w:rStyle w:val="NoneA"/>
                <w:sz w:val="17"/>
                <w:szCs w:val="17"/>
              </w:rPr>
              <w:t xml:space="preserve"> </w:t>
            </w:r>
          </w:p>
        </w:tc>
      </w:tr>
      <w:tr w:rsidR="00E6139C" w14:paraId="79A3AC97" w14:textId="77777777" w:rsidTr="00451B3E">
        <w:tblPrEx>
          <w:shd w:val="clear" w:color="auto" w:fill="D1E9E4"/>
        </w:tblPrEx>
        <w:trPr>
          <w:trHeight w:val="1056"/>
        </w:trPr>
        <w:tc>
          <w:tcPr>
            <w:tcW w:w="1978" w:type="dxa"/>
            <w:tcBorders>
              <w:top w:val="nil"/>
              <w:left w:val="nil"/>
              <w:bottom w:val="nil"/>
              <w:right w:val="nil"/>
            </w:tcBorders>
            <w:shd w:val="clear" w:color="auto" w:fill="auto"/>
            <w:tcMar>
              <w:top w:w="80" w:type="dxa"/>
              <w:left w:w="80" w:type="dxa"/>
              <w:bottom w:w="80" w:type="dxa"/>
              <w:right w:w="80" w:type="dxa"/>
            </w:tcMar>
          </w:tcPr>
          <w:p w14:paraId="4D8C7399" w14:textId="77777777" w:rsidR="00E6139C" w:rsidRPr="00DA620C" w:rsidRDefault="00E6139C" w:rsidP="00E6139C">
            <w:pPr>
              <w:pStyle w:val="BodyA"/>
              <w:keepLines/>
              <w:spacing w:before="40" w:after="40" w:line="200" w:lineRule="atLeast"/>
              <w:rPr>
                <w:sz w:val="17"/>
                <w:szCs w:val="17"/>
              </w:rPr>
            </w:pPr>
          </w:p>
        </w:tc>
        <w:tc>
          <w:tcPr>
            <w:tcW w:w="2410" w:type="dxa"/>
            <w:tcBorders>
              <w:top w:val="nil"/>
              <w:left w:val="nil"/>
              <w:bottom w:val="nil"/>
              <w:right w:val="nil"/>
            </w:tcBorders>
            <w:shd w:val="clear" w:color="auto" w:fill="auto"/>
            <w:tcMar>
              <w:top w:w="80" w:type="dxa"/>
              <w:left w:w="80" w:type="dxa"/>
              <w:bottom w:w="80" w:type="dxa"/>
              <w:right w:w="80" w:type="dxa"/>
            </w:tcMar>
          </w:tcPr>
          <w:p w14:paraId="203B85E2" w14:textId="77777777" w:rsidR="00E6139C" w:rsidRPr="00DA620C" w:rsidRDefault="00957207" w:rsidP="00E6139C">
            <w:pPr>
              <w:pStyle w:val="BodyA"/>
              <w:keepLines/>
              <w:spacing w:before="40" w:after="40" w:line="200" w:lineRule="atLeast"/>
              <w:rPr>
                <w:i/>
                <w:iCs/>
                <w:color w:val="808080"/>
                <w:sz w:val="17"/>
                <w:szCs w:val="17"/>
                <w:u w:color="808080"/>
              </w:rPr>
            </w:pPr>
            <w:r w:rsidRPr="00DA620C">
              <w:rPr>
                <w:rStyle w:val="NoneA"/>
                <w:sz w:val="17"/>
                <w:szCs w:val="17"/>
              </w:rPr>
              <w:t>50% of donor fund disbursement for PEDP3 linked to results achieved, with the remaining 50% subject to meeting annual audit requirements</w:t>
            </w:r>
          </w:p>
        </w:tc>
        <w:tc>
          <w:tcPr>
            <w:tcW w:w="850" w:type="dxa"/>
            <w:tcBorders>
              <w:top w:val="nil"/>
              <w:left w:val="nil"/>
              <w:bottom w:val="nil"/>
              <w:right w:val="nil"/>
            </w:tcBorders>
            <w:shd w:val="clear" w:color="auto" w:fill="72AF50"/>
            <w:tcMar>
              <w:top w:w="80" w:type="dxa"/>
              <w:left w:w="80" w:type="dxa"/>
              <w:bottom w:w="80" w:type="dxa"/>
              <w:right w:w="80" w:type="dxa"/>
            </w:tcMar>
          </w:tcPr>
          <w:p w14:paraId="268BE5A7" w14:textId="77777777" w:rsidR="00E6139C" w:rsidRPr="00DA620C" w:rsidRDefault="00E6139C" w:rsidP="00451B3E">
            <w:pPr>
              <w:pStyle w:val="BodyA"/>
              <w:keepLines/>
              <w:shd w:val="clear" w:color="auto" w:fill="72AF50"/>
              <w:spacing w:before="40" w:after="40" w:line="200" w:lineRule="atLeast"/>
              <w:rPr>
                <w:sz w:val="17"/>
                <w:szCs w:val="17"/>
              </w:rPr>
            </w:pPr>
            <w:r w:rsidRPr="00DA620C">
              <w:rPr>
                <w:rStyle w:val="NoneA"/>
                <w:color w:val="FFFFFF"/>
                <w:sz w:val="17"/>
                <w:szCs w:val="17"/>
                <w:u w:color="FFFFFF"/>
              </w:rPr>
              <w:t xml:space="preserve">Achieved </w:t>
            </w:r>
          </w:p>
        </w:tc>
        <w:tc>
          <w:tcPr>
            <w:tcW w:w="8789" w:type="dxa"/>
            <w:tcBorders>
              <w:top w:val="nil"/>
              <w:left w:val="nil"/>
              <w:bottom w:val="nil"/>
              <w:right w:val="nil"/>
            </w:tcBorders>
            <w:shd w:val="clear" w:color="auto" w:fill="auto"/>
            <w:tcMar>
              <w:top w:w="80" w:type="dxa"/>
              <w:left w:w="80" w:type="dxa"/>
              <w:bottom w:w="80" w:type="dxa"/>
              <w:right w:w="80" w:type="dxa"/>
            </w:tcMar>
          </w:tcPr>
          <w:p w14:paraId="5FF5F422" w14:textId="77777777" w:rsidR="00E6139C" w:rsidRPr="00DA620C" w:rsidRDefault="00E6139C" w:rsidP="00E6139C">
            <w:pPr>
              <w:pStyle w:val="BodyA"/>
              <w:keepLines/>
              <w:spacing w:before="40" w:after="40" w:line="200" w:lineRule="atLeast"/>
              <w:rPr>
                <w:sz w:val="17"/>
                <w:szCs w:val="17"/>
              </w:rPr>
            </w:pPr>
            <w:r w:rsidRPr="00DA620C">
              <w:rPr>
                <w:rStyle w:val="NoneA"/>
                <w:sz w:val="17"/>
                <w:szCs w:val="17"/>
              </w:rPr>
              <w:t xml:space="preserve">The Government’s primary education program is funded on a performance basis. </w:t>
            </w:r>
            <w:r w:rsidR="002948E7" w:rsidRPr="00DA620C">
              <w:rPr>
                <w:rStyle w:val="NoneA"/>
                <w:sz w:val="17"/>
                <w:szCs w:val="17"/>
              </w:rPr>
              <w:t xml:space="preserve">50 percent </w:t>
            </w:r>
            <w:r w:rsidRPr="00DA620C">
              <w:rPr>
                <w:rStyle w:val="NoneA"/>
                <w:sz w:val="17"/>
                <w:szCs w:val="17"/>
              </w:rPr>
              <w:t xml:space="preserve">of funds disbursed were directly linked to results achieved. </w:t>
            </w:r>
            <w:r w:rsidR="00681864">
              <w:rPr>
                <w:rFonts w:asciiTheme="minorHAnsi" w:eastAsiaTheme="minorHAnsi" w:hAnsiTheme="minorHAnsi" w:cstheme="minorBidi"/>
                <w:color w:val="495965" w:themeColor="text2"/>
                <w:sz w:val="17"/>
                <w:szCs w:val="17"/>
                <w:bdr w:val="none" w:sz="0" w:space="0" w:color="auto"/>
                <w:lang w:val="en-GB" w:eastAsia="en-US"/>
              </w:rPr>
              <w:t>Six out of nine</w:t>
            </w:r>
            <w:r w:rsidRPr="00DA620C">
              <w:rPr>
                <w:rFonts w:asciiTheme="minorHAnsi" w:eastAsiaTheme="minorHAnsi" w:hAnsiTheme="minorHAnsi" w:cstheme="minorBidi"/>
                <w:color w:val="495965" w:themeColor="text2"/>
                <w:sz w:val="17"/>
                <w:szCs w:val="17"/>
                <w:bdr w:val="none" w:sz="0" w:space="0" w:color="auto"/>
                <w:lang w:val="en-GB" w:eastAsia="en-US"/>
              </w:rPr>
              <w:t xml:space="preserve"> </w:t>
            </w:r>
            <w:r w:rsidR="00957207" w:rsidRPr="00DA620C">
              <w:rPr>
                <w:rFonts w:asciiTheme="minorHAnsi" w:eastAsiaTheme="minorHAnsi" w:hAnsiTheme="minorHAnsi" w:cstheme="minorBidi"/>
                <w:color w:val="495965" w:themeColor="text2"/>
                <w:sz w:val="17"/>
                <w:szCs w:val="17"/>
                <w:bdr w:val="none" w:sz="0" w:space="0" w:color="auto"/>
                <w:lang w:val="en-GB" w:eastAsia="en-US"/>
              </w:rPr>
              <w:t>DLIs</w:t>
            </w:r>
            <w:r w:rsidRPr="00DA620C">
              <w:rPr>
                <w:rStyle w:val="NoneA"/>
                <w:sz w:val="17"/>
                <w:szCs w:val="17"/>
              </w:rPr>
              <w:t xml:space="preserve"> </w:t>
            </w:r>
            <w:r w:rsidR="00891BAF" w:rsidRPr="00DA620C">
              <w:rPr>
                <w:rStyle w:val="NoneA"/>
                <w:sz w:val="17"/>
                <w:szCs w:val="17"/>
              </w:rPr>
              <w:t xml:space="preserve">linked to the achievement of reform initiatives </w:t>
            </w:r>
            <w:r w:rsidRPr="00DA620C">
              <w:rPr>
                <w:rStyle w:val="NoneA"/>
                <w:sz w:val="17"/>
                <w:szCs w:val="17"/>
              </w:rPr>
              <w:t>were met during the reporting period. To date 4</w:t>
            </w:r>
            <w:r w:rsidR="000A3328">
              <w:rPr>
                <w:rStyle w:val="NoneA"/>
                <w:sz w:val="17"/>
                <w:szCs w:val="17"/>
              </w:rPr>
              <w:t>8 of 54</w:t>
            </w:r>
            <w:r w:rsidR="00840D25">
              <w:rPr>
                <w:rStyle w:val="NoneA"/>
                <w:sz w:val="17"/>
                <w:szCs w:val="17"/>
              </w:rPr>
              <w:t xml:space="preserve"> DLIs have been achieved. This progress is assessed as acceptable. </w:t>
            </w:r>
            <w:r w:rsidRPr="00DA620C">
              <w:rPr>
                <w:rStyle w:val="NoneA"/>
                <w:sz w:val="17"/>
                <w:szCs w:val="17"/>
              </w:rPr>
              <w:t xml:space="preserve">  </w:t>
            </w:r>
          </w:p>
        </w:tc>
      </w:tr>
      <w:tr w:rsidR="00E6139C" w14:paraId="352471AC" w14:textId="77777777" w:rsidTr="00451B3E">
        <w:tblPrEx>
          <w:shd w:val="clear" w:color="auto" w:fill="D1E9E4"/>
        </w:tblPrEx>
        <w:trPr>
          <w:trHeight w:val="715"/>
        </w:trPr>
        <w:tc>
          <w:tcPr>
            <w:tcW w:w="1978" w:type="dxa"/>
            <w:tcBorders>
              <w:top w:val="nil"/>
              <w:left w:val="nil"/>
              <w:bottom w:val="nil"/>
              <w:right w:val="nil"/>
            </w:tcBorders>
            <w:shd w:val="clear" w:color="auto" w:fill="auto"/>
            <w:tcMar>
              <w:top w:w="80" w:type="dxa"/>
              <w:left w:w="80" w:type="dxa"/>
              <w:bottom w:w="80" w:type="dxa"/>
              <w:right w:w="80" w:type="dxa"/>
            </w:tcMar>
          </w:tcPr>
          <w:p w14:paraId="172120CF" w14:textId="77777777" w:rsidR="00E6139C" w:rsidRPr="00DA620C" w:rsidRDefault="00E6139C" w:rsidP="00E6139C">
            <w:pPr>
              <w:pStyle w:val="BodyA"/>
              <w:keepLines/>
              <w:spacing w:before="40" w:after="40" w:line="200" w:lineRule="atLeast"/>
              <w:rPr>
                <w:rStyle w:val="NoneA"/>
                <w:sz w:val="17"/>
                <w:szCs w:val="17"/>
              </w:rPr>
            </w:pPr>
          </w:p>
        </w:tc>
        <w:tc>
          <w:tcPr>
            <w:tcW w:w="2410" w:type="dxa"/>
            <w:tcBorders>
              <w:top w:val="nil"/>
              <w:left w:val="nil"/>
              <w:bottom w:val="nil"/>
              <w:right w:val="nil"/>
            </w:tcBorders>
            <w:shd w:val="clear" w:color="auto" w:fill="auto"/>
            <w:tcMar>
              <w:top w:w="80" w:type="dxa"/>
              <w:left w:w="80" w:type="dxa"/>
              <w:bottom w:w="80" w:type="dxa"/>
              <w:right w:w="80" w:type="dxa"/>
            </w:tcMar>
          </w:tcPr>
          <w:p w14:paraId="6CF453BA" w14:textId="77777777" w:rsidR="00E6139C" w:rsidRPr="00DA620C" w:rsidRDefault="00957207" w:rsidP="00E6139C">
            <w:pPr>
              <w:pStyle w:val="BodyA"/>
              <w:keepLines/>
              <w:spacing w:before="40" w:after="40" w:line="200" w:lineRule="atLeast"/>
              <w:rPr>
                <w:rStyle w:val="NoneA"/>
                <w:i/>
                <w:iCs/>
                <w:color w:val="808080"/>
                <w:sz w:val="17"/>
                <w:szCs w:val="17"/>
                <w:u w:color="808080"/>
              </w:rPr>
            </w:pPr>
            <w:r w:rsidRPr="00DA620C">
              <w:rPr>
                <w:rStyle w:val="NoneA"/>
                <w:sz w:val="17"/>
                <w:szCs w:val="17"/>
              </w:rPr>
              <w:t>At least 50% of scholarships in each intake awarded to women</w:t>
            </w:r>
          </w:p>
        </w:tc>
        <w:tc>
          <w:tcPr>
            <w:tcW w:w="850" w:type="dxa"/>
            <w:tcBorders>
              <w:top w:val="nil"/>
              <w:left w:val="nil"/>
              <w:bottom w:val="nil"/>
              <w:right w:val="nil"/>
            </w:tcBorders>
            <w:shd w:val="clear" w:color="auto" w:fill="72AF50"/>
            <w:tcMar>
              <w:top w:w="80" w:type="dxa"/>
              <w:left w:w="80" w:type="dxa"/>
              <w:bottom w:w="80" w:type="dxa"/>
              <w:right w:w="80" w:type="dxa"/>
            </w:tcMar>
          </w:tcPr>
          <w:p w14:paraId="743CFF0D" w14:textId="77777777" w:rsidR="00E6139C" w:rsidRPr="00DA620C" w:rsidRDefault="00E6139C" w:rsidP="00E6139C">
            <w:pPr>
              <w:pStyle w:val="BodyA"/>
              <w:keepLines/>
              <w:spacing w:before="40" w:after="40" w:line="200" w:lineRule="atLeast"/>
              <w:rPr>
                <w:rStyle w:val="NoneA"/>
                <w:color w:val="FFFFFF"/>
                <w:sz w:val="17"/>
                <w:szCs w:val="17"/>
                <w:u w:color="FFFFFF"/>
              </w:rPr>
            </w:pPr>
            <w:r w:rsidRPr="00DA620C">
              <w:rPr>
                <w:rStyle w:val="NoneA"/>
                <w:color w:val="FFFFFF"/>
                <w:sz w:val="17"/>
                <w:szCs w:val="17"/>
                <w:u w:color="FFFFFF"/>
              </w:rPr>
              <w:t xml:space="preserve">Achieved </w:t>
            </w:r>
          </w:p>
        </w:tc>
        <w:tc>
          <w:tcPr>
            <w:tcW w:w="8789" w:type="dxa"/>
            <w:tcBorders>
              <w:top w:val="nil"/>
              <w:left w:val="nil"/>
              <w:bottom w:val="nil"/>
              <w:right w:val="nil"/>
            </w:tcBorders>
            <w:shd w:val="clear" w:color="auto" w:fill="auto"/>
            <w:tcMar>
              <w:top w:w="80" w:type="dxa"/>
              <w:left w:w="80" w:type="dxa"/>
              <w:bottom w:w="80" w:type="dxa"/>
              <w:right w:w="80" w:type="dxa"/>
            </w:tcMar>
          </w:tcPr>
          <w:p w14:paraId="631198EC" w14:textId="77777777" w:rsidR="00E6139C" w:rsidRPr="00DA620C" w:rsidRDefault="00681864" w:rsidP="00E6139C">
            <w:pPr>
              <w:pStyle w:val="TableTextEntries"/>
              <w:keepNext/>
              <w:rPr>
                <w:rStyle w:val="NoneA"/>
                <w:rFonts w:ascii="Calibri Light" w:eastAsia="Calibri Light" w:hAnsi="Calibri Light" w:cs="Calibri Light"/>
                <w:color w:val="495965"/>
                <w:u w:color="495965"/>
              </w:rPr>
            </w:pPr>
            <w:r>
              <w:rPr>
                <w:rStyle w:val="NoneA"/>
                <w:rFonts w:ascii="Calibri Light" w:eastAsia="Calibri Light" w:hAnsi="Calibri Light" w:cs="Calibri Light"/>
                <w:color w:val="495965"/>
                <w:u w:color="495965"/>
              </w:rPr>
              <w:t>Of the 66</w:t>
            </w:r>
            <w:r w:rsidR="00E6139C" w:rsidRPr="00DA620C">
              <w:rPr>
                <w:rStyle w:val="NoneA"/>
                <w:rFonts w:ascii="Calibri Light" w:eastAsia="Calibri Light" w:hAnsi="Calibri Light" w:cs="Calibri Light"/>
                <w:color w:val="495965"/>
                <w:u w:color="495965"/>
              </w:rPr>
              <w:t xml:space="preserve"> long-ter</w:t>
            </w:r>
            <w:r>
              <w:rPr>
                <w:rStyle w:val="NoneA"/>
                <w:rFonts w:ascii="Calibri Light" w:eastAsia="Calibri Light" w:hAnsi="Calibri Light" w:cs="Calibri Light"/>
                <w:color w:val="495965"/>
                <w:u w:color="495965"/>
              </w:rPr>
              <w:t>m scholarships, approximately 51 per cent (3</w:t>
            </w:r>
            <w:r w:rsidR="00E6139C" w:rsidRPr="00DA620C">
              <w:rPr>
                <w:rStyle w:val="NoneA"/>
                <w:rFonts w:ascii="Calibri Light" w:eastAsia="Calibri Light" w:hAnsi="Calibri Light" w:cs="Calibri Light"/>
                <w:color w:val="495965"/>
                <w:u w:color="495965"/>
              </w:rPr>
              <w:t xml:space="preserve">4) were awarded to women in 2016-17.    </w:t>
            </w:r>
          </w:p>
        </w:tc>
      </w:tr>
      <w:tr w:rsidR="00E6139C" w:rsidRPr="00647AAB" w14:paraId="08AD61EE" w14:textId="77777777" w:rsidTr="00451B3E">
        <w:tblPrEx>
          <w:shd w:val="clear" w:color="auto" w:fill="D1E9E4"/>
        </w:tblPrEx>
        <w:trPr>
          <w:trHeight w:val="580"/>
        </w:trPr>
        <w:tc>
          <w:tcPr>
            <w:tcW w:w="1978" w:type="dxa"/>
            <w:tcBorders>
              <w:top w:val="nil"/>
              <w:left w:val="nil"/>
              <w:bottom w:val="nil"/>
              <w:right w:val="nil"/>
            </w:tcBorders>
            <w:shd w:val="clear" w:color="auto" w:fill="auto"/>
            <w:tcMar>
              <w:top w:w="80" w:type="dxa"/>
              <w:left w:w="80" w:type="dxa"/>
              <w:bottom w:w="80" w:type="dxa"/>
              <w:right w:w="80" w:type="dxa"/>
            </w:tcMar>
            <w:vAlign w:val="center"/>
          </w:tcPr>
          <w:p w14:paraId="5229A874" w14:textId="77777777" w:rsidR="00E6139C" w:rsidRPr="00DA620C" w:rsidRDefault="00E6139C" w:rsidP="00E6139C">
            <w:pPr>
              <w:pStyle w:val="BodyA"/>
              <w:keepLines/>
              <w:spacing w:before="40" w:after="40" w:line="200" w:lineRule="atLeast"/>
              <w:rPr>
                <w:rStyle w:val="NoneA"/>
                <w:sz w:val="17"/>
                <w:szCs w:val="17"/>
              </w:rPr>
            </w:pPr>
            <w:r w:rsidRPr="00DA620C">
              <w:rPr>
                <w:iCs/>
                <w:sz w:val="17"/>
                <w:szCs w:val="17"/>
                <w:lang w:val="en-AU"/>
              </w:rPr>
              <w:t>Building economic resilience by reducing vulnerability and improving inclusion in the growing economy</w:t>
            </w:r>
          </w:p>
        </w:tc>
        <w:tc>
          <w:tcPr>
            <w:tcW w:w="2410" w:type="dxa"/>
            <w:tcBorders>
              <w:top w:val="nil"/>
              <w:left w:val="nil"/>
              <w:bottom w:val="nil"/>
              <w:right w:val="nil"/>
            </w:tcBorders>
            <w:shd w:val="clear" w:color="auto" w:fill="auto"/>
            <w:tcMar>
              <w:top w:w="80" w:type="dxa"/>
              <w:left w:w="80" w:type="dxa"/>
              <w:bottom w:w="80" w:type="dxa"/>
              <w:right w:w="80" w:type="dxa"/>
            </w:tcMar>
          </w:tcPr>
          <w:p w14:paraId="2330433C" w14:textId="77777777" w:rsidR="00E6139C" w:rsidRDefault="00957207" w:rsidP="00E6139C">
            <w:pPr>
              <w:pStyle w:val="BodyA"/>
              <w:keepLines/>
              <w:spacing w:before="40" w:after="40" w:line="200" w:lineRule="atLeast"/>
              <w:rPr>
                <w:rStyle w:val="NoneA"/>
                <w:sz w:val="17"/>
                <w:szCs w:val="17"/>
              </w:rPr>
            </w:pPr>
            <w:r w:rsidRPr="00DA620C">
              <w:rPr>
                <w:rStyle w:val="NoneA"/>
                <w:sz w:val="17"/>
                <w:szCs w:val="17"/>
              </w:rPr>
              <w:t>The number of women and their households graduating from our partners’ livelihood programs</w:t>
            </w:r>
          </w:p>
          <w:p w14:paraId="0D900727" w14:textId="77777777" w:rsidR="00D72A85" w:rsidRPr="00D72A85" w:rsidRDefault="00D72A85" w:rsidP="00E6139C">
            <w:pPr>
              <w:pStyle w:val="BodyA"/>
              <w:keepLines/>
              <w:spacing w:before="40" w:after="40" w:line="200" w:lineRule="atLeast"/>
              <w:rPr>
                <w:rStyle w:val="NoneA"/>
                <w:i/>
                <w:iCs/>
                <w:color w:val="808080"/>
                <w:sz w:val="17"/>
                <w:szCs w:val="17"/>
                <w:u w:color="808080"/>
              </w:rPr>
            </w:pPr>
            <w:r w:rsidRPr="00D72A85">
              <w:rPr>
                <w:rStyle w:val="NoneA"/>
                <w:i/>
                <w:sz w:val="17"/>
                <w:szCs w:val="17"/>
              </w:rPr>
              <w:t>Target: 81,539</w:t>
            </w:r>
          </w:p>
        </w:tc>
        <w:tc>
          <w:tcPr>
            <w:tcW w:w="850" w:type="dxa"/>
            <w:tcBorders>
              <w:top w:val="nil"/>
              <w:left w:val="nil"/>
              <w:bottom w:val="nil"/>
              <w:right w:val="nil"/>
            </w:tcBorders>
            <w:shd w:val="clear" w:color="auto" w:fill="72AF50"/>
            <w:tcMar>
              <w:top w:w="80" w:type="dxa"/>
              <w:left w:w="80" w:type="dxa"/>
              <w:bottom w:w="80" w:type="dxa"/>
              <w:right w:w="80" w:type="dxa"/>
            </w:tcMar>
          </w:tcPr>
          <w:p w14:paraId="696F190A" w14:textId="77777777" w:rsidR="00E6139C" w:rsidRPr="00DA620C" w:rsidRDefault="00E6139C" w:rsidP="00E6139C">
            <w:pPr>
              <w:pStyle w:val="BodyA"/>
              <w:keepLines/>
              <w:spacing w:before="40" w:after="40" w:line="200" w:lineRule="atLeast"/>
              <w:rPr>
                <w:rStyle w:val="NoneA"/>
                <w:color w:val="FFFFFF"/>
                <w:sz w:val="17"/>
                <w:szCs w:val="17"/>
                <w:u w:color="FFFFFF"/>
              </w:rPr>
            </w:pPr>
            <w:r w:rsidRPr="00DA620C">
              <w:rPr>
                <w:rStyle w:val="NoneA"/>
                <w:color w:val="FFFFFF"/>
                <w:sz w:val="17"/>
                <w:szCs w:val="17"/>
                <w:u w:color="FFFFFF"/>
              </w:rPr>
              <w:t xml:space="preserve">Achieved </w:t>
            </w:r>
          </w:p>
        </w:tc>
        <w:tc>
          <w:tcPr>
            <w:tcW w:w="8789" w:type="dxa"/>
            <w:tcBorders>
              <w:top w:val="nil"/>
              <w:left w:val="nil"/>
              <w:bottom w:val="nil"/>
              <w:right w:val="nil"/>
            </w:tcBorders>
            <w:shd w:val="clear" w:color="auto" w:fill="auto"/>
            <w:tcMar>
              <w:top w:w="80" w:type="dxa"/>
              <w:left w:w="80" w:type="dxa"/>
              <w:bottom w:w="80" w:type="dxa"/>
              <w:right w:w="80" w:type="dxa"/>
            </w:tcMar>
          </w:tcPr>
          <w:p w14:paraId="66208579" w14:textId="77777777" w:rsidR="00E6139C" w:rsidRPr="00DA620C" w:rsidRDefault="00E6139C" w:rsidP="00896BA0">
            <w:pPr>
              <w:pStyle w:val="TableTextEntries"/>
              <w:keepNext/>
              <w:rPr>
                <w:rStyle w:val="NoneA"/>
                <w:rFonts w:ascii="Calibri Light" w:eastAsia="Calibri Light" w:hAnsi="Calibri Light" w:cs="Calibri Light"/>
                <w:color w:val="495965"/>
                <w:u w:color="495965"/>
              </w:rPr>
            </w:pPr>
            <w:r w:rsidRPr="00DA620C">
              <w:rPr>
                <w:rStyle w:val="NoneA"/>
                <w:rFonts w:ascii="Calibri Light" w:eastAsia="Calibri Light" w:hAnsi="Calibri Light" w:cs="Calibri Light"/>
                <w:color w:val="495965"/>
                <w:u w:color="495965"/>
              </w:rPr>
              <w:t>I</w:t>
            </w:r>
            <w:r w:rsidR="00D3290F" w:rsidRPr="00DA620C">
              <w:rPr>
                <w:rStyle w:val="NoneA"/>
                <w:rFonts w:ascii="Calibri Light" w:eastAsia="Calibri Light" w:hAnsi="Calibri Light" w:cs="Calibri Light"/>
                <w:color w:val="495965"/>
                <w:u w:color="495965"/>
              </w:rPr>
              <w:t xml:space="preserve">n 2016-17, </w:t>
            </w:r>
            <w:r w:rsidR="00896BA0" w:rsidRPr="00DA620C">
              <w:rPr>
                <w:rStyle w:val="NoneA"/>
                <w:rFonts w:ascii="Calibri Light" w:eastAsia="Calibri Light" w:hAnsi="Calibri Light" w:cs="Calibri Light"/>
                <w:color w:val="495965"/>
                <w:u w:color="495965"/>
              </w:rPr>
              <w:t>86,975</w:t>
            </w:r>
            <w:r w:rsidR="00D3290F" w:rsidRPr="00DA620C">
              <w:rPr>
                <w:rStyle w:val="NoneA"/>
                <w:rFonts w:ascii="Calibri Light" w:eastAsia="Calibri Light" w:hAnsi="Calibri Light" w:cs="Calibri Light"/>
                <w:color w:val="495965"/>
                <w:u w:color="495965"/>
              </w:rPr>
              <w:t xml:space="preserve"> households</w:t>
            </w:r>
            <w:r w:rsidRPr="00DA620C">
              <w:rPr>
                <w:rStyle w:val="NoneA"/>
                <w:rFonts w:ascii="Calibri Light" w:eastAsia="Calibri Light" w:hAnsi="Calibri Light" w:cs="Calibri Light"/>
                <w:color w:val="495965"/>
                <w:u w:color="495965"/>
              </w:rPr>
              <w:t xml:space="preserve"> </w:t>
            </w:r>
            <w:r w:rsidR="00D3290F" w:rsidRPr="00DA620C">
              <w:rPr>
                <w:rStyle w:val="NoneA"/>
                <w:rFonts w:ascii="Calibri Light" w:eastAsia="Calibri Light" w:hAnsi="Calibri Light" w:cs="Calibri Light"/>
                <w:color w:val="495965"/>
                <w:u w:color="495965"/>
              </w:rPr>
              <w:t>grad</w:t>
            </w:r>
            <w:r w:rsidR="00643654">
              <w:rPr>
                <w:rStyle w:val="NoneA"/>
                <w:rFonts w:ascii="Calibri Light" w:eastAsia="Calibri Light" w:hAnsi="Calibri Light" w:cs="Calibri Light"/>
                <w:color w:val="495965"/>
                <w:u w:color="495965"/>
              </w:rPr>
              <w:t xml:space="preserve">uated from extreme poverty, significantly </w:t>
            </w:r>
            <w:r w:rsidR="00D3290F" w:rsidRPr="00DA620C">
              <w:rPr>
                <w:rStyle w:val="NoneA"/>
                <w:rFonts w:ascii="Calibri Light" w:eastAsia="Calibri Light" w:hAnsi="Calibri Light" w:cs="Calibri Light"/>
                <w:color w:val="495965"/>
                <w:u w:color="495965"/>
              </w:rPr>
              <w:t xml:space="preserve">exceeding the target of </w:t>
            </w:r>
            <w:r w:rsidR="00896BA0" w:rsidRPr="00DA620C">
              <w:rPr>
                <w:rStyle w:val="NoneA"/>
                <w:rFonts w:ascii="Calibri Light" w:eastAsia="Calibri Light" w:hAnsi="Calibri Light" w:cs="Calibri Light"/>
                <w:color w:val="495965"/>
                <w:u w:color="495965"/>
              </w:rPr>
              <w:t>81,539</w:t>
            </w:r>
            <w:r w:rsidR="00D3290F" w:rsidRPr="00DA620C">
              <w:rPr>
                <w:rStyle w:val="NoneA"/>
                <w:rFonts w:ascii="Calibri Light" w:eastAsia="Calibri Light" w:hAnsi="Calibri Light" w:cs="Calibri Light"/>
                <w:color w:val="495965"/>
                <w:u w:color="495965"/>
              </w:rPr>
              <w:t xml:space="preserve"> </w:t>
            </w:r>
            <w:r w:rsidRPr="00DA620C">
              <w:rPr>
                <w:rStyle w:val="NoneA"/>
                <w:rFonts w:ascii="Calibri Light" w:eastAsia="Calibri Light" w:hAnsi="Calibri Light" w:cs="Calibri Light"/>
                <w:color w:val="495965"/>
                <w:u w:color="495965"/>
              </w:rPr>
              <w:t>through BRAC’s Targeti</w:t>
            </w:r>
            <w:r w:rsidR="00896BA0" w:rsidRPr="00DA620C">
              <w:rPr>
                <w:rStyle w:val="NoneA"/>
                <w:rFonts w:ascii="Calibri Light" w:eastAsia="Calibri Light" w:hAnsi="Calibri Light" w:cs="Calibri Light"/>
                <w:color w:val="495965"/>
                <w:u w:color="495965"/>
              </w:rPr>
              <w:t>ng the Ultra Poor Program (TUP). (This target was increased</w:t>
            </w:r>
            <w:r w:rsidR="00661AFF">
              <w:rPr>
                <w:rStyle w:val="NoneA"/>
                <w:rFonts w:ascii="Calibri Light" w:eastAsia="Calibri Light" w:hAnsi="Calibri Light" w:cs="Calibri Light"/>
                <w:color w:val="495965"/>
                <w:u w:color="495965"/>
              </w:rPr>
              <w:t xml:space="preserve"> from 12,565 to 81,539</w:t>
            </w:r>
            <w:r w:rsidR="00896BA0" w:rsidRPr="00DA620C">
              <w:rPr>
                <w:rStyle w:val="NoneA"/>
                <w:rFonts w:ascii="Calibri Light" w:eastAsia="Calibri Light" w:hAnsi="Calibri Light" w:cs="Calibri Light"/>
                <w:color w:val="495965"/>
                <w:u w:color="495965"/>
              </w:rPr>
              <w:t xml:space="preserve"> during the reporting period to align with BRAC program targets).</w:t>
            </w:r>
          </w:p>
        </w:tc>
      </w:tr>
      <w:tr w:rsidR="00E6139C" w14:paraId="614943ED" w14:textId="77777777" w:rsidTr="00451B3E">
        <w:tblPrEx>
          <w:shd w:val="clear" w:color="auto" w:fill="D1E9E4"/>
        </w:tblPrEx>
        <w:trPr>
          <w:trHeight w:val="866"/>
        </w:trPr>
        <w:tc>
          <w:tcPr>
            <w:tcW w:w="1978" w:type="dxa"/>
            <w:tcBorders>
              <w:top w:val="nil"/>
              <w:left w:val="nil"/>
              <w:bottom w:val="nil"/>
              <w:right w:val="nil"/>
            </w:tcBorders>
            <w:shd w:val="clear" w:color="auto" w:fill="auto"/>
            <w:tcMar>
              <w:top w:w="80" w:type="dxa"/>
              <w:left w:w="80" w:type="dxa"/>
              <w:bottom w:w="80" w:type="dxa"/>
              <w:right w:w="80" w:type="dxa"/>
            </w:tcMar>
            <w:vAlign w:val="center"/>
          </w:tcPr>
          <w:p w14:paraId="7E929B4F" w14:textId="77777777" w:rsidR="00E6139C" w:rsidRPr="00DA620C" w:rsidRDefault="00E6139C" w:rsidP="00E6139C">
            <w:pPr>
              <w:pStyle w:val="BodyA"/>
              <w:keepLines/>
              <w:spacing w:before="40" w:after="40" w:line="200" w:lineRule="atLeast"/>
              <w:rPr>
                <w:rStyle w:val="NoneA"/>
                <w:sz w:val="17"/>
                <w:szCs w:val="17"/>
              </w:rPr>
            </w:pPr>
          </w:p>
        </w:tc>
        <w:tc>
          <w:tcPr>
            <w:tcW w:w="2410" w:type="dxa"/>
            <w:tcBorders>
              <w:top w:val="nil"/>
              <w:left w:val="nil"/>
              <w:bottom w:val="nil"/>
              <w:right w:val="nil"/>
            </w:tcBorders>
            <w:shd w:val="clear" w:color="auto" w:fill="auto"/>
            <w:tcMar>
              <w:top w:w="80" w:type="dxa"/>
              <w:left w:w="80" w:type="dxa"/>
              <w:bottom w:w="80" w:type="dxa"/>
              <w:right w:w="80" w:type="dxa"/>
            </w:tcMar>
          </w:tcPr>
          <w:p w14:paraId="595D1A36" w14:textId="77777777" w:rsidR="00E6139C" w:rsidRDefault="00957207" w:rsidP="00E6139C">
            <w:pPr>
              <w:pStyle w:val="BodyA"/>
              <w:keepLines/>
              <w:spacing w:before="40" w:after="40" w:line="200" w:lineRule="atLeast"/>
              <w:rPr>
                <w:rStyle w:val="NoneA"/>
                <w:sz w:val="17"/>
                <w:szCs w:val="17"/>
              </w:rPr>
            </w:pPr>
            <w:r w:rsidRPr="00DA620C">
              <w:rPr>
                <w:rStyle w:val="NoneA"/>
                <w:sz w:val="17"/>
                <w:szCs w:val="17"/>
              </w:rPr>
              <w:t>Number of women and their households  able to access social transfers</w:t>
            </w:r>
          </w:p>
          <w:p w14:paraId="63C374D6" w14:textId="77777777" w:rsidR="00D72A85" w:rsidRPr="00DA620C" w:rsidRDefault="00561DF2" w:rsidP="00E6139C">
            <w:pPr>
              <w:pStyle w:val="BodyA"/>
              <w:keepLines/>
              <w:spacing w:before="40" w:after="40" w:line="200" w:lineRule="atLeast"/>
              <w:rPr>
                <w:sz w:val="17"/>
                <w:szCs w:val="17"/>
              </w:rPr>
            </w:pPr>
            <w:r>
              <w:rPr>
                <w:rStyle w:val="NoneA"/>
                <w:sz w:val="17"/>
                <w:szCs w:val="17"/>
              </w:rPr>
              <w:t>Target: 102,600</w:t>
            </w:r>
          </w:p>
        </w:tc>
        <w:tc>
          <w:tcPr>
            <w:tcW w:w="850" w:type="dxa"/>
            <w:tcBorders>
              <w:top w:val="nil"/>
              <w:left w:val="nil"/>
              <w:bottom w:val="nil"/>
              <w:right w:val="nil"/>
            </w:tcBorders>
            <w:shd w:val="clear" w:color="auto" w:fill="FF9900"/>
            <w:tcMar>
              <w:top w:w="80" w:type="dxa"/>
              <w:left w:w="80" w:type="dxa"/>
              <w:bottom w:w="80" w:type="dxa"/>
              <w:right w:w="80" w:type="dxa"/>
            </w:tcMar>
          </w:tcPr>
          <w:p w14:paraId="5C66332C" w14:textId="77777777" w:rsidR="00E6139C" w:rsidRPr="00DA620C" w:rsidRDefault="00647AAB" w:rsidP="00451B3E">
            <w:pPr>
              <w:pStyle w:val="BodyA"/>
              <w:keepLines/>
              <w:shd w:val="clear" w:color="auto" w:fill="FF9900"/>
              <w:spacing w:before="40" w:after="40" w:line="200" w:lineRule="atLeast"/>
              <w:rPr>
                <w:color w:val="FFFFFF"/>
                <w:sz w:val="17"/>
                <w:szCs w:val="17"/>
                <w:u w:color="FFFFFF"/>
              </w:rPr>
            </w:pPr>
            <w:r w:rsidRPr="00DA620C">
              <w:rPr>
                <w:rStyle w:val="NoneA"/>
                <w:color w:val="FFFFFF"/>
                <w:sz w:val="17"/>
                <w:szCs w:val="17"/>
                <w:u w:color="FFFFFF"/>
              </w:rPr>
              <w:t>Partially Achieved</w:t>
            </w:r>
          </w:p>
        </w:tc>
        <w:tc>
          <w:tcPr>
            <w:tcW w:w="8789" w:type="dxa"/>
            <w:tcBorders>
              <w:top w:val="nil"/>
              <w:left w:val="nil"/>
              <w:bottom w:val="nil"/>
              <w:right w:val="nil"/>
            </w:tcBorders>
            <w:shd w:val="clear" w:color="auto" w:fill="auto"/>
            <w:tcMar>
              <w:top w:w="80" w:type="dxa"/>
              <w:left w:w="80" w:type="dxa"/>
              <w:bottom w:w="80" w:type="dxa"/>
              <w:right w:w="80" w:type="dxa"/>
            </w:tcMar>
          </w:tcPr>
          <w:p w14:paraId="57C5FB5F" w14:textId="69EEAFAA" w:rsidR="00E6139C" w:rsidRPr="00DA620C" w:rsidRDefault="00896BA0" w:rsidP="00EE4883">
            <w:pPr>
              <w:pStyle w:val="TableTextEntries"/>
              <w:keepNext/>
              <w:rPr>
                <w:rFonts w:ascii="Calibri Light" w:eastAsia="Calibri Light" w:hAnsi="Calibri Light" w:cs="Calibri Light"/>
                <w:color w:val="495965"/>
                <w:u w:color="495965"/>
              </w:rPr>
            </w:pPr>
            <w:r w:rsidRPr="00DA620C">
              <w:rPr>
                <w:rStyle w:val="NoneA"/>
                <w:rFonts w:ascii="Calibri Light" w:eastAsia="Calibri Light" w:hAnsi="Calibri Light" w:cs="Calibri Light"/>
                <w:color w:val="495965"/>
                <w:u w:color="495965"/>
              </w:rPr>
              <w:t xml:space="preserve">88,961 </w:t>
            </w:r>
            <w:r w:rsidR="00D3290F" w:rsidRPr="00DA620C">
              <w:rPr>
                <w:rStyle w:val="NoneA"/>
                <w:rFonts w:ascii="Calibri Light" w:eastAsia="Calibri Light" w:hAnsi="Calibri Light" w:cs="Calibri Light"/>
                <w:color w:val="495965"/>
                <w:u w:color="495965"/>
              </w:rPr>
              <w:t xml:space="preserve">women headed households </w:t>
            </w:r>
            <w:r w:rsidRPr="00DA620C">
              <w:rPr>
                <w:rStyle w:val="NoneA"/>
                <w:rFonts w:ascii="Calibri Light" w:eastAsia="Calibri Light" w:hAnsi="Calibri Light" w:cs="Calibri Light"/>
                <w:color w:val="495965"/>
                <w:u w:color="495965"/>
              </w:rPr>
              <w:t xml:space="preserve">were supported </w:t>
            </w:r>
            <w:r w:rsidR="00D3290F" w:rsidRPr="00DA620C">
              <w:rPr>
                <w:rStyle w:val="NoneA"/>
                <w:rFonts w:ascii="Calibri Light" w:eastAsia="Calibri Light" w:hAnsi="Calibri Light" w:cs="Calibri Light"/>
                <w:color w:val="495965"/>
                <w:u w:color="495965"/>
              </w:rPr>
              <w:t>to</w:t>
            </w:r>
            <w:r w:rsidR="00957207" w:rsidRPr="00DA620C">
              <w:rPr>
                <w:rStyle w:val="NoneA"/>
                <w:rFonts w:ascii="Calibri Light" w:eastAsia="Calibri Light" w:hAnsi="Calibri Light" w:cs="Calibri Light"/>
                <w:color w:val="495965"/>
                <w:u w:color="495965"/>
              </w:rPr>
              <w:t xml:space="preserve"> access social </w:t>
            </w:r>
            <w:r w:rsidR="00D3290F" w:rsidRPr="00DA620C">
              <w:rPr>
                <w:rStyle w:val="NoneA"/>
                <w:rFonts w:ascii="Calibri Light" w:eastAsia="Calibri Light" w:hAnsi="Calibri Light" w:cs="Calibri Light"/>
                <w:color w:val="495965"/>
                <w:u w:color="495965"/>
              </w:rPr>
              <w:t>transfers through BRAC and WFP</w:t>
            </w:r>
            <w:r w:rsidRPr="00DA620C">
              <w:rPr>
                <w:rStyle w:val="NoneA"/>
                <w:rFonts w:ascii="Calibri Light" w:eastAsia="Calibri Light" w:hAnsi="Calibri Light" w:cs="Calibri Light"/>
                <w:color w:val="495965"/>
                <w:u w:color="495965"/>
              </w:rPr>
              <w:t>, not reaching the target of 102,600 households</w:t>
            </w:r>
            <w:r w:rsidR="00D3290F" w:rsidRPr="00DA620C">
              <w:rPr>
                <w:rStyle w:val="NoneA"/>
                <w:rFonts w:ascii="Calibri Light" w:eastAsia="Calibri Light" w:hAnsi="Calibri Light" w:cs="Calibri Light"/>
                <w:color w:val="495965"/>
                <w:u w:color="495965"/>
              </w:rPr>
              <w:t>.</w:t>
            </w:r>
            <w:r w:rsidRPr="00DA620C">
              <w:rPr>
                <w:rStyle w:val="NoneA"/>
                <w:rFonts w:ascii="Calibri Light" w:eastAsia="Calibri Light" w:hAnsi="Calibri Light" w:cs="Calibri Light"/>
                <w:color w:val="495965"/>
                <w:u w:color="495965"/>
              </w:rPr>
              <w:t xml:space="preserve"> Th</w:t>
            </w:r>
            <w:r w:rsidR="00643654">
              <w:rPr>
                <w:rStyle w:val="NoneA"/>
                <w:rFonts w:ascii="Calibri Light" w:eastAsia="Calibri Light" w:hAnsi="Calibri Light" w:cs="Calibri Light"/>
                <w:color w:val="495965"/>
                <w:u w:color="495965"/>
              </w:rPr>
              <w:t xml:space="preserve">is was </w:t>
            </w:r>
            <w:r w:rsidR="00EE4883" w:rsidRPr="00DA620C">
              <w:rPr>
                <w:rStyle w:val="NoneA"/>
                <w:rFonts w:ascii="Calibri Light" w:eastAsia="Calibri Light" w:hAnsi="Calibri Light" w:cs="Calibri Light"/>
                <w:color w:val="495965"/>
                <w:u w:color="495965"/>
              </w:rPr>
              <w:t>due to a shortfall in entrants to a new phase of BRAC’s TUP program, with the commencement of a new phase and challenges with sel</w:t>
            </w:r>
            <w:r w:rsidR="0047722F">
              <w:rPr>
                <w:rStyle w:val="NoneA"/>
                <w:rFonts w:ascii="Calibri Light" w:eastAsia="Calibri Light" w:hAnsi="Calibri Light" w:cs="Calibri Light"/>
                <w:color w:val="495965"/>
                <w:u w:color="495965"/>
              </w:rPr>
              <w:t>ection methodologies</w:t>
            </w:r>
            <w:r w:rsidR="00EE4883" w:rsidRPr="00DA620C">
              <w:rPr>
                <w:rStyle w:val="NoneA"/>
                <w:rFonts w:ascii="Calibri Light" w:eastAsia="Calibri Light" w:hAnsi="Calibri Light" w:cs="Calibri Light"/>
                <w:color w:val="495965"/>
                <w:u w:color="495965"/>
              </w:rPr>
              <w:t xml:space="preserve">.  These challenges with bedding down a new approach are acceptable and are not anticipated to impact in the next reporting period. (This program target was adjusted in the reporting period to align with BRAC program targets.) </w:t>
            </w:r>
          </w:p>
        </w:tc>
      </w:tr>
      <w:tr w:rsidR="00E6139C" w14:paraId="518BAB19" w14:textId="77777777" w:rsidTr="00451B3E">
        <w:tblPrEx>
          <w:shd w:val="clear" w:color="auto" w:fill="D1E9E4"/>
        </w:tblPrEx>
        <w:trPr>
          <w:trHeight w:val="715"/>
        </w:trPr>
        <w:tc>
          <w:tcPr>
            <w:tcW w:w="1978" w:type="dxa"/>
            <w:tcBorders>
              <w:top w:val="nil"/>
              <w:left w:val="nil"/>
              <w:bottom w:val="single" w:sz="4" w:space="0" w:color="auto"/>
              <w:right w:val="nil"/>
            </w:tcBorders>
            <w:shd w:val="clear" w:color="auto" w:fill="auto"/>
            <w:tcMar>
              <w:top w:w="80" w:type="dxa"/>
              <w:left w:w="80" w:type="dxa"/>
              <w:bottom w:w="80" w:type="dxa"/>
              <w:right w:w="80" w:type="dxa"/>
            </w:tcMar>
            <w:vAlign w:val="center"/>
          </w:tcPr>
          <w:p w14:paraId="52BFC1D3" w14:textId="77777777" w:rsidR="00E6139C" w:rsidRDefault="00E6139C" w:rsidP="00E871DE">
            <w:pPr>
              <w:pStyle w:val="BodyA"/>
              <w:rPr>
                <w:rStyle w:val="NoneA"/>
                <w:rFonts w:asciiTheme="minorHAnsi" w:eastAsiaTheme="minorHAnsi" w:hAnsiTheme="minorHAnsi" w:cstheme="minorBidi"/>
                <w:color w:val="495965" w:themeColor="text2"/>
                <w:sz w:val="18"/>
                <w:szCs w:val="18"/>
                <w:bdr w:val="none" w:sz="0" w:space="0" w:color="auto"/>
                <w:lang w:val="en-GB" w:eastAsia="en-US"/>
              </w:rPr>
            </w:pPr>
          </w:p>
        </w:tc>
        <w:tc>
          <w:tcPr>
            <w:tcW w:w="2410" w:type="dxa"/>
            <w:tcBorders>
              <w:top w:val="nil"/>
              <w:left w:val="nil"/>
              <w:bottom w:val="single" w:sz="4" w:space="0" w:color="auto"/>
              <w:right w:val="nil"/>
            </w:tcBorders>
            <w:shd w:val="clear" w:color="auto" w:fill="auto"/>
            <w:tcMar>
              <w:top w:w="80" w:type="dxa"/>
              <w:left w:w="80" w:type="dxa"/>
              <w:bottom w:w="80" w:type="dxa"/>
              <w:right w:w="80" w:type="dxa"/>
            </w:tcMar>
          </w:tcPr>
          <w:p w14:paraId="217B969E" w14:textId="77777777" w:rsidR="00957207" w:rsidRPr="00DA620C" w:rsidRDefault="00957207" w:rsidP="00957207">
            <w:pPr>
              <w:pStyle w:val="BodyA"/>
              <w:rPr>
                <w:sz w:val="17"/>
                <w:szCs w:val="17"/>
              </w:rPr>
            </w:pPr>
            <w:r w:rsidRPr="00DA620C">
              <w:rPr>
                <w:sz w:val="17"/>
                <w:szCs w:val="17"/>
              </w:rPr>
              <w:t>Reducing the number of investments to deliver  targeted, efficient aid program</w:t>
            </w:r>
            <w:r w:rsidRPr="00DA620C">
              <w:rPr>
                <w:sz w:val="17"/>
                <w:szCs w:val="17"/>
              </w:rPr>
              <w:tab/>
            </w:r>
          </w:p>
          <w:p w14:paraId="1D4DF282" w14:textId="77777777" w:rsidR="00E6139C" w:rsidRPr="00DA620C" w:rsidRDefault="00D72A85" w:rsidP="00E6139C">
            <w:pPr>
              <w:pStyle w:val="BodyA"/>
              <w:keepLines/>
              <w:spacing w:before="40" w:after="40" w:line="200" w:lineRule="atLeast"/>
              <w:rPr>
                <w:rStyle w:val="NoneA"/>
                <w:i/>
                <w:iCs/>
                <w:color w:val="808080"/>
                <w:sz w:val="17"/>
                <w:szCs w:val="17"/>
                <w:u w:color="808080"/>
              </w:rPr>
            </w:pPr>
            <w:r>
              <w:rPr>
                <w:rStyle w:val="NoneA"/>
                <w:i/>
                <w:iCs/>
                <w:color w:val="808080"/>
                <w:sz w:val="17"/>
                <w:szCs w:val="17"/>
                <w:u w:color="808080"/>
              </w:rPr>
              <w:t>Target: &lt;9</w:t>
            </w:r>
          </w:p>
        </w:tc>
        <w:tc>
          <w:tcPr>
            <w:tcW w:w="850" w:type="dxa"/>
            <w:tcBorders>
              <w:top w:val="nil"/>
              <w:left w:val="nil"/>
              <w:bottom w:val="single" w:sz="4" w:space="0" w:color="auto"/>
              <w:right w:val="nil"/>
            </w:tcBorders>
            <w:shd w:val="clear" w:color="auto" w:fill="72AF50"/>
            <w:tcMar>
              <w:top w:w="80" w:type="dxa"/>
              <w:left w:w="80" w:type="dxa"/>
              <w:bottom w:w="80" w:type="dxa"/>
              <w:right w:w="80" w:type="dxa"/>
            </w:tcMar>
          </w:tcPr>
          <w:p w14:paraId="525D272A" w14:textId="77777777" w:rsidR="00E6139C" w:rsidRPr="00DA620C" w:rsidRDefault="00E6139C" w:rsidP="00451B3E">
            <w:pPr>
              <w:pStyle w:val="BodyA"/>
              <w:keepLines/>
              <w:shd w:val="clear" w:color="auto" w:fill="72AF50"/>
              <w:spacing w:before="40" w:after="40" w:line="200" w:lineRule="atLeast"/>
              <w:rPr>
                <w:rStyle w:val="NoneA"/>
                <w:color w:val="FFFFFF"/>
                <w:sz w:val="17"/>
                <w:szCs w:val="17"/>
                <w:u w:color="FFFFFF"/>
              </w:rPr>
            </w:pPr>
            <w:r w:rsidRPr="00DA620C">
              <w:rPr>
                <w:rStyle w:val="NoneA"/>
                <w:color w:val="FFFFFF"/>
                <w:sz w:val="17"/>
                <w:szCs w:val="17"/>
                <w:u w:color="FFFFFF"/>
              </w:rPr>
              <w:t>Achieved</w:t>
            </w:r>
          </w:p>
        </w:tc>
        <w:tc>
          <w:tcPr>
            <w:tcW w:w="8789" w:type="dxa"/>
            <w:tcBorders>
              <w:top w:val="nil"/>
              <w:left w:val="nil"/>
              <w:bottom w:val="single" w:sz="12" w:space="0" w:color="000000"/>
              <w:right w:val="nil"/>
            </w:tcBorders>
            <w:shd w:val="clear" w:color="auto" w:fill="auto"/>
            <w:tcMar>
              <w:top w:w="80" w:type="dxa"/>
              <w:left w:w="80" w:type="dxa"/>
              <w:bottom w:w="80" w:type="dxa"/>
              <w:right w:w="80" w:type="dxa"/>
            </w:tcMar>
          </w:tcPr>
          <w:p w14:paraId="5AB44A1A" w14:textId="77777777" w:rsidR="00E6139C" w:rsidRPr="00DA620C" w:rsidRDefault="00D3290F" w:rsidP="00E6139C">
            <w:pPr>
              <w:pStyle w:val="TableTextEntries"/>
              <w:keepNext/>
              <w:rPr>
                <w:rStyle w:val="NoneA"/>
                <w:rFonts w:ascii="Calibri Light" w:eastAsia="Calibri Light" w:hAnsi="Calibri Light" w:cs="Calibri Light"/>
                <w:color w:val="495965"/>
                <w:u w:color="495965"/>
              </w:rPr>
            </w:pPr>
            <w:r w:rsidRPr="00DA620C">
              <w:rPr>
                <w:rStyle w:val="NoneA"/>
                <w:rFonts w:ascii="Calibri Light" w:eastAsia="Calibri Light" w:hAnsi="Calibri Light" w:cs="Calibri Light"/>
                <w:color w:val="495965"/>
                <w:u w:color="495965"/>
              </w:rPr>
              <w:t>While t</w:t>
            </w:r>
            <w:r w:rsidR="00E6139C" w:rsidRPr="00DA620C">
              <w:rPr>
                <w:rStyle w:val="NoneA"/>
                <w:rFonts w:ascii="Calibri Light" w:eastAsia="Calibri Light" w:hAnsi="Calibri Light" w:cs="Calibri Light"/>
                <w:color w:val="495965"/>
                <w:u w:color="495965"/>
              </w:rPr>
              <w:t>he Bangladesh program maintained its consolidation agenda during the reporting period, reducing the number of</w:t>
            </w:r>
            <w:r w:rsidR="00840297">
              <w:rPr>
                <w:rStyle w:val="NoneA"/>
                <w:rFonts w:ascii="Calibri Light" w:eastAsia="Calibri Light" w:hAnsi="Calibri Light" w:cs="Calibri Light"/>
                <w:color w:val="495965"/>
                <w:u w:color="495965"/>
              </w:rPr>
              <w:t xml:space="preserve"> investments in AidWorks </w:t>
            </w:r>
            <w:r w:rsidR="00576D7C">
              <w:rPr>
                <w:rStyle w:val="NoneA"/>
                <w:rFonts w:ascii="Calibri Light" w:eastAsia="Calibri Light" w:hAnsi="Calibri Light" w:cs="Calibri Light"/>
                <w:color w:val="495965"/>
                <w:u w:color="495965"/>
              </w:rPr>
              <w:t xml:space="preserve">from 11 to </w:t>
            </w:r>
            <w:r w:rsidR="00E6139C" w:rsidRPr="00DA620C">
              <w:rPr>
                <w:rStyle w:val="NoneA"/>
                <w:rFonts w:ascii="Calibri Light" w:eastAsia="Calibri Light" w:hAnsi="Calibri Light" w:cs="Calibri Light"/>
                <w:color w:val="495965"/>
                <w:u w:color="495965"/>
              </w:rPr>
              <w:t>8</w:t>
            </w:r>
            <w:r w:rsidRPr="00DA620C">
              <w:rPr>
                <w:rStyle w:val="NoneA"/>
                <w:rFonts w:ascii="Calibri Light" w:eastAsia="Calibri Light" w:hAnsi="Calibri Light" w:cs="Calibri Light"/>
                <w:color w:val="495965"/>
                <w:u w:color="495965"/>
              </w:rPr>
              <w:t>, this was largely administrative and there was on-going pressure to expand both sector and program focus</w:t>
            </w:r>
            <w:r w:rsidR="00E6139C" w:rsidRPr="00DA620C">
              <w:rPr>
                <w:rStyle w:val="NoneA"/>
                <w:rFonts w:ascii="Calibri Light" w:eastAsia="Calibri Light" w:hAnsi="Calibri Light" w:cs="Calibri Light"/>
                <w:color w:val="495965"/>
                <w:u w:color="495965"/>
              </w:rPr>
              <w:t xml:space="preserve">. </w:t>
            </w:r>
          </w:p>
        </w:tc>
      </w:tr>
    </w:tbl>
    <w:p w14:paraId="762FCE3F" w14:textId="532BAE57" w:rsidR="00756E3E" w:rsidRDefault="00756E3E" w:rsidP="00756E3E">
      <w:pPr>
        <w:pStyle w:val="Subtitle"/>
        <w:widowControl w:val="0"/>
        <w:spacing w:line="240" w:lineRule="auto"/>
      </w:pPr>
    </w:p>
    <w:p w14:paraId="230843DF" w14:textId="77777777" w:rsidR="00756E3E" w:rsidRDefault="00756E3E" w:rsidP="00756E3E">
      <w:pPr>
        <w:pStyle w:val="BodyA"/>
        <w:spacing w:before="20" w:after="20" w:line="180" w:lineRule="atLeast"/>
        <w:jc w:val="both"/>
        <w:rPr>
          <w:rStyle w:val="NoneA"/>
          <w:rFonts w:ascii="Helvetica" w:eastAsia="Helvetica" w:hAnsi="Helvetica" w:cs="Helvetica"/>
          <w:b/>
          <w:bCs/>
          <w:sz w:val="16"/>
          <w:szCs w:val="16"/>
          <w:lang w:val="de-DE"/>
        </w:rPr>
      </w:pPr>
      <w:r>
        <w:rPr>
          <w:rStyle w:val="NoneA"/>
          <w:rFonts w:ascii="Helvetica" w:hAnsi="Helvetica"/>
          <w:b/>
          <w:bCs/>
          <w:sz w:val="16"/>
          <w:szCs w:val="16"/>
          <w:lang w:val="de-DE"/>
        </w:rPr>
        <w:t xml:space="preserve">Note: </w:t>
      </w:r>
    </w:p>
    <w:p w14:paraId="0F207497" w14:textId="77777777" w:rsidR="00756E3E" w:rsidRDefault="00756E3E" w:rsidP="00756E3E">
      <w:pPr>
        <w:pStyle w:val="BodyA"/>
        <w:spacing w:before="20" w:after="20" w:line="180" w:lineRule="atLeast"/>
        <w:jc w:val="both"/>
        <w:rPr>
          <w:rStyle w:val="NoneA"/>
          <w:rFonts w:ascii="Helvetica" w:eastAsia="Helvetica" w:hAnsi="Helvetica" w:cs="Helvetica"/>
          <w:b/>
          <w:bCs/>
          <w:sz w:val="16"/>
          <w:szCs w:val="16"/>
        </w:rPr>
      </w:pPr>
      <w:r>
        <w:rPr>
          <w:rStyle w:val="NoneA"/>
          <w:rFonts w:ascii="Webdings" w:hAnsi="Webdings"/>
          <w:color w:val="72AF2F"/>
          <w:sz w:val="16"/>
          <w:szCs w:val="16"/>
          <w:u w:color="72AF2F"/>
        </w:rPr>
        <w:sym w:font="Webdings" w:char="F067"/>
      </w:r>
      <w:r>
        <w:rPr>
          <w:rStyle w:val="NoneA"/>
          <w:rFonts w:ascii="Helvetica" w:hAnsi="Helvetica"/>
          <w:b/>
          <w:bCs/>
          <w:sz w:val="16"/>
          <w:szCs w:val="16"/>
        </w:rPr>
        <w:t xml:space="preserve">  Achieved.  Significant progress has been made and the performance benchmark was achieved </w:t>
      </w:r>
    </w:p>
    <w:p w14:paraId="6B258FA2" w14:textId="77777777" w:rsidR="00756E3E" w:rsidRDefault="00756E3E" w:rsidP="00756E3E">
      <w:pPr>
        <w:pStyle w:val="BodyA"/>
        <w:spacing w:before="20" w:after="20" w:line="180" w:lineRule="atLeast"/>
        <w:jc w:val="both"/>
        <w:rPr>
          <w:rStyle w:val="NoneA"/>
          <w:rFonts w:ascii="Helvetica" w:eastAsia="Helvetica" w:hAnsi="Helvetica" w:cs="Helvetica"/>
          <w:b/>
          <w:bCs/>
          <w:sz w:val="16"/>
          <w:szCs w:val="16"/>
        </w:rPr>
      </w:pPr>
      <w:r>
        <w:rPr>
          <w:rStyle w:val="NoneA"/>
          <w:rFonts w:ascii="Webdings" w:hAnsi="Webdings"/>
          <w:color w:val="E36C0A"/>
          <w:sz w:val="16"/>
          <w:szCs w:val="16"/>
          <w:u w:color="E36C0A"/>
        </w:rPr>
        <w:sym w:font="Webdings" w:char="F067"/>
      </w:r>
      <w:r>
        <w:rPr>
          <w:rStyle w:val="NoneA"/>
          <w:rFonts w:ascii="Helvetica" w:hAnsi="Helvetica"/>
          <w:b/>
          <w:bCs/>
          <w:sz w:val="16"/>
          <w:szCs w:val="16"/>
        </w:rPr>
        <w:t xml:space="preserve">  Partly achieved.  Some progress has been made towards achieving the performance benchmark, but progress was less than anticipated. </w:t>
      </w:r>
    </w:p>
    <w:p w14:paraId="1B041E55" w14:textId="77777777" w:rsidR="00756E3E" w:rsidRDefault="00756E3E" w:rsidP="00756E3E">
      <w:pPr>
        <w:pStyle w:val="BodyA"/>
        <w:spacing w:before="20" w:after="20" w:line="180" w:lineRule="atLeast"/>
        <w:jc w:val="both"/>
        <w:rPr>
          <w:rStyle w:val="NoneA"/>
          <w:rFonts w:ascii="Helvetica" w:eastAsia="Helvetica" w:hAnsi="Helvetica" w:cs="Helvetica"/>
          <w:b/>
          <w:bCs/>
          <w:sz w:val="16"/>
          <w:szCs w:val="16"/>
        </w:rPr>
      </w:pPr>
      <w:r>
        <w:rPr>
          <w:rStyle w:val="NoneA"/>
          <w:rFonts w:ascii="Webdings" w:hAnsi="Webdings"/>
          <w:color w:val="FF0000"/>
          <w:sz w:val="16"/>
          <w:szCs w:val="16"/>
          <w:u w:color="FF0000"/>
        </w:rPr>
        <w:sym w:font="Webdings" w:char="F067"/>
      </w:r>
      <w:r>
        <w:rPr>
          <w:rStyle w:val="NoneA"/>
          <w:rFonts w:ascii="Helvetica" w:hAnsi="Helvetica"/>
          <w:b/>
          <w:bCs/>
          <w:sz w:val="16"/>
          <w:szCs w:val="16"/>
        </w:rPr>
        <w:t>  Not achieved. Progress towards the performance benchmark has been significantly below expectations</w:t>
      </w:r>
    </w:p>
    <w:p w14:paraId="080C6CB0" w14:textId="77777777" w:rsidR="00D533AD" w:rsidRDefault="002A51CA" w:rsidP="00D3290F">
      <w:pPr>
        <w:pStyle w:val="Subtitle"/>
        <w:numPr>
          <w:ilvl w:val="0"/>
          <w:numId w:val="0"/>
        </w:numPr>
        <w:rPr>
          <w:rFonts w:ascii="Franklin Gothic Book" w:eastAsia="Times New Roman" w:hAnsi="Franklin Gothic Book"/>
          <w:sz w:val="21"/>
        </w:rPr>
      </w:pPr>
      <w:r w:rsidRPr="00C61187">
        <w:rPr>
          <w:rFonts w:ascii="Franklin Gothic Book" w:eastAsia="Times New Roman" w:hAnsi="Franklin Gothic Book"/>
          <w:sz w:val="21"/>
        </w:rPr>
        <w:t xml:space="preserve"> </w:t>
      </w:r>
    </w:p>
    <w:p w14:paraId="5FB24C31" w14:textId="77777777" w:rsidR="003E3C28" w:rsidRDefault="003E3C28" w:rsidP="003E3C28"/>
    <w:p w14:paraId="5621CCBD" w14:textId="77777777" w:rsidR="003E3C28" w:rsidRDefault="003E3C28" w:rsidP="003E3C28"/>
    <w:p w14:paraId="69B85FCD" w14:textId="77777777" w:rsidR="003E3C28" w:rsidRDefault="003E3C28" w:rsidP="003E3C28"/>
    <w:p w14:paraId="61401FF3" w14:textId="77777777" w:rsidR="003E3C28" w:rsidRDefault="003E3C28" w:rsidP="003E3C28"/>
    <w:p w14:paraId="74169D5E" w14:textId="77777777" w:rsidR="003E3C28" w:rsidRDefault="003E3C28" w:rsidP="003E3C28"/>
    <w:p w14:paraId="22A0152A" w14:textId="77777777" w:rsidR="003E3C28" w:rsidRDefault="003E3C28" w:rsidP="003E3C28"/>
    <w:p w14:paraId="7258A307" w14:textId="77777777" w:rsidR="003E3C28" w:rsidRDefault="003E3C28" w:rsidP="003E3C28"/>
    <w:p w14:paraId="4D733B47" w14:textId="77777777" w:rsidR="003E3C28" w:rsidRDefault="003E3C28" w:rsidP="003E3C28"/>
    <w:p w14:paraId="58B5F6D2" w14:textId="77777777" w:rsidR="003E3C28" w:rsidRDefault="003E3C28" w:rsidP="003E3C28"/>
    <w:p w14:paraId="57CAC2EF" w14:textId="77777777" w:rsidR="003E3C28" w:rsidRDefault="003E3C28" w:rsidP="003E3C28"/>
    <w:p w14:paraId="110AD913" w14:textId="6FD56E92" w:rsidR="00CE5DF0" w:rsidRPr="005C017E" w:rsidRDefault="006D5479" w:rsidP="00577836">
      <w:pPr>
        <w:suppressAutoHyphens w:val="0"/>
        <w:spacing w:before="0" w:after="120" w:line="440" w:lineRule="atLeast"/>
        <w:rPr>
          <w:rFonts w:eastAsia="Times New Roman"/>
          <w:b/>
          <w:sz w:val="24"/>
          <w:szCs w:val="24"/>
        </w:rPr>
      </w:pPr>
      <w:r>
        <w:br w:type="page"/>
      </w:r>
      <w:r w:rsidR="00CE5DF0" w:rsidRPr="005C017E">
        <w:rPr>
          <w:rFonts w:eastAsia="Times New Roman"/>
          <w:b/>
          <w:sz w:val="24"/>
          <w:szCs w:val="24"/>
        </w:rPr>
        <w:lastRenderedPageBreak/>
        <w:t xml:space="preserve">Performance Benchmarks </w:t>
      </w:r>
      <w:r w:rsidR="00320251" w:rsidRPr="005C017E">
        <w:rPr>
          <w:rFonts w:eastAsia="Times New Roman"/>
          <w:b/>
          <w:sz w:val="24"/>
          <w:szCs w:val="24"/>
        </w:rPr>
        <w:t>for remainder of A</w:t>
      </w:r>
      <w:r w:rsidR="007B4865" w:rsidRPr="005C017E">
        <w:rPr>
          <w:rFonts w:eastAsia="Times New Roman"/>
          <w:b/>
          <w:sz w:val="24"/>
          <w:szCs w:val="24"/>
        </w:rPr>
        <w:t xml:space="preserve">id </w:t>
      </w:r>
      <w:r w:rsidR="00320251" w:rsidRPr="005C017E">
        <w:rPr>
          <w:rFonts w:eastAsia="Times New Roman"/>
          <w:b/>
          <w:sz w:val="24"/>
          <w:szCs w:val="24"/>
        </w:rPr>
        <w:t>I</w:t>
      </w:r>
      <w:r w:rsidR="007B4865" w:rsidRPr="005C017E">
        <w:rPr>
          <w:rFonts w:eastAsia="Times New Roman"/>
          <w:b/>
          <w:sz w:val="24"/>
          <w:szCs w:val="24"/>
        </w:rPr>
        <w:t xml:space="preserve">nvestment </w:t>
      </w:r>
      <w:r w:rsidR="00320251" w:rsidRPr="005C017E">
        <w:rPr>
          <w:rFonts w:eastAsia="Times New Roman"/>
          <w:b/>
          <w:sz w:val="24"/>
          <w:szCs w:val="24"/>
        </w:rPr>
        <w:t>P</w:t>
      </w:r>
      <w:r w:rsidR="007B4865" w:rsidRPr="005C017E">
        <w:rPr>
          <w:rFonts w:eastAsia="Times New Roman"/>
          <w:b/>
          <w:sz w:val="24"/>
          <w:szCs w:val="24"/>
        </w:rPr>
        <w:t xml:space="preserve">lan </w:t>
      </w:r>
      <w:r w:rsidR="00320251" w:rsidRPr="005C017E">
        <w:rPr>
          <w:rFonts w:eastAsia="Times New Roman"/>
          <w:b/>
          <w:sz w:val="24"/>
          <w:szCs w:val="24"/>
        </w:rPr>
        <w:t xml:space="preserve"> </w:t>
      </w:r>
      <w:r w:rsidR="00CE5DF0" w:rsidRPr="005C017E">
        <w:rPr>
          <w:rFonts w:eastAsia="Times New Roman"/>
          <w:b/>
          <w:sz w:val="24"/>
          <w:szCs w:val="24"/>
        </w:rPr>
        <w:t xml:space="preserve"> </w:t>
      </w:r>
    </w:p>
    <w:p w14:paraId="6836723C" w14:textId="2F616126" w:rsidR="007B4865" w:rsidRPr="00D3290F" w:rsidRDefault="00D3290F" w:rsidP="007B4865">
      <w:pPr>
        <w:rPr>
          <w:rFonts w:ascii="Calibri Light" w:eastAsia="Calibri Light" w:hAnsi="Calibri Light" w:cs="Calibri Light"/>
          <w:color w:val="495965"/>
          <w:u w:color="495965"/>
          <w:bdr w:val="nil"/>
          <w:lang w:val="en-US" w:eastAsia="en-AU"/>
        </w:rPr>
      </w:pPr>
      <w:r w:rsidRPr="00D3290F">
        <w:rPr>
          <w:rFonts w:ascii="Calibri Light" w:eastAsia="Calibri Light" w:hAnsi="Calibri Light" w:cs="Calibri Light"/>
          <w:color w:val="495965"/>
          <w:u w:color="495965"/>
          <w:bdr w:val="nil"/>
          <w:lang w:val="en-US" w:eastAsia="en-AU"/>
        </w:rPr>
        <w:t xml:space="preserve">The </w:t>
      </w:r>
      <w:r w:rsidR="0050045F">
        <w:rPr>
          <w:rFonts w:ascii="Calibri Light" w:eastAsia="Calibri Light" w:hAnsi="Calibri Light" w:cs="Calibri Light"/>
          <w:color w:val="495965"/>
          <w:u w:color="495965"/>
          <w:bdr w:val="nil"/>
          <w:lang w:val="en-US" w:eastAsia="en-AU"/>
        </w:rPr>
        <w:t>P</w:t>
      </w:r>
      <w:r w:rsidRPr="00D3290F">
        <w:rPr>
          <w:rFonts w:ascii="Calibri Light" w:eastAsia="Calibri Light" w:hAnsi="Calibri Light" w:cs="Calibri Light"/>
          <w:color w:val="495965"/>
          <w:u w:color="495965"/>
          <w:bdr w:val="nil"/>
          <w:lang w:val="en-US" w:eastAsia="en-AU"/>
        </w:rPr>
        <w:t xml:space="preserve">erformance </w:t>
      </w:r>
      <w:r w:rsidR="0050045F">
        <w:rPr>
          <w:rFonts w:ascii="Calibri Light" w:eastAsia="Calibri Light" w:hAnsi="Calibri Light" w:cs="Calibri Light"/>
          <w:color w:val="495965"/>
          <w:u w:color="495965"/>
          <w:bdr w:val="nil"/>
          <w:lang w:val="en-US" w:eastAsia="en-AU"/>
        </w:rPr>
        <w:t>Assessment F</w:t>
      </w:r>
      <w:r w:rsidRPr="00D3290F">
        <w:rPr>
          <w:rFonts w:ascii="Calibri Light" w:eastAsia="Calibri Light" w:hAnsi="Calibri Light" w:cs="Calibri Light"/>
          <w:color w:val="495965"/>
          <w:u w:color="495965"/>
          <w:bdr w:val="nil"/>
          <w:lang w:val="en-US" w:eastAsia="en-AU"/>
        </w:rPr>
        <w:t>ramework</w:t>
      </w:r>
      <w:r w:rsidR="0050045F">
        <w:rPr>
          <w:rFonts w:ascii="Calibri Light" w:eastAsia="Calibri Light" w:hAnsi="Calibri Light" w:cs="Calibri Light"/>
          <w:color w:val="495965"/>
          <w:u w:color="495965"/>
          <w:bdr w:val="nil"/>
          <w:lang w:val="en-US" w:eastAsia="en-AU"/>
        </w:rPr>
        <w:t xml:space="preserve"> (PAF)</w:t>
      </w:r>
      <w:r w:rsidRPr="00D3290F">
        <w:rPr>
          <w:rFonts w:ascii="Calibri Light" w:eastAsia="Calibri Light" w:hAnsi="Calibri Light" w:cs="Calibri Light"/>
          <w:color w:val="495965"/>
          <w:u w:color="495965"/>
          <w:bdr w:val="nil"/>
          <w:lang w:val="en-US" w:eastAsia="en-AU"/>
        </w:rPr>
        <w:t xml:space="preserve"> for the remainder of the Aid investment plan </w:t>
      </w:r>
      <w:r w:rsidR="0050045F">
        <w:rPr>
          <w:rFonts w:ascii="Calibri Light" w:eastAsia="Calibri Light" w:hAnsi="Calibri Light" w:cs="Calibri Light"/>
          <w:color w:val="495965"/>
          <w:u w:color="495965"/>
          <w:bdr w:val="nil"/>
          <w:lang w:val="en-US" w:eastAsia="en-AU"/>
        </w:rPr>
        <w:t>to</w:t>
      </w:r>
      <w:r w:rsidRPr="00D3290F">
        <w:rPr>
          <w:rFonts w:ascii="Calibri Light" w:eastAsia="Calibri Light" w:hAnsi="Calibri Light" w:cs="Calibri Light"/>
          <w:color w:val="495965"/>
          <w:u w:color="495965"/>
          <w:bdr w:val="nil"/>
          <w:lang w:val="en-US" w:eastAsia="en-AU"/>
        </w:rPr>
        <w:t xml:space="preserve"> be reviewed in 2017/2018  </w:t>
      </w:r>
    </w:p>
    <w:tbl>
      <w:tblPr>
        <w:tblStyle w:val="DFATTable"/>
        <w:tblW w:w="4946" w:type="pct"/>
        <w:tblLook w:val="04A0" w:firstRow="1" w:lastRow="0" w:firstColumn="1" w:lastColumn="0" w:noHBand="0" w:noVBand="1"/>
      </w:tblPr>
      <w:tblGrid>
        <w:gridCol w:w="2246"/>
        <w:gridCol w:w="4231"/>
        <w:gridCol w:w="2243"/>
        <w:gridCol w:w="2852"/>
        <w:gridCol w:w="2448"/>
      </w:tblGrid>
      <w:tr w:rsidR="00320251" w14:paraId="18E33D79" w14:textId="77777777" w:rsidTr="007B4865">
        <w:trPr>
          <w:trHeight w:val="331"/>
        </w:trPr>
        <w:tc>
          <w:tcPr>
            <w:tcW w:w="801" w:type="pct"/>
            <w:tcBorders>
              <w:top w:val="single" w:sz="12" w:space="0" w:color="auto"/>
              <w:left w:val="nil"/>
              <w:bottom w:val="nil"/>
              <w:right w:val="nil"/>
            </w:tcBorders>
          </w:tcPr>
          <w:p w14:paraId="0BC95AD1" w14:textId="77777777" w:rsidR="00320251" w:rsidRPr="00BE6C6D" w:rsidRDefault="00320251" w:rsidP="00320251">
            <w:pPr>
              <w:pStyle w:val="NormalIndented"/>
              <w:rPr>
                <w:rFonts w:asciiTheme="minorHAnsi" w:hAnsiTheme="minorHAnsi"/>
              </w:rPr>
            </w:pPr>
            <w:r w:rsidRPr="00880004">
              <w:rPr>
                <w:rFonts w:asciiTheme="minorHAnsi" w:eastAsia="Times New Roman" w:hAnsiTheme="minorHAnsi"/>
                <w:b/>
                <w:iCs/>
                <w:szCs w:val="17"/>
                <w:lang w:eastAsia="en-US"/>
              </w:rPr>
              <w:t>Aid objective</w:t>
            </w:r>
          </w:p>
        </w:tc>
        <w:tc>
          <w:tcPr>
            <w:tcW w:w="1509" w:type="pct"/>
            <w:tcBorders>
              <w:top w:val="single" w:sz="12" w:space="0" w:color="auto"/>
              <w:left w:val="nil"/>
              <w:bottom w:val="nil"/>
              <w:right w:val="nil"/>
            </w:tcBorders>
          </w:tcPr>
          <w:p w14:paraId="46ADB06F" w14:textId="77777777" w:rsidR="00320251" w:rsidRPr="00BE6C6D" w:rsidRDefault="00320251" w:rsidP="00320251">
            <w:pPr>
              <w:pStyle w:val="NormalIndented"/>
              <w:rPr>
                <w:rFonts w:asciiTheme="minorHAnsi" w:hAnsiTheme="minorHAnsi"/>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800" w:type="pct"/>
            <w:tcBorders>
              <w:top w:val="single" w:sz="12" w:space="0" w:color="auto"/>
              <w:left w:val="nil"/>
              <w:bottom w:val="nil"/>
              <w:right w:val="nil"/>
            </w:tcBorders>
            <w:hideMark/>
          </w:tcPr>
          <w:p w14:paraId="1056681F" w14:textId="77777777" w:rsidR="00320251" w:rsidRPr="00BE6C6D" w:rsidRDefault="00320251" w:rsidP="00320251">
            <w:pPr>
              <w:pStyle w:val="NormalIndented"/>
              <w:ind w:left="0"/>
              <w:jc w:val="center"/>
              <w:rPr>
                <w:rFonts w:asciiTheme="minorHAnsi" w:hAnsiTheme="minorHAnsi"/>
                <w:b/>
              </w:rPr>
            </w:pPr>
            <w:r w:rsidRPr="00BE6C6D">
              <w:rPr>
                <w:rFonts w:asciiTheme="minorHAnsi" w:hAnsiTheme="minorHAnsi"/>
                <w:b/>
              </w:rPr>
              <w:t>201</w:t>
            </w:r>
            <w:r>
              <w:rPr>
                <w:rFonts w:asciiTheme="minorHAnsi" w:hAnsiTheme="minorHAnsi"/>
                <w:b/>
              </w:rPr>
              <w:t>7</w:t>
            </w:r>
            <w:r w:rsidRPr="00BE6C6D">
              <w:rPr>
                <w:rFonts w:asciiTheme="minorHAnsi" w:hAnsiTheme="minorHAnsi"/>
                <w:b/>
              </w:rPr>
              <w:t>-1</w:t>
            </w:r>
            <w:r>
              <w:rPr>
                <w:rFonts w:asciiTheme="minorHAnsi" w:hAnsiTheme="minorHAnsi"/>
                <w:b/>
              </w:rPr>
              <w:t>8</w:t>
            </w:r>
          </w:p>
        </w:tc>
        <w:tc>
          <w:tcPr>
            <w:tcW w:w="1017" w:type="pct"/>
            <w:tcBorders>
              <w:top w:val="single" w:sz="12" w:space="0" w:color="auto"/>
              <w:left w:val="nil"/>
              <w:bottom w:val="nil"/>
              <w:right w:val="nil"/>
            </w:tcBorders>
            <w:hideMark/>
          </w:tcPr>
          <w:p w14:paraId="5DE51FE9" w14:textId="77777777" w:rsidR="00320251" w:rsidRPr="00BE6C6D" w:rsidRDefault="00320251" w:rsidP="00320251">
            <w:pPr>
              <w:pStyle w:val="NormalIndented"/>
              <w:ind w:left="33"/>
              <w:jc w:val="center"/>
              <w:rPr>
                <w:rFonts w:asciiTheme="minorHAnsi" w:hAnsiTheme="minorHAnsi"/>
                <w:b/>
              </w:rPr>
            </w:pPr>
            <w:r w:rsidRPr="00BE6C6D">
              <w:rPr>
                <w:rFonts w:asciiTheme="minorHAnsi" w:hAnsiTheme="minorHAnsi"/>
                <w:b/>
              </w:rPr>
              <w:t>201</w:t>
            </w:r>
            <w:r>
              <w:rPr>
                <w:rFonts w:asciiTheme="minorHAnsi" w:hAnsiTheme="minorHAnsi"/>
                <w:b/>
              </w:rPr>
              <w:t>8</w:t>
            </w:r>
            <w:r w:rsidRPr="00BE6C6D">
              <w:rPr>
                <w:rFonts w:asciiTheme="minorHAnsi" w:hAnsiTheme="minorHAnsi"/>
                <w:b/>
              </w:rPr>
              <w:t>-1</w:t>
            </w:r>
            <w:r>
              <w:rPr>
                <w:rFonts w:asciiTheme="minorHAnsi" w:hAnsiTheme="minorHAnsi"/>
                <w:b/>
              </w:rPr>
              <w:t>9</w:t>
            </w:r>
          </w:p>
        </w:tc>
        <w:tc>
          <w:tcPr>
            <w:tcW w:w="873" w:type="pct"/>
            <w:tcBorders>
              <w:top w:val="single" w:sz="12" w:space="0" w:color="auto"/>
              <w:left w:val="nil"/>
              <w:bottom w:val="nil"/>
              <w:right w:val="nil"/>
            </w:tcBorders>
            <w:hideMark/>
          </w:tcPr>
          <w:p w14:paraId="3A0625C1" w14:textId="77777777" w:rsidR="00320251" w:rsidRPr="00BE6C6D" w:rsidRDefault="00320251" w:rsidP="00320251">
            <w:pPr>
              <w:pStyle w:val="NormalIndented"/>
              <w:ind w:left="34"/>
              <w:jc w:val="center"/>
              <w:rPr>
                <w:rFonts w:asciiTheme="minorHAnsi" w:hAnsiTheme="minorHAnsi"/>
                <w:b/>
              </w:rPr>
            </w:pPr>
            <w:r w:rsidRPr="00BE6C6D">
              <w:rPr>
                <w:rFonts w:asciiTheme="minorHAnsi" w:hAnsiTheme="minorHAnsi"/>
                <w:b/>
              </w:rPr>
              <w:t>201</w:t>
            </w:r>
            <w:r>
              <w:rPr>
                <w:rFonts w:asciiTheme="minorHAnsi" w:hAnsiTheme="minorHAnsi"/>
                <w:b/>
              </w:rPr>
              <w:t>9</w:t>
            </w:r>
            <w:r w:rsidRPr="00BE6C6D">
              <w:rPr>
                <w:rFonts w:asciiTheme="minorHAnsi" w:hAnsiTheme="minorHAnsi"/>
                <w:b/>
              </w:rPr>
              <w:t>-</w:t>
            </w:r>
            <w:r>
              <w:rPr>
                <w:rFonts w:asciiTheme="minorHAnsi" w:hAnsiTheme="minorHAnsi"/>
                <w:b/>
              </w:rPr>
              <w:t>20</w:t>
            </w:r>
          </w:p>
        </w:tc>
      </w:tr>
      <w:tr w:rsidR="00320251" w14:paraId="2F973002" w14:textId="77777777" w:rsidTr="00A43846">
        <w:trPr>
          <w:gridAfter w:val="1"/>
          <w:wAfter w:w="873" w:type="pct"/>
          <w:trHeight w:val="102"/>
        </w:trPr>
        <w:tc>
          <w:tcPr>
            <w:tcW w:w="801" w:type="pct"/>
            <w:tcBorders>
              <w:top w:val="nil"/>
              <w:left w:val="nil"/>
              <w:bottom w:val="nil"/>
              <w:right w:val="nil"/>
            </w:tcBorders>
            <w:hideMark/>
          </w:tcPr>
          <w:p w14:paraId="60BA150F" w14:textId="77777777" w:rsidR="00320251" w:rsidRPr="00BE6C6D" w:rsidRDefault="00320251" w:rsidP="00D3290F">
            <w:pPr>
              <w:pStyle w:val="NormalIndented"/>
              <w:ind w:left="0"/>
              <w:rPr>
                <w:rFonts w:asciiTheme="minorHAnsi" w:hAnsiTheme="minorHAnsi"/>
                <w:i/>
                <w:color w:val="808080" w:themeColor="background1" w:themeShade="80"/>
                <w:sz w:val="18"/>
              </w:rPr>
            </w:pPr>
          </w:p>
        </w:tc>
        <w:tc>
          <w:tcPr>
            <w:tcW w:w="3326" w:type="pct"/>
            <w:gridSpan w:val="3"/>
            <w:tcBorders>
              <w:top w:val="nil"/>
              <w:left w:val="nil"/>
              <w:bottom w:val="nil"/>
            </w:tcBorders>
            <w:hideMark/>
          </w:tcPr>
          <w:p w14:paraId="5DC6D2F0" w14:textId="77777777" w:rsidR="00320251" w:rsidRPr="00BE6C6D" w:rsidRDefault="00320251" w:rsidP="00A43846">
            <w:pPr>
              <w:pStyle w:val="NormalIndented"/>
              <w:jc w:val="center"/>
              <w:rPr>
                <w:i/>
                <w:color w:val="808080" w:themeColor="background1" w:themeShade="80"/>
              </w:rPr>
            </w:pPr>
          </w:p>
        </w:tc>
      </w:tr>
      <w:tr w:rsidR="005C5277" w14:paraId="3F3D8023" w14:textId="77777777" w:rsidTr="007B4865">
        <w:trPr>
          <w:trHeight w:val="984"/>
        </w:trPr>
        <w:tc>
          <w:tcPr>
            <w:tcW w:w="801" w:type="pct"/>
            <w:tcBorders>
              <w:top w:val="nil"/>
              <w:left w:val="nil"/>
              <w:bottom w:val="nil"/>
              <w:right w:val="nil"/>
            </w:tcBorders>
          </w:tcPr>
          <w:p w14:paraId="56198901" w14:textId="77777777" w:rsidR="005C5277" w:rsidRPr="00D533AD" w:rsidRDefault="005C5277" w:rsidP="005C5277">
            <w:pPr>
              <w:pStyle w:val="NormalIndented"/>
              <w:rPr>
                <w:rFonts w:asciiTheme="minorHAnsi" w:eastAsia="Times New Roman" w:hAnsiTheme="minorHAnsi"/>
                <w:iCs/>
                <w:szCs w:val="17"/>
                <w:lang w:eastAsia="en-US"/>
              </w:rPr>
            </w:pPr>
            <w:r w:rsidRPr="00D533AD">
              <w:rPr>
                <w:rFonts w:asciiTheme="minorHAnsi" w:eastAsia="Times New Roman" w:hAnsiTheme="minorHAnsi"/>
                <w:i/>
                <w:iCs/>
                <w:szCs w:val="17"/>
                <w:lang w:val="en-US" w:eastAsia="en-US"/>
              </w:rPr>
              <w:t>Improve education access and learning outcomes</w:t>
            </w:r>
          </w:p>
        </w:tc>
        <w:tc>
          <w:tcPr>
            <w:tcW w:w="1509" w:type="pct"/>
            <w:tcBorders>
              <w:top w:val="nil"/>
              <w:left w:val="nil"/>
              <w:bottom w:val="nil"/>
              <w:right w:val="nil"/>
            </w:tcBorders>
          </w:tcPr>
          <w:p w14:paraId="2CA9C1C2" w14:textId="77777777" w:rsidR="005C5277" w:rsidRDefault="005C5277" w:rsidP="00D3290F">
            <w:pPr>
              <w:pStyle w:val="NormalIndented"/>
              <w:rPr>
                <w:rFonts w:asciiTheme="minorHAnsi" w:eastAsia="Times New Roman" w:hAnsiTheme="minorHAnsi"/>
                <w:iCs/>
                <w:szCs w:val="17"/>
                <w:lang w:eastAsia="en-US"/>
              </w:rPr>
            </w:pPr>
            <w:r>
              <w:rPr>
                <w:rFonts w:asciiTheme="minorHAnsi" w:eastAsia="Times New Roman" w:hAnsiTheme="minorHAnsi"/>
                <w:iCs/>
                <w:szCs w:val="17"/>
                <w:lang w:eastAsia="en-US"/>
              </w:rPr>
              <w:t>The quality of end of primar</w:t>
            </w:r>
            <w:r w:rsidR="00D3290F">
              <w:rPr>
                <w:rFonts w:asciiTheme="minorHAnsi" w:eastAsia="Times New Roman" w:hAnsiTheme="minorHAnsi"/>
                <w:iCs/>
                <w:szCs w:val="17"/>
                <w:lang w:eastAsia="en-US"/>
              </w:rPr>
              <w:t>y cycle examination is improved</w:t>
            </w:r>
          </w:p>
          <w:p w14:paraId="077AF384" w14:textId="77777777" w:rsidR="005C5277" w:rsidRDefault="00BD343A" w:rsidP="00D3290F">
            <w:pPr>
              <w:pStyle w:val="NormalIndented"/>
              <w:rPr>
                <w:rFonts w:asciiTheme="minorHAnsi" w:eastAsia="Times New Roman" w:hAnsiTheme="minorHAnsi"/>
                <w:iCs/>
                <w:szCs w:val="17"/>
                <w:lang w:eastAsia="en-US"/>
              </w:rPr>
            </w:pPr>
            <w:r>
              <w:rPr>
                <w:rFonts w:asciiTheme="minorHAnsi" w:eastAsia="Times New Roman" w:hAnsiTheme="minorHAnsi"/>
                <w:iCs/>
                <w:szCs w:val="17"/>
                <w:lang w:eastAsia="en-US"/>
              </w:rPr>
              <w:t xml:space="preserve">BRAC meets targets </w:t>
            </w:r>
            <w:r w:rsidR="005C5277" w:rsidRPr="00D533AD">
              <w:rPr>
                <w:rFonts w:asciiTheme="minorHAnsi" w:eastAsia="Times New Roman" w:hAnsiTheme="minorHAnsi"/>
                <w:iCs/>
                <w:szCs w:val="17"/>
                <w:lang w:eastAsia="en-US"/>
              </w:rPr>
              <w:t>for numbers of children comp</w:t>
            </w:r>
            <w:r w:rsidR="005C5277">
              <w:rPr>
                <w:rFonts w:asciiTheme="minorHAnsi" w:eastAsia="Times New Roman" w:hAnsiTheme="minorHAnsi"/>
                <w:iCs/>
                <w:szCs w:val="17"/>
                <w:lang w:eastAsia="en-US"/>
              </w:rPr>
              <w:t>l</w:t>
            </w:r>
            <w:r w:rsidR="005C5277" w:rsidRPr="00D533AD">
              <w:rPr>
                <w:rFonts w:asciiTheme="minorHAnsi" w:eastAsia="Times New Roman" w:hAnsiTheme="minorHAnsi"/>
                <w:iCs/>
                <w:szCs w:val="17"/>
                <w:lang w:eastAsia="en-US"/>
              </w:rPr>
              <w:t>eting a course of primary or pre-primary education</w:t>
            </w:r>
            <w:r w:rsidR="00D3290F">
              <w:rPr>
                <w:rFonts w:asciiTheme="minorHAnsi" w:eastAsia="Times New Roman" w:hAnsiTheme="minorHAnsi"/>
                <w:iCs/>
                <w:szCs w:val="17"/>
                <w:lang w:eastAsia="en-US"/>
              </w:rPr>
              <w:t xml:space="preserve">, of which 65% are girls. </w:t>
            </w:r>
          </w:p>
          <w:p w14:paraId="12DCBFBC" w14:textId="77777777" w:rsidR="005C5277" w:rsidRPr="00821DA0" w:rsidRDefault="005C5277" w:rsidP="005C5277">
            <w:pPr>
              <w:pStyle w:val="NormalIndented"/>
              <w:rPr>
                <w:rFonts w:asciiTheme="minorHAnsi" w:eastAsia="Times New Roman" w:hAnsiTheme="minorHAnsi"/>
                <w:iCs/>
                <w:szCs w:val="17"/>
                <w:lang w:eastAsia="en-US"/>
              </w:rPr>
            </w:pPr>
            <w:r w:rsidRPr="00821DA0">
              <w:rPr>
                <w:rFonts w:asciiTheme="minorHAnsi" w:eastAsia="Times New Roman" w:hAnsiTheme="minorHAnsi"/>
                <w:iCs/>
                <w:szCs w:val="17"/>
                <w:lang w:eastAsia="en-US"/>
              </w:rPr>
              <w:t>50% of donor fund disbursement for PEDP3 linked to results achieved, with the remaining 50% subject to meeting annual audit requirements</w:t>
            </w:r>
            <w:r w:rsidR="00821DA0">
              <w:rPr>
                <w:rFonts w:asciiTheme="minorHAnsi" w:eastAsia="Times New Roman" w:hAnsiTheme="minorHAnsi"/>
                <w:iCs/>
                <w:szCs w:val="17"/>
                <w:lang w:eastAsia="en-US"/>
              </w:rPr>
              <w:t>.</w:t>
            </w:r>
          </w:p>
          <w:p w14:paraId="39B44C4A" w14:textId="77777777" w:rsidR="005C5277" w:rsidRPr="00D533AD" w:rsidRDefault="005C5277" w:rsidP="005C5277">
            <w:pPr>
              <w:pStyle w:val="NormalIndented"/>
              <w:rPr>
                <w:rFonts w:asciiTheme="minorHAnsi" w:eastAsia="Times New Roman" w:hAnsiTheme="minorHAnsi"/>
                <w:iCs/>
                <w:szCs w:val="17"/>
                <w:lang w:eastAsia="en-US"/>
              </w:rPr>
            </w:pPr>
          </w:p>
        </w:tc>
        <w:tc>
          <w:tcPr>
            <w:tcW w:w="800" w:type="pct"/>
            <w:tcBorders>
              <w:top w:val="nil"/>
              <w:left w:val="nil"/>
              <w:bottom w:val="nil"/>
              <w:right w:val="nil"/>
            </w:tcBorders>
          </w:tcPr>
          <w:p w14:paraId="54DF872D" w14:textId="77777777" w:rsidR="005C5277" w:rsidRDefault="005C5277" w:rsidP="005C5277">
            <w:pPr>
              <w:pStyle w:val="NormalIndented"/>
              <w:ind w:left="33"/>
              <w:jc w:val="center"/>
              <w:rPr>
                <w:rFonts w:asciiTheme="minorHAnsi" w:eastAsia="Times New Roman" w:hAnsiTheme="minorHAnsi"/>
                <w:iCs/>
                <w:szCs w:val="17"/>
                <w:lang w:eastAsia="en-US"/>
              </w:rPr>
            </w:pPr>
            <w:r>
              <w:rPr>
                <w:rFonts w:asciiTheme="minorHAnsi" w:eastAsia="Times New Roman" w:hAnsiTheme="minorHAnsi"/>
                <w:iCs/>
                <w:szCs w:val="17"/>
                <w:lang w:eastAsia="en-US"/>
              </w:rPr>
              <w:t>65%</w:t>
            </w:r>
          </w:p>
          <w:p w14:paraId="1E51B074" w14:textId="77777777" w:rsidR="005C5277" w:rsidRDefault="005C5277" w:rsidP="00D3290F">
            <w:pPr>
              <w:pStyle w:val="NormalIndented"/>
              <w:ind w:left="0"/>
              <w:rPr>
                <w:rFonts w:asciiTheme="minorHAnsi" w:eastAsia="Times New Roman" w:hAnsiTheme="minorHAnsi"/>
                <w:iCs/>
                <w:szCs w:val="17"/>
                <w:lang w:eastAsia="en-US"/>
              </w:rPr>
            </w:pPr>
          </w:p>
          <w:p w14:paraId="58E75435" w14:textId="453AE150" w:rsidR="005C5277" w:rsidRDefault="00DF5A40" w:rsidP="00B4365A">
            <w:pPr>
              <w:pStyle w:val="NormalIndented"/>
              <w:tabs>
                <w:tab w:val="center" w:pos="1013"/>
              </w:tabs>
              <w:ind w:left="0"/>
              <w:rPr>
                <w:rFonts w:asciiTheme="minorHAnsi" w:eastAsia="Times New Roman" w:hAnsiTheme="minorHAnsi"/>
                <w:iCs/>
                <w:szCs w:val="17"/>
                <w:lang w:eastAsia="en-US"/>
              </w:rPr>
            </w:pPr>
            <w:r>
              <w:rPr>
                <w:rFonts w:asciiTheme="minorHAnsi" w:eastAsia="Times New Roman" w:hAnsiTheme="minorHAnsi"/>
                <w:iCs/>
                <w:szCs w:val="17"/>
                <w:lang w:eastAsia="en-US"/>
              </w:rPr>
              <w:t xml:space="preserve"> </w:t>
            </w:r>
            <w:r w:rsidR="00B4365A">
              <w:rPr>
                <w:rFonts w:asciiTheme="minorHAnsi" w:eastAsia="Times New Roman" w:hAnsiTheme="minorHAnsi"/>
                <w:iCs/>
                <w:szCs w:val="17"/>
                <w:lang w:eastAsia="en-US"/>
              </w:rPr>
              <w:tab/>
              <w:t>TBA</w:t>
            </w:r>
            <w:r w:rsidR="00B4365A">
              <w:rPr>
                <w:rStyle w:val="FootnoteReference"/>
                <w:rFonts w:asciiTheme="minorHAnsi" w:eastAsia="Times New Roman" w:hAnsiTheme="minorHAnsi"/>
                <w:iCs/>
                <w:szCs w:val="17"/>
                <w:lang w:eastAsia="en-US"/>
              </w:rPr>
              <w:footnoteReference w:id="54"/>
            </w:r>
          </w:p>
          <w:p w14:paraId="103ED868" w14:textId="77777777" w:rsidR="00B4365A" w:rsidRDefault="00B4365A" w:rsidP="005C5277">
            <w:pPr>
              <w:pStyle w:val="NormalIndented"/>
              <w:ind w:left="33"/>
              <w:jc w:val="center"/>
              <w:rPr>
                <w:rFonts w:asciiTheme="minorHAnsi" w:eastAsia="Times New Roman" w:hAnsiTheme="minorHAnsi"/>
                <w:iCs/>
                <w:szCs w:val="17"/>
                <w:lang w:eastAsia="en-US"/>
              </w:rPr>
            </w:pPr>
          </w:p>
          <w:p w14:paraId="2426A973" w14:textId="45D8AF65" w:rsidR="005C5277" w:rsidRDefault="0050045F" w:rsidP="005C5277">
            <w:pPr>
              <w:pStyle w:val="NormalIndented"/>
              <w:ind w:left="33"/>
              <w:jc w:val="center"/>
              <w:rPr>
                <w:rFonts w:asciiTheme="minorHAnsi" w:eastAsia="Times New Roman" w:hAnsiTheme="minorHAnsi"/>
                <w:iCs/>
                <w:szCs w:val="17"/>
                <w:lang w:eastAsia="en-US"/>
              </w:rPr>
            </w:pPr>
            <w:r>
              <w:rPr>
                <w:rFonts w:asciiTheme="minorHAnsi" w:eastAsia="Times New Roman" w:hAnsiTheme="minorHAnsi"/>
                <w:iCs/>
                <w:szCs w:val="17"/>
                <w:lang w:eastAsia="en-US"/>
              </w:rPr>
              <w:t>TBA</w:t>
            </w:r>
            <w:r>
              <w:rPr>
                <w:rStyle w:val="FootnoteReference"/>
                <w:rFonts w:asciiTheme="minorHAnsi" w:eastAsia="Times New Roman" w:hAnsiTheme="minorHAnsi"/>
                <w:iCs/>
                <w:szCs w:val="17"/>
                <w:lang w:eastAsia="en-US"/>
              </w:rPr>
              <w:footnoteReference w:id="55"/>
            </w:r>
          </w:p>
          <w:p w14:paraId="3D965F6E" w14:textId="7BD13D2A" w:rsidR="0050045F" w:rsidRPr="00D533AD" w:rsidRDefault="0050045F" w:rsidP="005C5277">
            <w:pPr>
              <w:pStyle w:val="NormalIndented"/>
              <w:ind w:left="33"/>
              <w:jc w:val="center"/>
              <w:rPr>
                <w:rFonts w:asciiTheme="minorHAnsi" w:eastAsia="Times New Roman" w:hAnsiTheme="minorHAnsi"/>
                <w:iCs/>
                <w:szCs w:val="17"/>
                <w:lang w:eastAsia="en-US"/>
              </w:rPr>
            </w:pPr>
          </w:p>
        </w:tc>
        <w:tc>
          <w:tcPr>
            <w:tcW w:w="1017" w:type="pct"/>
            <w:tcBorders>
              <w:top w:val="nil"/>
              <w:left w:val="nil"/>
              <w:bottom w:val="nil"/>
              <w:right w:val="nil"/>
            </w:tcBorders>
          </w:tcPr>
          <w:p w14:paraId="4CD7C132" w14:textId="77777777" w:rsidR="005C5277" w:rsidRPr="003E3C28" w:rsidRDefault="00A43846" w:rsidP="00A43846">
            <w:pPr>
              <w:pStyle w:val="NormalIndented"/>
              <w:jc w:val="center"/>
              <w:rPr>
                <w:rFonts w:asciiTheme="minorHAnsi" w:eastAsia="Times New Roman" w:hAnsiTheme="minorHAnsi"/>
                <w:i/>
                <w:iCs/>
                <w:szCs w:val="17"/>
                <w:lang w:eastAsia="en-US"/>
              </w:rPr>
            </w:pPr>
            <w:r>
              <w:rPr>
                <w:rFonts w:asciiTheme="minorHAnsi" w:eastAsia="Times New Roman" w:hAnsiTheme="minorHAnsi"/>
                <w:i/>
                <w:iCs/>
                <w:szCs w:val="17"/>
                <w:lang w:eastAsia="en-US"/>
              </w:rPr>
              <w:t>TBA</w:t>
            </w:r>
          </w:p>
          <w:p w14:paraId="0C1B8AE3" w14:textId="77777777" w:rsidR="008F511F" w:rsidRPr="003E3C28" w:rsidRDefault="008F511F" w:rsidP="00A43846">
            <w:pPr>
              <w:pStyle w:val="NormalIndented"/>
              <w:jc w:val="center"/>
              <w:rPr>
                <w:rFonts w:asciiTheme="minorHAnsi" w:eastAsia="Times New Roman" w:hAnsiTheme="minorHAnsi"/>
                <w:i/>
                <w:iCs/>
                <w:szCs w:val="17"/>
                <w:lang w:eastAsia="en-US"/>
              </w:rPr>
            </w:pPr>
          </w:p>
          <w:p w14:paraId="17ABD346" w14:textId="77777777" w:rsidR="008F511F" w:rsidRPr="003E3C28" w:rsidRDefault="00A43846" w:rsidP="00A43846">
            <w:pPr>
              <w:pStyle w:val="NormalIndented"/>
              <w:jc w:val="center"/>
              <w:rPr>
                <w:rFonts w:asciiTheme="minorHAnsi" w:eastAsia="Times New Roman" w:hAnsiTheme="minorHAnsi"/>
                <w:i/>
                <w:iCs/>
                <w:szCs w:val="17"/>
                <w:lang w:eastAsia="en-US"/>
              </w:rPr>
            </w:pPr>
            <w:r>
              <w:rPr>
                <w:rFonts w:asciiTheme="minorHAnsi" w:eastAsia="Times New Roman" w:hAnsiTheme="minorHAnsi"/>
                <w:i/>
                <w:iCs/>
                <w:szCs w:val="17"/>
                <w:lang w:eastAsia="en-US"/>
              </w:rPr>
              <w:t>TBA</w:t>
            </w:r>
          </w:p>
          <w:p w14:paraId="35D4EFBC" w14:textId="77777777" w:rsidR="008F511F" w:rsidRPr="003E3C28" w:rsidRDefault="008F511F" w:rsidP="00A43846">
            <w:pPr>
              <w:pStyle w:val="NormalIndented"/>
              <w:jc w:val="center"/>
              <w:rPr>
                <w:rFonts w:asciiTheme="minorHAnsi" w:eastAsia="Times New Roman" w:hAnsiTheme="minorHAnsi"/>
                <w:i/>
                <w:iCs/>
                <w:szCs w:val="17"/>
                <w:lang w:eastAsia="en-US"/>
              </w:rPr>
            </w:pPr>
          </w:p>
          <w:p w14:paraId="56E7E343" w14:textId="77777777" w:rsidR="008F511F" w:rsidRPr="003E3C28" w:rsidRDefault="008F511F" w:rsidP="00783122">
            <w:pPr>
              <w:pStyle w:val="NormalIndented"/>
              <w:jc w:val="center"/>
              <w:rPr>
                <w:rFonts w:asciiTheme="minorHAnsi" w:eastAsia="Times New Roman" w:hAnsiTheme="minorHAnsi"/>
                <w:i/>
                <w:iCs/>
                <w:szCs w:val="17"/>
                <w:lang w:eastAsia="en-US"/>
              </w:rPr>
            </w:pPr>
          </w:p>
        </w:tc>
        <w:tc>
          <w:tcPr>
            <w:tcW w:w="873" w:type="pct"/>
            <w:tcBorders>
              <w:top w:val="nil"/>
              <w:left w:val="nil"/>
              <w:bottom w:val="nil"/>
              <w:right w:val="nil"/>
            </w:tcBorders>
          </w:tcPr>
          <w:p w14:paraId="1906539D" w14:textId="77777777" w:rsidR="005C5277" w:rsidRPr="003E3C28" w:rsidRDefault="00A43846" w:rsidP="00A43846">
            <w:pPr>
              <w:pStyle w:val="NormalIndented"/>
              <w:jc w:val="center"/>
              <w:rPr>
                <w:rFonts w:asciiTheme="minorHAnsi" w:eastAsia="Times New Roman" w:hAnsiTheme="minorHAnsi"/>
                <w:i/>
                <w:iCs/>
                <w:szCs w:val="17"/>
                <w:lang w:eastAsia="en-US"/>
              </w:rPr>
            </w:pPr>
            <w:r>
              <w:rPr>
                <w:rFonts w:asciiTheme="minorHAnsi" w:eastAsia="Times New Roman" w:hAnsiTheme="minorHAnsi"/>
                <w:i/>
                <w:iCs/>
                <w:szCs w:val="17"/>
                <w:lang w:eastAsia="en-US"/>
              </w:rPr>
              <w:t>TBA</w:t>
            </w:r>
          </w:p>
          <w:p w14:paraId="22C27272" w14:textId="77777777" w:rsidR="003E3C28" w:rsidRPr="003E3C28" w:rsidRDefault="003E3C28" w:rsidP="00A43846">
            <w:pPr>
              <w:pStyle w:val="NormalIndented"/>
              <w:jc w:val="center"/>
              <w:rPr>
                <w:rFonts w:asciiTheme="minorHAnsi" w:eastAsia="Times New Roman" w:hAnsiTheme="minorHAnsi"/>
                <w:i/>
                <w:iCs/>
                <w:szCs w:val="17"/>
                <w:lang w:eastAsia="en-US"/>
              </w:rPr>
            </w:pPr>
          </w:p>
          <w:p w14:paraId="18AD5309" w14:textId="77777777" w:rsidR="003E3C28" w:rsidRPr="003E3C28" w:rsidRDefault="00A43846" w:rsidP="00A43846">
            <w:pPr>
              <w:pStyle w:val="NormalIndented"/>
              <w:jc w:val="center"/>
              <w:rPr>
                <w:rFonts w:asciiTheme="minorHAnsi" w:eastAsia="Times New Roman" w:hAnsiTheme="minorHAnsi"/>
                <w:i/>
                <w:iCs/>
                <w:szCs w:val="17"/>
                <w:lang w:eastAsia="en-US"/>
              </w:rPr>
            </w:pPr>
            <w:r>
              <w:rPr>
                <w:rFonts w:asciiTheme="minorHAnsi" w:eastAsia="Times New Roman" w:hAnsiTheme="minorHAnsi"/>
                <w:i/>
                <w:iCs/>
                <w:szCs w:val="17"/>
                <w:lang w:eastAsia="en-US"/>
              </w:rPr>
              <w:t>TBA</w:t>
            </w:r>
          </w:p>
          <w:p w14:paraId="4C574F05" w14:textId="77777777" w:rsidR="003E3C28" w:rsidRPr="003E3C28" w:rsidRDefault="003E3C28" w:rsidP="00A43846">
            <w:pPr>
              <w:pStyle w:val="NormalIndented"/>
              <w:jc w:val="center"/>
              <w:rPr>
                <w:rFonts w:asciiTheme="minorHAnsi" w:eastAsia="Times New Roman" w:hAnsiTheme="minorHAnsi"/>
                <w:i/>
                <w:iCs/>
                <w:szCs w:val="17"/>
                <w:lang w:eastAsia="en-US"/>
              </w:rPr>
            </w:pPr>
          </w:p>
          <w:p w14:paraId="4A1FC10A" w14:textId="77777777" w:rsidR="003E3C28" w:rsidRPr="003E3C28" w:rsidRDefault="003E3C28" w:rsidP="00783122">
            <w:pPr>
              <w:pStyle w:val="NormalIndented"/>
              <w:jc w:val="center"/>
              <w:rPr>
                <w:i/>
                <w:color w:val="808080" w:themeColor="background1" w:themeShade="80"/>
                <w:szCs w:val="20"/>
              </w:rPr>
            </w:pPr>
          </w:p>
        </w:tc>
      </w:tr>
      <w:tr w:rsidR="005C5277" w14:paraId="4767BDFD" w14:textId="77777777" w:rsidTr="007B4865">
        <w:trPr>
          <w:trHeight w:val="984"/>
        </w:trPr>
        <w:tc>
          <w:tcPr>
            <w:tcW w:w="801" w:type="pct"/>
            <w:tcBorders>
              <w:top w:val="nil"/>
              <w:left w:val="nil"/>
              <w:bottom w:val="nil"/>
              <w:right w:val="nil"/>
            </w:tcBorders>
          </w:tcPr>
          <w:p w14:paraId="3569A0F2" w14:textId="77777777" w:rsidR="005C5277" w:rsidRPr="00D533AD" w:rsidRDefault="005C5277" w:rsidP="005C5277">
            <w:pPr>
              <w:pStyle w:val="NormalIndented"/>
              <w:rPr>
                <w:rFonts w:eastAsia="Times New Roman"/>
                <w:i/>
                <w:iCs/>
                <w:szCs w:val="17"/>
                <w:lang w:val="en-US"/>
              </w:rPr>
            </w:pPr>
          </w:p>
        </w:tc>
        <w:tc>
          <w:tcPr>
            <w:tcW w:w="1509" w:type="pct"/>
            <w:tcBorders>
              <w:top w:val="nil"/>
              <w:left w:val="nil"/>
              <w:bottom w:val="nil"/>
              <w:right w:val="nil"/>
            </w:tcBorders>
          </w:tcPr>
          <w:p w14:paraId="305042C6" w14:textId="77777777" w:rsidR="005C5277" w:rsidRPr="00D533AD" w:rsidRDefault="005C5277" w:rsidP="005C5277">
            <w:pPr>
              <w:pStyle w:val="NormalIndented"/>
              <w:rPr>
                <w:rFonts w:eastAsia="Times New Roman"/>
                <w:iCs/>
                <w:szCs w:val="17"/>
              </w:rPr>
            </w:pPr>
            <w:r w:rsidRPr="00D533AD">
              <w:rPr>
                <w:rFonts w:asciiTheme="minorHAnsi" w:eastAsia="Times New Roman" w:hAnsiTheme="minorHAnsi"/>
                <w:iCs/>
                <w:szCs w:val="17"/>
                <w:lang w:eastAsia="en-US"/>
              </w:rPr>
              <w:t>At least 50% of scholarships in each intake awarded to women</w:t>
            </w:r>
          </w:p>
        </w:tc>
        <w:tc>
          <w:tcPr>
            <w:tcW w:w="800" w:type="pct"/>
            <w:tcBorders>
              <w:top w:val="nil"/>
              <w:left w:val="nil"/>
              <w:bottom w:val="nil"/>
              <w:right w:val="nil"/>
            </w:tcBorders>
          </w:tcPr>
          <w:p w14:paraId="121E7E20" w14:textId="77777777" w:rsidR="005C5277" w:rsidRDefault="005C5277" w:rsidP="005C5277">
            <w:pPr>
              <w:pStyle w:val="NormalIndented"/>
              <w:ind w:left="33"/>
              <w:jc w:val="center"/>
              <w:rPr>
                <w:rFonts w:eastAsia="Times New Roman"/>
                <w:iCs/>
                <w:szCs w:val="17"/>
              </w:rPr>
            </w:pPr>
            <w:r w:rsidRPr="00821DA0">
              <w:rPr>
                <w:rFonts w:asciiTheme="minorHAnsi" w:eastAsia="Times New Roman" w:hAnsiTheme="minorHAnsi"/>
                <w:iCs/>
                <w:szCs w:val="17"/>
                <w:lang w:eastAsia="en-US"/>
              </w:rPr>
              <w:t>50%</w:t>
            </w:r>
          </w:p>
        </w:tc>
        <w:tc>
          <w:tcPr>
            <w:tcW w:w="1017" w:type="pct"/>
            <w:tcBorders>
              <w:top w:val="nil"/>
              <w:left w:val="nil"/>
              <w:bottom w:val="nil"/>
              <w:right w:val="nil"/>
            </w:tcBorders>
          </w:tcPr>
          <w:p w14:paraId="36D93D16" w14:textId="77777777" w:rsidR="005C5277" w:rsidRPr="003E3C28" w:rsidRDefault="00A43846" w:rsidP="00A43846">
            <w:pPr>
              <w:pStyle w:val="NormalIndented"/>
              <w:jc w:val="center"/>
              <w:rPr>
                <w:rFonts w:eastAsia="Times New Roman"/>
                <w:i/>
                <w:iCs/>
                <w:szCs w:val="17"/>
              </w:rPr>
            </w:pPr>
            <w:r>
              <w:rPr>
                <w:rFonts w:asciiTheme="minorHAnsi" w:eastAsia="Times New Roman" w:hAnsiTheme="minorHAnsi"/>
                <w:i/>
                <w:iCs/>
                <w:szCs w:val="17"/>
                <w:lang w:eastAsia="en-US"/>
              </w:rPr>
              <w:t>TBA</w:t>
            </w:r>
          </w:p>
        </w:tc>
        <w:tc>
          <w:tcPr>
            <w:tcW w:w="873" w:type="pct"/>
            <w:tcBorders>
              <w:top w:val="nil"/>
              <w:left w:val="nil"/>
              <w:bottom w:val="nil"/>
              <w:right w:val="nil"/>
            </w:tcBorders>
          </w:tcPr>
          <w:p w14:paraId="470935F4" w14:textId="77777777" w:rsidR="005C5277" w:rsidRPr="00A43846" w:rsidRDefault="00A43846" w:rsidP="00A43846">
            <w:pPr>
              <w:pStyle w:val="NormalIndented"/>
              <w:jc w:val="center"/>
              <w:rPr>
                <w:rFonts w:asciiTheme="minorHAnsi" w:eastAsia="Times New Roman" w:hAnsiTheme="minorHAnsi"/>
                <w:i/>
                <w:iCs/>
                <w:szCs w:val="17"/>
                <w:lang w:eastAsia="en-US"/>
              </w:rPr>
            </w:pPr>
            <w:r>
              <w:rPr>
                <w:rFonts w:asciiTheme="minorHAnsi" w:eastAsia="Times New Roman" w:hAnsiTheme="minorHAnsi"/>
                <w:i/>
                <w:iCs/>
                <w:szCs w:val="17"/>
                <w:lang w:eastAsia="en-US"/>
              </w:rPr>
              <w:t>TBA</w:t>
            </w:r>
          </w:p>
        </w:tc>
      </w:tr>
      <w:tr w:rsidR="005C5277" w14:paraId="3C333469" w14:textId="77777777" w:rsidTr="007B4865">
        <w:trPr>
          <w:trHeight w:val="984"/>
        </w:trPr>
        <w:tc>
          <w:tcPr>
            <w:tcW w:w="801" w:type="pct"/>
            <w:tcBorders>
              <w:top w:val="nil"/>
              <w:left w:val="nil"/>
              <w:bottom w:val="nil"/>
              <w:right w:val="nil"/>
            </w:tcBorders>
          </w:tcPr>
          <w:p w14:paraId="71F05F69" w14:textId="77777777" w:rsidR="005C5277" w:rsidRPr="00D533AD" w:rsidRDefault="005C5277" w:rsidP="005C5277">
            <w:pPr>
              <w:pStyle w:val="NormalIndented"/>
              <w:rPr>
                <w:rFonts w:asciiTheme="minorHAnsi" w:eastAsia="Times New Roman" w:hAnsiTheme="minorHAnsi"/>
                <w:iCs/>
                <w:szCs w:val="17"/>
                <w:lang w:eastAsia="en-US"/>
              </w:rPr>
            </w:pPr>
            <w:r w:rsidRPr="00D533AD">
              <w:rPr>
                <w:rFonts w:asciiTheme="minorHAnsi" w:eastAsia="Times New Roman" w:hAnsiTheme="minorHAnsi"/>
                <w:iCs/>
                <w:szCs w:val="17"/>
                <w:lang w:eastAsia="en-US"/>
              </w:rPr>
              <w:t>Build resilience by reducing vulnerability and improving inclusion in the growing economy</w:t>
            </w:r>
            <w:r w:rsidRPr="006D3BE0">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 xml:space="preserve">AIP </w:t>
            </w:r>
            <w:r w:rsidRPr="00880004">
              <w:rPr>
                <w:rFonts w:asciiTheme="minorHAnsi" w:eastAsia="Times New Roman" w:hAnsiTheme="minorHAnsi"/>
                <w:iCs/>
                <w:szCs w:val="17"/>
                <w:lang w:eastAsia="en-US"/>
              </w:rPr>
              <w:t xml:space="preserve">Strategic Objective </w:t>
            </w:r>
          </w:p>
        </w:tc>
        <w:tc>
          <w:tcPr>
            <w:tcW w:w="1509" w:type="pct"/>
            <w:tcBorders>
              <w:top w:val="nil"/>
              <w:left w:val="nil"/>
              <w:bottom w:val="nil"/>
              <w:right w:val="nil"/>
            </w:tcBorders>
          </w:tcPr>
          <w:p w14:paraId="2D892A71" w14:textId="77777777" w:rsidR="005C5277" w:rsidRPr="00D533AD" w:rsidRDefault="005C5277" w:rsidP="005C5277">
            <w:pPr>
              <w:pStyle w:val="NormalIndented"/>
              <w:rPr>
                <w:rFonts w:asciiTheme="minorHAnsi" w:eastAsia="Times New Roman" w:hAnsiTheme="minorHAnsi"/>
                <w:iCs/>
                <w:szCs w:val="17"/>
                <w:lang w:eastAsia="en-US"/>
              </w:rPr>
            </w:pPr>
            <w:r>
              <w:rPr>
                <w:rFonts w:asciiTheme="minorHAnsi" w:eastAsia="Times New Roman" w:hAnsiTheme="minorHAnsi"/>
                <w:iCs/>
                <w:szCs w:val="17"/>
                <w:lang w:eastAsia="en-US"/>
              </w:rPr>
              <w:t>The n</w:t>
            </w:r>
            <w:r w:rsidRPr="00D533AD">
              <w:rPr>
                <w:rFonts w:asciiTheme="minorHAnsi" w:eastAsia="Times New Roman" w:hAnsiTheme="minorHAnsi"/>
                <w:iCs/>
                <w:szCs w:val="17"/>
                <w:lang w:eastAsia="en-US"/>
              </w:rPr>
              <w:t>umber of women and their households graduating from our partners’ livelihood programs</w:t>
            </w:r>
            <w:r w:rsidRPr="006D3BE0">
              <w:rPr>
                <w:rFonts w:asciiTheme="minorHAnsi" w:eastAsia="Times New Roman" w:hAnsiTheme="minorHAnsi"/>
                <w:iCs/>
                <w:szCs w:val="17"/>
                <w:lang w:eastAsia="en-US"/>
              </w:rPr>
              <w:t xml:space="preserve"> </w:t>
            </w:r>
          </w:p>
        </w:tc>
        <w:tc>
          <w:tcPr>
            <w:tcW w:w="800" w:type="pct"/>
            <w:tcBorders>
              <w:top w:val="nil"/>
              <w:left w:val="nil"/>
              <w:bottom w:val="nil"/>
              <w:right w:val="nil"/>
            </w:tcBorders>
            <w:hideMark/>
          </w:tcPr>
          <w:p w14:paraId="022E0F17" w14:textId="3390767A" w:rsidR="005C5277" w:rsidRPr="00D533AD" w:rsidRDefault="00DF5A40" w:rsidP="005C5277">
            <w:pPr>
              <w:pStyle w:val="NormalIndented"/>
              <w:ind w:left="33"/>
              <w:jc w:val="center"/>
              <w:rPr>
                <w:rFonts w:asciiTheme="minorHAnsi" w:eastAsia="Times New Roman" w:hAnsiTheme="minorHAnsi"/>
                <w:iCs/>
                <w:szCs w:val="17"/>
                <w:lang w:eastAsia="en-US"/>
              </w:rPr>
            </w:pPr>
            <w:r>
              <w:rPr>
                <w:rFonts w:asciiTheme="minorHAnsi" w:eastAsia="Times New Roman" w:hAnsiTheme="minorHAnsi"/>
                <w:iCs/>
                <w:szCs w:val="17"/>
                <w:lang w:eastAsia="en-US"/>
              </w:rPr>
              <w:t>TBA</w:t>
            </w:r>
            <w:r w:rsidR="005C5277" w:rsidRPr="00D533AD">
              <w:rPr>
                <w:rFonts w:asciiTheme="minorHAnsi" w:eastAsia="Times New Roman" w:hAnsiTheme="minorHAnsi"/>
                <w:iCs/>
                <w:szCs w:val="17"/>
                <w:lang w:eastAsia="en-US"/>
              </w:rPr>
              <w:t xml:space="preserve"> </w:t>
            </w:r>
          </w:p>
        </w:tc>
        <w:tc>
          <w:tcPr>
            <w:tcW w:w="1017" w:type="pct"/>
            <w:tcBorders>
              <w:top w:val="nil"/>
              <w:left w:val="nil"/>
              <w:bottom w:val="nil"/>
              <w:right w:val="nil"/>
            </w:tcBorders>
            <w:hideMark/>
          </w:tcPr>
          <w:p w14:paraId="3C059742" w14:textId="77777777" w:rsidR="005C5277" w:rsidRPr="003E3C28" w:rsidRDefault="00A43846" w:rsidP="00A43846">
            <w:pPr>
              <w:pStyle w:val="NormalIndented"/>
              <w:jc w:val="center"/>
              <w:rPr>
                <w:rFonts w:asciiTheme="minorHAnsi" w:eastAsia="Times New Roman" w:hAnsiTheme="minorHAnsi"/>
                <w:i/>
                <w:iCs/>
                <w:szCs w:val="17"/>
                <w:lang w:eastAsia="en-US"/>
              </w:rPr>
            </w:pPr>
            <w:r>
              <w:rPr>
                <w:rFonts w:asciiTheme="minorHAnsi" w:eastAsia="Times New Roman" w:hAnsiTheme="minorHAnsi"/>
                <w:i/>
                <w:iCs/>
                <w:szCs w:val="17"/>
                <w:lang w:eastAsia="en-US"/>
              </w:rPr>
              <w:t>TBA</w:t>
            </w:r>
          </w:p>
        </w:tc>
        <w:tc>
          <w:tcPr>
            <w:tcW w:w="873" w:type="pct"/>
            <w:tcBorders>
              <w:top w:val="nil"/>
              <w:left w:val="nil"/>
              <w:bottom w:val="nil"/>
              <w:right w:val="nil"/>
            </w:tcBorders>
            <w:hideMark/>
          </w:tcPr>
          <w:p w14:paraId="3D8897C5" w14:textId="77777777" w:rsidR="005C5277" w:rsidRPr="00A43846" w:rsidRDefault="00A43846" w:rsidP="00A43846">
            <w:pPr>
              <w:pStyle w:val="NormalIndented"/>
              <w:jc w:val="center"/>
              <w:rPr>
                <w:rFonts w:asciiTheme="minorHAnsi" w:eastAsia="Times New Roman" w:hAnsiTheme="minorHAnsi"/>
                <w:i/>
                <w:iCs/>
                <w:szCs w:val="17"/>
                <w:lang w:eastAsia="en-US"/>
              </w:rPr>
            </w:pPr>
            <w:r>
              <w:rPr>
                <w:rFonts w:asciiTheme="minorHAnsi" w:eastAsia="Times New Roman" w:hAnsiTheme="minorHAnsi"/>
                <w:i/>
                <w:iCs/>
                <w:szCs w:val="17"/>
                <w:lang w:eastAsia="en-US"/>
              </w:rPr>
              <w:t>TBA</w:t>
            </w:r>
          </w:p>
        </w:tc>
      </w:tr>
      <w:tr w:rsidR="007B4865" w14:paraId="6DD4300B" w14:textId="77777777" w:rsidTr="00D533AD">
        <w:trPr>
          <w:trHeight w:val="614"/>
        </w:trPr>
        <w:tc>
          <w:tcPr>
            <w:tcW w:w="801" w:type="pct"/>
            <w:tcBorders>
              <w:top w:val="nil"/>
              <w:left w:val="nil"/>
              <w:bottom w:val="nil"/>
              <w:right w:val="nil"/>
            </w:tcBorders>
          </w:tcPr>
          <w:p w14:paraId="136E83CD" w14:textId="77777777" w:rsidR="007B4865" w:rsidRPr="00D533AD" w:rsidRDefault="007B4865" w:rsidP="007B4865">
            <w:pPr>
              <w:pStyle w:val="NormalIndented"/>
              <w:rPr>
                <w:rFonts w:asciiTheme="minorHAnsi" w:eastAsia="Times New Roman" w:hAnsiTheme="minorHAnsi"/>
                <w:iCs/>
                <w:szCs w:val="17"/>
                <w:lang w:eastAsia="en-US"/>
              </w:rPr>
            </w:pPr>
          </w:p>
        </w:tc>
        <w:tc>
          <w:tcPr>
            <w:tcW w:w="1509" w:type="pct"/>
            <w:tcBorders>
              <w:top w:val="nil"/>
              <w:left w:val="nil"/>
              <w:bottom w:val="nil"/>
              <w:right w:val="nil"/>
            </w:tcBorders>
          </w:tcPr>
          <w:p w14:paraId="11C31948" w14:textId="77777777" w:rsidR="005C5277" w:rsidRPr="00D533AD" w:rsidRDefault="005C5277" w:rsidP="005C5277">
            <w:pPr>
              <w:pStyle w:val="NormalIndented"/>
              <w:rPr>
                <w:rFonts w:asciiTheme="minorHAnsi" w:eastAsia="Times New Roman" w:hAnsiTheme="minorHAnsi"/>
                <w:iCs/>
                <w:szCs w:val="17"/>
                <w:lang w:eastAsia="en-US"/>
              </w:rPr>
            </w:pPr>
            <w:r w:rsidRPr="00D533AD">
              <w:rPr>
                <w:rFonts w:asciiTheme="minorHAnsi" w:eastAsia="Times New Roman" w:hAnsiTheme="minorHAnsi"/>
                <w:iCs/>
                <w:szCs w:val="17"/>
                <w:lang w:eastAsia="en-US"/>
              </w:rPr>
              <w:t>Number of women and their households  able to access social transfers</w:t>
            </w:r>
          </w:p>
        </w:tc>
        <w:tc>
          <w:tcPr>
            <w:tcW w:w="800" w:type="pct"/>
            <w:tcBorders>
              <w:top w:val="nil"/>
              <w:left w:val="nil"/>
              <w:bottom w:val="nil"/>
              <w:right w:val="nil"/>
            </w:tcBorders>
          </w:tcPr>
          <w:p w14:paraId="04AD8F6A" w14:textId="481DE82F" w:rsidR="007B4865" w:rsidRPr="00D533AD" w:rsidRDefault="00DF5A40" w:rsidP="007B4865">
            <w:pPr>
              <w:pStyle w:val="NormalIndented"/>
              <w:ind w:left="33"/>
              <w:jc w:val="center"/>
              <w:rPr>
                <w:rFonts w:asciiTheme="minorHAnsi" w:eastAsia="Times New Roman" w:hAnsiTheme="minorHAnsi"/>
                <w:iCs/>
                <w:szCs w:val="17"/>
                <w:lang w:eastAsia="en-US"/>
              </w:rPr>
            </w:pPr>
            <w:r>
              <w:rPr>
                <w:rFonts w:asciiTheme="minorHAnsi" w:eastAsia="Times New Roman" w:hAnsiTheme="minorHAnsi"/>
                <w:iCs/>
                <w:szCs w:val="17"/>
                <w:lang w:eastAsia="en-US"/>
              </w:rPr>
              <w:t>TBA</w:t>
            </w:r>
            <w:r w:rsidR="006D3BE0" w:rsidRPr="00D533AD">
              <w:rPr>
                <w:rFonts w:asciiTheme="minorHAnsi" w:eastAsia="Times New Roman" w:hAnsiTheme="minorHAnsi"/>
                <w:iCs/>
                <w:szCs w:val="17"/>
                <w:lang w:eastAsia="en-US"/>
              </w:rPr>
              <w:t xml:space="preserve"> </w:t>
            </w:r>
          </w:p>
        </w:tc>
        <w:tc>
          <w:tcPr>
            <w:tcW w:w="1017" w:type="pct"/>
            <w:tcBorders>
              <w:top w:val="nil"/>
              <w:left w:val="nil"/>
              <w:bottom w:val="nil"/>
              <w:right w:val="nil"/>
            </w:tcBorders>
          </w:tcPr>
          <w:p w14:paraId="11638816" w14:textId="77777777" w:rsidR="007B4865" w:rsidRPr="003E3C28" w:rsidRDefault="00A43846" w:rsidP="00A43846">
            <w:pPr>
              <w:pStyle w:val="NormalIndented"/>
              <w:jc w:val="center"/>
              <w:rPr>
                <w:rFonts w:asciiTheme="minorHAnsi" w:eastAsia="Times New Roman" w:hAnsiTheme="minorHAnsi"/>
                <w:i/>
                <w:iCs/>
                <w:szCs w:val="17"/>
                <w:lang w:eastAsia="en-US"/>
              </w:rPr>
            </w:pPr>
            <w:r>
              <w:rPr>
                <w:rFonts w:asciiTheme="minorHAnsi" w:eastAsia="Times New Roman" w:hAnsiTheme="minorHAnsi"/>
                <w:i/>
                <w:iCs/>
                <w:szCs w:val="17"/>
                <w:lang w:eastAsia="en-US"/>
              </w:rPr>
              <w:t>TBA</w:t>
            </w:r>
          </w:p>
        </w:tc>
        <w:tc>
          <w:tcPr>
            <w:tcW w:w="873" w:type="pct"/>
            <w:tcBorders>
              <w:top w:val="nil"/>
              <w:left w:val="nil"/>
              <w:bottom w:val="nil"/>
              <w:right w:val="nil"/>
            </w:tcBorders>
          </w:tcPr>
          <w:p w14:paraId="32687EC6" w14:textId="77777777" w:rsidR="007B4865" w:rsidRPr="00A43846" w:rsidRDefault="00A43846" w:rsidP="00A43846">
            <w:pPr>
              <w:pStyle w:val="NormalIndented"/>
              <w:jc w:val="center"/>
              <w:rPr>
                <w:rFonts w:asciiTheme="minorHAnsi" w:eastAsia="Times New Roman" w:hAnsiTheme="minorHAnsi"/>
                <w:i/>
                <w:iCs/>
                <w:szCs w:val="17"/>
                <w:lang w:eastAsia="en-US"/>
              </w:rPr>
            </w:pPr>
            <w:r>
              <w:rPr>
                <w:rFonts w:asciiTheme="minorHAnsi" w:eastAsia="Times New Roman" w:hAnsiTheme="minorHAnsi"/>
                <w:i/>
                <w:iCs/>
                <w:szCs w:val="17"/>
                <w:lang w:eastAsia="en-US"/>
              </w:rPr>
              <w:t>TBA</w:t>
            </w:r>
          </w:p>
        </w:tc>
      </w:tr>
      <w:tr w:rsidR="00D533AD" w14:paraId="5EA1EFB1" w14:textId="77777777" w:rsidTr="00320251">
        <w:trPr>
          <w:trHeight w:val="614"/>
        </w:trPr>
        <w:tc>
          <w:tcPr>
            <w:tcW w:w="801" w:type="pct"/>
            <w:tcBorders>
              <w:top w:val="nil"/>
              <w:left w:val="nil"/>
              <w:bottom w:val="single" w:sz="12" w:space="0" w:color="auto"/>
              <w:right w:val="nil"/>
            </w:tcBorders>
          </w:tcPr>
          <w:p w14:paraId="00440618" w14:textId="77777777" w:rsidR="005C5277" w:rsidRDefault="005C5277" w:rsidP="00D533AD">
            <w:pPr>
              <w:pStyle w:val="NormalIndented"/>
              <w:rPr>
                <w:rFonts w:asciiTheme="minorHAnsi" w:eastAsia="Times New Roman" w:hAnsiTheme="minorHAnsi"/>
                <w:iCs/>
                <w:szCs w:val="17"/>
                <w:lang w:eastAsia="en-US"/>
              </w:rPr>
            </w:pPr>
          </w:p>
          <w:p w14:paraId="4CAA7001" w14:textId="77777777" w:rsidR="00D533AD" w:rsidRPr="00D533AD" w:rsidRDefault="00D533AD" w:rsidP="00D533AD">
            <w:pPr>
              <w:pStyle w:val="NormalIndented"/>
              <w:rPr>
                <w:rFonts w:asciiTheme="minorHAnsi" w:eastAsia="Times New Roman" w:hAnsiTheme="minorHAnsi"/>
                <w:iCs/>
                <w:szCs w:val="17"/>
                <w:lang w:eastAsia="en-US"/>
              </w:rPr>
            </w:pPr>
            <w:r w:rsidRPr="00D533AD">
              <w:rPr>
                <w:rFonts w:asciiTheme="minorHAnsi" w:eastAsia="Times New Roman" w:hAnsiTheme="minorHAnsi"/>
                <w:iCs/>
                <w:szCs w:val="17"/>
                <w:lang w:eastAsia="en-US"/>
              </w:rPr>
              <w:t>Program Management</w:t>
            </w:r>
          </w:p>
          <w:p w14:paraId="4197B36D" w14:textId="77777777" w:rsidR="00D533AD" w:rsidRPr="00D533AD" w:rsidRDefault="00D533AD" w:rsidP="007B4865">
            <w:pPr>
              <w:pStyle w:val="NormalIndented"/>
              <w:rPr>
                <w:rFonts w:eastAsia="Times New Roman"/>
                <w:iCs/>
                <w:szCs w:val="17"/>
              </w:rPr>
            </w:pPr>
          </w:p>
        </w:tc>
        <w:tc>
          <w:tcPr>
            <w:tcW w:w="1509" w:type="pct"/>
            <w:tcBorders>
              <w:top w:val="nil"/>
              <w:left w:val="nil"/>
              <w:bottom w:val="single" w:sz="12" w:space="0" w:color="auto"/>
              <w:right w:val="nil"/>
            </w:tcBorders>
          </w:tcPr>
          <w:p w14:paraId="73CB3563" w14:textId="77777777" w:rsidR="005C5277" w:rsidRDefault="005C5277" w:rsidP="007B4865">
            <w:pPr>
              <w:pStyle w:val="NormalIndented"/>
              <w:rPr>
                <w:rFonts w:asciiTheme="minorHAnsi" w:eastAsia="Times New Roman" w:hAnsiTheme="minorHAnsi"/>
                <w:iCs/>
                <w:szCs w:val="17"/>
                <w:lang w:eastAsia="en-US"/>
              </w:rPr>
            </w:pPr>
          </w:p>
          <w:p w14:paraId="55CBFA2B" w14:textId="77777777" w:rsidR="00D533AD" w:rsidRPr="00D533AD" w:rsidRDefault="00D533AD" w:rsidP="007B4865">
            <w:pPr>
              <w:pStyle w:val="NormalIndented"/>
              <w:rPr>
                <w:rFonts w:eastAsia="Times New Roman"/>
                <w:iCs/>
                <w:szCs w:val="17"/>
              </w:rPr>
            </w:pPr>
            <w:r w:rsidRPr="00D533AD">
              <w:rPr>
                <w:rFonts w:asciiTheme="minorHAnsi" w:eastAsia="Times New Roman" w:hAnsiTheme="minorHAnsi"/>
                <w:iCs/>
                <w:szCs w:val="17"/>
                <w:lang w:eastAsia="en-US"/>
              </w:rPr>
              <w:t>Reducing the number of investments to deliver a targeted, efficient aid program</w:t>
            </w:r>
          </w:p>
        </w:tc>
        <w:tc>
          <w:tcPr>
            <w:tcW w:w="800" w:type="pct"/>
            <w:tcBorders>
              <w:top w:val="nil"/>
              <w:left w:val="nil"/>
              <w:bottom w:val="single" w:sz="12" w:space="0" w:color="auto"/>
              <w:right w:val="nil"/>
            </w:tcBorders>
          </w:tcPr>
          <w:p w14:paraId="0D493058" w14:textId="77777777" w:rsidR="005C5277" w:rsidRDefault="005C5277" w:rsidP="007B4865">
            <w:pPr>
              <w:pStyle w:val="NormalIndented"/>
              <w:ind w:left="33"/>
              <w:jc w:val="center"/>
              <w:rPr>
                <w:rFonts w:eastAsia="Times New Roman"/>
                <w:iCs/>
                <w:szCs w:val="17"/>
              </w:rPr>
            </w:pPr>
          </w:p>
          <w:p w14:paraId="4BD068F3" w14:textId="77777777" w:rsidR="00D533AD" w:rsidRPr="00D533AD" w:rsidRDefault="00D533AD" w:rsidP="007B4865">
            <w:pPr>
              <w:pStyle w:val="NormalIndented"/>
              <w:ind w:left="33"/>
              <w:jc w:val="center"/>
              <w:rPr>
                <w:rFonts w:eastAsia="Times New Roman"/>
                <w:iCs/>
                <w:szCs w:val="17"/>
              </w:rPr>
            </w:pPr>
            <w:r w:rsidRPr="003E3C28">
              <w:rPr>
                <w:rFonts w:asciiTheme="minorHAnsi" w:eastAsia="Times New Roman" w:hAnsiTheme="minorHAnsi"/>
                <w:iCs/>
                <w:szCs w:val="17"/>
                <w:lang w:eastAsia="en-US"/>
              </w:rPr>
              <w:t>&lt;9</w:t>
            </w:r>
          </w:p>
        </w:tc>
        <w:tc>
          <w:tcPr>
            <w:tcW w:w="1017" w:type="pct"/>
            <w:tcBorders>
              <w:top w:val="nil"/>
              <w:left w:val="nil"/>
              <w:bottom w:val="single" w:sz="12" w:space="0" w:color="auto"/>
              <w:right w:val="nil"/>
            </w:tcBorders>
          </w:tcPr>
          <w:p w14:paraId="155708F9" w14:textId="77777777" w:rsidR="00D533AD" w:rsidRPr="003E3C28" w:rsidRDefault="00D533AD" w:rsidP="00A43846">
            <w:pPr>
              <w:pStyle w:val="NormalIndented"/>
              <w:ind w:left="33"/>
              <w:jc w:val="center"/>
              <w:rPr>
                <w:rFonts w:eastAsia="Times New Roman"/>
                <w:i/>
                <w:iCs/>
                <w:szCs w:val="17"/>
              </w:rPr>
            </w:pPr>
          </w:p>
          <w:p w14:paraId="46FFF200" w14:textId="77777777" w:rsidR="00821DA0" w:rsidRPr="003E3C28" w:rsidRDefault="00A43846" w:rsidP="00A43846">
            <w:pPr>
              <w:pStyle w:val="NormalIndented"/>
              <w:jc w:val="center"/>
              <w:rPr>
                <w:rFonts w:eastAsia="Times New Roman"/>
                <w:i/>
                <w:iCs/>
                <w:szCs w:val="17"/>
              </w:rPr>
            </w:pPr>
            <w:r>
              <w:rPr>
                <w:rFonts w:asciiTheme="minorHAnsi" w:eastAsia="Times New Roman" w:hAnsiTheme="minorHAnsi"/>
                <w:i/>
                <w:iCs/>
                <w:szCs w:val="17"/>
                <w:lang w:eastAsia="en-US"/>
              </w:rPr>
              <w:t>TBA</w:t>
            </w:r>
          </w:p>
        </w:tc>
        <w:tc>
          <w:tcPr>
            <w:tcW w:w="873" w:type="pct"/>
            <w:tcBorders>
              <w:top w:val="nil"/>
              <w:left w:val="nil"/>
              <w:bottom w:val="single" w:sz="12" w:space="0" w:color="auto"/>
              <w:right w:val="nil"/>
            </w:tcBorders>
          </w:tcPr>
          <w:p w14:paraId="63F3D705" w14:textId="77777777" w:rsidR="003E3C28" w:rsidRPr="00A43846" w:rsidRDefault="003E3C28" w:rsidP="00A43846">
            <w:pPr>
              <w:pStyle w:val="NormalIndented"/>
              <w:jc w:val="center"/>
              <w:rPr>
                <w:rFonts w:asciiTheme="minorHAnsi" w:eastAsia="Times New Roman" w:hAnsiTheme="minorHAnsi"/>
                <w:i/>
                <w:iCs/>
                <w:szCs w:val="17"/>
                <w:lang w:eastAsia="en-US"/>
              </w:rPr>
            </w:pPr>
          </w:p>
          <w:p w14:paraId="1C8CBFAC" w14:textId="77777777" w:rsidR="00D533AD" w:rsidRPr="00A43846" w:rsidRDefault="00A43846" w:rsidP="00A43846">
            <w:pPr>
              <w:pStyle w:val="NormalIndented"/>
              <w:jc w:val="center"/>
              <w:rPr>
                <w:rFonts w:asciiTheme="minorHAnsi" w:eastAsia="Times New Roman" w:hAnsiTheme="minorHAnsi"/>
                <w:i/>
                <w:iCs/>
                <w:szCs w:val="17"/>
                <w:lang w:eastAsia="en-US"/>
              </w:rPr>
            </w:pPr>
            <w:r>
              <w:rPr>
                <w:rFonts w:asciiTheme="minorHAnsi" w:eastAsia="Times New Roman" w:hAnsiTheme="minorHAnsi"/>
                <w:i/>
                <w:iCs/>
                <w:szCs w:val="17"/>
                <w:lang w:eastAsia="en-US"/>
              </w:rPr>
              <w:t>TBA</w:t>
            </w:r>
          </w:p>
        </w:tc>
      </w:tr>
    </w:tbl>
    <w:p w14:paraId="05753AB6" w14:textId="77777777" w:rsidR="00400B0F" w:rsidRDefault="00400B0F">
      <w:pPr>
        <w:suppressAutoHyphens w:val="0"/>
        <w:spacing w:before="0" w:after="120" w:line="440" w:lineRule="atLeast"/>
        <w:rPr>
          <w:rFonts w:ascii="Franklin Gothic Book" w:eastAsia="Times New Roman" w:hAnsi="Franklin Gothic Book"/>
          <w:sz w:val="21"/>
        </w:rPr>
      </w:pPr>
      <w:r>
        <w:rPr>
          <w:rFonts w:ascii="Franklin Gothic Book" w:eastAsia="Times New Roman" w:hAnsi="Franklin Gothic Book"/>
          <w:sz w:val="21"/>
        </w:rPr>
        <w:br w:type="page"/>
      </w:r>
    </w:p>
    <w:p w14:paraId="7D5A10AF" w14:textId="77777777" w:rsidR="00400B0F" w:rsidRPr="00DA620C" w:rsidRDefault="00400B0F" w:rsidP="00784031">
      <w:pPr>
        <w:pStyle w:val="Subtitle"/>
        <w:numPr>
          <w:ilvl w:val="0"/>
          <w:numId w:val="0"/>
        </w:numPr>
        <w:rPr>
          <w:b/>
          <w:sz w:val="28"/>
          <w:szCs w:val="28"/>
        </w:rPr>
      </w:pPr>
      <w:r w:rsidRPr="00DA620C">
        <w:rPr>
          <w:b/>
          <w:sz w:val="28"/>
          <w:szCs w:val="28"/>
        </w:rPr>
        <w:lastRenderedPageBreak/>
        <w:t>Annex C - Evaluation Planning</w:t>
      </w:r>
    </w:p>
    <w:p w14:paraId="033F0F1A" w14:textId="77777777" w:rsidR="00400B0F" w:rsidRPr="008C2F58" w:rsidRDefault="00400B0F" w:rsidP="008C2F58">
      <w:pPr>
        <w:rPr>
          <w:b/>
          <w:sz w:val="24"/>
        </w:rPr>
      </w:pPr>
      <w:r w:rsidRPr="008C2F58">
        <w:rPr>
          <w:b/>
          <w:sz w:val="24"/>
        </w:rPr>
        <w:t xml:space="preserve">List of evaluations completed in the reporting period </w:t>
      </w:r>
    </w:p>
    <w:tbl>
      <w:tblPr>
        <w:tblStyle w:val="APPR"/>
        <w:tblW w:w="14453" w:type="dxa"/>
        <w:tblLayout w:type="fixed"/>
        <w:tblLook w:val="04A0" w:firstRow="1" w:lastRow="0" w:firstColumn="1" w:lastColumn="0" w:noHBand="0" w:noVBand="1"/>
      </w:tblPr>
      <w:tblGrid>
        <w:gridCol w:w="3106"/>
        <w:gridCol w:w="4685"/>
        <w:gridCol w:w="1425"/>
        <w:gridCol w:w="1981"/>
        <w:gridCol w:w="1699"/>
        <w:gridCol w:w="1557"/>
      </w:tblGrid>
      <w:tr w:rsidR="00400B0F" w:rsidRPr="00C61187" w14:paraId="52A42458" w14:textId="77777777" w:rsidTr="006F27B1">
        <w:trPr>
          <w:cnfStyle w:val="100000000000" w:firstRow="1" w:lastRow="0" w:firstColumn="0" w:lastColumn="0" w:oddVBand="0" w:evenVBand="0" w:oddHBand="0" w:evenHBand="0" w:firstRowFirstColumn="0" w:firstRowLastColumn="0" w:lastRowFirstColumn="0" w:lastRowLastColumn="0"/>
        </w:trPr>
        <w:tc>
          <w:tcPr>
            <w:tcW w:w="3064" w:type="dxa"/>
          </w:tcPr>
          <w:p w14:paraId="2532FFEF" w14:textId="77777777"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 xml:space="preserve">Investment number and name </w:t>
            </w:r>
          </w:p>
          <w:p w14:paraId="3091431A" w14:textId="77777777" w:rsidR="00400B0F" w:rsidRPr="00880004" w:rsidRDefault="00400B0F" w:rsidP="006F27B1">
            <w:pPr>
              <w:keepLines/>
              <w:spacing w:line="200" w:lineRule="atLeast"/>
              <w:rPr>
                <w:rFonts w:asciiTheme="minorHAnsi" w:eastAsia="Times New Roman" w:hAnsiTheme="minorHAnsi"/>
                <w:b w:val="0"/>
                <w:iCs/>
                <w:szCs w:val="17"/>
                <w:lang w:eastAsia="en-US"/>
              </w:rPr>
            </w:pPr>
            <w:r w:rsidRPr="00880004">
              <w:rPr>
                <w:rFonts w:asciiTheme="minorHAnsi" w:eastAsia="Times New Roman" w:hAnsiTheme="minorHAnsi"/>
                <w:iCs/>
                <w:szCs w:val="17"/>
                <w:lang w:eastAsia="en-US"/>
              </w:rPr>
              <w:t xml:space="preserve">(if applicable) </w:t>
            </w:r>
          </w:p>
        </w:tc>
        <w:tc>
          <w:tcPr>
            <w:tcW w:w="4657" w:type="dxa"/>
          </w:tcPr>
          <w:p w14:paraId="4FC80DAB" w14:textId="77777777"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Name of evaluation</w:t>
            </w:r>
          </w:p>
        </w:tc>
        <w:tc>
          <w:tcPr>
            <w:tcW w:w="1397" w:type="dxa"/>
          </w:tcPr>
          <w:p w14:paraId="48C12F10" w14:textId="77777777"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Date completed</w:t>
            </w:r>
          </w:p>
        </w:tc>
        <w:tc>
          <w:tcPr>
            <w:tcW w:w="1953" w:type="dxa"/>
          </w:tcPr>
          <w:p w14:paraId="36375FC4" w14:textId="77777777"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Date Evaluation report Uploaded into AidWorks</w:t>
            </w:r>
          </w:p>
        </w:tc>
        <w:tc>
          <w:tcPr>
            <w:tcW w:w="1671" w:type="dxa"/>
          </w:tcPr>
          <w:p w14:paraId="0561ABB6" w14:textId="77777777"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Date Management response uploaded into AidWorks</w:t>
            </w:r>
          </w:p>
        </w:tc>
        <w:tc>
          <w:tcPr>
            <w:tcW w:w="1515" w:type="dxa"/>
          </w:tcPr>
          <w:p w14:paraId="0F051FDD" w14:textId="77777777"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Published on website</w:t>
            </w:r>
          </w:p>
        </w:tc>
      </w:tr>
      <w:tr w:rsidR="00400B0F" w:rsidRPr="003B5EE5" w14:paraId="3D93F9A8" w14:textId="77777777" w:rsidTr="006F27B1">
        <w:trPr>
          <w:cnfStyle w:val="100000000000" w:firstRow="1" w:lastRow="0" w:firstColumn="0" w:lastColumn="0" w:oddVBand="0" w:evenVBand="0" w:oddHBand="0" w:evenHBand="0" w:firstRowFirstColumn="0" w:firstRowLastColumn="0" w:lastRowFirstColumn="0" w:lastRowLastColumn="0"/>
        </w:trPr>
        <w:tc>
          <w:tcPr>
            <w:tcW w:w="3064" w:type="dxa"/>
          </w:tcPr>
          <w:p w14:paraId="7E13339C" w14:textId="77777777" w:rsidR="00553137" w:rsidRPr="00821DA0" w:rsidRDefault="00553137" w:rsidP="006F27B1">
            <w:pPr>
              <w:keepLines/>
              <w:spacing w:before="40" w:after="40" w:line="200" w:lineRule="atLeast"/>
              <w:rPr>
                <w:rFonts w:asciiTheme="minorHAnsi" w:eastAsia="Times New Roman" w:hAnsiTheme="minorHAnsi"/>
                <w:iCs/>
                <w:szCs w:val="17"/>
                <w:lang w:eastAsia="en-US"/>
              </w:rPr>
            </w:pPr>
          </w:p>
          <w:p w14:paraId="41AFDA3D" w14:textId="77777777" w:rsidR="007D19C2" w:rsidRPr="00821DA0" w:rsidRDefault="007D19C2" w:rsidP="006F27B1">
            <w:pPr>
              <w:keepLines/>
              <w:spacing w:before="40" w:after="40" w:line="200" w:lineRule="atLeast"/>
              <w:rPr>
                <w:rFonts w:asciiTheme="minorHAnsi" w:eastAsia="Times New Roman" w:hAnsiTheme="minorHAnsi"/>
                <w:iCs/>
                <w:szCs w:val="17"/>
                <w:lang w:eastAsia="en-US"/>
              </w:rPr>
            </w:pPr>
            <w:r w:rsidRPr="00821DA0">
              <w:rPr>
                <w:rFonts w:asciiTheme="minorHAnsi" w:eastAsia="Times New Roman" w:hAnsiTheme="minorHAnsi"/>
                <w:b w:val="0"/>
                <w:iCs/>
                <w:szCs w:val="17"/>
                <w:lang w:eastAsia="en-US"/>
              </w:rPr>
              <w:t>INJ957 Support to PEDP3</w:t>
            </w:r>
          </w:p>
          <w:p w14:paraId="125425AA" w14:textId="77777777" w:rsidR="00553137" w:rsidRPr="00821DA0" w:rsidRDefault="00553137" w:rsidP="006F27B1">
            <w:pPr>
              <w:keepLines/>
              <w:spacing w:before="40" w:after="40" w:line="200" w:lineRule="atLeast"/>
              <w:rPr>
                <w:rFonts w:asciiTheme="minorHAnsi" w:eastAsia="Times New Roman" w:hAnsiTheme="minorHAnsi"/>
                <w:iCs/>
                <w:szCs w:val="17"/>
                <w:lang w:eastAsia="en-US"/>
              </w:rPr>
            </w:pPr>
          </w:p>
          <w:p w14:paraId="41359385" w14:textId="77777777" w:rsidR="00B01639" w:rsidRPr="00821DA0" w:rsidRDefault="00B01639" w:rsidP="006F27B1">
            <w:pPr>
              <w:keepLines/>
              <w:spacing w:before="40" w:after="40" w:line="200" w:lineRule="atLeast"/>
              <w:rPr>
                <w:rFonts w:asciiTheme="minorHAnsi" w:eastAsia="Times New Roman" w:hAnsiTheme="minorHAnsi"/>
                <w:iCs/>
                <w:szCs w:val="17"/>
                <w:lang w:eastAsia="en-US"/>
              </w:rPr>
            </w:pPr>
          </w:p>
          <w:p w14:paraId="3F6927F6" w14:textId="77777777" w:rsidR="00B01639" w:rsidRPr="00821DA0" w:rsidRDefault="00B01639" w:rsidP="006F27B1">
            <w:pPr>
              <w:keepLines/>
              <w:spacing w:before="40" w:after="40" w:line="200" w:lineRule="atLeast"/>
              <w:rPr>
                <w:rFonts w:asciiTheme="minorHAnsi" w:eastAsia="Times New Roman" w:hAnsiTheme="minorHAnsi"/>
                <w:iCs/>
                <w:szCs w:val="17"/>
                <w:lang w:eastAsia="en-US"/>
              </w:rPr>
            </w:pPr>
          </w:p>
          <w:p w14:paraId="402EEF9E" w14:textId="77777777" w:rsidR="00553137" w:rsidRPr="00821DA0" w:rsidRDefault="00553137" w:rsidP="006F27B1">
            <w:pPr>
              <w:keepLines/>
              <w:spacing w:before="40" w:after="40" w:line="200" w:lineRule="atLeast"/>
              <w:rPr>
                <w:rFonts w:asciiTheme="minorHAnsi" w:eastAsia="Times New Roman" w:hAnsiTheme="minorHAnsi"/>
                <w:iCs/>
                <w:szCs w:val="17"/>
                <w:lang w:eastAsia="en-US"/>
              </w:rPr>
            </w:pPr>
            <w:r w:rsidRPr="00821DA0">
              <w:rPr>
                <w:rFonts w:asciiTheme="minorHAnsi" w:eastAsia="Times New Roman" w:hAnsiTheme="minorHAnsi"/>
                <w:b w:val="0"/>
                <w:iCs/>
                <w:szCs w:val="17"/>
                <w:lang w:eastAsia="en-US"/>
              </w:rPr>
              <w:t>INL234 Social Protection and Extreme Poverty Reduction</w:t>
            </w:r>
          </w:p>
        </w:tc>
        <w:tc>
          <w:tcPr>
            <w:tcW w:w="4657" w:type="dxa"/>
          </w:tcPr>
          <w:p w14:paraId="63AB65C6" w14:textId="77777777" w:rsidR="00553137" w:rsidRPr="00821DA0" w:rsidRDefault="00553137" w:rsidP="006F27B1">
            <w:pPr>
              <w:keepLines/>
              <w:spacing w:before="40" w:after="40" w:line="200" w:lineRule="atLeast"/>
              <w:rPr>
                <w:rFonts w:asciiTheme="minorHAnsi" w:eastAsia="Times New Roman" w:hAnsiTheme="minorHAnsi"/>
                <w:iCs/>
                <w:szCs w:val="17"/>
                <w:lang w:eastAsia="en-US"/>
              </w:rPr>
            </w:pPr>
          </w:p>
          <w:p w14:paraId="416C53EB" w14:textId="77777777" w:rsidR="007D19C2" w:rsidRPr="00821DA0" w:rsidRDefault="007D19C2" w:rsidP="006F27B1">
            <w:pPr>
              <w:keepLines/>
              <w:spacing w:before="40" w:after="40" w:line="200" w:lineRule="atLeast"/>
              <w:rPr>
                <w:rFonts w:asciiTheme="minorHAnsi" w:eastAsia="Times New Roman" w:hAnsiTheme="minorHAnsi"/>
                <w:iCs/>
                <w:szCs w:val="17"/>
                <w:lang w:eastAsia="en-US"/>
              </w:rPr>
            </w:pPr>
            <w:r w:rsidRPr="00821DA0">
              <w:rPr>
                <w:rFonts w:asciiTheme="minorHAnsi" w:eastAsia="Times New Roman" w:hAnsiTheme="minorHAnsi"/>
                <w:b w:val="0"/>
                <w:iCs/>
                <w:szCs w:val="17"/>
                <w:lang w:eastAsia="en-US"/>
              </w:rPr>
              <w:t>Teaching and Learning Quality in Primary Education: Assessment, Status and Recommendations for the future</w:t>
            </w:r>
          </w:p>
          <w:p w14:paraId="73DC22ED" w14:textId="77777777" w:rsidR="00B01639" w:rsidRPr="00821DA0" w:rsidRDefault="00B01639" w:rsidP="006F27B1">
            <w:pPr>
              <w:keepLines/>
              <w:spacing w:before="40" w:after="40" w:line="200" w:lineRule="atLeast"/>
              <w:rPr>
                <w:rFonts w:asciiTheme="minorHAnsi" w:eastAsia="Times New Roman" w:hAnsiTheme="minorHAnsi"/>
                <w:iCs/>
                <w:szCs w:val="17"/>
                <w:lang w:eastAsia="en-US"/>
              </w:rPr>
            </w:pPr>
          </w:p>
          <w:p w14:paraId="5F34E604" w14:textId="77777777" w:rsidR="00B01639" w:rsidRPr="00821DA0" w:rsidRDefault="00B01639" w:rsidP="006F27B1">
            <w:pPr>
              <w:keepLines/>
              <w:spacing w:before="40" w:after="40" w:line="200" w:lineRule="atLeast"/>
              <w:rPr>
                <w:rFonts w:asciiTheme="minorHAnsi" w:eastAsia="Times New Roman" w:hAnsiTheme="minorHAnsi"/>
                <w:iCs/>
                <w:szCs w:val="17"/>
                <w:lang w:eastAsia="en-US"/>
              </w:rPr>
            </w:pPr>
          </w:p>
          <w:p w14:paraId="0B69147A" w14:textId="77777777" w:rsidR="00B01639" w:rsidRPr="00821DA0" w:rsidRDefault="00B01639" w:rsidP="006F27B1">
            <w:pPr>
              <w:keepLines/>
              <w:spacing w:before="40" w:after="40" w:line="200" w:lineRule="atLeast"/>
              <w:rPr>
                <w:rFonts w:asciiTheme="minorHAnsi" w:eastAsia="Times New Roman" w:hAnsiTheme="minorHAnsi"/>
                <w:iCs/>
                <w:szCs w:val="17"/>
                <w:lang w:eastAsia="en-US"/>
              </w:rPr>
            </w:pPr>
            <w:r w:rsidRPr="00821DA0">
              <w:rPr>
                <w:rFonts w:asciiTheme="minorHAnsi" w:eastAsia="Times New Roman" w:hAnsiTheme="minorHAnsi"/>
                <w:b w:val="0"/>
                <w:iCs/>
                <w:szCs w:val="17"/>
                <w:lang w:eastAsia="en-US"/>
              </w:rPr>
              <w:t>SGSP Annual Review 2016</w:t>
            </w:r>
          </w:p>
        </w:tc>
        <w:tc>
          <w:tcPr>
            <w:tcW w:w="1397" w:type="dxa"/>
          </w:tcPr>
          <w:p w14:paraId="59434ACF" w14:textId="77777777" w:rsidR="00400B0F" w:rsidRPr="00821DA0" w:rsidRDefault="00400B0F" w:rsidP="006F27B1">
            <w:pPr>
              <w:keepLines/>
              <w:spacing w:before="40" w:after="40" w:line="200" w:lineRule="atLeast"/>
              <w:rPr>
                <w:rFonts w:asciiTheme="minorHAnsi" w:eastAsia="Times New Roman" w:hAnsiTheme="minorHAnsi"/>
                <w:iCs/>
                <w:szCs w:val="17"/>
                <w:lang w:eastAsia="en-US"/>
              </w:rPr>
            </w:pPr>
          </w:p>
          <w:p w14:paraId="0599D3C6" w14:textId="77777777" w:rsidR="007D19C2" w:rsidRPr="00821DA0" w:rsidRDefault="00553137" w:rsidP="006F27B1">
            <w:pPr>
              <w:keepLines/>
              <w:spacing w:before="40" w:after="40" w:line="200" w:lineRule="atLeast"/>
              <w:rPr>
                <w:rFonts w:asciiTheme="minorHAnsi" w:eastAsia="Times New Roman" w:hAnsiTheme="minorHAnsi"/>
                <w:iCs/>
                <w:szCs w:val="17"/>
                <w:lang w:eastAsia="en-US"/>
              </w:rPr>
            </w:pPr>
            <w:r w:rsidRPr="00821DA0">
              <w:rPr>
                <w:rFonts w:asciiTheme="minorHAnsi" w:eastAsia="Times New Roman" w:hAnsiTheme="minorHAnsi"/>
                <w:b w:val="0"/>
                <w:iCs/>
                <w:szCs w:val="17"/>
                <w:lang w:eastAsia="en-US"/>
              </w:rPr>
              <w:t xml:space="preserve">30 </w:t>
            </w:r>
            <w:r w:rsidR="007D19C2" w:rsidRPr="00821DA0">
              <w:rPr>
                <w:rFonts w:asciiTheme="minorHAnsi" w:eastAsia="Times New Roman" w:hAnsiTheme="minorHAnsi"/>
                <w:b w:val="0"/>
                <w:iCs/>
                <w:szCs w:val="17"/>
                <w:lang w:eastAsia="en-US"/>
              </w:rPr>
              <w:t>November 2016</w:t>
            </w:r>
          </w:p>
          <w:p w14:paraId="795E0DF8" w14:textId="77777777" w:rsidR="00B01639" w:rsidRPr="00821DA0" w:rsidRDefault="00B01639" w:rsidP="006F27B1">
            <w:pPr>
              <w:keepLines/>
              <w:spacing w:before="40" w:after="40" w:line="200" w:lineRule="atLeast"/>
              <w:rPr>
                <w:rFonts w:asciiTheme="minorHAnsi" w:eastAsia="Times New Roman" w:hAnsiTheme="minorHAnsi"/>
                <w:iCs/>
                <w:szCs w:val="17"/>
                <w:lang w:eastAsia="en-US"/>
              </w:rPr>
            </w:pPr>
          </w:p>
          <w:p w14:paraId="284AE865" w14:textId="77777777" w:rsidR="00B01639" w:rsidRPr="00821DA0" w:rsidRDefault="00B01639" w:rsidP="006F27B1">
            <w:pPr>
              <w:keepLines/>
              <w:spacing w:before="40" w:after="40" w:line="200" w:lineRule="atLeast"/>
              <w:rPr>
                <w:rFonts w:asciiTheme="minorHAnsi" w:eastAsia="Times New Roman" w:hAnsiTheme="minorHAnsi"/>
                <w:iCs/>
                <w:szCs w:val="17"/>
                <w:lang w:eastAsia="en-US"/>
              </w:rPr>
            </w:pPr>
            <w:r w:rsidRPr="00821DA0">
              <w:rPr>
                <w:rFonts w:asciiTheme="minorHAnsi" w:eastAsia="Times New Roman" w:hAnsiTheme="minorHAnsi"/>
                <w:b w:val="0"/>
                <w:iCs/>
                <w:szCs w:val="17"/>
                <w:lang w:eastAsia="en-US"/>
              </w:rPr>
              <w:t>13 November 2016</w:t>
            </w:r>
          </w:p>
        </w:tc>
        <w:tc>
          <w:tcPr>
            <w:tcW w:w="1953" w:type="dxa"/>
          </w:tcPr>
          <w:p w14:paraId="5CC22390" w14:textId="77777777" w:rsidR="00400B0F" w:rsidRPr="00821DA0" w:rsidRDefault="00400B0F" w:rsidP="006F27B1">
            <w:pPr>
              <w:keepLines/>
              <w:spacing w:before="40" w:after="40" w:line="200" w:lineRule="atLeast"/>
              <w:rPr>
                <w:rFonts w:asciiTheme="minorHAnsi" w:eastAsia="Times New Roman" w:hAnsiTheme="minorHAnsi"/>
                <w:iCs/>
                <w:szCs w:val="17"/>
                <w:lang w:eastAsia="en-US"/>
              </w:rPr>
            </w:pPr>
          </w:p>
          <w:p w14:paraId="1EDB1FFC" w14:textId="77777777" w:rsidR="007D19C2" w:rsidRPr="00821DA0" w:rsidRDefault="00553137" w:rsidP="006F27B1">
            <w:pPr>
              <w:keepLines/>
              <w:spacing w:before="40" w:after="40" w:line="200" w:lineRule="atLeast"/>
              <w:rPr>
                <w:rFonts w:asciiTheme="minorHAnsi" w:eastAsia="Times New Roman" w:hAnsiTheme="minorHAnsi"/>
                <w:iCs/>
                <w:szCs w:val="17"/>
                <w:lang w:eastAsia="en-US"/>
              </w:rPr>
            </w:pPr>
            <w:r w:rsidRPr="00821DA0">
              <w:rPr>
                <w:rFonts w:asciiTheme="minorHAnsi" w:eastAsia="Times New Roman" w:hAnsiTheme="minorHAnsi"/>
                <w:b w:val="0"/>
                <w:iCs/>
                <w:szCs w:val="17"/>
                <w:lang w:eastAsia="en-US"/>
              </w:rPr>
              <w:t>2 February 2017</w:t>
            </w:r>
          </w:p>
          <w:p w14:paraId="5766C3C3" w14:textId="77777777" w:rsidR="00B01639" w:rsidRPr="00821DA0" w:rsidRDefault="00B01639" w:rsidP="006F27B1">
            <w:pPr>
              <w:keepLines/>
              <w:spacing w:before="40" w:after="40" w:line="200" w:lineRule="atLeast"/>
              <w:rPr>
                <w:rFonts w:asciiTheme="minorHAnsi" w:eastAsia="Times New Roman" w:hAnsiTheme="minorHAnsi"/>
                <w:iCs/>
                <w:szCs w:val="17"/>
                <w:lang w:eastAsia="en-US"/>
              </w:rPr>
            </w:pPr>
          </w:p>
          <w:p w14:paraId="1C70F90B" w14:textId="77777777" w:rsidR="00B01639" w:rsidRPr="00821DA0" w:rsidRDefault="00B01639" w:rsidP="006F27B1">
            <w:pPr>
              <w:keepLines/>
              <w:spacing w:before="40" w:after="40" w:line="200" w:lineRule="atLeast"/>
              <w:rPr>
                <w:rFonts w:asciiTheme="minorHAnsi" w:eastAsia="Times New Roman" w:hAnsiTheme="minorHAnsi"/>
                <w:iCs/>
                <w:szCs w:val="17"/>
                <w:lang w:eastAsia="en-US"/>
              </w:rPr>
            </w:pPr>
          </w:p>
          <w:p w14:paraId="350ECF5F" w14:textId="77777777" w:rsidR="00B01639" w:rsidRPr="00821DA0" w:rsidRDefault="00B01639" w:rsidP="006F27B1">
            <w:pPr>
              <w:keepLines/>
              <w:spacing w:before="40" w:after="40" w:line="200" w:lineRule="atLeast"/>
              <w:rPr>
                <w:rFonts w:asciiTheme="minorHAnsi" w:eastAsia="Times New Roman" w:hAnsiTheme="minorHAnsi"/>
                <w:iCs/>
                <w:szCs w:val="17"/>
                <w:lang w:eastAsia="en-US"/>
              </w:rPr>
            </w:pPr>
            <w:r w:rsidRPr="00821DA0">
              <w:rPr>
                <w:rFonts w:asciiTheme="minorHAnsi" w:eastAsia="Times New Roman" w:hAnsiTheme="minorHAnsi"/>
                <w:b w:val="0"/>
                <w:iCs/>
                <w:szCs w:val="17"/>
                <w:lang w:eastAsia="en-US"/>
              </w:rPr>
              <w:t>2 February 2017</w:t>
            </w:r>
          </w:p>
        </w:tc>
        <w:tc>
          <w:tcPr>
            <w:tcW w:w="1671" w:type="dxa"/>
          </w:tcPr>
          <w:p w14:paraId="14364814" w14:textId="77777777" w:rsidR="00553137" w:rsidRPr="00821DA0" w:rsidRDefault="00553137" w:rsidP="006F27B1">
            <w:pPr>
              <w:keepLines/>
              <w:spacing w:before="40" w:after="40" w:line="200" w:lineRule="atLeast"/>
              <w:rPr>
                <w:rFonts w:asciiTheme="minorHAnsi" w:eastAsia="Times New Roman" w:hAnsiTheme="minorHAnsi"/>
                <w:iCs/>
                <w:szCs w:val="17"/>
                <w:lang w:eastAsia="en-US"/>
              </w:rPr>
            </w:pPr>
          </w:p>
          <w:p w14:paraId="0177F592" w14:textId="77777777" w:rsidR="00553137" w:rsidRPr="00821DA0" w:rsidRDefault="00553137" w:rsidP="006F27B1">
            <w:pPr>
              <w:keepLines/>
              <w:spacing w:before="40" w:after="40" w:line="200" w:lineRule="atLeast"/>
              <w:rPr>
                <w:rFonts w:asciiTheme="minorHAnsi" w:eastAsia="Times New Roman" w:hAnsiTheme="minorHAnsi"/>
                <w:iCs/>
                <w:szCs w:val="17"/>
                <w:lang w:eastAsia="en-US"/>
              </w:rPr>
            </w:pPr>
            <w:r w:rsidRPr="00821DA0">
              <w:rPr>
                <w:rFonts w:asciiTheme="minorHAnsi" w:eastAsia="Times New Roman" w:hAnsiTheme="minorHAnsi"/>
                <w:b w:val="0"/>
                <w:iCs/>
                <w:szCs w:val="17"/>
                <w:lang w:eastAsia="en-US"/>
              </w:rPr>
              <w:t>N/A</w:t>
            </w:r>
          </w:p>
          <w:p w14:paraId="72148E65" w14:textId="77777777" w:rsidR="00B01639" w:rsidRPr="00821DA0" w:rsidRDefault="00B01639" w:rsidP="006F27B1">
            <w:pPr>
              <w:keepLines/>
              <w:spacing w:before="40" w:after="40" w:line="200" w:lineRule="atLeast"/>
              <w:rPr>
                <w:rFonts w:asciiTheme="minorHAnsi" w:eastAsia="Times New Roman" w:hAnsiTheme="minorHAnsi"/>
                <w:iCs/>
                <w:szCs w:val="17"/>
                <w:lang w:eastAsia="en-US"/>
              </w:rPr>
            </w:pPr>
          </w:p>
          <w:p w14:paraId="19A7A6EA" w14:textId="77777777" w:rsidR="00B01639" w:rsidRPr="00821DA0" w:rsidRDefault="00B01639"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b w:val="0"/>
                <w:iCs/>
                <w:szCs w:val="17"/>
                <w:lang w:eastAsia="en-US"/>
              </w:rPr>
              <w:t>N/A</w:t>
            </w:r>
          </w:p>
        </w:tc>
        <w:tc>
          <w:tcPr>
            <w:tcW w:w="1515" w:type="dxa"/>
          </w:tcPr>
          <w:p w14:paraId="4FBB2584" w14:textId="77777777" w:rsidR="00553137" w:rsidRPr="00821DA0" w:rsidRDefault="00553137" w:rsidP="00510FAB">
            <w:pPr>
              <w:keepLines/>
              <w:spacing w:before="40" w:after="40" w:line="200" w:lineRule="atLeast"/>
              <w:rPr>
                <w:rFonts w:asciiTheme="minorHAnsi" w:eastAsia="Times New Roman" w:hAnsiTheme="minorHAnsi"/>
                <w:iCs/>
                <w:szCs w:val="17"/>
                <w:lang w:eastAsia="en-US"/>
              </w:rPr>
            </w:pPr>
          </w:p>
          <w:p w14:paraId="599B0FDE" w14:textId="6186FC02" w:rsidR="007D19C2" w:rsidRPr="00821DA0" w:rsidRDefault="00051B6F" w:rsidP="00510FAB">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b w:val="0"/>
                <w:iCs/>
                <w:szCs w:val="17"/>
                <w:lang w:eastAsia="en-US"/>
              </w:rPr>
              <w:t>P</w:t>
            </w:r>
            <w:r w:rsidR="00553137" w:rsidRPr="00821DA0">
              <w:rPr>
                <w:rFonts w:asciiTheme="minorHAnsi" w:eastAsia="Times New Roman" w:hAnsiTheme="minorHAnsi"/>
                <w:b w:val="0"/>
                <w:iCs/>
                <w:szCs w:val="17"/>
                <w:lang w:eastAsia="en-US"/>
              </w:rPr>
              <w:t>ublished</w:t>
            </w:r>
          </w:p>
          <w:p w14:paraId="2CBCAC77" w14:textId="77777777" w:rsidR="00553137" w:rsidRPr="00821DA0" w:rsidRDefault="00553137" w:rsidP="00510FAB">
            <w:pPr>
              <w:keepLines/>
              <w:spacing w:before="40" w:after="40" w:line="200" w:lineRule="atLeast"/>
              <w:rPr>
                <w:rFonts w:asciiTheme="minorHAnsi" w:eastAsia="Times New Roman" w:hAnsiTheme="minorHAnsi"/>
                <w:iCs/>
                <w:szCs w:val="17"/>
                <w:lang w:eastAsia="en-US"/>
              </w:rPr>
            </w:pPr>
          </w:p>
          <w:p w14:paraId="5D310B86" w14:textId="77777777" w:rsidR="007D19C2" w:rsidRPr="00821DA0" w:rsidRDefault="007E5764" w:rsidP="00510FAB">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b w:val="0"/>
                <w:iCs/>
                <w:szCs w:val="17"/>
                <w:lang w:eastAsia="en-US"/>
              </w:rPr>
              <w:t>P</w:t>
            </w:r>
            <w:r w:rsidR="00B01639">
              <w:rPr>
                <w:rFonts w:asciiTheme="minorHAnsi" w:eastAsia="Times New Roman" w:hAnsiTheme="minorHAnsi"/>
                <w:b w:val="0"/>
                <w:iCs/>
                <w:szCs w:val="17"/>
                <w:lang w:eastAsia="en-US"/>
              </w:rPr>
              <w:t>ublished</w:t>
            </w:r>
          </w:p>
        </w:tc>
      </w:tr>
    </w:tbl>
    <w:p w14:paraId="70DD8409" w14:textId="77777777" w:rsidR="008C2F58" w:rsidRDefault="008C2F58" w:rsidP="008C2F58">
      <w:pPr>
        <w:rPr>
          <w:b/>
          <w:sz w:val="24"/>
        </w:rPr>
      </w:pPr>
    </w:p>
    <w:p w14:paraId="7D1F3D95" w14:textId="77777777" w:rsidR="00400B0F" w:rsidRPr="008C2F58" w:rsidRDefault="00400B0F" w:rsidP="008C2F58">
      <w:pPr>
        <w:rPr>
          <w:b/>
          <w:sz w:val="24"/>
        </w:rPr>
      </w:pPr>
      <w:r w:rsidRPr="008C2F58">
        <w:rPr>
          <w:b/>
          <w:sz w:val="24"/>
        </w:rPr>
        <w:t xml:space="preserve">List of program prioritised evaluations planned for the next 12 months </w:t>
      </w:r>
    </w:p>
    <w:tbl>
      <w:tblPr>
        <w:tblStyle w:val="APPR"/>
        <w:tblW w:w="0" w:type="auto"/>
        <w:tblLook w:val="0600" w:firstRow="0" w:lastRow="0" w:firstColumn="0" w:lastColumn="0" w:noHBand="1" w:noVBand="1"/>
      </w:tblPr>
      <w:tblGrid>
        <w:gridCol w:w="2461"/>
        <w:gridCol w:w="2362"/>
        <w:gridCol w:w="2445"/>
        <w:gridCol w:w="2214"/>
        <w:gridCol w:w="2341"/>
        <w:gridCol w:w="2350"/>
      </w:tblGrid>
      <w:tr w:rsidR="00576D7C" w:rsidRPr="00C61187" w14:paraId="6CB01895" w14:textId="77777777" w:rsidTr="00576D7C">
        <w:tc>
          <w:tcPr>
            <w:tcW w:w="2419" w:type="dxa"/>
          </w:tcPr>
          <w:p w14:paraId="328A881F"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Evaluation title</w:t>
            </w:r>
          </w:p>
        </w:tc>
        <w:tc>
          <w:tcPr>
            <w:tcW w:w="2334" w:type="dxa"/>
          </w:tcPr>
          <w:p w14:paraId="0794E502"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 xml:space="preserve">Investment number and name (if applicable) </w:t>
            </w:r>
          </w:p>
        </w:tc>
        <w:tc>
          <w:tcPr>
            <w:tcW w:w="2417" w:type="dxa"/>
          </w:tcPr>
          <w:p w14:paraId="762225BC"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Date – planned commencement (month/year)</w:t>
            </w:r>
          </w:p>
        </w:tc>
        <w:tc>
          <w:tcPr>
            <w:tcW w:w="2186" w:type="dxa"/>
          </w:tcPr>
          <w:p w14:paraId="170E9D5A"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Date – planned completion (month/year)</w:t>
            </w:r>
          </w:p>
        </w:tc>
        <w:tc>
          <w:tcPr>
            <w:tcW w:w="2313" w:type="dxa"/>
          </w:tcPr>
          <w:p w14:paraId="26B74982"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Purpose of evaluation</w:t>
            </w:r>
          </w:p>
        </w:tc>
        <w:tc>
          <w:tcPr>
            <w:tcW w:w="2308" w:type="dxa"/>
          </w:tcPr>
          <w:p w14:paraId="608BC276"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Evaluation type</w:t>
            </w:r>
          </w:p>
        </w:tc>
      </w:tr>
      <w:tr w:rsidR="00576D7C" w:rsidRPr="00C61187" w14:paraId="779FCC78" w14:textId="77777777" w:rsidTr="00576D7C">
        <w:tc>
          <w:tcPr>
            <w:tcW w:w="2419" w:type="dxa"/>
          </w:tcPr>
          <w:p w14:paraId="3AAC05AA" w14:textId="77777777" w:rsidR="00AB3B07" w:rsidRPr="00880004" w:rsidRDefault="00AB3B07" w:rsidP="006F27B1">
            <w:pPr>
              <w:keepLines/>
              <w:spacing w:before="40" w:after="40" w:line="200" w:lineRule="atLeast"/>
              <w:rPr>
                <w:rFonts w:asciiTheme="minorHAnsi" w:eastAsia="Times New Roman" w:hAnsiTheme="minorHAnsi"/>
                <w:iCs/>
                <w:szCs w:val="17"/>
                <w:lang w:eastAsia="en-US"/>
              </w:rPr>
            </w:pPr>
            <w:r w:rsidRPr="00AB3B07">
              <w:rPr>
                <w:rFonts w:asciiTheme="minorHAnsi" w:eastAsia="Times New Roman" w:hAnsiTheme="minorHAnsi"/>
                <w:iCs/>
                <w:szCs w:val="17"/>
                <w:lang w:eastAsia="en-US"/>
              </w:rPr>
              <w:t>Independent Evaluation of WFP Investment for Cox’s Bazar</w:t>
            </w:r>
          </w:p>
        </w:tc>
        <w:tc>
          <w:tcPr>
            <w:tcW w:w="2334" w:type="dxa"/>
          </w:tcPr>
          <w:p w14:paraId="74621635" w14:textId="77777777" w:rsidR="00AB3B07" w:rsidRPr="00880004" w:rsidRDefault="00AB3B07" w:rsidP="006F27B1">
            <w:pPr>
              <w:keepLines/>
              <w:spacing w:before="40" w:after="40" w:line="200" w:lineRule="atLeast"/>
              <w:rPr>
                <w:rFonts w:asciiTheme="minorHAnsi" w:eastAsia="Times New Roman" w:hAnsiTheme="minorHAnsi"/>
                <w:iCs/>
                <w:szCs w:val="17"/>
                <w:lang w:eastAsia="en-US"/>
              </w:rPr>
            </w:pPr>
            <w:r w:rsidRPr="00AB3B07">
              <w:rPr>
                <w:rFonts w:asciiTheme="minorHAnsi" w:eastAsia="Times New Roman" w:hAnsiTheme="minorHAnsi"/>
                <w:iCs/>
                <w:szCs w:val="17"/>
                <w:lang w:eastAsia="en-US"/>
              </w:rPr>
              <w:t>INK969  Support to Vulnerable Communities in Cox's Bazar</w:t>
            </w:r>
          </w:p>
        </w:tc>
        <w:tc>
          <w:tcPr>
            <w:tcW w:w="2417" w:type="dxa"/>
          </w:tcPr>
          <w:p w14:paraId="71FAEC15" w14:textId="77777777" w:rsidR="00AB3B07" w:rsidRDefault="00AB3B07" w:rsidP="006F27B1">
            <w:pPr>
              <w:keepLines/>
              <w:spacing w:before="40" w:after="40" w:line="200" w:lineRule="atLeast"/>
              <w:rPr>
                <w:rFonts w:asciiTheme="minorHAnsi" w:eastAsia="Times New Roman" w:hAnsiTheme="minorHAnsi"/>
                <w:iCs/>
                <w:szCs w:val="17"/>
                <w:lang w:eastAsia="en-US"/>
              </w:rPr>
            </w:pPr>
            <w:r w:rsidRPr="00AB3B07">
              <w:rPr>
                <w:rFonts w:asciiTheme="minorHAnsi" w:eastAsia="Times New Roman" w:hAnsiTheme="minorHAnsi"/>
                <w:iCs/>
                <w:szCs w:val="17"/>
                <w:lang w:eastAsia="en-US"/>
              </w:rPr>
              <w:t>November 2017</w:t>
            </w:r>
          </w:p>
          <w:p w14:paraId="423FD325" w14:textId="77777777" w:rsidR="00AB3B07" w:rsidRPr="00880004" w:rsidRDefault="00AB3B07" w:rsidP="006F27B1">
            <w:pPr>
              <w:keepLines/>
              <w:spacing w:before="40" w:after="40" w:line="200" w:lineRule="atLeast"/>
              <w:rPr>
                <w:rFonts w:asciiTheme="minorHAnsi" w:eastAsia="Times New Roman" w:hAnsiTheme="minorHAnsi"/>
                <w:iCs/>
                <w:szCs w:val="17"/>
                <w:lang w:eastAsia="en-US"/>
              </w:rPr>
            </w:pPr>
          </w:p>
        </w:tc>
        <w:tc>
          <w:tcPr>
            <w:tcW w:w="2186" w:type="dxa"/>
          </w:tcPr>
          <w:p w14:paraId="2594137A" w14:textId="77777777" w:rsidR="00AB3B07" w:rsidRPr="00880004" w:rsidRDefault="00AB3B07" w:rsidP="006F27B1">
            <w:pPr>
              <w:keepLines/>
              <w:spacing w:before="40" w:after="40" w:line="200" w:lineRule="atLeast"/>
              <w:rPr>
                <w:rFonts w:asciiTheme="minorHAnsi" w:eastAsia="Times New Roman" w:hAnsiTheme="minorHAnsi"/>
                <w:iCs/>
                <w:szCs w:val="17"/>
                <w:lang w:eastAsia="en-US"/>
              </w:rPr>
            </w:pPr>
            <w:r w:rsidRPr="00AB3B07">
              <w:rPr>
                <w:rFonts w:asciiTheme="minorHAnsi" w:eastAsia="Times New Roman" w:hAnsiTheme="minorHAnsi"/>
                <w:iCs/>
                <w:szCs w:val="17"/>
                <w:lang w:eastAsia="en-US"/>
              </w:rPr>
              <w:t>February 2018</w:t>
            </w:r>
          </w:p>
        </w:tc>
        <w:tc>
          <w:tcPr>
            <w:tcW w:w="2313" w:type="dxa"/>
          </w:tcPr>
          <w:p w14:paraId="3CBBEB6A" w14:textId="77777777" w:rsidR="00400B0F" w:rsidRPr="00DA620C" w:rsidRDefault="00576D7C" w:rsidP="00576D7C">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The evaluation will inform new programming, d</w:t>
            </w:r>
            <w:r w:rsidRPr="00576D7C">
              <w:rPr>
                <w:rFonts w:asciiTheme="minorHAnsi" w:eastAsia="Times New Roman" w:hAnsiTheme="minorHAnsi"/>
                <w:iCs/>
                <w:szCs w:val="17"/>
                <w:lang w:eastAsia="en-US"/>
              </w:rPr>
              <w:t>emonstrate results/outcomes</w:t>
            </w:r>
            <w:r>
              <w:rPr>
                <w:rFonts w:asciiTheme="minorHAnsi" w:eastAsia="Times New Roman" w:hAnsiTheme="minorHAnsi"/>
                <w:iCs/>
                <w:szCs w:val="17"/>
                <w:lang w:eastAsia="en-US"/>
              </w:rPr>
              <w:t xml:space="preserve"> and </w:t>
            </w:r>
            <w:r w:rsidRPr="00576D7C">
              <w:rPr>
                <w:rFonts w:asciiTheme="minorHAnsi" w:eastAsia="Times New Roman" w:hAnsiTheme="minorHAnsi"/>
                <w:iCs/>
                <w:szCs w:val="17"/>
                <w:lang w:eastAsia="en-US"/>
              </w:rPr>
              <w:t>examine value for money</w:t>
            </w:r>
            <w:r>
              <w:rPr>
                <w:rFonts w:asciiTheme="minorHAnsi" w:eastAsia="Times New Roman" w:hAnsiTheme="minorHAnsi"/>
                <w:iCs/>
                <w:szCs w:val="17"/>
                <w:lang w:eastAsia="en-US"/>
              </w:rPr>
              <w:t>.</w:t>
            </w:r>
            <w:r w:rsidR="00DA620C">
              <w:rPr>
                <w:rFonts w:asciiTheme="minorHAnsi" w:eastAsia="Times New Roman" w:hAnsiTheme="minorHAnsi"/>
                <w:iCs/>
                <w:szCs w:val="17"/>
                <w:lang w:eastAsia="en-US"/>
              </w:rPr>
              <w:t xml:space="preserve"> </w:t>
            </w:r>
          </w:p>
        </w:tc>
        <w:tc>
          <w:tcPr>
            <w:tcW w:w="2308" w:type="dxa"/>
          </w:tcPr>
          <w:p w14:paraId="10430EE9" w14:textId="77777777" w:rsidR="00086BA0" w:rsidRPr="00880004" w:rsidRDefault="00086BA0" w:rsidP="006F27B1">
            <w:pPr>
              <w:keepLines/>
              <w:spacing w:before="40" w:after="40" w:line="200" w:lineRule="atLeast"/>
              <w:rPr>
                <w:rFonts w:asciiTheme="minorHAnsi" w:eastAsia="Times New Roman" w:hAnsiTheme="minorHAnsi"/>
                <w:iCs/>
                <w:szCs w:val="17"/>
                <w:lang w:eastAsia="en-US"/>
              </w:rPr>
            </w:pPr>
            <w:r w:rsidRPr="00086BA0">
              <w:rPr>
                <w:rFonts w:asciiTheme="minorHAnsi" w:eastAsia="Times New Roman" w:hAnsiTheme="minorHAnsi"/>
                <w:iCs/>
                <w:szCs w:val="17"/>
                <w:lang w:eastAsia="en-US"/>
              </w:rPr>
              <w:t>DFAT led</w:t>
            </w:r>
          </w:p>
        </w:tc>
      </w:tr>
    </w:tbl>
    <w:p w14:paraId="487410E7" w14:textId="77777777" w:rsidR="00400B0F" w:rsidRPr="00C61187" w:rsidRDefault="00400B0F" w:rsidP="00400B0F">
      <w:pPr>
        <w:rPr>
          <w:b/>
        </w:rPr>
        <w:sectPr w:rsidR="00400B0F" w:rsidRPr="00C61187" w:rsidSect="008C2F58">
          <w:headerReference w:type="even" r:id="rId29"/>
          <w:headerReference w:type="default" r:id="rId30"/>
          <w:headerReference w:type="first" r:id="rId31"/>
          <w:footerReference w:type="first" r:id="rId32"/>
          <w:footnotePr>
            <w:numRestart w:val="eachPage"/>
          </w:footnotePr>
          <w:type w:val="continuous"/>
          <w:pgSz w:w="16838" w:h="11906" w:orient="landscape" w:code="9"/>
          <w:pgMar w:top="1272" w:right="1814" w:bottom="851" w:left="851" w:header="709" w:footer="230" w:gutter="0"/>
          <w:cols w:space="708"/>
          <w:titlePg/>
          <w:docGrid w:linePitch="360"/>
        </w:sectPr>
      </w:pPr>
    </w:p>
    <w:p w14:paraId="27B94AC2" w14:textId="77777777" w:rsidR="00872730" w:rsidRPr="005C017E" w:rsidRDefault="00872730" w:rsidP="00821DA0">
      <w:pPr>
        <w:pStyle w:val="Subtitle"/>
        <w:numPr>
          <w:ilvl w:val="0"/>
          <w:numId w:val="0"/>
        </w:numPr>
        <w:rPr>
          <w:b/>
          <w:sz w:val="28"/>
          <w:szCs w:val="28"/>
        </w:rPr>
      </w:pPr>
      <w:r w:rsidRPr="005C017E">
        <w:rPr>
          <w:b/>
          <w:sz w:val="28"/>
          <w:szCs w:val="28"/>
        </w:rPr>
        <w:lastRenderedPageBreak/>
        <w:t>Annex D - Aid Quality Check ratings</w:t>
      </w:r>
    </w:p>
    <w:p w14:paraId="0A75A9FB" w14:textId="77777777" w:rsidR="00872730" w:rsidRPr="00821DA0" w:rsidRDefault="00872730" w:rsidP="00872730">
      <w:pPr>
        <w:rPr>
          <w:b/>
          <w:sz w:val="24"/>
        </w:rPr>
      </w:pPr>
      <w:r w:rsidRPr="00821DA0">
        <w:rPr>
          <w:b/>
          <w:sz w:val="24"/>
        </w:rPr>
        <w:t>AQC investment performance over the previous 12</w:t>
      </w:r>
      <w:r w:rsidR="00117768">
        <w:rPr>
          <w:b/>
          <w:sz w:val="24"/>
        </w:rPr>
        <w:t xml:space="preserve"> months</w:t>
      </w:r>
      <w:r w:rsidRPr="00821DA0">
        <w:rPr>
          <w:b/>
          <w:sz w:val="24"/>
        </w:rPr>
        <w:t>.</w:t>
      </w:r>
    </w:p>
    <w:tbl>
      <w:tblPr>
        <w:tblW w:w="12900" w:type="dxa"/>
        <w:tblLook w:val="04A0" w:firstRow="1" w:lastRow="0" w:firstColumn="1" w:lastColumn="0" w:noHBand="0" w:noVBand="1"/>
      </w:tblPr>
      <w:tblGrid>
        <w:gridCol w:w="4060"/>
        <w:gridCol w:w="1300"/>
        <w:gridCol w:w="960"/>
        <w:gridCol w:w="940"/>
        <w:gridCol w:w="940"/>
        <w:gridCol w:w="940"/>
        <w:gridCol w:w="940"/>
        <w:gridCol w:w="940"/>
        <w:gridCol w:w="940"/>
        <w:gridCol w:w="940"/>
      </w:tblGrid>
      <w:tr w:rsidR="000227FF" w:rsidRPr="000227FF" w14:paraId="5DEF6B3A" w14:textId="77777777" w:rsidTr="000227FF">
        <w:trPr>
          <w:trHeight w:val="1455"/>
        </w:trPr>
        <w:tc>
          <w:tcPr>
            <w:tcW w:w="4060" w:type="dxa"/>
            <w:tcBorders>
              <w:top w:val="single" w:sz="12" w:space="0" w:color="000000"/>
              <w:left w:val="nil"/>
              <w:bottom w:val="single" w:sz="8" w:space="0" w:color="auto"/>
              <w:right w:val="nil"/>
            </w:tcBorders>
            <w:shd w:val="clear" w:color="auto" w:fill="auto"/>
            <w:vAlign w:val="center"/>
            <w:hideMark/>
          </w:tcPr>
          <w:p w14:paraId="7BD2A3D9" w14:textId="17341A2C" w:rsidR="000227FF" w:rsidRPr="000227FF" w:rsidRDefault="000227FF" w:rsidP="000227FF">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0227FF">
              <w:rPr>
                <w:rFonts w:ascii="Calibri Light" w:eastAsia="Times New Roman" w:hAnsi="Calibri Light" w:cs="Times New Roman"/>
                <w:b/>
                <w:bCs/>
                <w:iCs/>
                <w:noProof/>
                <w:color w:val="495965"/>
                <w:sz w:val="17"/>
                <w:szCs w:val="17"/>
                <w:lang w:val="en-AU" w:eastAsia="en-AU"/>
              </w:rPr>
              <w:drawing>
                <wp:anchor distT="0" distB="0" distL="114300" distR="114300" simplePos="0" relativeHeight="251705344" behindDoc="0" locked="0" layoutInCell="1" allowOverlap="1" wp14:anchorId="07059285" wp14:editId="2DE722F0">
                  <wp:simplePos x="0" y="0"/>
                  <wp:positionH relativeFrom="column">
                    <wp:posOffset>0</wp:posOffset>
                  </wp:positionH>
                  <wp:positionV relativeFrom="paragraph">
                    <wp:posOffset>0</wp:posOffset>
                  </wp:positionV>
                  <wp:extent cx="4038600" cy="228600"/>
                  <wp:effectExtent l="0" t="0" r="0" b="0"/>
                  <wp:wrapNone/>
                  <wp:docPr id="3" name="Picture 3" hidden="1"/>
                  <wp:cNvGraphicFramePr/>
                  <a:graphic xmlns:a="http://schemas.openxmlformats.org/drawingml/2006/main">
                    <a:graphicData uri="http://schemas.openxmlformats.org/drawingml/2006/picture">
                      <pic:pic xmlns:pic="http://schemas.openxmlformats.org/drawingml/2006/picture">
                        <pic:nvPicPr>
                          <pic:cNvPr id="2" name="Picture 35"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0227FF">
              <w:rPr>
                <w:rFonts w:ascii="Calibri Light" w:eastAsia="Times New Roman" w:hAnsi="Calibri Light" w:cs="Times New Roman"/>
                <w:b/>
                <w:bCs/>
                <w:iCs/>
                <w:color w:val="495965"/>
                <w:sz w:val="17"/>
                <w:szCs w:val="17"/>
                <w:lang w:eastAsia="en-AU"/>
              </w:rPr>
              <w:t>Investment name</w:t>
            </w:r>
          </w:p>
        </w:tc>
        <w:tc>
          <w:tcPr>
            <w:tcW w:w="1300" w:type="dxa"/>
            <w:tcBorders>
              <w:top w:val="single" w:sz="12" w:space="0" w:color="000000"/>
              <w:left w:val="nil"/>
              <w:bottom w:val="single" w:sz="8" w:space="0" w:color="auto"/>
              <w:right w:val="nil"/>
            </w:tcBorders>
            <w:shd w:val="clear" w:color="auto" w:fill="auto"/>
            <w:vAlign w:val="center"/>
            <w:hideMark/>
          </w:tcPr>
          <w:p w14:paraId="5AE4AA20" w14:textId="77777777" w:rsidR="000227FF" w:rsidRPr="000227FF" w:rsidRDefault="000227FF" w:rsidP="000227FF">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0227FF">
              <w:rPr>
                <w:rFonts w:ascii="Calibri Light" w:eastAsia="Times New Roman" w:hAnsi="Calibri Light" w:cs="Times New Roman"/>
                <w:b/>
                <w:bCs/>
                <w:iCs/>
                <w:color w:val="495965"/>
                <w:sz w:val="17"/>
                <w:szCs w:val="17"/>
                <w:lang w:eastAsia="en-AU"/>
              </w:rPr>
              <w:t>Approved budget and duration</w:t>
            </w:r>
          </w:p>
        </w:tc>
        <w:tc>
          <w:tcPr>
            <w:tcW w:w="960" w:type="dxa"/>
            <w:tcBorders>
              <w:top w:val="single" w:sz="12" w:space="0" w:color="000000"/>
              <w:left w:val="nil"/>
              <w:bottom w:val="single" w:sz="8" w:space="0" w:color="auto"/>
              <w:right w:val="nil"/>
            </w:tcBorders>
            <w:shd w:val="clear" w:color="auto" w:fill="auto"/>
            <w:vAlign w:val="center"/>
            <w:hideMark/>
          </w:tcPr>
          <w:p w14:paraId="115F75DA" w14:textId="77777777" w:rsidR="000227FF" w:rsidRPr="000227FF" w:rsidRDefault="000227FF" w:rsidP="000227FF">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0227FF">
              <w:rPr>
                <w:rFonts w:ascii="Calibri Light" w:eastAsia="Times New Roman" w:hAnsi="Calibri Light" w:cs="Times New Roman"/>
                <w:b/>
                <w:bCs/>
                <w:iCs/>
                <w:color w:val="495965"/>
                <w:sz w:val="17"/>
                <w:szCs w:val="17"/>
                <w:lang w:eastAsia="en-AU"/>
              </w:rPr>
              <w:t>year on year</w:t>
            </w:r>
          </w:p>
        </w:tc>
        <w:tc>
          <w:tcPr>
            <w:tcW w:w="940" w:type="dxa"/>
            <w:tcBorders>
              <w:top w:val="single" w:sz="12" w:space="0" w:color="000000"/>
              <w:left w:val="nil"/>
              <w:bottom w:val="single" w:sz="8" w:space="0" w:color="auto"/>
              <w:right w:val="nil"/>
            </w:tcBorders>
            <w:shd w:val="clear" w:color="auto" w:fill="auto"/>
            <w:textDirection w:val="btLr"/>
            <w:vAlign w:val="bottom"/>
            <w:hideMark/>
          </w:tcPr>
          <w:p w14:paraId="1638F913" w14:textId="77777777" w:rsidR="000227FF" w:rsidRPr="000227FF" w:rsidRDefault="000227FF" w:rsidP="000227FF">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0227FF">
              <w:rPr>
                <w:rFonts w:ascii="Calibri Light" w:eastAsia="Times New Roman" w:hAnsi="Calibri Light" w:cs="Times New Roman"/>
                <w:b/>
                <w:bCs/>
                <w:iCs/>
                <w:color w:val="495965"/>
                <w:sz w:val="17"/>
                <w:szCs w:val="17"/>
                <w:lang w:eastAsia="en-AU"/>
              </w:rPr>
              <w:t>Relevance</w:t>
            </w:r>
          </w:p>
        </w:tc>
        <w:tc>
          <w:tcPr>
            <w:tcW w:w="940" w:type="dxa"/>
            <w:tcBorders>
              <w:top w:val="single" w:sz="12" w:space="0" w:color="000000"/>
              <w:left w:val="nil"/>
              <w:bottom w:val="single" w:sz="8" w:space="0" w:color="auto"/>
              <w:right w:val="nil"/>
            </w:tcBorders>
            <w:shd w:val="clear" w:color="auto" w:fill="auto"/>
            <w:textDirection w:val="btLr"/>
            <w:vAlign w:val="bottom"/>
            <w:hideMark/>
          </w:tcPr>
          <w:p w14:paraId="22B80F51" w14:textId="77777777" w:rsidR="000227FF" w:rsidRPr="000227FF" w:rsidRDefault="000227FF" w:rsidP="000227FF">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0227FF">
              <w:rPr>
                <w:rFonts w:ascii="Calibri Light" w:eastAsia="Times New Roman" w:hAnsi="Calibri Light" w:cs="Times New Roman"/>
                <w:b/>
                <w:bCs/>
                <w:iCs/>
                <w:color w:val="495965"/>
                <w:sz w:val="17"/>
                <w:szCs w:val="17"/>
                <w:lang w:eastAsia="en-AU"/>
              </w:rPr>
              <w:t>Effectiveness</w:t>
            </w:r>
          </w:p>
        </w:tc>
        <w:tc>
          <w:tcPr>
            <w:tcW w:w="940" w:type="dxa"/>
            <w:tcBorders>
              <w:top w:val="single" w:sz="12" w:space="0" w:color="000000"/>
              <w:left w:val="nil"/>
              <w:bottom w:val="single" w:sz="8" w:space="0" w:color="auto"/>
              <w:right w:val="nil"/>
            </w:tcBorders>
            <w:shd w:val="clear" w:color="auto" w:fill="auto"/>
            <w:textDirection w:val="btLr"/>
            <w:vAlign w:val="bottom"/>
            <w:hideMark/>
          </w:tcPr>
          <w:p w14:paraId="0A305FDC" w14:textId="77777777" w:rsidR="000227FF" w:rsidRPr="000227FF" w:rsidRDefault="000227FF" w:rsidP="000227FF">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0227FF">
              <w:rPr>
                <w:rFonts w:ascii="Calibri Light" w:eastAsia="Times New Roman" w:hAnsi="Calibri Light" w:cs="Times New Roman"/>
                <w:b/>
                <w:bCs/>
                <w:iCs/>
                <w:color w:val="495965"/>
                <w:sz w:val="17"/>
                <w:szCs w:val="17"/>
                <w:lang w:eastAsia="en-AU"/>
              </w:rPr>
              <w:t>Efficiency</w:t>
            </w:r>
          </w:p>
        </w:tc>
        <w:tc>
          <w:tcPr>
            <w:tcW w:w="940" w:type="dxa"/>
            <w:tcBorders>
              <w:top w:val="single" w:sz="12" w:space="0" w:color="000000"/>
              <w:left w:val="nil"/>
              <w:bottom w:val="single" w:sz="8" w:space="0" w:color="auto"/>
              <w:right w:val="nil"/>
            </w:tcBorders>
            <w:shd w:val="clear" w:color="auto" w:fill="auto"/>
            <w:textDirection w:val="btLr"/>
            <w:vAlign w:val="bottom"/>
            <w:hideMark/>
          </w:tcPr>
          <w:p w14:paraId="7CDA2EB2" w14:textId="77777777" w:rsidR="000227FF" w:rsidRPr="000227FF" w:rsidRDefault="000227FF" w:rsidP="000227FF">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0227FF">
              <w:rPr>
                <w:rFonts w:ascii="Calibri Light" w:eastAsia="Times New Roman" w:hAnsi="Calibri Light" w:cs="Times New Roman"/>
                <w:b/>
                <w:bCs/>
                <w:iCs/>
                <w:color w:val="495965"/>
                <w:sz w:val="17"/>
                <w:szCs w:val="17"/>
                <w:lang w:eastAsia="en-AU"/>
              </w:rPr>
              <w:t>Monitoring and Evaluation</w:t>
            </w:r>
          </w:p>
        </w:tc>
        <w:tc>
          <w:tcPr>
            <w:tcW w:w="940" w:type="dxa"/>
            <w:tcBorders>
              <w:top w:val="single" w:sz="12" w:space="0" w:color="000000"/>
              <w:left w:val="nil"/>
              <w:bottom w:val="single" w:sz="8" w:space="0" w:color="auto"/>
              <w:right w:val="nil"/>
            </w:tcBorders>
            <w:shd w:val="clear" w:color="auto" w:fill="auto"/>
            <w:textDirection w:val="btLr"/>
            <w:vAlign w:val="bottom"/>
            <w:hideMark/>
          </w:tcPr>
          <w:p w14:paraId="593E5035" w14:textId="77777777" w:rsidR="000227FF" w:rsidRPr="000227FF" w:rsidRDefault="000227FF" w:rsidP="000227FF">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0227FF">
              <w:rPr>
                <w:rFonts w:ascii="Calibri Light" w:eastAsia="Times New Roman" w:hAnsi="Calibri Light" w:cs="Times New Roman"/>
                <w:b/>
                <w:bCs/>
                <w:iCs/>
                <w:color w:val="495965"/>
                <w:sz w:val="17"/>
                <w:szCs w:val="17"/>
                <w:lang w:eastAsia="en-AU"/>
              </w:rPr>
              <w:t>Sustainability</w:t>
            </w:r>
          </w:p>
        </w:tc>
        <w:tc>
          <w:tcPr>
            <w:tcW w:w="940" w:type="dxa"/>
            <w:tcBorders>
              <w:top w:val="single" w:sz="12" w:space="0" w:color="000000"/>
              <w:left w:val="nil"/>
              <w:bottom w:val="single" w:sz="8" w:space="0" w:color="auto"/>
              <w:right w:val="nil"/>
            </w:tcBorders>
            <w:shd w:val="clear" w:color="auto" w:fill="auto"/>
            <w:textDirection w:val="btLr"/>
            <w:vAlign w:val="bottom"/>
            <w:hideMark/>
          </w:tcPr>
          <w:p w14:paraId="4697F0AC" w14:textId="77777777" w:rsidR="000227FF" w:rsidRPr="000227FF" w:rsidRDefault="000227FF" w:rsidP="000227FF">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0227FF">
              <w:rPr>
                <w:rFonts w:ascii="Calibri Light" w:eastAsia="Times New Roman" w:hAnsi="Calibri Light" w:cs="Times New Roman"/>
                <w:b/>
                <w:bCs/>
                <w:iCs/>
                <w:color w:val="495965"/>
                <w:sz w:val="17"/>
                <w:szCs w:val="17"/>
                <w:lang w:eastAsia="en-AU"/>
              </w:rPr>
              <w:t>Gender equality</w:t>
            </w:r>
          </w:p>
        </w:tc>
        <w:tc>
          <w:tcPr>
            <w:tcW w:w="940" w:type="dxa"/>
            <w:tcBorders>
              <w:top w:val="single" w:sz="12" w:space="0" w:color="000000"/>
              <w:left w:val="nil"/>
              <w:bottom w:val="single" w:sz="8" w:space="0" w:color="auto"/>
              <w:right w:val="nil"/>
            </w:tcBorders>
            <w:shd w:val="clear" w:color="auto" w:fill="auto"/>
            <w:textDirection w:val="btLr"/>
            <w:vAlign w:val="bottom"/>
            <w:hideMark/>
          </w:tcPr>
          <w:p w14:paraId="4DF8D425" w14:textId="77777777" w:rsidR="000227FF" w:rsidRPr="000227FF" w:rsidRDefault="000227FF" w:rsidP="000227FF">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0227FF">
              <w:rPr>
                <w:rFonts w:ascii="Calibri Light" w:eastAsia="Times New Roman" w:hAnsi="Calibri Light" w:cs="Times New Roman"/>
                <w:b/>
                <w:bCs/>
                <w:iCs/>
                <w:color w:val="495965"/>
                <w:sz w:val="17"/>
                <w:szCs w:val="17"/>
                <w:lang w:eastAsia="en-AU"/>
              </w:rPr>
              <w:t>Risks  and Safeguards</w:t>
            </w:r>
          </w:p>
        </w:tc>
      </w:tr>
      <w:tr w:rsidR="000227FF" w:rsidRPr="000227FF" w14:paraId="4A00FEED" w14:textId="77777777" w:rsidTr="000227FF">
        <w:trPr>
          <w:trHeight w:val="300"/>
        </w:trPr>
        <w:tc>
          <w:tcPr>
            <w:tcW w:w="4060" w:type="dxa"/>
            <w:tcBorders>
              <w:top w:val="nil"/>
              <w:left w:val="nil"/>
              <w:bottom w:val="nil"/>
              <w:right w:val="nil"/>
            </w:tcBorders>
            <w:shd w:val="clear" w:color="auto" w:fill="auto"/>
            <w:vAlign w:val="center"/>
            <w:hideMark/>
          </w:tcPr>
          <w:p w14:paraId="44F17D77" w14:textId="77777777" w:rsidR="000227FF" w:rsidRPr="000227FF" w:rsidRDefault="000227FF" w:rsidP="000227FF">
            <w:pPr>
              <w:suppressAutoHyphens w:val="0"/>
              <w:spacing w:before="0" w:after="0" w:line="240" w:lineRule="auto"/>
              <w:rPr>
                <w:rFonts w:ascii="Calibri Light" w:eastAsia="Times New Roman" w:hAnsi="Calibri Light" w:cs="Times New Roman"/>
                <w:color w:val="495965"/>
                <w:sz w:val="17"/>
                <w:szCs w:val="17"/>
                <w:lang w:val="en-AU" w:eastAsia="en-AU"/>
              </w:rPr>
            </w:pPr>
            <w:r w:rsidRPr="000227FF">
              <w:rPr>
                <w:rFonts w:ascii="Calibri Light" w:eastAsia="Times New Roman" w:hAnsi="Calibri Light" w:cs="Times New Roman"/>
                <w:iCs/>
                <w:color w:val="495965"/>
                <w:sz w:val="17"/>
                <w:szCs w:val="17"/>
                <w:lang w:eastAsia="en-AU"/>
              </w:rPr>
              <w:t>The Strategic Partnership Arrangement with BRAC</w:t>
            </w:r>
          </w:p>
        </w:tc>
        <w:tc>
          <w:tcPr>
            <w:tcW w:w="1300" w:type="dxa"/>
            <w:tcBorders>
              <w:top w:val="nil"/>
              <w:left w:val="nil"/>
              <w:bottom w:val="nil"/>
              <w:right w:val="nil"/>
            </w:tcBorders>
            <w:shd w:val="clear" w:color="auto" w:fill="auto"/>
            <w:vAlign w:val="center"/>
            <w:hideMark/>
          </w:tcPr>
          <w:p w14:paraId="7F671F8F"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0227FF">
              <w:rPr>
                <w:rFonts w:ascii="Calibri Light" w:eastAsia="Times New Roman" w:hAnsi="Calibri Light" w:cs="Times New Roman"/>
                <w:iCs/>
                <w:color w:val="495965"/>
                <w:sz w:val="17"/>
                <w:szCs w:val="17"/>
                <w:lang w:eastAsia="en-AU"/>
              </w:rPr>
              <w:t xml:space="preserve">$275m </w:t>
            </w:r>
          </w:p>
        </w:tc>
        <w:tc>
          <w:tcPr>
            <w:tcW w:w="960" w:type="dxa"/>
            <w:tcBorders>
              <w:top w:val="nil"/>
              <w:left w:val="nil"/>
              <w:bottom w:val="nil"/>
              <w:right w:val="nil"/>
            </w:tcBorders>
            <w:shd w:val="clear" w:color="auto" w:fill="auto"/>
            <w:vAlign w:val="center"/>
            <w:hideMark/>
          </w:tcPr>
          <w:p w14:paraId="3232AF48" w14:textId="77777777" w:rsidR="000227FF" w:rsidRPr="000227FF" w:rsidRDefault="000227FF" w:rsidP="000227FF">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0227FF">
              <w:rPr>
                <w:rFonts w:ascii="Calibri Light" w:eastAsia="Times New Roman" w:hAnsi="Calibri Light" w:cs="Times New Roman"/>
                <w:iCs/>
                <w:color w:val="495965"/>
                <w:sz w:val="17"/>
                <w:szCs w:val="17"/>
                <w:lang w:eastAsia="en-AU"/>
              </w:rPr>
              <w:t>2017 AQC</w:t>
            </w:r>
          </w:p>
        </w:tc>
        <w:tc>
          <w:tcPr>
            <w:tcW w:w="940" w:type="dxa"/>
            <w:tcBorders>
              <w:top w:val="nil"/>
              <w:left w:val="nil"/>
              <w:bottom w:val="nil"/>
              <w:right w:val="nil"/>
            </w:tcBorders>
            <w:shd w:val="clear" w:color="000000" w:fill="92D050"/>
            <w:noWrap/>
            <w:vAlign w:val="center"/>
            <w:hideMark/>
          </w:tcPr>
          <w:p w14:paraId="5D7B1A39"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5</w:t>
            </w:r>
          </w:p>
        </w:tc>
        <w:tc>
          <w:tcPr>
            <w:tcW w:w="940" w:type="dxa"/>
            <w:tcBorders>
              <w:top w:val="nil"/>
              <w:left w:val="nil"/>
              <w:bottom w:val="nil"/>
              <w:right w:val="nil"/>
            </w:tcBorders>
            <w:shd w:val="clear" w:color="000000" w:fill="92D050"/>
            <w:noWrap/>
            <w:vAlign w:val="center"/>
            <w:hideMark/>
          </w:tcPr>
          <w:p w14:paraId="56A9D7F8"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5</w:t>
            </w:r>
          </w:p>
        </w:tc>
        <w:tc>
          <w:tcPr>
            <w:tcW w:w="940" w:type="dxa"/>
            <w:tcBorders>
              <w:top w:val="nil"/>
              <w:left w:val="nil"/>
              <w:bottom w:val="nil"/>
              <w:right w:val="nil"/>
            </w:tcBorders>
            <w:shd w:val="clear" w:color="000000" w:fill="92D050"/>
            <w:noWrap/>
            <w:vAlign w:val="center"/>
            <w:hideMark/>
          </w:tcPr>
          <w:p w14:paraId="4CCF2813"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6</w:t>
            </w:r>
          </w:p>
        </w:tc>
        <w:tc>
          <w:tcPr>
            <w:tcW w:w="940" w:type="dxa"/>
            <w:tcBorders>
              <w:top w:val="nil"/>
              <w:left w:val="nil"/>
              <w:bottom w:val="nil"/>
              <w:right w:val="nil"/>
            </w:tcBorders>
            <w:shd w:val="clear" w:color="000000" w:fill="FFFF00"/>
            <w:noWrap/>
            <w:vAlign w:val="center"/>
            <w:hideMark/>
          </w:tcPr>
          <w:p w14:paraId="424138B8"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4</w:t>
            </w:r>
          </w:p>
        </w:tc>
        <w:tc>
          <w:tcPr>
            <w:tcW w:w="940" w:type="dxa"/>
            <w:tcBorders>
              <w:top w:val="nil"/>
              <w:left w:val="nil"/>
              <w:bottom w:val="nil"/>
              <w:right w:val="nil"/>
            </w:tcBorders>
            <w:shd w:val="clear" w:color="000000" w:fill="92D050"/>
            <w:noWrap/>
            <w:vAlign w:val="center"/>
            <w:hideMark/>
          </w:tcPr>
          <w:p w14:paraId="5B29C030"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5</w:t>
            </w:r>
          </w:p>
        </w:tc>
        <w:tc>
          <w:tcPr>
            <w:tcW w:w="940" w:type="dxa"/>
            <w:tcBorders>
              <w:top w:val="nil"/>
              <w:left w:val="nil"/>
              <w:bottom w:val="nil"/>
              <w:right w:val="nil"/>
            </w:tcBorders>
            <w:shd w:val="clear" w:color="000000" w:fill="92D050"/>
            <w:noWrap/>
            <w:vAlign w:val="center"/>
            <w:hideMark/>
          </w:tcPr>
          <w:p w14:paraId="6BBEC701"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5</w:t>
            </w:r>
          </w:p>
        </w:tc>
        <w:tc>
          <w:tcPr>
            <w:tcW w:w="940" w:type="dxa"/>
            <w:tcBorders>
              <w:top w:val="nil"/>
              <w:left w:val="nil"/>
              <w:bottom w:val="nil"/>
              <w:right w:val="nil"/>
            </w:tcBorders>
            <w:shd w:val="clear" w:color="auto" w:fill="auto"/>
            <w:vAlign w:val="center"/>
            <w:hideMark/>
          </w:tcPr>
          <w:p w14:paraId="10E55BD7"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p>
        </w:tc>
      </w:tr>
      <w:tr w:rsidR="000227FF" w:rsidRPr="000227FF" w14:paraId="5EFA166F" w14:textId="77777777" w:rsidTr="000227FF">
        <w:trPr>
          <w:trHeight w:val="315"/>
        </w:trPr>
        <w:tc>
          <w:tcPr>
            <w:tcW w:w="4060" w:type="dxa"/>
            <w:tcBorders>
              <w:top w:val="nil"/>
              <w:left w:val="nil"/>
              <w:bottom w:val="single" w:sz="8" w:space="0" w:color="auto"/>
              <w:right w:val="nil"/>
            </w:tcBorders>
            <w:shd w:val="clear" w:color="auto" w:fill="auto"/>
            <w:vAlign w:val="center"/>
            <w:hideMark/>
          </w:tcPr>
          <w:p w14:paraId="2340B04D" w14:textId="77777777" w:rsidR="000227FF" w:rsidRPr="000227FF" w:rsidRDefault="000227FF" w:rsidP="000227FF">
            <w:pPr>
              <w:suppressAutoHyphens w:val="0"/>
              <w:spacing w:before="0" w:after="0" w:line="240" w:lineRule="auto"/>
              <w:rPr>
                <w:rFonts w:ascii="Calibri Light" w:eastAsia="Times New Roman" w:hAnsi="Calibri Light" w:cs="Times New Roman"/>
                <w:color w:val="495965"/>
                <w:sz w:val="17"/>
                <w:szCs w:val="17"/>
                <w:lang w:val="en-AU" w:eastAsia="en-AU"/>
              </w:rPr>
            </w:pPr>
            <w:r w:rsidRPr="000227FF">
              <w:rPr>
                <w:rFonts w:ascii="Calibri Light" w:eastAsia="Times New Roman" w:hAnsi="Calibri Light" w:cs="Times New Roman"/>
                <w:color w:val="495965"/>
                <w:sz w:val="17"/>
                <w:szCs w:val="17"/>
                <w:lang w:val="en-AU" w:eastAsia="en-AU"/>
              </w:rPr>
              <w:t> </w:t>
            </w:r>
          </w:p>
        </w:tc>
        <w:tc>
          <w:tcPr>
            <w:tcW w:w="1300" w:type="dxa"/>
            <w:tcBorders>
              <w:top w:val="nil"/>
              <w:left w:val="nil"/>
              <w:bottom w:val="single" w:sz="8" w:space="0" w:color="auto"/>
              <w:right w:val="nil"/>
            </w:tcBorders>
            <w:shd w:val="clear" w:color="auto" w:fill="auto"/>
            <w:vAlign w:val="center"/>
            <w:hideMark/>
          </w:tcPr>
          <w:p w14:paraId="03B84A86"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0227FF">
              <w:rPr>
                <w:rFonts w:ascii="Calibri Light" w:eastAsia="Times New Roman" w:hAnsi="Calibri Light" w:cs="Times New Roman"/>
                <w:iCs/>
                <w:color w:val="495965"/>
                <w:sz w:val="17"/>
                <w:szCs w:val="17"/>
                <w:lang w:eastAsia="en-AU"/>
              </w:rPr>
              <w:t xml:space="preserve">2011-2020 </w:t>
            </w:r>
          </w:p>
        </w:tc>
        <w:tc>
          <w:tcPr>
            <w:tcW w:w="960" w:type="dxa"/>
            <w:tcBorders>
              <w:top w:val="nil"/>
              <w:left w:val="nil"/>
              <w:bottom w:val="single" w:sz="8" w:space="0" w:color="auto"/>
              <w:right w:val="nil"/>
            </w:tcBorders>
            <w:shd w:val="clear" w:color="auto" w:fill="auto"/>
            <w:vAlign w:val="center"/>
            <w:hideMark/>
          </w:tcPr>
          <w:p w14:paraId="500FB445" w14:textId="77777777" w:rsidR="000227FF" w:rsidRPr="000227FF" w:rsidRDefault="000227FF" w:rsidP="000227FF">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0227FF">
              <w:rPr>
                <w:rFonts w:ascii="Calibri Light" w:eastAsia="Times New Roman" w:hAnsi="Calibri Light" w:cs="Times New Roman"/>
                <w:iCs/>
                <w:color w:val="495965"/>
                <w:sz w:val="17"/>
                <w:szCs w:val="17"/>
                <w:lang w:eastAsia="en-AU"/>
              </w:rPr>
              <w:t>2016 AQC</w:t>
            </w:r>
          </w:p>
        </w:tc>
        <w:tc>
          <w:tcPr>
            <w:tcW w:w="940" w:type="dxa"/>
            <w:tcBorders>
              <w:top w:val="nil"/>
              <w:left w:val="nil"/>
              <w:bottom w:val="single" w:sz="8" w:space="0" w:color="auto"/>
              <w:right w:val="nil"/>
            </w:tcBorders>
            <w:shd w:val="clear" w:color="000000" w:fill="92D050"/>
            <w:noWrap/>
            <w:vAlign w:val="center"/>
            <w:hideMark/>
          </w:tcPr>
          <w:p w14:paraId="0583A0BF"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5</w:t>
            </w:r>
          </w:p>
        </w:tc>
        <w:tc>
          <w:tcPr>
            <w:tcW w:w="940" w:type="dxa"/>
            <w:tcBorders>
              <w:top w:val="nil"/>
              <w:left w:val="nil"/>
              <w:bottom w:val="single" w:sz="8" w:space="0" w:color="auto"/>
              <w:right w:val="nil"/>
            </w:tcBorders>
            <w:shd w:val="clear" w:color="000000" w:fill="92D050"/>
            <w:noWrap/>
            <w:vAlign w:val="center"/>
            <w:hideMark/>
          </w:tcPr>
          <w:p w14:paraId="25BA8586"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5</w:t>
            </w:r>
          </w:p>
        </w:tc>
        <w:tc>
          <w:tcPr>
            <w:tcW w:w="940" w:type="dxa"/>
            <w:tcBorders>
              <w:top w:val="nil"/>
              <w:left w:val="nil"/>
              <w:bottom w:val="single" w:sz="8" w:space="0" w:color="auto"/>
              <w:right w:val="nil"/>
            </w:tcBorders>
            <w:shd w:val="clear" w:color="000000" w:fill="92D050"/>
            <w:noWrap/>
            <w:vAlign w:val="center"/>
            <w:hideMark/>
          </w:tcPr>
          <w:p w14:paraId="7FA119C0"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6</w:t>
            </w:r>
          </w:p>
        </w:tc>
        <w:tc>
          <w:tcPr>
            <w:tcW w:w="940" w:type="dxa"/>
            <w:tcBorders>
              <w:top w:val="nil"/>
              <w:left w:val="nil"/>
              <w:bottom w:val="single" w:sz="8" w:space="0" w:color="auto"/>
              <w:right w:val="nil"/>
            </w:tcBorders>
            <w:shd w:val="clear" w:color="000000" w:fill="92D050"/>
            <w:noWrap/>
            <w:vAlign w:val="center"/>
            <w:hideMark/>
          </w:tcPr>
          <w:p w14:paraId="6265E42B"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5</w:t>
            </w:r>
          </w:p>
        </w:tc>
        <w:tc>
          <w:tcPr>
            <w:tcW w:w="940" w:type="dxa"/>
            <w:tcBorders>
              <w:top w:val="nil"/>
              <w:left w:val="nil"/>
              <w:bottom w:val="single" w:sz="8" w:space="0" w:color="auto"/>
              <w:right w:val="nil"/>
            </w:tcBorders>
            <w:shd w:val="clear" w:color="000000" w:fill="92D050"/>
            <w:noWrap/>
            <w:vAlign w:val="center"/>
            <w:hideMark/>
          </w:tcPr>
          <w:p w14:paraId="79EF248D"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5</w:t>
            </w:r>
          </w:p>
        </w:tc>
        <w:tc>
          <w:tcPr>
            <w:tcW w:w="940" w:type="dxa"/>
            <w:tcBorders>
              <w:top w:val="nil"/>
              <w:left w:val="nil"/>
              <w:bottom w:val="single" w:sz="8" w:space="0" w:color="auto"/>
              <w:right w:val="nil"/>
            </w:tcBorders>
            <w:shd w:val="clear" w:color="000000" w:fill="92D050"/>
            <w:noWrap/>
            <w:vAlign w:val="center"/>
            <w:hideMark/>
          </w:tcPr>
          <w:p w14:paraId="665A3ABE"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5</w:t>
            </w:r>
          </w:p>
        </w:tc>
        <w:tc>
          <w:tcPr>
            <w:tcW w:w="940" w:type="dxa"/>
            <w:tcBorders>
              <w:top w:val="nil"/>
              <w:left w:val="nil"/>
              <w:bottom w:val="single" w:sz="8" w:space="0" w:color="auto"/>
              <w:right w:val="nil"/>
            </w:tcBorders>
            <w:shd w:val="clear" w:color="000000" w:fill="92D050"/>
            <w:vAlign w:val="center"/>
            <w:hideMark/>
          </w:tcPr>
          <w:p w14:paraId="2E8C7F3D"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5</w:t>
            </w:r>
          </w:p>
        </w:tc>
      </w:tr>
      <w:tr w:rsidR="000227FF" w:rsidRPr="000227FF" w14:paraId="2BB2B5CA" w14:textId="77777777" w:rsidTr="000227FF">
        <w:trPr>
          <w:trHeight w:val="300"/>
        </w:trPr>
        <w:tc>
          <w:tcPr>
            <w:tcW w:w="4060" w:type="dxa"/>
            <w:tcBorders>
              <w:top w:val="nil"/>
              <w:left w:val="nil"/>
              <w:bottom w:val="nil"/>
              <w:right w:val="nil"/>
            </w:tcBorders>
            <w:shd w:val="clear" w:color="auto" w:fill="auto"/>
            <w:vAlign w:val="center"/>
            <w:hideMark/>
          </w:tcPr>
          <w:p w14:paraId="3B3B80E8" w14:textId="77777777" w:rsidR="000227FF" w:rsidRPr="000227FF" w:rsidRDefault="000227FF" w:rsidP="000227FF">
            <w:pPr>
              <w:suppressAutoHyphens w:val="0"/>
              <w:spacing w:before="0" w:after="0" w:line="240" w:lineRule="auto"/>
              <w:rPr>
                <w:rFonts w:ascii="Calibri Light" w:eastAsia="Times New Roman" w:hAnsi="Calibri Light" w:cs="Times New Roman"/>
                <w:color w:val="495965"/>
                <w:sz w:val="17"/>
                <w:szCs w:val="17"/>
                <w:lang w:val="en-AU" w:eastAsia="en-AU"/>
              </w:rPr>
            </w:pPr>
            <w:r w:rsidRPr="000227FF">
              <w:rPr>
                <w:rFonts w:ascii="Calibri Light" w:eastAsia="Times New Roman" w:hAnsi="Calibri Light" w:cs="Times New Roman"/>
                <w:iCs/>
                <w:color w:val="495965"/>
                <w:sz w:val="17"/>
                <w:szCs w:val="17"/>
                <w:lang w:eastAsia="en-AU"/>
              </w:rPr>
              <w:t>Primary Education Development Program III</w:t>
            </w:r>
          </w:p>
        </w:tc>
        <w:tc>
          <w:tcPr>
            <w:tcW w:w="1300" w:type="dxa"/>
            <w:tcBorders>
              <w:top w:val="nil"/>
              <w:left w:val="nil"/>
              <w:bottom w:val="nil"/>
              <w:right w:val="nil"/>
            </w:tcBorders>
            <w:shd w:val="clear" w:color="auto" w:fill="auto"/>
            <w:vAlign w:val="center"/>
            <w:hideMark/>
          </w:tcPr>
          <w:p w14:paraId="74CD234A"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0227FF">
              <w:rPr>
                <w:rFonts w:ascii="Calibri Light" w:eastAsia="Times New Roman" w:hAnsi="Calibri Light" w:cs="Times New Roman"/>
                <w:iCs/>
                <w:color w:val="495965"/>
                <w:sz w:val="17"/>
                <w:szCs w:val="17"/>
                <w:lang w:eastAsia="en-AU"/>
              </w:rPr>
              <w:t xml:space="preserve">$49m </w:t>
            </w:r>
          </w:p>
        </w:tc>
        <w:tc>
          <w:tcPr>
            <w:tcW w:w="960" w:type="dxa"/>
            <w:tcBorders>
              <w:top w:val="nil"/>
              <w:left w:val="nil"/>
              <w:bottom w:val="nil"/>
              <w:right w:val="nil"/>
            </w:tcBorders>
            <w:shd w:val="clear" w:color="auto" w:fill="auto"/>
            <w:vAlign w:val="center"/>
            <w:hideMark/>
          </w:tcPr>
          <w:p w14:paraId="7CCFB402" w14:textId="77777777" w:rsidR="000227FF" w:rsidRPr="000227FF" w:rsidRDefault="000227FF" w:rsidP="000227FF">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0227FF">
              <w:rPr>
                <w:rFonts w:ascii="Calibri Light" w:eastAsia="Times New Roman" w:hAnsi="Calibri Light" w:cs="Times New Roman"/>
                <w:iCs/>
                <w:color w:val="495965"/>
                <w:sz w:val="17"/>
                <w:szCs w:val="17"/>
                <w:lang w:eastAsia="en-AU"/>
              </w:rPr>
              <w:t>2017 AQC</w:t>
            </w:r>
          </w:p>
        </w:tc>
        <w:tc>
          <w:tcPr>
            <w:tcW w:w="940" w:type="dxa"/>
            <w:tcBorders>
              <w:top w:val="nil"/>
              <w:left w:val="nil"/>
              <w:bottom w:val="nil"/>
              <w:right w:val="nil"/>
            </w:tcBorders>
            <w:shd w:val="clear" w:color="000000" w:fill="92D050"/>
            <w:noWrap/>
            <w:vAlign w:val="center"/>
            <w:hideMark/>
          </w:tcPr>
          <w:p w14:paraId="4739A0BF"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6</w:t>
            </w:r>
          </w:p>
        </w:tc>
        <w:tc>
          <w:tcPr>
            <w:tcW w:w="940" w:type="dxa"/>
            <w:tcBorders>
              <w:top w:val="nil"/>
              <w:left w:val="nil"/>
              <w:bottom w:val="nil"/>
              <w:right w:val="nil"/>
            </w:tcBorders>
            <w:shd w:val="clear" w:color="000000" w:fill="FFFF00"/>
            <w:noWrap/>
            <w:vAlign w:val="center"/>
            <w:hideMark/>
          </w:tcPr>
          <w:p w14:paraId="08D88825"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4</w:t>
            </w:r>
          </w:p>
        </w:tc>
        <w:tc>
          <w:tcPr>
            <w:tcW w:w="940" w:type="dxa"/>
            <w:tcBorders>
              <w:top w:val="nil"/>
              <w:left w:val="nil"/>
              <w:bottom w:val="nil"/>
              <w:right w:val="nil"/>
            </w:tcBorders>
            <w:shd w:val="clear" w:color="000000" w:fill="FFFF00"/>
            <w:noWrap/>
            <w:vAlign w:val="center"/>
            <w:hideMark/>
          </w:tcPr>
          <w:p w14:paraId="75EBB53A"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4</w:t>
            </w:r>
          </w:p>
        </w:tc>
        <w:tc>
          <w:tcPr>
            <w:tcW w:w="940" w:type="dxa"/>
            <w:tcBorders>
              <w:top w:val="nil"/>
              <w:left w:val="nil"/>
              <w:bottom w:val="nil"/>
              <w:right w:val="nil"/>
            </w:tcBorders>
            <w:shd w:val="clear" w:color="000000" w:fill="92D050"/>
            <w:noWrap/>
            <w:vAlign w:val="center"/>
            <w:hideMark/>
          </w:tcPr>
          <w:p w14:paraId="6E945E57"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5</w:t>
            </w:r>
          </w:p>
        </w:tc>
        <w:tc>
          <w:tcPr>
            <w:tcW w:w="940" w:type="dxa"/>
            <w:tcBorders>
              <w:top w:val="nil"/>
              <w:left w:val="nil"/>
              <w:bottom w:val="nil"/>
              <w:right w:val="nil"/>
            </w:tcBorders>
            <w:shd w:val="clear" w:color="000000" w:fill="92D050"/>
            <w:noWrap/>
            <w:vAlign w:val="center"/>
            <w:hideMark/>
          </w:tcPr>
          <w:p w14:paraId="4CF41B94"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5</w:t>
            </w:r>
          </w:p>
        </w:tc>
        <w:tc>
          <w:tcPr>
            <w:tcW w:w="940" w:type="dxa"/>
            <w:tcBorders>
              <w:top w:val="nil"/>
              <w:left w:val="nil"/>
              <w:bottom w:val="nil"/>
              <w:right w:val="nil"/>
            </w:tcBorders>
            <w:shd w:val="clear" w:color="000000" w:fill="FFFF00"/>
            <w:noWrap/>
            <w:vAlign w:val="center"/>
            <w:hideMark/>
          </w:tcPr>
          <w:p w14:paraId="4BD2CCDD"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4</w:t>
            </w:r>
          </w:p>
        </w:tc>
        <w:tc>
          <w:tcPr>
            <w:tcW w:w="940" w:type="dxa"/>
            <w:tcBorders>
              <w:top w:val="nil"/>
              <w:left w:val="nil"/>
              <w:bottom w:val="nil"/>
              <w:right w:val="nil"/>
            </w:tcBorders>
            <w:shd w:val="clear" w:color="auto" w:fill="auto"/>
            <w:vAlign w:val="center"/>
            <w:hideMark/>
          </w:tcPr>
          <w:p w14:paraId="710A1ACA"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p>
        </w:tc>
      </w:tr>
      <w:tr w:rsidR="000227FF" w:rsidRPr="000227FF" w14:paraId="48FC36D1" w14:textId="77777777" w:rsidTr="000227FF">
        <w:trPr>
          <w:trHeight w:val="315"/>
        </w:trPr>
        <w:tc>
          <w:tcPr>
            <w:tcW w:w="4060" w:type="dxa"/>
            <w:tcBorders>
              <w:top w:val="nil"/>
              <w:left w:val="nil"/>
              <w:bottom w:val="single" w:sz="8" w:space="0" w:color="auto"/>
              <w:right w:val="nil"/>
            </w:tcBorders>
            <w:shd w:val="clear" w:color="auto" w:fill="auto"/>
            <w:vAlign w:val="center"/>
            <w:hideMark/>
          </w:tcPr>
          <w:p w14:paraId="01F4CA59" w14:textId="77777777" w:rsidR="000227FF" w:rsidRPr="000227FF" w:rsidRDefault="000227FF" w:rsidP="000227FF">
            <w:pPr>
              <w:suppressAutoHyphens w:val="0"/>
              <w:spacing w:before="0" w:after="0" w:line="240" w:lineRule="auto"/>
              <w:rPr>
                <w:rFonts w:ascii="Calibri Light" w:eastAsia="Times New Roman" w:hAnsi="Calibri Light" w:cs="Times New Roman"/>
                <w:color w:val="495965"/>
                <w:sz w:val="17"/>
                <w:szCs w:val="17"/>
                <w:lang w:val="en-AU" w:eastAsia="en-AU"/>
              </w:rPr>
            </w:pPr>
            <w:r w:rsidRPr="000227FF">
              <w:rPr>
                <w:rFonts w:ascii="Calibri Light" w:eastAsia="Times New Roman" w:hAnsi="Calibri Light" w:cs="Times New Roman"/>
                <w:color w:val="495965"/>
                <w:sz w:val="17"/>
                <w:szCs w:val="17"/>
                <w:lang w:val="en-AU" w:eastAsia="en-AU"/>
              </w:rPr>
              <w:t> </w:t>
            </w:r>
          </w:p>
        </w:tc>
        <w:tc>
          <w:tcPr>
            <w:tcW w:w="1300" w:type="dxa"/>
            <w:tcBorders>
              <w:top w:val="nil"/>
              <w:left w:val="nil"/>
              <w:bottom w:val="single" w:sz="8" w:space="0" w:color="auto"/>
              <w:right w:val="nil"/>
            </w:tcBorders>
            <w:shd w:val="clear" w:color="auto" w:fill="auto"/>
            <w:vAlign w:val="center"/>
            <w:hideMark/>
          </w:tcPr>
          <w:p w14:paraId="27036225"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0227FF">
              <w:rPr>
                <w:rFonts w:ascii="Calibri Light" w:eastAsia="Times New Roman" w:hAnsi="Calibri Light" w:cs="Times New Roman"/>
                <w:iCs/>
                <w:color w:val="495965"/>
                <w:sz w:val="17"/>
                <w:szCs w:val="17"/>
                <w:lang w:eastAsia="en-AU"/>
              </w:rPr>
              <w:t xml:space="preserve">2011-2017 </w:t>
            </w:r>
          </w:p>
        </w:tc>
        <w:tc>
          <w:tcPr>
            <w:tcW w:w="960" w:type="dxa"/>
            <w:tcBorders>
              <w:top w:val="nil"/>
              <w:left w:val="nil"/>
              <w:bottom w:val="single" w:sz="8" w:space="0" w:color="auto"/>
              <w:right w:val="nil"/>
            </w:tcBorders>
            <w:shd w:val="clear" w:color="auto" w:fill="auto"/>
            <w:vAlign w:val="center"/>
            <w:hideMark/>
          </w:tcPr>
          <w:p w14:paraId="47D8E68E" w14:textId="77777777" w:rsidR="000227FF" w:rsidRPr="000227FF" w:rsidRDefault="000227FF" w:rsidP="000227FF">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0227FF">
              <w:rPr>
                <w:rFonts w:ascii="Calibri Light" w:eastAsia="Times New Roman" w:hAnsi="Calibri Light" w:cs="Times New Roman"/>
                <w:iCs/>
                <w:color w:val="495965"/>
                <w:sz w:val="17"/>
                <w:szCs w:val="17"/>
                <w:lang w:eastAsia="en-AU"/>
              </w:rPr>
              <w:t>2016 AQC</w:t>
            </w:r>
          </w:p>
        </w:tc>
        <w:tc>
          <w:tcPr>
            <w:tcW w:w="940" w:type="dxa"/>
            <w:tcBorders>
              <w:top w:val="nil"/>
              <w:left w:val="nil"/>
              <w:bottom w:val="single" w:sz="8" w:space="0" w:color="auto"/>
              <w:right w:val="nil"/>
            </w:tcBorders>
            <w:shd w:val="clear" w:color="000000" w:fill="92D050"/>
            <w:noWrap/>
            <w:vAlign w:val="center"/>
            <w:hideMark/>
          </w:tcPr>
          <w:p w14:paraId="6711C082"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6</w:t>
            </w:r>
          </w:p>
        </w:tc>
        <w:tc>
          <w:tcPr>
            <w:tcW w:w="940" w:type="dxa"/>
            <w:tcBorders>
              <w:top w:val="nil"/>
              <w:left w:val="nil"/>
              <w:bottom w:val="single" w:sz="8" w:space="0" w:color="auto"/>
              <w:right w:val="nil"/>
            </w:tcBorders>
            <w:shd w:val="clear" w:color="000000" w:fill="92D050"/>
            <w:noWrap/>
            <w:vAlign w:val="center"/>
            <w:hideMark/>
          </w:tcPr>
          <w:p w14:paraId="2F131CC9"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5</w:t>
            </w:r>
          </w:p>
        </w:tc>
        <w:tc>
          <w:tcPr>
            <w:tcW w:w="940" w:type="dxa"/>
            <w:tcBorders>
              <w:top w:val="nil"/>
              <w:left w:val="nil"/>
              <w:bottom w:val="single" w:sz="8" w:space="0" w:color="auto"/>
              <w:right w:val="nil"/>
            </w:tcBorders>
            <w:shd w:val="clear" w:color="000000" w:fill="92D050"/>
            <w:noWrap/>
            <w:vAlign w:val="center"/>
            <w:hideMark/>
          </w:tcPr>
          <w:p w14:paraId="0B441188"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5</w:t>
            </w:r>
          </w:p>
        </w:tc>
        <w:tc>
          <w:tcPr>
            <w:tcW w:w="940" w:type="dxa"/>
            <w:tcBorders>
              <w:top w:val="nil"/>
              <w:left w:val="nil"/>
              <w:bottom w:val="single" w:sz="8" w:space="0" w:color="auto"/>
              <w:right w:val="nil"/>
            </w:tcBorders>
            <w:shd w:val="clear" w:color="000000" w:fill="92D050"/>
            <w:noWrap/>
            <w:vAlign w:val="center"/>
            <w:hideMark/>
          </w:tcPr>
          <w:p w14:paraId="4D613EF6"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5</w:t>
            </w:r>
          </w:p>
        </w:tc>
        <w:tc>
          <w:tcPr>
            <w:tcW w:w="940" w:type="dxa"/>
            <w:tcBorders>
              <w:top w:val="nil"/>
              <w:left w:val="nil"/>
              <w:bottom w:val="single" w:sz="8" w:space="0" w:color="auto"/>
              <w:right w:val="nil"/>
            </w:tcBorders>
            <w:shd w:val="clear" w:color="000000" w:fill="92D050"/>
            <w:noWrap/>
            <w:vAlign w:val="center"/>
            <w:hideMark/>
          </w:tcPr>
          <w:p w14:paraId="26B931D2"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5</w:t>
            </w:r>
          </w:p>
        </w:tc>
        <w:tc>
          <w:tcPr>
            <w:tcW w:w="940" w:type="dxa"/>
            <w:tcBorders>
              <w:top w:val="nil"/>
              <w:left w:val="nil"/>
              <w:bottom w:val="single" w:sz="8" w:space="0" w:color="auto"/>
              <w:right w:val="nil"/>
            </w:tcBorders>
            <w:shd w:val="clear" w:color="000000" w:fill="FFFF00"/>
            <w:noWrap/>
            <w:vAlign w:val="center"/>
            <w:hideMark/>
          </w:tcPr>
          <w:p w14:paraId="29B8FF96"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4</w:t>
            </w:r>
          </w:p>
        </w:tc>
        <w:tc>
          <w:tcPr>
            <w:tcW w:w="940" w:type="dxa"/>
            <w:tcBorders>
              <w:top w:val="nil"/>
              <w:left w:val="nil"/>
              <w:bottom w:val="single" w:sz="8" w:space="0" w:color="auto"/>
              <w:right w:val="nil"/>
            </w:tcBorders>
            <w:shd w:val="clear" w:color="000000" w:fill="FFFF00"/>
            <w:vAlign w:val="center"/>
            <w:hideMark/>
          </w:tcPr>
          <w:p w14:paraId="3931DD1B"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4</w:t>
            </w:r>
          </w:p>
        </w:tc>
      </w:tr>
      <w:tr w:rsidR="000227FF" w:rsidRPr="000227FF" w14:paraId="1E3C62ED" w14:textId="77777777" w:rsidTr="000227FF">
        <w:trPr>
          <w:trHeight w:val="300"/>
        </w:trPr>
        <w:tc>
          <w:tcPr>
            <w:tcW w:w="4060" w:type="dxa"/>
            <w:tcBorders>
              <w:top w:val="nil"/>
              <w:left w:val="nil"/>
              <w:bottom w:val="nil"/>
              <w:right w:val="nil"/>
            </w:tcBorders>
            <w:shd w:val="clear" w:color="auto" w:fill="auto"/>
            <w:vAlign w:val="center"/>
            <w:hideMark/>
          </w:tcPr>
          <w:p w14:paraId="0ECFB9E2" w14:textId="77777777" w:rsidR="000227FF" w:rsidRPr="000227FF" w:rsidRDefault="000227FF" w:rsidP="000227FF">
            <w:pPr>
              <w:suppressAutoHyphens w:val="0"/>
              <w:spacing w:before="0" w:after="0" w:line="240" w:lineRule="auto"/>
              <w:rPr>
                <w:rFonts w:ascii="Calibri Light" w:eastAsia="Times New Roman" w:hAnsi="Calibri Light" w:cs="Times New Roman"/>
                <w:color w:val="495965"/>
                <w:sz w:val="17"/>
                <w:szCs w:val="17"/>
                <w:lang w:val="en-AU" w:eastAsia="en-AU"/>
              </w:rPr>
            </w:pPr>
            <w:r w:rsidRPr="000227FF">
              <w:rPr>
                <w:rFonts w:ascii="Calibri Light" w:eastAsia="Times New Roman" w:hAnsi="Calibri Light" w:cs="Times New Roman"/>
                <w:iCs/>
                <w:color w:val="495965"/>
                <w:sz w:val="17"/>
                <w:szCs w:val="17"/>
                <w:lang w:eastAsia="en-AU"/>
              </w:rPr>
              <w:t>Australian Development Scholarships</w:t>
            </w:r>
          </w:p>
        </w:tc>
        <w:tc>
          <w:tcPr>
            <w:tcW w:w="1300" w:type="dxa"/>
            <w:tcBorders>
              <w:top w:val="nil"/>
              <w:left w:val="nil"/>
              <w:bottom w:val="nil"/>
              <w:right w:val="nil"/>
            </w:tcBorders>
            <w:shd w:val="clear" w:color="auto" w:fill="auto"/>
            <w:vAlign w:val="center"/>
            <w:hideMark/>
          </w:tcPr>
          <w:p w14:paraId="521AD14B"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0227FF">
              <w:rPr>
                <w:rFonts w:ascii="Calibri Light" w:eastAsia="Times New Roman" w:hAnsi="Calibri Light" w:cs="Times New Roman"/>
                <w:iCs/>
                <w:color w:val="495965"/>
                <w:sz w:val="17"/>
                <w:szCs w:val="17"/>
                <w:lang w:eastAsia="en-AU"/>
              </w:rPr>
              <w:t>$17.8m</w:t>
            </w:r>
          </w:p>
        </w:tc>
        <w:tc>
          <w:tcPr>
            <w:tcW w:w="960" w:type="dxa"/>
            <w:tcBorders>
              <w:top w:val="nil"/>
              <w:left w:val="nil"/>
              <w:bottom w:val="nil"/>
              <w:right w:val="nil"/>
            </w:tcBorders>
            <w:shd w:val="clear" w:color="auto" w:fill="auto"/>
            <w:vAlign w:val="center"/>
            <w:hideMark/>
          </w:tcPr>
          <w:p w14:paraId="69DBFAF1" w14:textId="77777777" w:rsidR="000227FF" w:rsidRPr="000227FF" w:rsidRDefault="000227FF" w:rsidP="000227FF">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0227FF">
              <w:rPr>
                <w:rFonts w:ascii="Calibri Light" w:eastAsia="Times New Roman" w:hAnsi="Calibri Light" w:cs="Times New Roman"/>
                <w:iCs/>
                <w:color w:val="495965"/>
                <w:sz w:val="17"/>
                <w:szCs w:val="17"/>
                <w:lang w:eastAsia="en-AU"/>
              </w:rPr>
              <w:t>2017 AQC</w:t>
            </w:r>
          </w:p>
        </w:tc>
        <w:tc>
          <w:tcPr>
            <w:tcW w:w="940" w:type="dxa"/>
            <w:tcBorders>
              <w:top w:val="nil"/>
              <w:left w:val="nil"/>
              <w:bottom w:val="nil"/>
              <w:right w:val="nil"/>
            </w:tcBorders>
            <w:shd w:val="clear" w:color="000000" w:fill="92D050"/>
            <w:noWrap/>
            <w:vAlign w:val="center"/>
            <w:hideMark/>
          </w:tcPr>
          <w:p w14:paraId="3736E171"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5</w:t>
            </w:r>
          </w:p>
        </w:tc>
        <w:tc>
          <w:tcPr>
            <w:tcW w:w="940" w:type="dxa"/>
            <w:tcBorders>
              <w:top w:val="nil"/>
              <w:left w:val="nil"/>
              <w:bottom w:val="nil"/>
              <w:right w:val="nil"/>
            </w:tcBorders>
            <w:shd w:val="clear" w:color="000000" w:fill="92D050"/>
            <w:noWrap/>
            <w:vAlign w:val="center"/>
            <w:hideMark/>
          </w:tcPr>
          <w:p w14:paraId="4F73897C"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5</w:t>
            </w:r>
          </w:p>
        </w:tc>
        <w:tc>
          <w:tcPr>
            <w:tcW w:w="940" w:type="dxa"/>
            <w:tcBorders>
              <w:top w:val="nil"/>
              <w:left w:val="nil"/>
              <w:bottom w:val="nil"/>
              <w:right w:val="nil"/>
            </w:tcBorders>
            <w:shd w:val="clear" w:color="000000" w:fill="FFFF00"/>
            <w:noWrap/>
            <w:vAlign w:val="center"/>
            <w:hideMark/>
          </w:tcPr>
          <w:p w14:paraId="1E6E474B"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4</w:t>
            </w:r>
          </w:p>
        </w:tc>
        <w:tc>
          <w:tcPr>
            <w:tcW w:w="940" w:type="dxa"/>
            <w:tcBorders>
              <w:top w:val="nil"/>
              <w:left w:val="nil"/>
              <w:bottom w:val="nil"/>
              <w:right w:val="nil"/>
            </w:tcBorders>
            <w:shd w:val="clear" w:color="000000" w:fill="92D050"/>
            <w:noWrap/>
            <w:vAlign w:val="center"/>
            <w:hideMark/>
          </w:tcPr>
          <w:p w14:paraId="07B1DBA5"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5</w:t>
            </w:r>
          </w:p>
        </w:tc>
        <w:tc>
          <w:tcPr>
            <w:tcW w:w="940" w:type="dxa"/>
            <w:tcBorders>
              <w:top w:val="nil"/>
              <w:left w:val="nil"/>
              <w:bottom w:val="nil"/>
              <w:right w:val="nil"/>
            </w:tcBorders>
            <w:shd w:val="clear" w:color="000000" w:fill="92D050"/>
            <w:noWrap/>
            <w:vAlign w:val="center"/>
            <w:hideMark/>
          </w:tcPr>
          <w:p w14:paraId="4D4402C9"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5</w:t>
            </w:r>
          </w:p>
        </w:tc>
        <w:tc>
          <w:tcPr>
            <w:tcW w:w="940" w:type="dxa"/>
            <w:tcBorders>
              <w:top w:val="nil"/>
              <w:left w:val="nil"/>
              <w:bottom w:val="nil"/>
              <w:right w:val="nil"/>
            </w:tcBorders>
            <w:shd w:val="clear" w:color="000000" w:fill="92D050"/>
            <w:noWrap/>
            <w:vAlign w:val="center"/>
            <w:hideMark/>
          </w:tcPr>
          <w:p w14:paraId="452BBB8D"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5</w:t>
            </w:r>
          </w:p>
        </w:tc>
        <w:tc>
          <w:tcPr>
            <w:tcW w:w="940" w:type="dxa"/>
            <w:tcBorders>
              <w:top w:val="nil"/>
              <w:left w:val="nil"/>
              <w:bottom w:val="nil"/>
              <w:right w:val="nil"/>
            </w:tcBorders>
            <w:shd w:val="clear" w:color="auto" w:fill="auto"/>
            <w:vAlign w:val="center"/>
            <w:hideMark/>
          </w:tcPr>
          <w:p w14:paraId="39C6E498"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p>
        </w:tc>
      </w:tr>
      <w:tr w:rsidR="000227FF" w:rsidRPr="000227FF" w14:paraId="16DAD681" w14:textId="77777777" w:rsidTr="000227FF">
        <w:trPr>
          <w:trHeight w:val="315"/>
        </w:trPr>
        <w:tc>
          <w:tcPr>
            <w:tcW w:w="4060" w:type="dxa"/>
            <w:tcBorders>
              <w:top w:val="nil"/>
              <w:left w:val="nil"/>
              <w:bottom w:val="single" w:sz="8" w:space="0" w:color="auto"/>
              <w:right w:val="nil"/>
            </w:tcBorders>
            <w:shd w:val="clear" w:color="auto" w:fill="auto"/>
            <w:vAlign w:val="center"/>
            <w:hideMark/>
          </w:tcPr>
          <w:p w14:paraId="0DABF16C" w14:textId="77777777" w:rsidR="000227FF" w:rsidRPr="000227FF" w:rsidRDefault="000227FF" w:rsidP="000227FF">
            <w:pPr>
              <w:suppressAutoHyphens w:val="0"/>
              <w:spacing w:before="0" w:after="0" w:line="240" w:lineRule="auto"/>
              <w:rPr>
                <w:rFonts w:ascii="Calibri Light" w:eastAsia="Times New Roman" w:hAnsi="Calibri Light" w:cs="Times New Roman"/>
                <w:color w:val="495965"/>
                <w:sz w:val="17"/>
                <w:szCs w:val="17"/>
                <w:lang w:val="en-AU" w:eastAsia="en-AU"/>
              </w:rPr>
            </w:pPr>
            <w:r w:rsidRPr="000227FF">
              <w:rPr>
                <w:rFonts w:ascii="Calibri Light" w:eastAsia="Times New Roman" w:hAnsi="Calibri Light" w:cs="Times New Roman"/>
                <w:color w:val="495965"/>
                <w:sz w:val="17"/>
                <w:szCs w:val="17"/>
                <w:lang w:val="en-AU" w:eastAsia="en-AU"/>
              </w:rPr>
              <w:t> </w:t>
            </w:r>
          </w:p>
        </w:tc>
        <w:tc>
          <w:tcPr>
            <w:tcW w:w="1300" w:type="dxa"/>
            <w:tcBorders>
              <w:top w:val="nil"/>
              <w:left w:val="nil"/>
              <w:bottom w:val="single" w:sz="8" w:space="0" w:color="auto"/>
              <w:right w:val="nil"/>
            </w:tcBorders>
            <w:shd w:val="clear" w:color="auto" w:fill="auto"/>
            <w:vAlign w:val="center"/>
            <w:hideMark/>
          </w:tcPr>
          <w:p w14:paraId="18596F1D"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0227FF">
              <w:rPr>
                <w:rFonts w:ascii="Calibri Light" w:eastAsia="Times New Roman" w:hAnsi="Calibri Light" w:cs="Times New Roman"/>
                <w:iCs/>
                <w:color w:val="495965"/>
                <w:sz w:val="17"/>
                <w:szCs w:val="17"/>
                <w:lang w:eastAsia="en-AU"/>
              </w:rPr>
              <w:t>2015-2020</w:t>
            </w:r>
          </w:p>
        </w:tc>
        <w:tc>
          <w:tcPr>
            <w:tcW w:w="960" w:type="dxa"/>
            <w:tcBorders>
              <w:top w:val="nil"/>
              <w:left w:val="nil"/>
              <w:bottom w:val="single" w:sz="8" w:space="0" w:color="auto"/>
              <w:right w:val="nil"/>
            </w:tcBorders>
            <w:shd w:val="clear" w:color="auto" w:fill="auto"/>
            <w:vAlign w:val="center"/>
            <w:hideMark/>
          </w:tcPr>
          <w:p w14:paraId="3A086BD3" w14:textId="77777777" w:rsidR="000227FF" w:rsidRPr="000227FF" w:rsidRDefault="000227FF" w:rsidP="000227FF">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0227FF">
              <w:rPr>
                <w:rFonts w:ascii="Calibri Light" w:eastAsia="Times New Roman" w:hAnsi="Calibri Light" w:cs="Times New Roman"/>
                <w:iCs/>
                <w:color w:val="495965"/>
                <w:sz w:val="17"/>
                <w:szCs w:val="17"/>
                <w:lang w:eastAsia="en-AU"/>
              </w:rPr>
              <w:t>2016 AQC</w:t>
            </w:r>
          </w:p>
        </w:tc>
        <w:tc>
          <w:tcPr>
            <w:tcW w:w="940" w:type="dxa"/>
            <w:tcBorders>
              <w:top w:val="nil"/>
              <w:left w:val="nil"/>
              <w:bottom w:val="single" w:sz="8" w:space="0" w:color="auto"/>
              <w:right w:val="nil"/>
            </w:tcBorders>
            <w:shd w:val="clear" w:color="000000" w:fill="92D050"/>
            <w:noWrap/>
            <w:vAlign w:val="center"/>
            <w:hideMark/>
          </w:tcPr>
          <w:p w14:paraId="701D51A5"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5</w:t>
            </w:r>
          </w:p>
        </w:tc>
        <w:tc>
          <w:tcPr>
            <w:tcW w:w="940" w:type="dxa"/>
            <w:tcBorders>
              <w:top w:val="nil"/>
              <w:left w:val="nil"/>
              <w:bottom w:val="single" w:sz="8" w:space="0" w:color="auto"/>
              <w:right w:val="nil"/>
            </w:tcBorders>
            <w:shd w:val="clear" w:color="000000" w:fill="FFFF00"/>
            <w:noWrap/>
            <w:vAlign w:val="center"/>
            <w:hideMark/>
          </w:tcPr>
          <w:p w14:paraId="2FD21889"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4</w:t>
            </w:r>
          </w:p>
        </w:tc>
        <w:tc>
          <w:tcPr>
            <w:tcW w:w="940" w:type="dxa"/>
            <w:tcBorders>
              <w:top w:val="nil"/>
              <w:left w:val="nil"/>
              <w:bottom w:val="single" w:sz="8" w:space="0" w:color="auto"/>
              <w:right w:val="nil"/>
            </w:tcBorders>
            <w:shd w:val="clear" w:color="000000" w:fill="FFFF00"/>
            <w:noWrap/>
            <w:vAlign w:val="center"/>
            <w:hideMark/>
          </w:tcPr>
          <w:p w14:paraId="2A040155"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4</w:t>
            </w:r>
          </w:p>
        </w:tc>
        <w:tc>
          <w:tcPr>
            <w:tcW w:w="940" w:type="dxa"/>
            <w:tcBorders>
              <w:top w:val="nil"/>
              <w:left w:val="nil"/>
              <w:bottom w:val="single" w:sz="8" w:space="0" w:color="auto"/>
              <w:right w:val="nil"/>
            </w:tcBorders>
            <w:shd w:val="clear" w:color="000000" w:fill="92D050"/>
            <w:noWrap/>
            <w:vAlign w:val="center"/>
            <w:hideMark/>
          </w:tcPr>
          <w:p w14:paraId="76B3F13E"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5</w:t>
            </w:r>
          </w:p>
        </w:tc>
        <w:tc>
          <w:tcPr>
            <w:tcW w:w="940" w:type="dxa"/>
            <w:tcBorders>
              <w:top w:val="nil"/>
              <w:left w:val="nil"/>
              <w:bottom w:val="single" w:sz="8" w:space="0" w:color="auto"/>
              <w:right w:val="nil"/>
            </w:tcBorders>
            <w:shd w:val="clear" w:color="000000" w:fill="92D050"/>
            <w:noWrap/>
            <w:vAlign w:val="center"/>
            <w:hideMark/>
          </w:tcPr>
          <w:p w14:paraId="703ACFC8"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5</w:t>
            </w:r>
          </w:p>
        </w:tc>
        <w:tc>
          <w:tcPr>
            <w:tcW w:w="940" w:type="dxa"/>
            <w:tcBorders>
              <w:top w:val="nil"/>
              <w:left w:val="nil"/>
              <w:bottom w:val="single" w:sz="8" w:space="0" w:color="auto"/>
              <w:right w:val="nil"/>
            </w:tcBorders>
            <w:shd w:val="clear" w:color="000000" w:fill="92D050"/>
            <w:noWrap/>
            <w:vAlign w:val="center"/>
            <w:hideMark/>
          </w:tcPr>
          <w:p w14:paraId="1B421A07"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5</w:t>
            </w:r>
          </w:p>
        </w:tc>
        <w:tc>
          <w:tcPr>
            <w:tcW w:w="940" w:type="dxa"/>
            <w:tcBorders>
              <w:top w:val="nil"/>
              <w:left w:val="nil"/>
              <w:bottom w:val="single" w:sz="8" w:space="0" w:color="auto"/>
              <w:right w:val="nil"/>
            </w:tcBorders>
            <w:shd w:val="clear" w:color="000000" w:fill="92D050"/>
            <w:noWrap/>
            <w:vAlign w:val="center"/>
            <w:hideMark/>
          </w:tcPr>
          <w:p w14:paraId="51ED4773"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5</w:t>
            </w:r>
          </w:p>
        </w:tc>
      </w:tr>
      <w:tr w:rsidR="000227FF" w:rsidRPr="000227FF" w14:paraId="0A0FD290" w14:textId="77777777" w:rsidTr="000227FF">
        <w:trPr>
          <w:trHeight w:val="300"/>
        </w:trPr>
        <w:tc>
          <w:tcPr>
            <w:tcW w:w="4060" w:type="dxa"/>
            <w:tcBorders>
              <w:top w:val="nil"/>
              <w:left w:val="nil"/>
              <w:bottom w:val="nil"/>
              <w:right w:val="nil"/>
            </w:tcBorders>
            <w:shd w:val="clear" w:color="auto" w:fill="auto"/>
            <w:vAlign w:val="center"/>
            <w:hideMark/>
          </w:tcPr>
          <w:p w14:paraId="6463D087" w14:textId="77777777" w:rsidR="000227FF" w:rsidRPr="000227FF" w:rsidRDefault="000227FF" w:rsidP="000227FF">
            <w:pPr>
              <w:suppressAutoHyphens w:val="0"/>
              <w:spacing w:before="0" w:after="0" w:line="240" w:lineRule="auto"/>
              <w:rPr>
                <w:rFonts w:ascii="Calibri Light" w:eastAsia="Times New Roman" w:hAnsi="Calibri Light" w:cs="Times New Roman"/>
                <w:color w:val="495965"/>
                <w:sz w:val="17"/>
                <w:szCs w:val="17"/>
                <w:lang w:val="en-AU" w:eastAsia="en-AU"/>
              </w:rPr>
            </w:pPr>
            <w:r w:rsidRPr="000227FF">
              <w:rPr>
                <w:rFonts w:ascii="Calibri Light" w:eastAsia="Times New Roman" w:hAnsi="Calibri Light" w:cs="Times New Roman"/>
                <w:iCs/>
                <w:color w:val="495965"/>
                <w:sz w:val="17"/>
                <w:szCs w:val="17"/>
                <w:lang w:eastAsia="en-AU"/>
              </w:rPr>
              <w:t>Social Protection and Extreme</w:t>
            </w:r>
          </w:p>
        </w:tc>
        <w:tc>
          <w:tcPr>
            <w:tcW w:w="1300" w:type="dxa"/>
            <w:tcBorders>
              <w:top w:val="nil"/>
              <w:left w:val="nil"/>
              <w:bottom w:val="nil"/>
              <w:right w:val="nil"/>
            </w:tcBorders>
            <w:shd w:val="clear" w:color="auto" w:fill="auto"/>
            <w:vAlign w:val="center"/>
            <w:hideMark/>
          </w:tcPr>
          <w:p w14:paraId="6443B7B0"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0227FF">
              <w:rPr>
                <w:rFonts w:ascii="Calibri Light" w:eastAsia="Times New Roman" w:hAnsi="Calibri Light" w:cs="Times New Roman"/>
                <w:iCs/>
                <w:color w:val="495965"/>
                <w:sz w:val="17"/>
                <w:szCs w:val="17"/>
                <w:lang w:eastAsia="en-AU"/>
              </w:rPr>
              <w:t>$9.1m</w:t>
            </w:r>
          </w:p>
        </w:tc>
        <w:tc>
          <w:tcPr>
            <w:tcW w:w="960" w:type="dxa"/>
            <w:tcBorders>
              <w:top w:val="nil"/>
              <w:left w:val="nil"/>
              <w:bottom w:val="nil"/>
              <w:right w:val="nil"/>
            </w:tcBorders>
            <w:shd w:val="clear" w:color="auto" w:fill="auto"/>
            <w:vAlign w:val="center"/>
            <w:hideMark/>
          </w:tcPr>
          <w:p w14:paraId="14EAC351" w14:textId="77777777" w:rsidR="000227FF" w:rsidRPr="000227FF" w:rsidRDefault="000227FF" w:rsidP="000227FF">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0227FF">
              <w:rPr>
                <w:rFonts w:ascii="Calibri Light" w:eastAsia="Times New Roman" w:hAnsi="Calibri Light" w:cs="Times New Roman"/>
                <w:iCs/>
                <w:color w:val="495965"/>
                <w:sz w:val="17"/>
                <w:szCs w:val="17"/>
                <w:lang w:eastAsia="en-AU"/>
              </w:rPr>
              <w:t>2017 AQC</w:t>
            </w:r>
          </w:p>
        </w:tc>
        <w:tc>
          <w:tcPr>
            <w:tcW w:w="940" w:type="dxa"/>
            <w:tcBorders>
              <w:top w:val="nil"/>
              <w:left w:val="nil"/>
              <w:bottom w:val="nil"/>
              <w:right w:val="nil"/>
            </w:tcBorders>
            <w:shd w:val="clear" w:color="000000" w:fill="92D050"/>
            <w:noWrap/>
            <w:vAlign w:val="center"/>
            <w:hideMark/>
          </w:tcPr>
          <w:p w14:paraId="0D53AEE1"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5</w:t>
            </w:r>
          </w:p>
        </w:tc>
        <w:tc>
          <w:tcPr>
            <w:tcW w:w="940" w:type="dxa"/>
            <w:tcBorders>
              <w:top w:val="nil"/>
              <w:left w:val="nil"/>
              <w:bottom w:val="nil"/>
              <w:right w:val="nil"/>
            </w:tcBorders>
            <w:shd w:val="clear" w:color="000000" w:fill="92D050"/>
            <w:noWrap/>
            <w:vAlign w:val="center"/>
            <w:hideMark/>
          </w:tcPr>
          <w:p w14:paraId="5E68A6E8"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5</w:t>
            </w:r>
          </w:p>
        </w:tc>
        <w:tc>
          <w:tcPr>
            <w:tcW w:w="940" w:type="dxa"/>
            <w:tcBorders>
              <w:top w:val="nil"/>
              <w:left w:val="nil"/>
              <w:bottom w:val="nil"/>
              <w:right w:val="nil"/>
            </w:tcBorders>
            <w:shd w:val="clear" w:color="000000" w:fill="92D050"/>
            <w:noWrap/>
            <w:vAlign w:val="center"/>
            <w:hideMark/>
          </w:tcPr>
          <w:p w14:paraId="6FD802D2"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5</w:t>
            </w:r>
          </w:p>
        </w:tc>
        <w:tc>
          <w:tcPr>
            <w:tcW w:w="940" w:type="dxa"/>
            <w:tcBorders>
              <w:top w:val="nil"/>
              <w:left w:val="nil"/>
              <w:bottom w:val="nil"/>
              <w:right w:val="nil"/>
            </w:tcBorders>
            <w:shd w:val="clear" w:color="000000" w:fill="FFFF00"/>
            <w:noWrap/>
            <w:vAlign w:val="center"/>
            <w:hideMark/>
          </w:tcPr>
          <w:p w14:paraId="4CF12BBF"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4</w:t>
            </w:r>
          </w:p>
        </w:tc>
        <w:tc>
          <w:tcPr>
            <w:tcW w:w="940" w:type="dxa"/>
            <w:tcBorders>
              <w:top w:val="nil"/>
              <w:left w:val="nil"/>
              <w:bottom w:val="nil"/>
              <w:right w:val="nil"/>
            </w:tcBorders>
            <w:shd w:val="clear" w:color="000000" w:fill="92D050"/>
            <w:noWrap/>
            <w:vAlign w:val="center"/>
            <w:hideMark/>
          </w:tcPr>
          <w:p w14:paraId="5B282928"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5</w:t>
            </w:r>
          </w:p>
        </w:tc>
        <w:tc>
          <w:tcPr>
            <w:tcW w:w="940" w:type="dxa"/>
            <w:tcBorders>
              <w:top w:val="nil"/>
              <w:left w:val="nil"/>
              <w:bottom w:val="nil"/>
              <w:right w:val="nil"/>
            </w:tcBorders>
            <w:shd w:val="clear" w:color="000000" w:fill="FFFF00"/>
            <w:noWrap/>
            <w:vAlign w:val="center"/>
            <w:hideMark/>
          </w:tcPr>
          <w:p w14:paraId="2EBFDD84"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4</w:t>
            </w:r>
          </w:p>
        </w:tc>
        <w:tc>
          <w:tcPr>
            <w:tcW w:w="940" w:type="dxa"/>
            <w:tcBorders>
              <w:top w:val="nil"/>
              <w:left w:val="nil"/>
              <w:bottom w:val="nil"/>
              <w:right w:val="nil"/>
            </w:tcBorders>
            <w:shd w:val="clear" w:color="auto" w:fill="auto"/>
            <w:vAlign w:val="center"/>
            <w:hideMark/>
          </w:tcPr>
          <w:p w14:paraId="11A1DFB5"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p>
        </w:tc>
      </w:tr>
      <w:tr w:rsidR="000227FF" w:rsidRPr="000227FF" w14:paraId="53E4AA55" w14:textId="77777777" w:rsidTr="000227FF">
        <w:trPr>
          <w:trHeight w:val="315"/>
        </w:trPr>
        <w:tc>
          <w:tcPr>
            <w:tcW w:w="4060" w:type="dxa"/>
            <w:tcBorders>
              <w:top w:val="nil"/>
              <w:left w:val="nil"/>
              <w:bottom w:val="single" w:sz="12" w:space="0" w:color="000000"/>
              <w:right w:val="nil"/>
            </w:tcBorders>
            <w:shd w:val="clear" w:color="auto" w:fill="auto"/>
            <w:vAlign w:val="center"/>
            <w:hideMark/>
          </w:tcPr>
          <w:p w14:paraId="1C0D8D72" w14:textId="77777777" w:rsidR="000227FF" w:rsidRPr="000227FF" w:rsidRDefault="000227FF" w:rsidP="000227FF">
            <w:pPr>
              <w:suppressAutoHyphens w:val="0"/>
              <w:spacing w:before="0" w:after="0" w:line="240" w:lineRule="auto"/>
              <w:rPr>
                <w:rFonts w:ascii="Calibri Light" w:eastAsia="Times New Roman" w:hAnsi="Calibri Light" w:cs="Times New Roman"/>
                <w:color w:val="495965"/>
                <w:sz w:val="17"/>
                <w:szCs w:val="17"/>
                <w:lang w:val="en-AU" w:eastAsia="en-AU"/>
              </w:rPr>
            </w:pPr>
            <w:r w:rsidRPr="000227FF">
              <w:rPr>
                <w:rFonts w:ascii="Calibri Light" w:eastAsia="Times New Roman" w:hAnsi="Calibri Light" w:cs="Times New Roman"/>
                <w:iCs/>
                <w:color w:val="495965"/>
                <w:sz w:val="17"/>
                <w:szCs w:val="17"/>
                <w:lang w:eastAsia="en-AU"/>
              </w:rPr>
              <w:t>Poverty Reduction</w:t>
            </w:r>
          </w:p>
        </w:tc>
        <w:tc>
          <w:tcPr>
            <w:tcW w:w="1300" w:type="dxa"/>
            <w:tcBorders>
              <w:top w:val="nil"/>
              <w:left w:val="nil"/>
              <w:bottom w:val="single" w:sz="12" w:space="0" w:color="000000"/>
              <w:right w:val="nil"/>
            </w:tcBorders>
            <w:shd w:val="clear" w:color="auto" w:fill="auto"/>
            <w:vAlign w:val="center"/>
            <w:hideMark/>
          </w:tcPr>
          <w:p w14:paraId="4EF80B8E"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0227FF">
              <w:rPr>
                <w:rFonts w:ascii="Calibri Light" w:eastAsia="Times New Roman" w:hAnsi="Calibri Light" w:cs="Times New Roman"/>
                <w:iCs/>
                <w:color w:val="495965"/>
                <w:sz w:val="17"/>
                <w:szCs w:val="17"/>
                <w:lang w:eastAsia="en-AU"/>
              </w:rPr>
              <w:t>2014-2017</w:t>
            </w:r>
          </w:p>
        </w:tc>
        <w:tc>
          <w:tcPr>
            <w:tcW w:w="960" w:type="dxa"/>
            <w:tcBorders>
              <w:top w:val="nil"/>
              <w:left w:val="nil"/>
              <w:bottom w:val="single" w:sz="12" w:space="0" w:color="000000"/>
              <w:right w:val="nil"/>
            </w:tcBorders>
            <w:shd w:val="clear" w:color="auto" w:fill="auto"/>
            <w:vAlign w:val="center"/>
            <w:hideMark/>
          </w:tcPr>
          <w:p w14:paraId="1CE028D2" w14:textId="77777777" w:rsidR="000227FF" w:rsidRPr="000227FF" w:rsidRDefault="000227FF" w:rsidP="000227FF">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0227FF">
              <w:rPr>
                <w:rFonts w:ascii="Calibri Light" w:eastAsia="Times New Roman" w:hAnsi="Calibri Light" w:cs="Times New Roman"/>
                <w:iCs/>
                <w:color w:val="495965"/>
                <w:sz w:val="17"/>
                <w:szCs w:val="17"/>
                <w:lang w:eastAsia="en-AU"/>
              </w:rPr>
              <w:t>2016 AQC</w:t>
            </w:r>
          </w:p>
        </w:tc>
        <w:tc>
          <w:tcPr>
            <w:tcW w:w="940" w:type="dxa"/>
            <w:tcBorders>
              <w:top w:val="nil"/>
              <w:left w:val="nil"/>
              <w:bottom w:val="single" w:sz="12" w:space="0" w:color="000000"/>
              <w:right w:val="nil"/>
            </w:tcBorders>
            <w:shd w:val="clear" w:color="000000" w:fill="92D050"/>
            <w:noWrap/>
            <w:vAlign w:val="center"/>
            <w:hideMark/>
          </w:tcPr>
          <w:p w14:paraId="5E8AB8C9"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5</w:t>
            </w:r>
          </w:p>
        </w:tc>
        <w:tc>
          <w:tcPr>
            <w:tcW w:w="940" w:type="dxa"/>
            <w:tcBorders>
              <w:top w:val="nil"/>
              <w:left w:val="nil"/>
              <w:bottom w:val="single" w:sz="12" w:space="0" w:color="000000"/>
              <w:right w:val="nil"/>
            </w:tcBorders>
            <w:shd w:val="clear" w:color="000000" w:fill="FFFF00"/>
            <w:noWrap/>
            <w:vAlign w:val="center"/>
            <w:hideMark/>
          </w:tcPr>
          <w:p w14:paraId="0ADFCF37"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4</w:t>
            </w:r>
          </w:p>
        </w:tc>
        <w:tc>
          <w:tcPr>
            <w:tcW w:w="940" w:type="dxa"/>
            <w:tcBorders>
              <w:top w:val="nil"/>
              <w:left w:val="nil"/>
              <w:bottom w:val="single" w:sz="12" w:space="0" w:color="000000"/>
              <w:right w:val="nil"/>
            </w:tcBorders>
            <w:shd w:val="clear" w:color="000000" w:fill="FFFF00"/>
            <w:noWrap/>
            <w:vAlign w:val="center"/>
            <w:hideMark/>
          </w:tcPr>
          <w:p w14:paraId="471D1C70"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4</w:t>
            </w:r>
          </w:p>
        </w:tc>
        <w:tc>
          <w:tcPr>
            <w:tcW w:w="940" w:type="dxa"/>
            <w:tcBorders>
              <w:top w:val="nil"/>
              <w:left w:val="nil"/>
              <w:bottom w:val="single" w:sz="12" w:space="0" w:color="000000"/>
              <w:right w:val="nil"/>
            </w:tcBorders>
            <w:shd w:val="clear" w:color="000000" w:fill="FFFF00"/>
            <w:noWrap/>
            <w:vAlign w:val="center"/>
            <w:hideMark/>
          </w:tcPr>
          <w:p w14:paraId="42D8DC04"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4</w:t>
            </w:r>
          </w:p>
        </w:tc>
        <w:tc>
          <w:tcPr>
            <w:tcW w:w="940" w:type="dxa"/>
            <w:tcBorders>
              <w:top w:val="nil"/>
              <w:left w:val="nil"/>
              <w:bottom w:val="single" w:sz="12" w:space="0" w:color="000000"/>
              <w:right w:val="nil"/>
            </w:tcBorders>
            <w:shd w:val="clear" w:color="000000" w:fill="FFFF00"/>
            <w:noWrap/>
            <w:vAlign w:val="center"/>
            <w:hideMark/>
          </w:tcPr>
          <w:p w14:paraId="147D4B70"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4</w:t>
            </w:r>
          </w:p>
        </w:tc>
        <w:tc>
          <w:tcPr>
            <w:tcW w:w="940" w:type="dxa"/>
            <w:tcBorders>
              <w:top w:val="nil"/>
              <w:left w:val="nil"/>
              <w:bottom w:val="single" w:sz="12" w:space="0" w:color="000000"/>
              <w:right w:val="nil"/>
            </w:tcBorders>
            <w:shd w:val="clear" w:color="000000" w:fill="FFFF00"/>
            <w:noWrap/>
            <w:vAlign w:val="center"/>
            <w:hideMark/>
          </w:tcPr>
          <w:p w14:paraId="25C3D431"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4</w:t>
            </w:r>
          </w:p>
        </w:tc>
        <w:tc>
          <w:tcPr>
            <w:tcW w:w="940" w:type="dxa"/>
            <w:tcBorders>
              <w:top w:val="nil"/>
              <w:left w:val="nil"/>
              <w:bottom w:val="single" w:sz="12" w:space="0" w:color="000000"/>
              <w:right w:val="nil"/>
            </w:tcBorders>
            <w:shd w:val="clear" w:color="000000" w:fill="FFFF00"/>
            <w:vAlign w:val="center"/>
            <w:hideMark/>
          </w:tcPr>
          <w:p w14:paraId="64B020BC" w14:textId="77777777" w:rsidR="000227FF" w:rsidRPr="000227FF" w:rsidRDefault="000227FF" w:rsidP="000227FF">
            <w:pPr>
              <w:suppressAutoHyphens w:val="0"/>
              <w:spacing w:before="0" w:after="0" w:line="240" w:lineRule="auto"/>
              <w:jc w:val="right"/>
              <w:rPr>
                <w:rFonts w:ascii="Calibri Light" w:eastAsia="Times New Roman" w:hAnsi="Calibri Light" w:cs="Times New Roman"/>
                <w:color w:val="44546A"/>
                <w:sz w:val="17"/>
                <w:szCs w:val="17"/>
                <w:lang w:val="en-AU" w:eastAsia="en-AU"/>
              </w:rPr>
            </w:pPr>
            <w:r w:rsidRPr="000227FF">
              <w:rPr>
                <w:rFonts w:ascii="Calibri Light" w:eastAsia="Times New Roman" w:hAnsi="Calibri Light" w:cs="Times New Roman"/>
                <w:color w:val="44546A"/>
                <w:sz w:val="17"/>
                <w:szCs w:val="17"/>
                <w:lang w:eastAsia="en-AU"/>
              </w:rPr>
              <w:t>4</w:t>
            </w:r>
          </w:p>
        </w:tc>
      </w:tr>
    </w:tbl>
    <w:p w14:paraId="4F22163E" w14:textId="77777777" w:rsidR="005E4481" w:rsidRDefault="005E4481" w:rsidP="00872730">
      <w:pPr>
        <w:suppressAutoHyphens w:val="0"/>
        <w:spacing w:before="400" w:after="120" w:line="280" w:lineRule="exact"/>
        <w:rPr>
          <w:rFonts w:eastAsia="Times New Roman" w:cs="Times New Roman"/>
          <w:b/>
          <w:caps/>
          <w:color w:val="44546A"/>
          <w:sz w:val="28"/>
          <w:szCs w:val="28"/>
        </w:rPr>
      </w:pPr>
    </w:p>
    <w:p w14:paraId="72040E8D" w14:textId="77777777" w:rsidR="005E4481" w:rsidRDefault="005E4481" w:rsidP="00872730">
      <w:pPr>
        <w:suppressAutoHyphens w:val="0"/>
        <w:spacing w:before="400" w:after="120" w:line="280" w:lineRule="exact"/>
        <w:rPr>
          <w:rFonts w:eastAsia="Times New Roman" w:cs="Times New Roman"/>
          <w:b/>
          <w:caps/>
          <w:color w:val="44546A"/>
          <w:sz w:val="28"/>
          <w:szCs w:val="28"/>
        </w:rPr>
      </w:pPr>
    </w:p>
    <w:p w14:paraId="1591FF8F" w14:textId="77777777" w:rsidR="005E4481" w:rsidRDefault="005E4481" w:rsidP="00872730">
      <w:pPr>
        <w:suppressAutoHyphens w:val="0"/>
        <w:spacing w:before="400" w:after="120" w:line="280" w:lineRule="exact"/>
        <w:rPr>
          <w:rFonts w:eastAsia="Times New Roman" w:cs="Times New Roman"/>
          <w:b/>
          <w:caps/>
          <w:color w:val="44546A"/>
          <w:sz w:val="28"/>
          <w:szCs w:val="28"/>
        </w:rPr>
      </w:pPr>
    </w:p>
    <w:p w14:paraId="5628009F" w14:textId="77777777" w:rsidR="005E4481" w:rsidRDefault="005E4481" w:rsidP="00872730">
      <w:pPr>
        <w:suppressAutoHyphens w:val="0"/>
        <w:spacing w:before="400" w:after="120" w:line="280" w:lineRule="exact"/>
        <w:rPr>
          <w:rFonts w:eastAsia="Times New Roman" w:cs="Times New Roman"/>
          <w:b/>
          <w:caps/>
          <w:color w:val="44546A"/>
          <w:sz w:val="28"/>
          <w:szCs w:val="28"/>
        </w:rPr>
      </w:pPr>
    </w:p>
    <w:p w14:paraId="242306D5" w14:textId="77777777" w:rsidR="005E4481" w:rsidRDefault="005E4481" w:rsidP="00872730">
      <w:pPr>
        <w:suppressAutoHyphens w:val="0"/>
        <w:spacing w:before="400" w:after="120" w:line="280" w:lineRule="exact"/>
        <w:rPr>
          <w:rFonts w:eastAsia="Times New Roman" w:cs="Times New Roman"/>
          <w:b/>
          <w:caps/>
          <w:color w:val="44546A"/>
          <w:sz w:val="28"/>
          <w:szCs w:val="28"/>
        </w:rPr>
      </w:pPr>
    </w:p>
    <w:p w14:paraId="697B6E70" w14:textId="63A09FE5" w:rsidR="00821DA0" w:rsidRPr="00117768" w:rsidRDefault="00872730" w:rsidP="00872730">
      <w:pPr>
        <w:suppressAutoHyphens w:val="0"/>
        <w:spacing w:before="400" w:after="120" w:line="280" w:lineRule="exact"/>
        <w:rPr>
          <w:rFonts w:eastAsia="Times New Roman" w:cs="Times New Roman"/>
          <w:b/>
          <w:color w:val="44546A"/>
          <w:sz w:val="28"/>
          <w:szCs w:val="28"/>
        </w:rPr>
      </w:pPr>
      <w:r w:rsidRPr="00117768">
        <w:rPr>
          <w:rFonts w:eastAsia="Times New Roman" w:cs="Times New Roman"/>
          <w:b/>
          <w:caps/>
          <w:color w:val="44546A"/>
          <w:sz w:val="28"/>
          <w:szCs w:val="28"/>
        </w:rPr>
        <w:lastRenderedPageBreak/>
        <w:t xml:space="preserve">FAQC ratings </w:t>
      </w:r>
    </w:p>
    <w:p w14:paraId="3F48A0C5" w14:textId="77777777" w:rsidR="00872730" w:rsidRPr="00821DA0" w:rsidRDefault="00872730" w:rsidP="00872730">
      <w:pPr>
        <w:rPr>
          <w:b/>
          <w:sz w:val="24"/>
        </w:rPr>
      </w:pPr>
      <w:r w:rsidRPr="00821DA0">
        <w:rPr>
          <w:b/>
          <w:sz w:val="24"/>
        </w:rPr>
        <w:t>Final AQCs assess performance over the lifetime of the investment (ratings are not compared to previous years).</w:t>
      </w:r>
    </w:p>
    <w:tbl>
      <w:tblPr>
        <w:tblStyle w:val="APPR1"/>
        <w:tblW w:w="5000" w:type="pct"/>
        <w:tblLook w:val="0000" w:firstRow="0" w:lastRow="0" w:firstColumn="0" w:lastColumn="0" w:noHBand="0" w:noVBand="0"/>
      </w:tblPr>
      <w:tblGrid>
        <w:gridCol w:w="2661"/>
        <w:gridCol w:w="1934"/>
        <w:gridCol w:w="1235"/>
        <w:gridCol w:w="1232"/>
        <w:gridCol w:w="1234"/>
        <w:gridCol w:w="1231"/>
        <w:gridCol w:w="1234"/>
        <w:gridCol w:w="1231"/>
        <w:gridCol w:w="1234"/>
        <w:gridCol w:w="1234"/>
      </w:tblGrid>
      <w:tr w:rsidR="00872730" w:rsidRPr="00821DA0" w14:paraId="53F43E9B" w14:textId="77777777" w:rsidTr="00A20FBD">
        <w:trPr>
          <w:cnfStyle w:val="000000010000" w:firstRow="0" w:lastRow="0" w:firstColumn="0" w:lastColumn="0" w:oddVBand="0" w:evenVBand="0" w:oddHBand="0" w:evenHBand="1" w:firstRowFirstColumn="0" w:firstRowLastColumn="0" w:lastRowFirstColumn="0" w:lastRowLastColumn="0"/>
          <w:trHeight w:val="1064"/>
        </w:trPr>
        <w:tc>
          <w:tcPr>
            <w:tcW w:w="905" w:type="pct"/>
          </w:tcPr>
          <w:p w14:paraId="604C767D" w14:textId="77777777" w:rsidR="00872730" w:rsidRPr="00872730" w:rsidRDefault="00872730" w:rsidP="00872730">
            <w:pPr>
              <w:spacing w:before="80" w:after="80" w:line="200" w:lineRule="atLeast"/>
              <w:rPr>
                <w:rFonts w:asciiTheme="minorHAnsi" w:eastAsia="Times New Roman" w:hAnsiTheme="minorHAnsi"/>
                <w:iCs/>
                <w:color w:val="44546A"/>
                <w:sz w:val="22"/>
                <w:szCs w:val="17"/>
              </w:rPr>
            </w:pPr>
            <w:r w:rsidRPr="00872730">
              <w:rPr>
                <w:rFonts w:eastAsia="Times New Roman"/>
                <w:iCs/>
                <w:noProof/>
                <w:color w:val="44546A"/>
                <w:szCs w:val="17"/>
                <w:lang w:val="en-AU"/>
              </w:rPr>
              <w:drawing>
                <wp:anchor distT="0" distB="0" distL="114300" distR="114300" simplePos="0" relativeHeight="251689984" behindDoc="0" locked="0" layoutInCell="1" allowOverlap="1" wp14:anchorId="1F026D2C" wp14:editId="3B22E8BB">
                  <wp:simplePos x="0" y="0"/>
                  <wp:positionH relativeFrom="column">
                    <wp:posOffset>0</wp:posOffset>
                  </wp:positionH>
                  <wp:positionV relativeFrom="paragraph">
                    <wp:posOffset>0</wp:posOffset>
                  </wp:positionV>
                  <wp:extent cx="1857375" cy="228600"/>
                  <wp:effectExtent l="0" t="0" r="9525" b="0"/>
                  <wp:wrapNone/>
                  <wp:docPr id="36" name="Picture 3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730">
              <w:rPr>
                <w:rFonts w:asciiTheme="minorHAnsi" w:eastAsia="Times New Roman" w:hAnsiTheme="minorHAnsi"/>
                <w:iCs/>
                <w:color w:val="44546A"/>
                <w:sz w:val="22"/>
                <w:szCs w:val="17"/>
              </w:rPr>
              <w:t>Investment name</w:t>
            </w:r>
          </w:p>
        </w:tc>
        <w:tc>
          <w:tcPr>
            <w:tcW w:w="658" w:type="pct"/>
          </w:tcPr>
          <w:p w14:paraId="706A79D7" w14:textId="77777777" w:rsidR="00872730" w:rsidRPr="00821DA0" w:rsidRDefault="00872730" w:rsidP="00A20FBD">
            <w:pPr>
              <w:keepLines/>
              <w:spacing w:before="80" w:after="80" w:line="200" w:lineRule="atLeast"/>
              <w:jc w:val="center"/>
              <w:rPr>
                <w:rFonts w:asciiTheme="minorHAnsi" w:eastAsia="Times New Roman" w:hAnsiTheme="minorHAnsi"/>
                <w:b/>
                <w:iCs/>
                <w:szCs w:val="17"/>
                <w:lang w:eastAsia="en-US"/>
              </w:rPr>
            </w:pPr>
            <w:r w:rsidRPr="00821DA0">
              <w:rPr>
                <w:rFonts w:asciiTheme="minorHAnsi" w:eastAsia="Times New Roman" w:hAnsiTheme="minorHAnsi"/>
                <w:b/>
                <w:iCs/>
                <w:szCs w:val="17"/>
                <w:lang w:eastAsia="en-US"/>
              </w:rPr>
              <w:t>Approved budget and duration</w:t>
            </w:r>
          </w:p>
        </w:tc>
        <w:tc>
          <w:tcPr>
            <w:tcW w:w="417" w:type="pct"/>
            <w:noWrap/>
            <w:textDirection w:val="btLr"/>
          </w:tcPr>
          <w:p w14:paraId="3FD1248B" w14:textId="77777777" w:rsidR="00872730" w:rsidRPr="00821DA0" w:rsidRDefault="00872730" w:rsidP="000227FF">
            <w:pPr>
              <w:keepLines/>
              <w:spacing w:before="80" w:after="80" w:line="200" w:lineRule="atLeast"/>
              <w:rPr>
                <w:rFonts w:asciiTheme="minorHAnsi" w:eastAsia="Times New Roman" w:hAnsiTheme="minorHAnsi"/>
                <w:b/>
                <w:iCs/>
                <w:szCs w:val="17"/>
                <w:lang w:eastAsia="en-US"/>
              </w:rPr>
            </w:pPr>
            <w:r w:rsidRPr="00821DA0">
              <w:rPr>
                <w:rFonts w:asciiTheme="minorHAnsi" w:eastAsia="Times New Roman" w:hAnsiTheme="minorHAnsi"/>
                <w:b/>
                <w:iCs/>
                <w:szCs w:val="17"/>
                <w:lang w:eastAsia="en-US"/>
              </w:rPr>
              <w:t>Overall rating</w:t>
            </w:r>
          </w:p>
        </w:tc>
        <w:tc>
          <w:tcPr>
            <w:tcW w:w="416" w:type="pct"/>
            <w:noWrap/>
            <w:textDirection w:val="btLr"/>
          </w:tcPr>
          <w:p w14:paraId="5573B0A7" w14:textId="77777777" w:rsidR="00872730" w:rsidRPr="00821DA0" w:rsidRDefault="00872730" w:rsidP="000227FF">
            <w:pPr>
              <w:keepLines/>
              <w:spacing w:before="80" w:after="80" w:line="200" w:lineRule="atLeast"/>
              <w:rPr>
                <w:rFonts w:asciiTheme="minorHAnsi" w:eastAsia="Times New Roman" w:hAnsiTheme="minorHAnsi"/>
                <w:b/>
                <w:iCs/>
                <w:szCs w:val="17"/>
                <w:lang w:eastAsia="en-US"/>
              </w:rPr>
            </w:pPr>
            <w:r w:rsidRPr="00821DA0">
              <w:rPr>
                <w:rFonts w:asciiTheme="minorHAnsi" w:eastAsia="Times New Roman" w:hAnsiTheme="minorHAnsi"/>
                <w:b/>
                <w:iCs/>
                <w:szCs w:val="17"/>
                <w:lang w:eastAsia="en-US"/>
              </w:rPr>
              <w:t>Relevance</w:t>
            </w:r>
          </w:p>
        </w:tc>
        <w:tc>
          <w:tcPr>
            <w:tcW w:w="417" w:type="pct"/>
            <w:noWrap/>
            <w:textDirection w:val="btLr"/>
          </w:tcPr>
          <w:p w14:paraId="524CCD6F" w14:textId="77777777" w:rsidR="00872730" w:rsidRPr="00821DA0" w:rsidRDefault="00872730" w:rsidP="000227FF">
            <w:pPr>
              <w:keepLines/>
              <w:spacing w:before="80" w:after="80" w:line="200" w:lineRule="atLeast"/>
              <w:rPr>
                <w:rFonts w:asciiTheme="minorHAnsi" w:eastAsia="Times New Roman" w:hAnsiTheme="minorHAnsi"/>
                <w:b/>
                <w:iCs/>
                <w:szCs w:val="17"/>
                <w:lang w:eastAsia="en-US"/>
              </w:rPr>
            </w:pPr>
            <w:r w:rsidRPr="00821DA0">
              <w:rPr>
                <w:rFonts w:asciiTheme="minorHAnsi" w:eastAsia="Times New Roman" w:hAnsiTheme="minorHAnsi"/>
                <w:b/>
                <w:iCs/>
                <w:szCs w:val="17"/>
                <w:lang w:eastAsia="en-US"/>
              </w:rPr>
              <w:t>Effectiveness</w:t>
            </w:r>
          </w:p>
        </w:tc>
        <w:tc>
          <w:tcPr>
            <w:tcW w:w="416" w:type="pct"/>
            <w:noWrap/>
            <w:textDirection w:val="btLr"/>
          </w:tcPr>
          <w:p w14:paraId="67720233" w14:textId="77777777" w:rsidR="00872730" w:rsidRPr="00821DA0" w:rsidRDefault="00872730" w:rsidP="000227FF">
            <w:pPr>
              <w:keepLines/>
              <w:spacing w:before="80" w:after="80" w:line="200" w:lineRule="atLeast"/>
              <w:rPr>
                <w:rFonts w:asciiTheme="minorHAnsi" w:eastAsia="Times New Roman" w:hAnsiTheme="minorHAnsi"/>
                <w:b/>
                <w:iCs/>
                <w:szCs w:val="17"/>
                <w:lang w:eastAsia="en-US"/>
              </w:rPr>
            </w:pPr>
            <w:r w:rsidRPr="00821DA0">
              <w:rPr>
                <w:rFonts w:asciiTheme="minorHAnsi" w:eastAsia="Times New Roman" w:hAnsiTheme="minorHAnsi"/>
                <w:b/>
                <w:iCs/>
                <w:szCs w:val="17"/>
                <w:lang w:eastAsia="en-US"/>
              </w:rPr>
              <w:t>Efficiency</w:t>
            </w:r>
          </w:p>
        </w:tc>
        <w:tc>
          <w:tcPr>
            <w:tcW w:w="417" w:type="pct"/>
            <w:noWrap/>
            <w:textDirection w:val="btLr"/>
          </w:tcPr>
          <w:p w14:paraId="1BCB476E" w14:textId="77777777" w:rsidR="00872730" w:rsidRPr="00821DA0" w:rsidRDefault="00872730" w:rsidP="000227FF">
            <w:pPr>
              <w:keepLines/>
              <w:spacing w:before="80" w:after="80" w:line="200" w:lineRule="atLeast"/>
              <w:rPr>
                <w:rFonts w:asciiTheme="minorHAnsi" w:eastAsia="Times New Roman" w:hAnsiTheme="minorHAnsi"/>
                <w:b/>
                <w:iCs/>
                <w:szCs w:val="17"/>
                <w:lang w:eastAsia="en-US"/>
              </w:rPr>
            </w:pPr>
            <w:r w:rsidRPr="00821DA0">
              <w:rPr>
                <w:rFonts w:asciiTheme="minorHAnsi" w:eastAsia="Times New Roman" w:hAnsiTheme="minorHAnsi"/>
                <w:b/>
                <w:iCs/>
                <w:szCs w:val="17"/>
                <w:lang w:eastAsia="en-US"/>
              </w:rPr>
              <w:t>Monitoring and Evaluation</w:t>
            </w:r>
          </w:p>
        </w:tc>
        <w:tc>
          <w:tcPr>
            <w:tcW w:w="416" w:type="pct"/>
            <w:noWrap/>
            <w:textDirection w:val="btLr"/>
          </w:tcPr>
          <w:p w14:paraId="608005D3" w14:textId="77777777" w:rsidR="00872730" w:rsidRPr="00821DA0" w:rsidRDefault="00872730" w:rsidP="000227FF">
            <w:pPr>
              <w:keepLines/>
              <w:spacing w:before="80" w:after="80" w:line="200" w:lineRule="atLeast"/>
              <w:rPr>
                <w:rFonts w:asciiTheme="minorHAnsi" w:eastAsia="Times New Roman" w:hAnsiTheme="minorHAnsi"/>
                <w:b/>
                <w:iCs/>
                <w:szCs w:val="17"/>
                <w:lang w:eastAsia="en-US"/>
              </w:rPr>
            </w:pPr>
            <w:r w:rsidRPr="00821DA0">
              <w:rPr>
                <w:rFonts w:asciiTheme="minorHAnsi" w:eastAsia="Times New Roman" w:hAnsiTheme="minorHAnsi"/>
                <w:b/>
                <w:iCs/>
                <w:szCs w:val="17"/>
                <w:lang w:eastAsia="en-US"/>
              </w:rPr>
              <w:t>Sustainability</w:t>
            </w:r>
          </w:p>
        </w:tc>
        <w:tc>
          <w:tcPr>
            <w:tcW w:w="417" w:type="pct"/>
            <w:textDirection w:val="btLr"/>
          </w:tcPr>
          <w:p w14:paraId="2A6C58B4" w14:textId="77777777" w:rsidR="00872730" w:rsidRPr="00821DA0" w:rsidRDefault="00872730" w:rsidP="000227FF">
            <w:pPr>
              <w:keepLines/>
              <w:spacing w:before="80" w:after="80" w:line="200" w:lineRule="atLeast"/>
              <w:rPr>
                <w:rFonts w:asciiTheme="minorHAnsi" w:eastAsia="Times New Roman" w:hAnsiTheme="minorHAnsi"/>
                <w:b/>
                <w:iCs/>
                <w:szCs w:val="17"/>
                <w:lang w:eastAsia="en-US"/>
              </w:rPr>
            </w:pPr>
            <w:r w:rsidRPr="00821DA0">
              <w:rPr>
                <w:rFonts w:asciiTheme="minorHAnsi" w:eastAsia="Times New Roman" w:hAnsiTheme="minorHAnsi"/>
                <w:b/>
                <w:iCs/>
                <w:szCs w:val="17"/>
                <w:lang w:eastAsia="en-US"/>
              </w:rPr>
              <w:t>Gender equality</w:t>
            </w:r>
          </w:p>
        </w:tc>
        <w:tc>
          <w:tcPr>
            <w:tcW w:w="412" w:type="pct"/>
            <w:textDirection w:val="btLr"/>
          </w:tcPr>
          <w:p w14:paraId="1993BE32" w14:textId="77777777" w:rsidR="00872730" w:rsidRPr="00821DA0" w:rsidRDefault="00872730" w:rsidP="000227FF">
            <w:pPr>
              <w:keepLines/>
              <w:spacing w:before="80" w:after="80" w:line="200" w:lineRule="atLeast"/>
              <w:rPr>
                <w:rFonts w:asciiTheme="minorHAnsi" w:eastAsia="Times New Roman" w:hAnsiTheme="minorHAnsi"/>
                <w:b/>
                <w:iCs/>
                <w:szCs w:val="17"/>
                <w:lang w:eastAsia="en-US"/>
              </w:rPr>
            </w:pPr>
            <w:r w:rsidRPr="00821DA0">
              <w:rPr>
                <w:rFonts w:asciiTheme="minorHAnsi" w:eastAsia="Times New Roman" w:hAnsiTheme="minorHAnsi"/>
                <w:b/>
                <w:iCs/>
                <w:szCs w:val="17"/>
                <w:lang w:eastAsia="en-US"/>
              </w:rPr>
              <w:t>Risks  and Safeguards</w:t>
            </w:r>
          </w:p>
        </w:tc>
      </w:tr>
      <w:tr w:rsidR="00872730" w:rsidRPr="00D533AD" w14:paraId="13F8279D" w14:textId="77777777" w:rsidTr="00451B3E">
        <w:trPr>
          <w:cnfStyle w:val="000000010000" w:firstRow="0" w:lastRow="0" w:firstColumn="0" w:lastColumn="0" w:oddVBand="0" w:evenVBand="0" w:oddHBand="0" w:evenHBand="1" w:firstRowFirstColumn="0" w:firstRowLastColumn="0" w:lastRowFirstColumn="0" w:lastRowLastColumn="0"/>
          <w:trHeight w:val="947"/>
        </w:trPr>
        <w:tc>
          <w:tcPr>
            <w:tcW w:w="905" w:type="pct"/>
          </w:tcPr>
          <w:p w14:paraId="0287B807" w14:textId="1CB71B1C" w:rsidR="00872730" w:rsidRPr="00ED683B" w:rsidRDefault="004317E0" w:rsidP="00451B3E">
            <w:pPr>
              <w:keepLines/>
              <w:spacing w:before="40" w:after="40" w:line="200" w:lineRule="atLeast"/>
              <w:rPr>
                <w:rFonts w:asciiTheme="minorHAnsi" w:eastAsia="Times New Roman" w:hAnsiTheme="minorHAnsi"/>
                <w:szCs w:val="17"/>
              </w:rPr>
            </w:pPr>
            <w:r w:rsidRPr="00821DA0">
              <w:rPr>
                <w:rFonts w:asciiTheme="minorHAnsi" w:eastAsia="Times New Roman" w:hAnsiTheme="minorHAnsi"/>
                <w:iCs/>
                <w:szCs w:val="17"/>
                <w:lang w:eastAsia="en-US"/>
              </w:rPr>
              <w:t>Support to Vulnerable Communities in Cox's Bazar</w:t>
            </w:r>
          </w:p>
        </w:tc>
        <w:tc>
          <w:tcPr>
            <w:tcW w:w="658" w:type="pct"/>
          </w:tcPr>
          <w:p w14:paraId="5498C878" w14:textId="77777777" w:rsidR="00872730" w:rsidRPr="00821DA0" w:rsidRDefault="00872730" w:rsidP="00821DA0">
            <w:pPr>
              <w:keepLines/>
              <w:autoSpaceDE w:val="0"/>
              <w:autoSpaceDN w:val="0"/>
              <w:adjustRightInd w:val="0"/>
              <w:rPr>
                <w:rFonts w:asciiTheme="minorHAnsi" w:eastAsia="Times New Roman" w:hAnsiTheme="minorHAnsi" w:cstheme="minorBidi"/>
                <w:iCs/>
                <w:szCs w:val="17"/>
                <w:lang w:eastAsia="en-US"/>
              </w:rPr>
            </w:pPr>
            <w:r w:rsidRPr="00821DA0">
              <w:rPr>
                <w:rFonts w:asciiTheme="minorHAnsi" w:eastAsia="Times New Roman" w:hAnsiTheme="minorHAnsi" w:cstheme="minorBidi"/>
                <w:iCs/>
                <w:szCs w:val="17"/>
                <w:lang w:eastAsia="en-US"/>
              </w:rPr>
              <w:t xml:space="preserve">$16.5m (FAQC reported on $14.6m) </w:t>
            </w:r>
          </w:p>
          <w:p w14:paraId="044F94AA" w14:textId="77777777" w:rsidR="00872730" w:rsidRPr="00821DA0" w:rsidRDefault="00872730" w:rsidP="00821DA0">
            <w:pPr>
              <w:keepLines/>
              <w:spacing w:before="40" w:after="40" w:line="200" w:lineRule="atLeast"/>
              <w:rPr>
                <w:rFonts w:asciiTheme="minorHAnsi" w:eastAsia="Times New Roman" w:hAnsiTheme="minorHAnsi"/>
                <w:iCs/>
                <w:szCs w:val="17"/>
                <w:lang w:eastAsia="en-US"/>
              </w:rPr>
            </w:pPr>
            <w:r w:rsidRPr="00821DA0">
              <w:rPr>
                <w:rFonts w:asciiTheme="minorHAnsi" w:eastAsia="Times New Roman" w:hAnsiTheme="minorHAnsi"/>
                <w:iCs/>
                <w:szCs w:val="17"/>
                <w:lang w:eastAsia="en-US"/>
              </w:rPr>
              <w:t xml:space="preserve">2013-17 </w:t>
            </w:r>
          </w:p>
        </w:tc>
        <w:tc>
          <w:tcPr>
            <w:tcW w:w="417" w:type="pct"/>
            <w:shd w:val="clear" w:color="auto" w:fill="92D050"/>
            <w:noWrap/>
          </w:tcPr>
          <w:p w14:paraId="7C06F4E7" w14:textId="77777777" w:rsidR="00872730" w:rsidRPr="00821DA0" w:rsidRDefault="00872730" w:rsidP="00872730">
            <w:pPr>
              <w:spacing w:before="40" w:after="40" w:line="200" w:lineRule="atLeast"/>
              <w:jc w:val="center"/>
              <w:rPr>
                <w:rFonts w:asciiTheme="minorHAnsi" w:eastAsia="Times New Roman" w:hAnsiTheme="minorHAnsi"/>
                <w:iCs/>
                <w:color w:val="44546A"/>
                <w:szCs w:val="17"/>
              </w:rPr>
            </w:pPr>
            <w:r w:rsidRPr="00821DA0">
              <w:rPr>
                <w:rFonts w:asciiTheme="minorHAnsi" w:eastAsia="Times New Roman" w:hAnsiTheme="minorHAnsi"/>
                <w:iCs/>
                <w:color w:val="44546A"/>
                <w:szCs w:val="17"/>
              </w:rPr>
              <w:t>5</w:t>
            </w:r>
          </w:p>
        </w:tc>
        <w:tc>
          <w:tcPr>
            <w:tcW w:w="416" w:type="pct"/>
            <w:shd w:val="clear" w:color="auto" w:fill="92D050"/>
            <w:noWrap/>
          </w:tcPr>
          <w:p w14:paraId="31EE3622" w14:textId="77777777" w:rsidR="00872730" w:rsidRPr="00821DA0" w:rsidRDefault="00872730" w:rsidP="00872730">
            <w:pPr>
              <w:spacing w:before="40" w:after="40" w:line="200" w:lineRule="atLeast"/>
              <w:jc w:val="center"/>
              <w:rPr>
                <w:rFonts w:asciiTheme="minorHAnsi" w:eastAsia="Times New Roman" w:hAnsiTheme="minorHAnsi"/>
                <w:iCs/>
                <w:color w:val="44546A"/>
                <w:szCs w:val="17"/>
              </w:rPr>
            </w:pPr>
            <w:r w:rsidRPr="00821DA0">
              <w:rPr>
                <w:rFonts w:asciiTheme="minorHAnsi" w:eastAsia="Times New Roman" w:hAnsiTheme="minorHAnsi"/>
                <w:iCs/>
                <w:color w:val="44546A"/>
                <w:szCs w:val="17"/>
              </w:rPr>
              <w:t>6</w:t>
            </w:r>
          </w:p>
        </w:tc>
        <w:tc>
          <w:tcPr>
            <w:tcW w:w="417" w:type="pct"/>
            <w:shd w:val="clear" w:color="auto" w:fill="92D050"/>
            <w:noWrap/>
          </w:tcPr>
          <w:p w14:paraId="1A9F85B4" w14:textId="77777777" w:rsidR="00872730" w:rsidRPr="00821DA0" w:rsidRDefault="00872730" w:rsidP="00872730">
            <w:pPr>
              <w:spacing w:before="40" w:after="40" w:line="200" w:lineRule="atLeast"/>
              <w:jc w:val="center"/>
              <w:rPr>
                <w:rFonts w:asciiTheme="minorHAnsi" w:eastAsia="Times New Roman" w:hAnsiTheme="minorHAnsi"/>
                <w:iCs/>
                <w:color w:val="44546A"/>
                <w:szCs w:val="17"/>
              </w:rPr>
            </w:pPr>
            <w:r w:rsidRPr="00821DA0">
              <w:rPr>
                <w:rFonts w:asciiTheme="minorHAnsi" w:eastAsia="Times New Roman" w:hAnsiTheme="minorHAnsi"/>
                <w:iCs/>
                <w:color w:val="44546A"/>
                <w:szCs w:val="17"/>
              </w:rPr>
              <w:t>5</w:t>
            </w:r>
          </w:p>
        </w:tc>
        <w:tc>
          <w:tcPr>
            <w:tcW w:w="416" w:type="pct"/>
            <w:shd w:val="clear" w:color="auto" w:fill="92D050"/>
            <w:noWrap/>
          </w:tcPr>
          <w:p w14:paraId="74D90B93" w14:textId="77777777" w:rsidR="00872730" w:rsidRPr="00821DA0" w:rsidRDefault="00872730" w:rsidP="00872730">
            <w:pPr>
              <w:spacing w:before="40" w:after="40" w:line="200" w:lineRule="atLeast"/>
              <w:jc w:val="center"/>
              <w:rPr>
                <w:rFonts w:asciiTheme="minorHAnsi" w:eastAsia="Times New Roman" w:hAnsiTheme="minorHAnsi"/>
                <w:iCs/>
                <w:color w:val="44546A"/>
                <w:szCs w:val="17"/>
              </w:rPr>
            </w:pPr>
            <w:r w:rsidRPr="00821DA0">
              <w:rPr>
                <w:rFonts w:asciiTheme="minorHAnsi" w:eastAsia="Times New Roman" w:hAnsiTheme="minorHAnsi"/>
                <w:iCs/>
                <w:color w:val="44546A"/>
                <w:szCs w:val="17"/>
              </w:rPr>
              <w:t>5</w:t>
            </w:r>
          </w:p>
        </w:tc>
        <w:tc>
          <w:tcPr>
            <w:tcW w:w="417" w:type="pct"/>
            <w:shd w:val="clear" w:color="auto" w:fill="92D050"/>
            <w:noWrap/>
          </w:tcPr>
          <w:p w14:paraId="459E07A7" w14:textId="77777777" w:rsidR="00872730" w:rsidRPr="00821DA0" w:rsidRDefault="00872730" w:rsidP="00872730">
            <w:pPr>
              <w:spacing w:before="40" w:after="40" w:line="200" w:lineRule="atLeast"/>
              <w:jc w:val="center"/>
              <w:rPr>
                <w:rFonts w:asciiTheme="minorHAnsi" w:eastAsia="Times New Roman" w:hAnsiTheme="minorHAnsi"/>
                <w:iCs/>
                <w:color w:val="44546A"/>
                <w:szCs w:val="17"/>
              </w:rPr>
            </w:pPr>
            <w:r w:rsidRPr="00821DA0">
              <w:rPr>
                <w:rFonts w:asciiTheme="minorHAnsi" w:eastAsia="Times New Roman" w:hAnsiTheme="minorHAnsi"/>
                <w:iCs/>
                <w:color w:val="44546A"/>
                <w:szCs w:val="17"/>
              </w:rPr>
              <w:t>5</w:t>
            </w:r>
          </w:p>
        </w:tc>
        <w:tc>
          <w:tcPr>
            <w:tcW w:w="416" w:type="pct"/>
            <w:shd w:val="clear" w:color="auto" w:fill="FFFF00"/>
            <w:noWrap/>
          </w:tcPr>
          <w:p w14:paraId="5A98783E" w14:textId="77777777" w:rsidR="00872730" w:rsidRPr="00821DA0" w:rsidRDefault="00872730" w:rsidP="00872730">
            <w:pPr>
              <w:spacing w:before="40" w:after="40" w:line="200" w:lineRule="atLeast"/>
              <w:jc w:val="center"/>
              <w:rPr>
                <w:rFonts w:asciiTheme="minorHAnsi" w:eastAsia="Times New Roman" w:hAnsiTheme="minorHAnsi"/>
                <w:iCs/>
                <w:color w:val="44546A"/>
                <w:szCs w:val="17"/>
              </w:rPr>
            </w:pPr>
            <w:r w:rsidRPr="00821DA0">
              <w:rPr>
                <w:rFonts w:asciiTheme="minorHAnsi" w:eastAsia="Times New Roman" w:hAnsiTheme="minorHAnsi"/>
                <w:iCs/>
                <w:color w:val="44546A"/>
                <w:szCs w:val="17"/>
              </w:rPr>
              <w:t>4</w:t>
            </w:r>
          </w:p>
        </w:tc>
        <w:tc>
          <w:tcPr>
            <w:tcW w:w="417" w:type="pct"/>
            <w:shd w:val="clear" w:color="auto" w:fill="92D050"/>
          </w:tcPr>
          <w:p w14:paraId="2649D5EA" w14:textId="77777777" w:rsidR="00872730" w:rsidRPr="00821DA0" w:rsidRDefault="00872730" w:rsidP="00872730">
            <w:pPr>
              <w:spacing w:before="40" w:after="40" w:line="200" w:lineRule="atLeast"/>
              <w:jc w:val="center"/>
              <w:rPr>
                <w:rFonts w:asciiTheme="minorHAnsi" w:eastAsia="Times New Roman" w:hAnsiTheme="minorHAnsi"/>
                <w:iCs/>
                <w:color w:val="44546A"/>
                <w:szCs w:val="17"/>
              </w:rPr>
            </w:pPr>
            <w:r w:rsidRPr="00821DA0">
              <w:rPr>
                <w:rFonts w:asciiTheme="minorHAnsi" w:eastAsia="Times New Roman" w:hAnsiTheme="minorHAnsi"/>
                <w:iCs/>
                <w:color w:val="44546A"/>
                <w:szCs w:val="17"/>
              </w:rPr>
              <w:t>5</w:t>
            </w:r>
          </w:p>
        </w:tc>
        <w:tc>
          <w:tcPr>
            <w:tcW w:w="412" w:type="pct"/>
            <w:shd w:val="clear" w:color="auto" w:fill="FFFFFF"/>
          </w:tcPr>
          <w:p w14:paraId="79A0415B" w14:textId="77777777" w:rsidR="00872730" w:rsidRPr="00872730" w:rsidRDefault="00872730" w:rsidP="00872730">
            <w:pPr>
              <w:spacing w:before="40" w:after="40" w:line="200" w:lineRule="atLeast"/>
              <w:jc w:val="center"/>
              <w:rPr>
                <w:rFonts w:asciiTheme="minorHAnsi" w:eastAsia="Times New Roman" w:hAnsiTheme="minorHAnsi"/>
                <w:iCs/>
                <w:color w:val="44546A"/>
                <w:sz w:val="22"/>
                <w:szCs w:val="17"/>
              </w:rPr>
            </w:pPr>
          </w:p>
        </w:tc>
      </w:tr>
    </w:tbl>
    <w:tbl>
      <w:tblPr>
        <w:tblpPr w:leftFromText="180" w:rightFromText="180" w:vertAnchor="text" w:horzAnchor="page" w:tblpX="458" w:tblpY="-1661"/>
        <w:tblW w:w="15885" w:type="dxa"/>
        <w:tblLayout w:type="fixed"/>
        <w:tblLook w:val="04A0" w:firstRow="1" w:lastRow="0" w:firstColumn="1" w:lastColumn="0" w:noHBand="0" w:noVBand="1"/>
      </w:tblPr>
      <w:tblGrid>
        <w:gridCol w:w="1486"/>
        <w:gridCol w:w="1327"/>
        <w:gridCol w:w="1865"/>
        <w:gridCol w:w="2693"/>
        <w:gridCol w:w="2835"/>
        <w:gridCol w:w="2861"/>
        <w:gridCol w:w="1558"/>
        <w:gridCol w:w="43"/>
        <w:gridCol w:w="1208"/>
        <w:gridCol w:w="9"/>
      </w:tblGrid>
      <w:tr w:rsidR="008C08EA" w:rsidRPr="00D533AD" w14:paraId="439F9267" w14:textId="77777777" w:rsidTr="004875B2">
        <w:trPr>
          <w:gridAfter w:val="1"/>
          <w:wAfter w:w="9" w:type="dxa"/>
          <w:trHeight w:val="75"/>
        </w:trPr>
        <w:tc>
          <w:tcPr>
            <w:tcW w:w="7371" w:type="dxa"/>
            <w:gridSpan w:val="4"/>
          </w:tcPr>
          <w:p w14:paraId="321466B6" w14:textId="77777777" w:rsidR="008C08EA" w:rsidRPr="00264CCB" w:rsidRDefault="008C08EA" w:rsidP="006E656E">
            <w:pPr>
              <w:tabs>
                <w:tab w:val="left" w:pos="1635"/>
              </w:tabs>
              <w:rPr>
                <w:b/>
                <w:iCs/>
                <w:sz w:val="18"/>
                <w:szCs w:val="18"/>
                <w:lang w:val="en-AU" w:eastAsia="en-AU"/>
              </w:rPr>
            </w:pPr>
          </w:p>
        </w:tc>
        <w:tc>
          <w:tcPr>
            <w:tcW w:w="7254" w:type="dxa"/>
            <w:gridSpan w:val="3"/>
          </w:tcPr>
          <w:p w14:paraId="53B52231" w14:textId="77777777" w:rsidR="008C08EA" w:rsidRPr="00264CCB" w:rsidRDefault="008C08EA" w:rsidP="006E656E">
            <w:pPr>
              <w:tabs>
                <w:tab w:val="left" w:pos="1635"/>
              </w:tabs>
              <w:rPr>
                <w:b/>
                <w:iCs/>
                <w:sz w:val="18"/>
                <w:szCs w:val="18"/>
                <w:lang w:val="en-AU" w:eastAsia="en-AU"/>
              </w:rPr>
            </w:pPr>
          </w:p>
        </w:tc>
        <w:tc>
          <w:tcPr>
            <w:tcW w:w="1251" w:type="dxa"/>
            <w:gridSpan w:val="2"/>
          </w:tcPr>
          <w:p w14:paraId="66ED95FA" w14:textId="77777777" w:rsidR="008C08EA" w:rsidRPr="00D533AD" w:rsidRDefault="008C08EA" w:rsidP="006E656E">
            <w:pPr>
              <w:tabs>
                <w:tab w:val="left" w:pos="1635"/>
              </w:tabs>
              <w:rPr>
                <w:b/>
                <w:iCs/>
                <w:lang w:val="en-AU" w:eastAsia="en-AU"/>
              </w:rPr>
            </w:pPr>
          </w:p>
        </w:tc>
      </w:tr>
      <w:tr w:rsidR="008B0A0F" w:rsidRPr="00D533AD" w14:paraId="7D3851C8" w14:textId="77777777" w:rsidTr="004875B2">
        <w:trPr>
          <w:gridAfter w:val="2"/>
          <w:wAfter w:w="1217" w:type="dxa"/>
          <w:trHeight w:val="545"/>
        </w:trPr>
        <w:tc>
          <w:tcPr>
            <w:tcW w:w="14668" w:type="dxa"/>
            <w:gridSpan w:val="8"/>
          </w:tcPr>
          <w:p w14:paraId="3E8B3DD4" w14:textId="77777777" w:rsidR="0066155C" w:rsidRDefault="0066155C" w:rsidP="006E656E">
            <w:pPr>
              <w:rPr>
                <w:b/>
                <w:sz w:val="28"/>
                <w:szCs w:val="28"/>
              </w:rPr>
            </w:pPr>
          </w:p>
          <w:p w14:paraId="4A614A45" w14:textId="04F4CDE3" w:rsidR="008B0A0F" w:rsidRDefault="008B0A0F" w:rsidP="006E656E">
            <w:pPr>
              <w:rPr>
                <w:b/>
                <w:sz w:val="28"/>
                <w:szCs w:val="28"/>
              </w:rPr>
            </w:pPr>
            <w:r w:rsidRPr="00117768">
              <w:rPr>
                <w:b/>
                <w:sz w:val="28"/>
                <w:szCs w:val="28"/>
              </w:rPr>
              <w:t>ANNE</w:t>
            </w:r>
            <w:r w:rsidR="002426DD">
              <w:rPr>
                <w:b/>
                <w:sz w:val="28"/>
                <w:szCs w:val="28"/>
              </w:rPr>
              <w:t xml:space="preserve">X E - </w:t>
            </w:r>
            <w:r w:rsidRPr="00117768">
              <w:rPr>
                <w:b/>
                <w:sz w:val="28"/>
                <w:szCs w:val="28"/>
              </w:rPr>
              <w:t>PEFORMANCE ASSESSMENT FRAMEWORK</w:t>
            </w:r>
          </w:p>
          <w:p w14:paraId="5BC0598D" w14:textId="4E469619" w:rsidR="00240018" w:rsidRPr="00240018" w:rsidRDefault="0066155C" w:rsidP="00026AE0">
            <w:pPr>
              <w:tabs>
                <w:tab w:val="left" w:pos="1635"/>
              </w:tabs>
              <w:rPr>
                <w:b/>
                <w:i/>
                <w:iCs/>
                <w:sz w:val="18"/>
                <w:szCs w:val="18"/>
                <w:lang w:val="en-AU" w:eastAsia="en-AU"/>
              </w:rPr>
            </w:pPr>
            <w:r>
              <w:rPr>
                <w:b/>
                <w:i/>
                <w:iCs/>
                <w:sz w:val="18"/>
                <w:szCs w:val="18"/>
                <w:lang w:val="en-AU" w:eastAsia="en-AU"/>
              </w:rPr>
              <w:t>*</w:t>
            </w:r>
            <w:r w:rsidR="00083AC3" w:rsidRPr="0066155C">
              <w:rPr>
                <w:b/>
                <w:i/>
                <w:iCs/>
                <w:sz w:val="18"/>
                <w:szCs w:val="18"/>
                <w:lang w:val="en-AU" w:eastAsia="en-AU"/>
              </w:rPr>
              <w:t>The Performance Assessment Framework (PAF) for the remainder of the Aid investment plan to be reviewed in 2017/2018</w:t>
            </w:r>
          </w:p>
        </w:tc>
      </w:tr>
      <w:tr w:rsidR="00810BDF" w:rsidRPr="00D533AD" w14:paraId="12EC90C3" w14:textId="77777777" w:rsidTr="00A20FBD">
        <w:trPr>
          <w:trHeight w:val="519"/>
        </w:trPr>
        <w:tc>
          <w:tcPr>
            <w:tcW w:w="15885" w:type="dxa"/>
            <w:gridSpan w:val="10"/>
            <w:tcBorders>
              <w:top w:val="dotted" w:sz="4" w:space="0" w:color="auto"/>
              <w:left w:val="dotted" w:sz="4" w:space="0" w:color="auto"/>
              <w:bottom w:val="dotted" w:sz="4" w:space="0" w:color="auto"/>
              <w:right w:val="dotted" w:sz="4" w:space="0" w:color="auto"/>
            </w:tcBorders>
            <w:shd w:val="clear" w:color="auto" w:fill="D8DCDB" w:themeFill="background2"/>
          </w:tcPr>
          <w:p w14:paraId="1440BF03" w14:textId="2A1930DD" w:rsidR="00810BDF" w:rsidRPr="00264CCB" w:rsidRDefault="00810BDF" w:rsidP="00810BDF">
            <w:pPr>
              <w:tabs>
                <w:tab w:val="left" w:pos="1635"/>
              </w:tabs>
              <w:rPr>
                <w:b/>
                <w:iCs/>
                <w:sz w:val="18"/>
                <w:szCs w:val="18"/>
                <w:lang w:val="en-AU" w:eastAsia="en-AU"/>
              </w:rPr>
            </w:pPr>
            <w:r>
              <w:rPr>
                <w:b/>
                <w:iCs/>
                <w:sz w:val="18"/>
                <w:szCs w:val="18"/>
                <w:lang w:val="en-AU" w:eastAsia="en-AU"/>
              </w:rPr>
              <w:t xml:space="preserve">Australia’s Aid Objective One: Improving education access, equity, efficiency and learning outcomes  </w:t>
            </w:r>
          </w:p>
        </w:tc>
      </w:tr>
      <w:tr w:rsidR="00810BDF" w:rsidRPr="00D533AD" w14:paraId="2F8B4094" w14:textId="77777777" w:rsidTr="004875B2">
        <w:trPr>
          <w:gridAfter w:val="1"/>
          <w:wAfter w:w="9" w:type="dxa"/>
          <w:trHeight w:val="75"/>
        </w:trPr>
        <w:tc>
          <w:tcPr>
            <w:tcW w:w="7371" w:type="dxa"/>
            <w:gridSpan w:val="4"/>
            <w:tcBorders>
              <w:top w:val="dotted" w:sz="4" w:space="0" w:color="auto"/>
              <w:left w:val="dotted" w:sz="4" w:space="0" w:color="auto"/>
              <w:bottom w:val="dotted" w:sz="4" w:space="0" w:color="auto"/>
              <w:right w:val="dotted" w:sz="4" w:space="0" w:color="auto"/>
            </w:tcBorders>
          </w:tcPr>
          <w:p w14:paraId="5CC13184" w14:textId="5869E209" w:rsidR="00810BDF" w:rsidRDefault="00810BDF" w:rsidP="00810BDF">
            <w:pPr>
              <w:tabs>
                <w:tab w:val="left" w:pos="1635"/>
              </w:tabs>
              <w:ind w:right="-252"/>
              <w:jc w:val="center"/>
              <w:rPr>
                <w:b/>
                <w:iCs/>
                <w:sz w:val="18"/>
                <w:szCs w:val="18"/>
                <w:lang w:val="en-AU" w:eastAsia="en-AU"/>
              </w:rPr>
            </w:pPr>
            <w:r>
              <w:rPr>
                <w:b/>
                <w:iCs/>
                <w:sz w:val="18"/>
                <w:szCs w:val="18"/>
                <w:lang w:val="en-AU" w:eastAsia="en-AU"/>
              </w:rPr>
              <w:t xml:space="preserve">   </w:t>
            </w:r>
          </w:p>
        </w:tc>
        <w:tc>
          <w:tcPr>
            <w:tcW w:w="8505" w:type="dxa"/>
            <w:gridSpan w:val="5"/>
            <w:tcBorders>
              <w:top w:val="dotted" w:sz="4" w:space="0" w:color="auto"/>
              <w:left w:val="dotted" w:sz="4" w:space="0" w:color="auto"/>
              <w:bottom w:val="dotted" w:sz="4" w:space="0" w:color="auto"/>
              <w:right w:val="dotted" w:sz="4" w:space="0" w:color="auto"/>
            </w:tcBorders>
          </w:tcPr>
          <w:p w14:paraId="534C41F5" w14:textId="31F7177A" w:rsidR="00810BDF" w:rsidRPr="00264CCB" w:rsidRDefault="00810BDF" w:rsidP="00810BDF">
            <w:pPr>
              <w:tabs>
                <w:tab w:val="left" w:pos="1635"/>
              </w:tabs>
              <w:rPr>
                <w:b/>
                <w:iCs/>
                <w:sz w:val="18"/>
                <w:szCs w:val="18"/>
                <w:lang w:val="en-AU" w:eastAsia="en-AU"/>
              </w:rPr>
            </w:pPr>
            <w:r w:rsidRPr="00810BDF">
              <w:rPr>
                <w:b/>
                <w:iCs/>
                <w:sz w:val="18"/>
                <w:szCs w:val="18"/>
                <w:lang w:val="en-AU" w:eastAsia="en-AU"/>
              </w:rPr>
              <w:t>Annual Progress Targets/Milestones</w:t>
            </w:r>
          </w:p>
        </w:tc>
      </w:tr>
      <w:tr w:rsidR="00810BDF" w:rsidRPr="00D533AD" w14:paraId="1F0ADC82" w14:textId="77777777" w:rsidTr="00A20FBD">
        <w:trPr>
          <w:gridAfter w:val="1"/>
          <w:wAfter w:w="9" w:type="dxa"/>
          <w:trHeight w:val="796"/>
        </w:trPr>
        <w:tc>
          <w:tcPr>
            <w:tcW w:w="1486" w:type="dxa"/>
            <w:tcBorders>
              <w:top w:val="dotted" w:sz="4" w:space="0" w:color="auto"/>
              <w:left w:val="dotted" w:sz="4" w:space="0" w:color="auto"/>
              <w:bottom w:val="dotted" w:sz="4" w:space="0" w:color="auto"/>
              <w:right w:val="dotted" w:sz="4" w:space="0" w:color="auto"/>
            </w:tcBorders>
            <w:shd w:val="clear" w:color="auto" w:fill="D8DCDB" w:themeFill="background2"/>
          </w:tcPr>
          <w:p w14:paraId="187A44EF" w14:textId="77777777" w:rsidR="00810BDF" w:rsidRPr="00264CCB" w:rsidRDefault="00810BDF" w:rsidP="006E656E">
            <w:pPr>
              <w:tabs>
                <w:tab w:val="left" w:pos="1635"/>
              </w:tabs>
              <w:rPr>
                <w:b/>
                <w:iCs/>
                <w:sz w:val="18"/>
                <w:szCs w:val="18"/>
                <w:lang w:val="en-AU" w:eastAsia="en-AU"/>
              </w:rPr>
            </w:pPr>
            <w:r w:rsidRPr="00264CCB">
              <w:rPr>
                <w:b/>
                <w:iCs/>
                <w:sz w:val="18"/>
                <w:szCs w:val="18"/>
                <w:lang w:val="en-AU" w:eastAsia="en-AU"/>
              </w:rPr>
              <w:t>Plan outcome</w:t>
            </w:r>
          </w:p>
        </w:tc>
        <w:tc>
          <w:tcPr>
            <w:tcW w:w="1327" w:type="dxa"/>
            <w:tcBorders>
              <w:top w:val="dotted" w:sz="4" w:space="0" w:color="auto"/>
              <w:left w:val="dotted" w:sz="4" w:space="0" w:color="auto"/>
              <w:bottom w:val="dotted" w:sz="4" w:space="0" w:color="auto"/>
              <w:right w:val="dotted" w:sz="4" w:space="0" w:color="auto"/>
            </w:tcBorders>
            <w:shd w:val="clear" w:color="auto" w:fill="D8DCDB" w:themeFill="background2"/>
          </w:tcPr>
          <w:p w14:paraId="25B3523A" w14:textId="77777777" w:rsidR="00810BDF" w:rsidRPr="00264CCB" w:rsidRDefault="00810BDF" w:rsidP="006E656E">
            <w:pPr>
              <w:tabs>
                <w:tab w:val="left" w:pos="1635"/>
              </w:tabs>
              <w:rPr>
                <w:b/>
                <w:iCs/>
                <w:sz w:val="18"/>
                <w:szCs w:val="18"/>
                <w:lang w:val="en-AU" w:eastAsia="en-AU"/>
              </w:rPr>
            </w:pPr>
            <w:r w:rsidRPr="00264CCB">
              <w:rPr>
                <w:b/>
                <w:iCs/>
                <w:sz w:val="18"/>
                <w:szCs w:val="18"/>
                <w:lang w:val="en-AU" w:eastAsia="en-AU"/>
              </w:rPr>
              <w:t>Plan outcome</w:t>
            </w:r>
          </w:p>
          <w:p w14:paraId="6B6646E5" w14:textId="77777777" w:rsidR="00810BDF" w:rsidRPr="00264CCB" w:rsidRDefault="00810BDF" w:rsidP="006E656E">
            <w:pPr>
              <w:tabs>
                <w:tab w:val="left" w:pos="1635"/>
              </w:tabs>
              <w:rPr>
                <w:b/>
                <w:iCs/>
                <w:sz w:val="18"/>
                <w:szCs w:val="18"/>
                <w:lang w:val="en-AU" w:eastAsia="en-AU"/>
              </w:rPr>
            </w:pPr>
            <w:r w:rsidRPr="00264CCB">
              <w:rPr>
                <w:b/>
                <w:iCs/>
                <w:sz w:val="18"/>
                <w:szCs w:val="18"/>
                <w:lang w:val="en-AU" w:eastAsia="en-AU"/>
              </w:rPr>
              <w:t xml:space="preserve"> indicators</w:t>
            </w:r>
          </w:p>
        </w:tc>
        <w:tc>
          <w:tcPr>
            <w:tcW w:w="1865" w:type="dxa"/>
            <w:tcBorders>
              <w:top w:val="dotted" w:sz="4" w:space="0" w:color="auto"/>
              <w:left w:val="dotted" w:sz="4" w:space="0" w:color="auto"/>
              <w:bottom w:val="dotted" w:sz="4" w:space="0" w:color="auto"/>
              <w:right w:val="dotted" w:sz="4" w:space="0" w:color="auto"/>
            </w:tcBorders>
            <w:shd w:val="clear" w:color="auto" w:fill="D8DCDB" w:themeFill="background2"/>
          </w:tcPr>
          <w:p w14:paraId="4DBAB880" w14:textId="77777777" w:rsidR="00810BDF" w:rsidRPr="00264CCB" w:rsidRDefault="00810BDF" w:rsidP="006E656E">
            <w:pPr>
              <w:tabs>
                <w:tab w:val="left" w:pos="1635"/>
              </w:tabs>
              <w:rPr>
                <w:b/>
                <w:iCs/>
                <w:sz w:val="18"/>
                <w:szCs w:val="18"/>
                <w:lang w:val="en-AU" w:eastAsia="en-AU"/>
              </w:rPr>
            </w:pPr>
            <w:r w:rsidRPr="00264CCB">
              <w:rPr>
                <w:b/>
                <w:iCs/>
                <w:sz w:val="18"/>
                <w:szCs w:val="18"/>
                <w:lang w:val="en-AU" w:eastAsia="en-AU"/>
              </w:rPr>
              <w:t xml:space="preserve">Intermediate </w:t>
            </w:r>
          </w:p>
          <w:p w14:paraId="0F44E357" w14:textId="77777777" w:rsidR="00810BDF" w:rsidRPr="00264CCB" w:rsidRDefault="00810BDF" w:rsidP="006E656E">
            <w:pPr>
              <w:tabs>
                <w:tab w:val="left" w:pos="1635"/>
              </w:tabs>
              <w:rPr>
                <w:b/>
                <w:iCs/>
                <w:sz w:val="18"/>
                <w:szCs w:val="18"/>
                <w:lang w:val="en-AU" w:eastAsia="en-AU"/>
              </w:rPr>
            </w:pPr>
            <w:r w:rsidRPr="00264CCB">
              <w:rPr>
                <w:b/>
                <w:iCs/>
                <w:sz w:val="18"/>
                <w:szCs w:val="18"/>
                <w:lang w:val="en-AU" w:eastAsia="en-AU"/>
              </w:rPr>
              <w:t>outcome</w:t>
            </w:r>
          </w:p>
        </w:tc>
        <w:tc>
          <w:tcPr>
            <w:tcW w:w="2693" w:type="dxa"/>
            <w:tcBorders>
              <w:top w:val="dotted" w:sz="4" w:space="0" w:color="auto"/>
              <w:left w:val="dotted" w:sz="4" w:space="0" w:color="auto"/>
              <w:bottom w:val="dotted" w:sz="4" w:space="0" w:color="auto"/>
              <w:right w:val="dotted" w:sz="4" w:space="0" w:color="auto"/>
            </w:tcBorders>
            <w:shd w:val="clear" w:color="auto" w:fill="D8DCDB" w:themeFill="background2"/>
          </w:tcPr>
          <w:p w14:paraId="60D2361A" w14:textId="77777777" w:rsidR="00810BDF" w:rsidRPr="00264CCB" w:rsidRDefault="00810BDF" w:rsidP="006E656E">
            <w:pPr>
              <w:tabs>
                <w:tab w:val="left" w:pos="1635"/>
              </w:tabs>
              <w:rPr>
                <w:b/>
                <w:iCs/>
                <w:sz w:val="18"/>
                <w:szCs w:val="18"/>
                <w:lang w:val="en-AU" w:eastAsia="en-AU"/>
              </w:rPr>
            </w:pPr>
            <w:r w:rsidRPr="00264CCB">
              <w:rPr>
                <w:b/>
                <w:iCs/>
                <w:sz w:val="18"/>
                <w:szCs w:val="18"/>
                <w:lang w:val="en-AU" w:eastAsia="en-AU"/>
              </w:rPr>
              <w:t>Intermediate outcome indicators</w:t>
            </w:r>
          </w:p>
        </w:tc>
        <w:tc>
          <w:tcPr>
            <w:tcW w:w="2835" w:type="dxa"/>
            <w:tcBorders>
              <w:top w:val="dotted" w:sz="4" w:space="0" w:color="auto"/>
              <w:left w:val="dotted" w:sz="4" w:space="0" w:color="auto"/>
              <w:bottom w:val="dotted" w:sz="4" w:space="0" w:color="auto"/>
              <w:right w:val="dotted" w:sz="4" w:space="0" w:color="auto"/>
            </w:tcBorders>
            <w:shd w:val="clear" w:color="auto" w:fill="D8DCDB" w:themeFill="background2"/>
          </w:tcPr>
          <w:p w14:paraId="7B7277CE" w14:textId="77777777" w:rsidR="00810BDF" w:rsidRPr="00264CCB" w:rsidRDefault="00810BDF" w:rsidP="006E656E">
            <w:pPr>
              <w:tabs>
                <w:tab w:val="left" w:pos="1635"/>
              </w:tabs>
              <w:rPr>
                <w:b/>
                <w:iCs/>
                <w:sz w:val="18"/>
                <w:szCs w:val="18"/>
                <w:lang w:val="en-AU" w:eastAsia="en-AU"/>
              </w:rPr>
            </w:pPr>
            <w:r w:rsidRPr="00264CCB">
              <w:rPr>
                <w:b/>
                <w:iCs/>
                <w:sz w:val="18"/>
                <w:szCs w:val="18"/>
                <w:lang w:val="en-AU" w:eastAsia="en-AU"/>
              </w:rPr>
              <w:t>2015-16</w:t>
            </w:r>
            <w:r w:rsidRPr="00264CCB">
              <w:rPr>
                <w:b/>
                <w:iCs/>
                <w:sz w:val="18"/>
                <w:szCs w:val="18"/>
                <w:lang w:val="en-AU" w:eastAsia="en-AU"/>
              </w:rPr>
              <w:tab/>
            </w:r>
          </w:p>
        </w:tc>
        <w:tc>
          <w:tcPr>
            <w:tcW w:w="2861" w:type="dxa"/>
            <w:tcBorders>
              <w:top w:val="dotted" w:sz="4" w:space="0" w:color="auto"/>
              <w:left w:val="dotted" w:sz="4" w:space="0" w:color="auto"/>
              <w:bottom w:val="dotted" w:sz="4" w:space="0" w:color="auto"/>
              <w:right w:val="dotted" w:sz="4" w:space="0" w:color="auto"/>
            </w:tcBorders>
            <w:shd w:val="clear" w:color="auto" w:fill="D8DCDB" w:themeFill="background2"/>
          </w:tcPr>
          <w:p w14:paraId="35541D7C" w14:textId="77777777" w:rsidR="00810BDF" w:rsidRPr="00264CCB" w:rsidRDefault="00810BDF" w:rsidP="006E656E">
            <w:pPr>
              <w:tabs>
                <w:tab w:val="left" w:pos="1635"/>
              </w:tabs>
              <w:rPr>
                <w:b/>
                <w:iCs/>
                <w:sz w:val="18"/>
                <w:szCs w:val="18"/>
                <w:lang w:val="en-AU" w:eastAsia="en-AU"/>
              </w:rPr>
            </w:pPr>
            <w:r w:rsidRPr="00264CCB">
              <w:rPr>
                <w:b/>
                <w:iCs/>
                <w:sz w:val="18"/>
                <w:szCs w:val="18"/>
                <w:lang w:val="en-AU" w:eastAsia="en-AU"/>
              </w:rPr>
              <w:t>2016-17</w:t>
            </w:r>
          </w:p>
        </w:tc>
        <w:tc>
          <w:tcPr>
            <w:tcW w:w="1558" w:type="dxa"/>
            <w:tcBorders>
              <w:top w:val="dotted" w:sz="4" w:space="0" w:color="auto"/>
              <w:left w:val="dotted" w:sz="4" w:space="0" w:color="auto"/>
              <w:bottom w:val="dotted" w:sz="4" w:space="0" w:color="auto"/>
              <w:right w:val="dotted" w:sz="4" w:space="0" w:color="auto"/>
            </w:tcBorders>
            <w:shd w:val="clear" w:color="auto" w:fill="D8DCDB" w:themeFill="background2"/>
          </w:tcPr>
          <w:p w14:paraId="76FBFDE1" w14:textId="77777777" w:rsidR="00810BDF" w:rsidRPr="00264CCB" w:rsidRDefault="00810BDF" w:rsidP="006E656E">
            <w:pPr>
              <w:tabs>
                <w:tab w:val="left" w:pos="1635"/>
              </w:tabs>
              <w:rPr>
                <w:b/>
                <w:iCs/>
                <w:sz w:val="18"/>
                <w:szCs w:val="18"/>
                <w:lang w:val="en-AU" w:eastAsia="en-AU"/>
              </w:rPr>
            </w:pPr>
            <w:r w:rsidRPr="00264CCB">
              <w:rPr>
                <w:b/>
                <w:iCs/>
                <w:sz w:val="18"/>
                <w:szCs w:val="18"/>
                <w:lang w:val="en-AU" w:eastAsia="en-AU"/>
              </w:rPr>
              <w:t>2017-18</w:t>
            </w:r>
          </w:p>
        </w:tc>
        <w:tc>
          <w:tcPr>
            <w:tcW w:w="1251" w:type="dxa"/>
            <w:gridSpan w:val="2"/>
            <w:tcBorders>
              <w:top w:val="dotted" w:sz="4" w:space="0" w:color="auto"/>
              <w:left w:val="dotted" w:sz="4" w:space="0" w:color="auto"/>
              <w:bottom w:val="dotted" w:sz="4" w:space="0" w:color="auto"/>
              <w:right w:val="dotted" w:sz="4" w:space="0" w:color="auto"/>
            </w:tcBorders>
            <w:shd w:val="clear" w:color="auto" w:fill="D8DCDB" w:themeFill="background2"/>
          </w:tcPr>
          <w:p w14:paraId="3C4786CB" w14:textId="77777777" w:rsidR="00810BDF" w:rsidRPr="00264CCB" w:rsidRDefault="00810BDF" w:rsidP="006E656E">
            <w:pPr>
              <w:tabs>
                <w:tab w:val="left" w:pos="1635"/>
              </w:tabs>
              <w:rPr>
                <w:b/>
                <w:iCs/>
                <w:sz w:val="18"/>
                <w:szCs w:val="18"/>
                <w:lang w:val="en-AU" w:eastAsia="en-AU"/>
              </w:rPr>
            </w:pPr>
            <w:r w:rsidRPr="00264CCB">
              <w:rPr>
                <w:b/>
                <w:iCs/>
                <w:sz w:val="18"/>
                <w:szCs w:val="18"/>
                <w:lang w:val="en-AU" w:eastAsia="en-AU"/>
              </w:rPr>
              <w:t>Data source &amp; baseline</w:t>
            </w:r>
          </w:p>
        </w:tc>
      </w:tr>
      <w:tr w:rsidR="00117768" w:rsidRPr="00117768" w14:paraId="1D00F11D" w14:textId="77777777" w:rsidTr="00FF7F2C">
        <w:trPr>
          <w:gridAfter w:val="1"/>
          <w:wAfter w:w="9" w:type="dxa"/>
          <w:trHeight w:val="624"/>
        </w:trPr>
        <w:tc>
          <w:tcPr>
            <w:tcW w:w="1486" w:type="dxa"/>
            <w:vMerge w:val="restart"/>
            <w:tcBorders>
              <w:top w:val="dotted" w:sz="4" w:space="0" w:color="auto"/>
              <w:left w:val="dotted" w:sz="4" w:space="0" w:color="auto"/>
              <w:bottom w:val="dotted" w:sz="4" w:space="0" w:color="auto"/>
              <w:right w:val="dotted" w:sz="4" w:space="0" w:color="auto"/>
            </w:tcBorders>
          </w:tcPr>
          <w:p w14:paraId="75F9E678" w14:textId="77777777" w:rsidR="00A24ADE" w:rsidRDefault="00A24ADE" w:rsidP="00A24ADE">
            <w:pPr>
              <w:pBdr>
                <w:top w:val="nil"/>
                <w:left w:val="nil"/>
                <w:bottom w:val="nil"/>
                <w:right w:val="nil"/>
                <w:between w:val="nil"/>
                <w:bar w:val="nil"/>
              </w:pBdr>
              <w:tabs>
                <w:tab w:val="left" w:pos="1635"/>
              </w:tabs>
              <w:suppressAutoHyphens w:val="0"/>
              <w:spacing w:before="0" w:after="0" w:line="240" w:lineRule="auto"/>
              <w:rPr>
                <w:b/>
                <w:sz w:val="17"/>
                <w:szCs w:val="17"/>
                <w:lang w:val="en-AU" w:eastAsia="en-AU"/>
              </w:rPr>
            </w:pPr>
          </w:p>
          <w:p w14:paraId="7EBA3AFE" w14:textId="46884CDF" w:rsidR="00117768" w:rsidRPr="00117768" w:rsidDel="006F1764" w:rsidRDefault="00A24ADE" w:rsidP="00A24ADE">
            <w:pPr>
              <w:pBdr>
                <w:top w:val="nil"/>
                <w:left w:val="nil"/>
                <w:bottom w:val="nil"/>
                <w:right w:val="nil"/>
                <w:between w:val="nil"/>
                <w:bar w:val="nil"/>
              </w:pBdr>
              <w:tabs>
                <w:tab w:val="left" w:pos="1635"/>
              </w:tabs>
              <w:suppressAutoHyphens w:val="0"/>
              <w:spacing w:before="0" w:after="0" w:line="240" w:lineRule="auto"/>
              <w:rPr>
                <w:b/>
                <w:sz w:val="17"/>
                <w:szCs w:val="17"/>
                <w:lang w:val="en-AU" w:eastAsia="en-AU"/>
              </w:rPr>
            </w:pPr>
            <w:r>
              <w:rPr>
                <w:b/>
                <w:sz w:val="17"/>
                <w:szCs w:val="17"/>
                <w:lang w:val="en-AU" w:eastAsia="en-AU"/>
              </w:rPr>
              <w:t>1. M</w:t>
            </w:r>
            <w:r w:rsidRPr="00A24ADE">
              <w:rPr>
                <w:b/>
                <w:sz w:val="17"/>
                <w:szCs w:val="17"/>
                <w:lang w:val="en-AU" w:eastAsia="en-AU"/>
              </w:rPr>
              <w:t>ore girls and boys attain improved literacy, numeracy and the core competencies identified at each level of primary education.</w:t>
            </w:r>
          </w:p>
        </w:tc>
        <w:tc>
          <w:tcPr>
            <w:tcW w:w="1327" w:type="dxa"/>
            <w:vMerge w:val="restart"/>
            <w:tcBorders>
              <w:top w:val="dotted" w:sz="4" w:space="0" w:color="auto"/>
              <w:left w:val="dotted" w:sz="4" w:space="0" w:color="auto"/>
              <w:bottom w:val="dotted" w:sz="4" w:space="0" w:color="auto"/>
              <w:right w:val="dotted" w:sz="4" w:space="0" w:color="auto"/>
            </w:tcBorders>
          </w:tcPr>
          <w:p w14:paraId="49762553" w14:textId="68DB7524" w:rsidR="00117768" w:rsidRPr="00117768" w:rsidDel="006F1764" w:rsidRDefault="00117768" w:rsidP="006E656E">
            <w:pPr>
              <w:tabs>
                <w:tab w:val="left" w:pos="1635"/>
              </w:tabs>
              <w:rPr>
                <w:i/>
                <w:sz w:val="17"/>
                <w:szCs w:val="17"/>
                <w:lang w:eastAsia="en-AU"/>
              </w:rPr>
            </w:pPr>
            <w:r w:rsidRPr="00117768">
              <w:rPr>
                <w:i/>
                <w:sz w:val="17"/>
                <w:szCs w:val="17"/>
                <w:lang w:eastAsia="en-AU"/>
              </w:rPr>
              <w:t>Progressive national student assessments show improved performance</w:t>
            </w:r>
          </w:p>
        </w:tc>
        <w:tc>
          <w:tcPr>
            <w:tcW w:w="1865" w:type="dxa"/>
            <w:tcBorders>
              <w:top w:val="dotted" w:sz="4" w:space="0" w:color="auto"/>
              <w:left w:val="dotted" w:sz="4" w:space="0" w:color="auto"/>
              <w:bottom w:val="dotted" w:sz="4" w:space="0" w:color="auto"/>
              <w:right w:val="dotted" w:sz="4" w:space="0" w:color="auto"/>
            </w:tcBorders>
          </w:tcPr>
          <w:p w14:paraId="5482AF27" w14:textId="77777777" w:rsidR="00117768" w:rsidRPr="00117768" w:rsidRDefault="00117768" w:rsidP="006E656E">
            <w:pPr>
              <w:tabs>
                <w:tab w:val="left" w:pos="1635"/>
              </w:tabs>
              <w:rPr>
                <w:sz w:val="17"/>
                <w:szCs w:val="17"/>
                <w:lang w:eastAsia="en-AU"/>
              </w:rPr>
            </w:pPr>
            <w:r w:rsidRPr="00117768">
              <w:rPr>
                <w:sz w:val="17"/>
                <w:szCs w:val="17"/>
                <w:lang w:eastAsia="en-AU"/>
              </w:rPr>
              <w:t>The quality of teaching materials is improved</w:t>
            </w:r>
          </w:p>
        </w:tc>
        <w:tc>
          <w:tcPr>
            <w:tcW w:w="2693" w:type="dxa"/>
            <w:tcBorders>
              <w:top w:val="dotted" w:sz="4" w:space="0" w:color="auto"/>
              <w:left w:val="dotted" w:sz="4" w:space="0" w:color="auto"/>
              <w:bottom w:val="dotted" w:sz="4" w:space="0" w:color="auto"/>
              <w:right w:val="dotted" w:sz="4" w:space="0" w:color="auto"/>
            </w:tcBorders>
          </w:tcPr>
          <w:p w14:paraId="34864861" w14:textId="1A58E27B" w:rsidR="00117768" w:rsidRPr="00117768" w:rsidRDefault="00117768" w:rsidP="006E656E">
            <w:pPr>
              <w:tabs>
                <w:tab w:val="left" w:pos="1635"/>
              </w:tabs>
              <w:rPr>
                <w:sz w:val="17"/>
                <w:szCs w:val="17"/>
                <w:lang w:eastAsia="en-AU"/>
              </w:rPr>
            </w:pPr>
            <w:r w:rsidRPr="00117768">
              <w:rPr>
                <w:sz w:val="17"/>
                <w:szCs w:val="17"/>
                <w:lang w:eastAsia="en-AU"/>
              </w:rPr>
              <w:t>Primary school t</w:t>
            </w:r>
            <w:r w:rsidR="00A24ADE">
              <w:rPr>
                <w:sz w:val="17"/>
                <w:szCs w:val="17"/>
                <w:lang w:eastAsia="en-AU"/>
              </w:rPr>
              <w:t>ext books better reflect the Government of Bangladesh (GoB)</w:t>
            </w:r>
            <w:r w:rsidRPr="00117768">
              <w:rPr>
                <w:sz w:val="17"/>
                <w:szCs w:val="17"/>
                <w:lang w:eastAsia="en-AU"/>
              </w:rPr>
              <w:t xml:space="preserve"> education curriculum </w:t>
            </w:r>
          </w:p>
        </w:tc>
        <w:tc>
          <w:tcPr>
            <w:tcW w:w="2835" w:type="dxa"/>
            <w:tcBorders>
              <w:top w:val="dotted" w:sz="4" w:space="0" w:color="auto"/>
              <w:left w:val="dotted" w:sz="4" w:space="0" w:color="auto"/>
              <w:bottom w:val="dotted" w:sz="4" w:space="0" w:color="auto"/>
              <w:right w:val="dotted" w:sz="4" w:space="0" w:color="auto"/>
            </w:tcBorders>
          </w:tcPr>
          <w:p w14:paraId="1E938995" w14:textId="77777777" w:rsidR="00117768" w:rsidRPr="00264CCB" w:rsidRDefault="00117768" w:rsidP="006E656E">
            <w:pPr>
              <w:tabs>
                <w:tab w:val="left" w:pos="1635"/>
              </w:tabs>
              <w:rPr>
                <w:i/>
                <w:sz w:val="17"/>
                <w:szCs w:val="17"/>
                <w:lang w:eastAsia="en-AU"/>
              </w:rPr>
            </w:pPr>
            <w:r w:rsidRPr="00264CCB">
              <w:rPr>
                <w:i/>
                <w:sz w:val="17"/>
                <w:szCs w:val="17"/>
                <w:lang w:eastAsia="en-AU"/>
              </w:rPr>
              <w:t>Text book revision grade 4-5 by July 2015. Religious studies and Teachers editions revision to be completed by 2016.</w:t>
            </w:r>
          </w:p>
          <w:p w14:paraId="1D11D287" w14:textId="77777777" w:rsidR="00117768" w:rsidRPr="00117768" w:rsidRDefault="00117768" w:rsidP="006E656E">
            <w:pPr>
              <w:tabs>
                <w:tab w:val="left" w:pos="1635"/>
              </w:tabs>
              <w:rPr>
                <w:sz w:val="17"/>
                <w:szCs w:val="17"/>
                <w:lang w:eastAsia="en-AU"/>
              </w:rPr>
            </w:pPr>
            <w:r w:rsidRPr="00117768">
              <w:rPr>
                <w:sz w:val="17"/>
                <w:szCs w:val="17"/>
                <w:lang w:eastAsia="en-AU"/>
              </w:rPr>
              <w:t>The review of textbooks for all major subjects of all five grades completed and the revision is under process for all other subjects for completion in the coming year.</w:t>
            </w:r>
          </w:p>
        </w:tc>
        <w:tc>
          <w:tcPr>
            <w:tcW w:w="2861"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4FC63DC3" w14:textId="03675D94" w:rsidR="00117768" w:rsidRPr="00264CCB" w:rsidRDefault="00DF5A40" w:rsidP="006E656E">
            <w:pPr>
              <w:tabs>
                <w:tab w:val="left" w:pos="1635"/>
              </w:tabs>
              <w:rPr>
                <w:i/>
                <w:sz w:val="17"/>
                <w:szCs w:val="17"/>
                <w:lang w:eastAsia="en-AU"/>
              </w:rPr>
            </w:pPr>
            <w:r>
              <w:rPr>
                <w:i/>
                <w:sz w:val="17"/>
                <w:szCs w:val="17"/>
                <w:lang w:eastAsia="en-AU"/>
              </w:rPr>
              <w:t xml:space="preserve">Target: </w:t>
            </w:r>
            <w:r w:rsidR="00117768" w:rsidRPr="00264CCB">
              <w:rPr>
                <w:i/>
                <w:sz w:val="17"/>
                <w:szCs w:val="17"/>
                <w:lang w:eastAsia="en-AU"/>
              </w:rPr>
              <w:t xml:space="preserve">Report on </w:t>
            </w:r>
            <w:r w:rsidR="0050045F">
              <w:rPr>
                <w:i/>
                <w:sz w:val="17"/>
                <w:szCs w:val="17"/>
                <w:lang w:eastAsia="en-AU"/>
              </w:rPr>
              <w:t>use (</w:t>
            </w:r>
            <w:r w:rsidR="00117768" w:rsidRPr="00264CCB">
              <w:rPr>
                <w:i/>
                <w:sz w:val="17"/>
                <w:szCs w:val="17"/>
                <w:lang w:eastAsia="en-AU"/>
              </w:rPr>
              <w:t>quality</w:t>
            </w:r>
            <w:r w:rsidR="0050045F">
              <w:rPr>
                <w:i/>
                <w:sz w:val="17"/>
                <w:szCs w:val="17"/>
                <w:lang w:eastAsia="en-AU"/>
              </w:rPr>
              <w:t>)</w:t>
            </w:r>
            <w:r w:rsidR="00117768" w:rsidRPr="00264CCB">
              <w:rPr>
                <w:i/>
                <w:sz w:val="17"/>
                <w:szCs w:val="17"/>
                <w:lang w:eastAsia="en-AU"/>
              </w:rPr>
              <w:t xml:space="preserve"> of revised text books</w:t>
            </w:r>
          </w:p>
          <w:p w14:paraId="033C4EF1" w14:textId="77777777" w:rsidR="00117768" w:rsidRPr="00117768" w:rsidRDefault="00117768" w:rsidP="006E656E">
            <w:pPr>
              <w:tabs>
                <w:tab w:val="left" w:pos="1635"/>
              </w:tabs>
              <w:rPr>
                <w:sz w:val="17"/>
                <w:szCs w:val="17"/>
                <w:lang w:eastAsia="en-AU"/>
              </w:rPr>
            </w:pPr>
            <w:r w:rsidRPr="00117768">
              <w:rPr>
                <w:sz w:val="17"/>
                <w:szCs w:val="17"/>
                <w:lang w:eastAsia="en-AU"/>
              </w:rPr>
              <w:t xml:space="preserve">Primary text books were distributed to all schools as scheduled on 1 January 2017.  A World Bank led report, funded by Australia, confirmed that textbook quality had improved with fewer spelling errors and structure streamlined, better formatting and simplified language.  </w:t>
            </w:r>
          </w:p>
        </w:tc>
        <w:tc>
          <w:tcPr>
            <w:tcW w:w="1558" w:type="dxa"/>
            <w:tcBorders>
              <w:top w:val="dotted" w:sz="4" w:space="0" w:color="auto"/>
              <w:left w:val="dotted" w:sz="4" w:space="0" w:color="auto"/>
              <w:bottom w:val="dotted" w:sz="4" w:space="0" w:color="auto"/>
              <w:right w:val="dotted" w:sz="4" w:space="0" w:color="auto"/>
            </w:tcBorders>
          </w:tcPr>
          <w:p w14:paraId="3BAD12A6" w14:textId="77777777" w:rsidR="00117768" w:rsidRPr="00117768" w:rsidRDefault="00117768" w:rsidP="006E656E">
            <w:pPr>
              <w:tabs>
                <w:tab w:val="left" w:pos="1635"/>
              </w:tabs>
              <w:rPr>
                <w:sz w:val="17"/>
                <w:szCs w:val="17"/>
                <w:lang w:eastAsia="en-AU"/>
              </w:rPr>
            </w:pPr>
            <w:r w:rsidRPr="00117768">
              <w:rPr>
                <w:sz w:val="17"/>
                <w:szCs w:val="17"/>
                <w:lang w:eastAsia="en-AU"/>
              </w:rPr>
              <w:t>Review of learning materials informs PEDP4 planning</w:t>
            </w:r>
          </w:p>
        </w:tc>
        <w:tc>
          <w:tcPr>
            <w:tcW w:w="1251" w:type="dxa"/>
            <w:gridSpan w:val="2"/>
            <w:tcBorders>
              <w:top w:val="dotted" w:sz="4" w:space="0" w:color="auto"/>
              <w:left w:val="dotted" w:sz="4" w:space="0" w:color="auto"/>
              <w:bottom w:val="dotted" w:sz="4" w:space="0" w:color="auto"/>
              <w:right w:val="dotted" w:sz="4" w:space="0" w:color="auto"/>
            </w:tcBorders>
          </w:tcPr>
          <w:p w14:paraId="79B12C64" w14:textId="77777777" w:rsidR="00117768" w:rsidRPr="00117768" w:rsidRDefault="00117768" w:rsidP="006E656E">
            <w:pPr>
              <w:tabs>
                <w:tab w:val="left" w:pos="1635"/>
              </w:tabs>
              <w:rPr>
                <w:sz w:val="17"/>
                <w:szCs w:val="17"/>
                <w:lang w:eastAsia="en-AU"/>
              </w:rPr>
            </w:pPr>
            <w:r w:rsidRPr="00117768">
              <w:rPr>
                <w:sz w:val="17"/>
                <w:szCs w:val="17"/>
                <w:lang w:eastAsia="en-AU"/>
              </w:rPr>
              <w:t>NCTB/DFID reports</w:t>
            </w:r>
          </w:p>
        </w:tc>
      </w:tr>
      <w:tr w:rsidR="00117768" w:rsidRPr="00117768" w14:paraId="68CF464D" w14:textId="77777777" w:rsidTr="00FF7F2C">
        <w:trPr>
          <w:gridAfter w:val="1"/>
          <w:wAfter w:w="9" w:type="dxa"/>
          <w:trHeight w:val="2847"/>
        </w:trPr>
        <w:tc>
          <w:tcPr>
            <w:tcW w:w="1486" w:type="dxa"/>
            <w:vMerge/>
            <w:tcBorders>
              <w:top w:val="dotted" w:sz="4" w:space="0" w:color="auto"/>
              <w:left w:val="dotted" w:sz="4" w:space="0" w:color="auto"/>
              <w:bottom w:val="dotted" w:sz="4" w:space="0" w:color="auto"/>
              <w:right w:val="dotted" w:sz="4" w:space="0" w:color="auto"/>
            </w:tcBorders>
          </w:tcPr>
          <w:p w14:paraId="482EB7E2" w14:textId="77777777" w:rsidR="00117768" w:rsidRPr="00117768" w:rsidRDefault="00117768" w:rsidP="006E656E">
            <w:pPr>
              <w:tabs>
                <w:tab w:val="left" w:pos="1635"/>
              </w:tabs>
              <w:rPr>
                <w:sz w:val="17"/>
                <w:szCs w:val="17"/>
                <w:lang w:eastAsia="en-AU"/>
              </w:rPr>
            </w:pPr>
          </w:p>
        </w:tc>
        <w:tc>
          <w:tcPr>
            <w:tcW w:w="1327" w:type="dxa"/>
            <w:vMerge/>
            <w:tcBorders>
              <w:top w:val="dotted" w:sz="4" w:space="0" w:color="auto"/>
              <w:left w:val="dotted" w:sz="4" w:space="0" w:color="auto"/>
              <w:bottom w:val="dotted" w:sz="4" w:space="0" w:color="auto"/>
              <w:right w:val="dotted" w:sz="4" w:space="0" w:color="auto"/>
            </w:tcBorders>
          </w:tcPr>
          <w:p w14:paraId="4351247B" w14:textId="77777777" w:rsidR="00117768" w:rsidRPr="00117768" w:rsidRDefault="00117768" w:rsidP="006E656E">
            <w:pPr>
              <w:tabs>
                <w:tab w:val="left" w:pos="1635"/>
              </w:tabs>
              <w:rPr>
                <w:sz w:val="17"/>
                <w:szCs w:val="17"/>
                <w:lang w:eastAsia="en-AU"/>
              </w:rPr>
            </w:pPr>
          </w:p>
        </w:tc>
        <w:tc>
          <w:tcPr>
            <w:tcW w:w="1865" w:type="dxa"/>
            <w:tcBorders>
              <w:top w:val="dotted" w:sz="4" w:space="0" w:color="auto"/>
              <w:left w:val="dotted" w:sz="4" w:space="0" w:color="auto"/>
              <w:bottom w:val="dotted" w:sz="4" w:space="0" w:color="auto"/>
              <w:right w:val="dotted" w:sz="4" w:space="0" w:color="auto"/>
            </w:tcBorders>
          </w:tcPr>
          <w:p w14:paraId="1AF1522F" w14:textId="77777777" w:rsidR="00117768" w:rsidRPr="00117768" w:rsidRDefault="00117768" w:rsidP="006E656E">
            <w:pPr>
              <w:tabs>
                <w:tab w:val="left" w:pos="1635"/>
              </w:tabs>
              <w:rPr>
                <w:sz w:val="17"/>
                <w:szCs w:val="17"/>
                <w:lang w:eastAsia="en-AU"/>
              </w:rPr>
            </w:pPr>
            <w:r w:rsidRPr="00117768">
              <w:rPr>
                <w:sz w:val="17"/>
                <w:szCs w:val="17"/>
                <w:lang w:eastAsia="en-AU"/>
              </w:rPr>
              <w:t>Primary school learning outcomes improved through use of active rather than rote pedagogy</w:t>
            </w:r>
          </w:p>
        </w:tc>
        <w:tc>
          <w:tcPr>
            <w:tcW w:w="2693" w:type="dxa"/>
            <w:tcBorders>
              <w:top w:val="dotted" w:sz="4" w:space="0" w:color="auto"/>
              <w:left w:val="dotted" w:sz="4" w:space="0" w:color="auto"/>
              <w:bottom w:val="dotted" w:sz="4" w:space="0" w:color="auto"/>
              <w:right w:val="dotted" w:sz="4" w:space="0" w:color="auto"/>
            </w:tcBorders>
          </w:tcPr>
          <w:p w14:paraId="36EAA433" w14:textId="6015561C" w:rsidR="00117768" w:rsidRPr="00117768" w:rsidRDefault="00117768" w:rsidP="006E656E">
            <w:pPr>
              <w:tabs>
                <w:tab w:val="left" w:pos="1635"/>
              </w:tabs>
              <w:rPr>
                <w:sz w:val="17"/>
                <w:szCs w:val="17"/>
                <w:lang w:eastAsia="en-AU"/>
              </w:rPr>
            </w:pPr>
            <w:r w:rsidRPr="00117768">
              <w:rPr>
                <w:sz w:val="17"/>
                <w:szCs w:val="17"/>
                <w:lang w:eastAsia="en-AU"/>
              </w:rPr>
              <w:t>Proportion of each child learns strategy rolled out to 29 P</w:t>
            </w:r>
            <w:r w:rsidR="00A24ADE">
              <w:rPr>
                <w:sz w:val="17"/>
                <w:szCs w:val="17"/>
                <w:lang w:eastAsia="en-AU"/>
              </w:rPr>
              <w:t xml:space="preserve">rimary </w:t>
            </w:r>
            <w:r w:rsidRPr="00117768">
              <w:rPr>
                <w:sz w:val="17"/>
                <w:szCs w:val="17"/>
                <w:lang w:eastAsia="en-AU"/>
              </w:rPr>
              <w:t>T</w:t>
            </w:r>
            <w:r w:rsidR="00A24ADE">
              <w:rPr>
                <w:sz w:val="17"/>
                <w:szCs w:val="17"/>
                <w:lang w:eastAsia="en-AU"/>
              </w:rPr>
              <w:t>eaching Institutions</w:t>
            </w:r>
            <w:r w:rsidRPr="00117768">
              <w:rPr>
                <w:sz w:val="17"/>
                <w:szCs w:val="17"/>
                <w:lang w:eastAsia="en-AU"/>
              </w:rPr>
              <w:t xml:space="preserve"> and lessons learned incorporated into GoB Planning</w:t>
            </w:r>
          </w:p>
        </w:tc>
        <w:tc>
          <w:tcPr>
            <w:tcW w:w="2835" w:type="dxa"/>
            <w:tcBorders>
              <w:top w:val="dotted" w:sz="4" w:space="0" w:color="auto"/>
              <w:left w:val="dotted" w:sz="4" w:space="0" w:color="auto"/>
              <w:bottom w:val="dotted" w:sz="4" w:space="0" w:color="auto"/>
              <w:right w:val="dotted" w:sz="4" w:space="0" w:color="auto"/>
            </w:tcBorders>
          </w:tcPr>
          <w:p w14:paraId="62AA0B2C" w14:textId="77777777" w:rsidR="00117768" w:rsidRPr="00264CCB" w:rsidRDefault="00117768" w:rsidP="006E656E">
            <w:pPr>
              <w:tabs>
                <w:tab w:val="left" w:pos="1635"/>
              </w:tabs>
              <w:rPr>
                <w:i/>
                <w:sz w:val="17"/>
                <w:szCs w:val="17"/>
                <w:lang w:eastAsia="en-AU"/>
              </w:rPr>
            </w:pPr>
            <w:r w:rsidRPr="00264CCB">
              <w:rPr>
                <w:i/>
                <w:sz w:val="17"/>
                <w:szCs w:val="17"/>
                <w:lang w:eastAsia="en-AU"/>
              </w:rPr>
              <w:t>Each Child Learns operating 1500 schools</w:t>
            </w:r>
          </w:p>
          <w:p w14:paraId="307B7E3D" w14:textId="77777777" w:rsidR="00117768" w:rsidRPr="00117768" w:rsidRDefault="00117768" w:rsidP="006E656E">
            <w:pPr>
              <w:tabs>
                <w:tab w:val="left" w:pos="1635"/>
              </w:tabs>
              <w:rPr>
                <w:sz w:val="17"/>
                <w:szCs w:val="17"/>
                <w:lang w:eastAsia="en-AU"/>
              </w:rPr>
            </w:pPr>
            <w:r w:rsidRPr="00117768">
              <w:rPr>
                <w:sz w:val="17"/>
                <w:szCs w:val="17"/>
                <w:lang w:eastAsia="en-AU"/>
              </w:rPr>
              <w:t>ECL strengthening initiated implemented in 50 schools</w:t>
            </w:r>
          </w:p>
          <w:p w14:paraId="0CA6A92E" w14:textId="3B8B2F9D" w:rsidR="00117768" w:rsidRPr="00117768" w:rsidRDefault="00A24ADE" w:rsidP="006E656E">
            <w:pPr>
              <w:tabs>
                <w:tab w:val="left" w:pos="1635"/>
              </w:tabs>
              <w:rPr>
                <w:sz w:val="17"/>
                <w:szCs w:val="17"/>
                <w:lang w:eastAsia="en-AU"/>
              </w:rPr>
            </w:pPr>
            <w:r>
              <w:rPr>
                <w:sz w:val="17"/>
                <w:szCs w:val="17"/>
                <w:lang w:eastAsia="en-AU"/>
              </w:rPr>
              <w:t>The Each Child L</w:t>
            </w:r>
            <w:r w:rsidR="00117768" w:rsidRPr="00117768">
              <w:rPr>
                <w:sz w:val="17"/>
                <w:szCs w:val="17"/>
                <w:lang w:eastAsia="en-AU"/>
              </w:rPr>
              <w:t>earns (ECL) initiative, is a whole school approach employing child centred &amp; active learning methods, expanded from 980 to 1240 schools &amp; preparations were made for introducing the ECL strengthening model to 50 schools next year.</w:t>
            </w:r>
          </w:p>
        </w:tc>
        <w:tc>
          <w:tcPr>
            <w:tcW w:w="2861"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70B4F3F8" w14:textId="77777777" w:rsidR="00117768" w:rsidRPr="00264CCB" w:rsidRDefault="00DF5A40" w:rsidP="006E656E">
            <w:pPr>
              <w:tabs>
                <w:tab w:val="left" w:pos="1635"/>
              </w:tabs>
              <w:rPr>
                <w:i/>
                <w:sz w:val="17"/>
                <w:szCs w:val="17"/>
                <w:lang w:eastAsia="en-AU"/>
              </w:rPr>
            </w:pPr>
            <w:r>
              <w:rPr>
                <w:i/>
                <w:sz w:val="17"/>
                <w:szCs w:val="17"/>
                <w:lang w:eastAsia="en-AU"/>
              </w:rPr>
              <w:t xml:space="preserve">Target: </w:t>
            </w:r>
            <w:r w:rsidR="00117768" w:rsidRPr="00264CCB">
              <w:rPr>
                <w:i/>
                <w:sz w:val="17"/>
                <w:szCs w:val="17"/>
                <w:lang w:eastAsia="en-AU"/>
              </w:rPr>
              <w:t>Completion and review of Each Child Learns pilot program</w:t>
            </w:r>
          </w:p>
          <w:p w14:paraId="48F009E0" w14:textId="77777777" w:rsidR="00FF7F2C" w:rsidRDefault="00FF7F2C" w:rsidP="006E656E">
            <w:pPr>
              <w:tabs>
                <w:tab w:val="left" w:pos="1635"/>
              </w:tabs>
              <w:rPr>
                <w:sz w:val="17"/>
                <w:szCs w:val="17"/>
                <w:lang w:eastAsia="en-AU"/>
              </w:rPr>
            </w:pPr>
          </w:p>
          <w:p w14:paraId="486C0478" w14:textId="53C508D1" w:rsidR="00117768" w:rsidRPr="00117768" w:rsidRDefault="00614217" w:rsidP="006E656E">
            <w:pPr>
              <w:tabs>
                <w:tab w:val="left" w:pos="1635"/>
              </w:tabs>
              <w:rPr>
                <w:sz w:val="17"/>
                <w:szCs w:val="17"/>
                <w:lang w:eastAsia="en-AU"/>
              </w:rPr>
            </w:pPr>
            <w:r w:rsidRPr="00614217">
              <w:rPr>
                <w:sz w:val="17"/>
                <w:szCs w:val="17"/>
                <w:lang w:eastAsia="en-AU"/>
              </w:rPr>
              <w:t>The ECL pilot was completed during the reporting period, covering 1500 schools as planned.  Th</w:t>
            </w:r>
            <w:r w:rsidR="00A24ADE">
              <w:rPr>
                <w:sz w:val="17"/>
                <w:szCs w:val="17"/>
                <w:lang w:eastAsia="en-AU"/>
              </w:rPr>
              <w:t>e planned review, a longitudinal study</w:t>
            </w:r>
            <w:r w:rsidRPr="00614217">
              <w:rPr>
                <w:sz w:val="17"/>
                <w:szCs w:val="17"/>
                <w:lang w:eastAsia="en-AU"/>
              </w:rPr>
              <w:t xml:space="preserve"> was conducted </w:t>
            </w:r>
            <w:r w:rsidR="00A24ADE">
              <w:rPr>
                <w:sz w:val="17"/>
                <w:szCs w:val="17"/>
                <w:lang w:eastAsia="en-AU"/>
              </w:rPr>
              <w:t xml:space="preserve">by </w:t>
            </w:r>
            <w:r w:rsidRPr="00614217">
              <w:rPr>
                <w:sz w:val="17"/>
                <w:szCs w:val="17"/>
                <w:lang w:eastAsia="en-AU"/>
              </w:rPr>
              <w:t>UNICEF with Australian funding. It confirmed improved learning outcomes.</w:t>
            </w:r>
          </w:p>
        </w:tc>
        <w:tc>
          <w:tcPr>
            <w:tcW w:w="1558" w:type="dxa"/>
            <w:tcBorders>
              <w:top w:val="dotted" w:sz="4" w:space="0" w:color="auto"/>
              <w:left w:val="dotted" w:sz="4" w:space="0" w:color="auto"/>
              <w:bottom w:val="dotted" w:sz="4" w:space="0" w:color="auto"/>
              <w:right w:val="dotted" w:sz="4" w:space="0" w:color="auto"/>
            </w:tcBorders>
          </w:tcPr>
          <w:p w14:paraId="72F44263" w14:textId="77777777" w:rsidR="00117768" w:rsidRPr="00117768" w:rsidRDefault="00117768" w:rsidP="006E656E">
            <w:pPr>
              <w:tabs>
                <w:tab w:val="left" w:pos="1635"/>
              </w:tabs>
              <w:rPr>
                <w:sz w:val="17"/>
                <w:szCs w:val="17"/>
                <w:lang w:eastAsia="en-AU"/>
              </w:rPr>
            </w:pPr>
            <w:r w:rsidRPr="00117768">
              <w:rPr>
                <w:sz w:val="17"/>
                <w:szCs w:val="17"/>
                <w:lang w:eastAsia="en-AU"/>
              </w:rPr>
              <w:t xml:space="preserve">Review findings on Each Child Learns integrated into PEDP4 </w:t>
            </w:r>
          </w:p>
        </w:tc>
        <w:tc>
          <w:tcPr>
            <w:tcW w:w="1251" w:type="dxa"/>
            <w:gridSpan w:val="2"/>
            <w:tcBorders>
              <w:top w:val="dotted" w:sz="4" w:space="0" w:color="auto"/>
              <w:left w:val="dotted" w:sz="4" w:space="0" w:color="auto"/>
              <w:bottom w:val="dotted" w:sz="4" w:space="0" w:color="auto"/>
              <w:right w:val="dotted" w:sz="4" w:space="0" w:color="auto"/>
            </w:tcBorders>
          </w:tcPr>
          <w:p w14:paraId="1FA3C528" w14:textId="78355735" w:rsidR="007047C8" w:rsidRDefault="00117768" w:rsidP="006E656E">
            <w:pPr>
              <w:tabs>
                <w:tab w:val="left" w:pos="1635"/>
              </w:tabs>
              <w:rPr>
                <w:sz w:val="17"/>
                <w:szCs w:val="17"/>
                <w:lang w:eastAsia="en-AU"/>
              </w:rPr>
            </w:pPr>
            <w:r w:rsidRPr="00117768">
              <w:rPr>
                <w:sz w:val="17"/>
                <w:szCs w:val="17"/>
                <w:lang w:eastAsia="en-AU"/>
              </w:rPr>
              <w:t>GoB, UNICEF ECL TA reports and MTR Quality analysis</w:t>
            </w:r>
          </w:p>
          <w:p w14:paraId="24FE4118" w14:textId="77777777" w:rsidR="007047C8" w:rsidRPr="007047C8" w:rsidRDefault="007047C8" w:rsidP="007047C8">
            <w:pPr>
              <w:rPr>
                <w:sz w:val="17"/>
                <w:szCs w:val="17"/>
                <w:lang w:eastAsia="en-AU"/>
              </w:rPr>
            </w:pPr>
          </w:p>
          <w:p w14:paraId="1E4199AE" w14:textId="77777777" w:rsidR="007047C8" w:rsidRPr="007047C8" w:rsidRDefault="007047C8" w:rsidP="007047C8">
            <w:pPr>
              <w:rPr>
                <w:sz w:val="17"/>
                <w:szCs w:val="17"/>
                <w:lang w:eastAsia="en-AU"/>
              </w:rPr>
            </w:pPr>
          </w:p>
          <w:p w14:paraId="128FA429" w14:textId="77777777" w:rsidR="007047C8" w:rsidRPr="007047C8" w:rsidRDefault="007047C8" w:rsidP="007047C8">
            <w:pPr>
              <w:rPr>
                <w:sz w:val="17"/>
                <w:szCs w:val="17"/>
                <w:lang w:eastAsia="en-AU"/>
              </w:rPr>
            </w:pPr>
          </w:p>
          <w:p w14:paraId="1E61616E" w14:textId="11A6E0E7" w:rsidR="00117768" w:rsidRPr="007047C8" w:rsidRDefault="00117768" w:rsidP="007047C8">
            <w:pPr>
              <w:rPr>
                <w:sz w:val="17"/>
                <w:szCs w:val="17"/>
                <w:lang w:eastAsia="en-AU"/>
              </w:rPr>
            </w:pPr>
          </w:p>
        </w:tc>
      </w:tr>
      <w:tr w:rsidR="00117768" w:rsidRPr="00117768" w14:paraId="050E6867" w14:textId="77777777" w:rsidTr="00FF7F2C">
        <w:trPr>
          <w:gridAfter w:val="1"/>
          <w:wAfter w:w="9" w:type="dxa"/>
          <w:trHeight w:val="624"/>
        </w:trPr>
        <w:tc>
          <w:tcPr>
            <w:tcW w:w="1486" w:type="dxa"/>
            <w:vMerge/>
            <w:tcBorders>
              <w:top w:val="dotted" w:sz="4" w:space="0" w:color="auto"/>
              <w:left w:val="dotted" w:sz="4" w:space="0" w:color="auto"/>
              <w:bottom w:val="dotted" w:sz="4" w:space="0" w:color="auto"/>
              <w:right w:val="dotted" w:sz="4" w:space="0" w:color="auto"/>
            </w:tcBorders>
          </w:tcPr>
          <w:p w14:paraId="72C8EFB5" w14:textId="77777777" w:rsidR="00117768" w:rsidRPr="00117768" w:rsidRDefault="00117768" w:rsidP="006E656E">
            <w:pPr>
              <w:tabs>
                <w:tab w:val="left" w:pos="1635"/>
              </w:tabs>
              <w:rPr>
                <w:sz w:val="17"/>
                <w:szCs w:val="17"/>
                <w:lang w:eastAsia="en-AU"/>
              </w:rPr>
            </w:pPr>
          </w:p>
        </w:tc>
        <w:tc>
          <w:tcPr>
            <w:tcW w:w="1327" w:type="dxa"/>
            <w:vMerge/>
            <w:tcBorders>
              <w:top w:val="dotted" w:sz="4" w:space="0" w:color="auto"/>
              <w:left w:val="dotted" w:sz="4" w:space="0" w:color="auto"/>
              <w:bottom w:val="dotted" w:sz="4" w:space="0" w:color="auto"/>
              <w:right w:val="dotted" w:sz="4" w:space="0" w:color="auto"/>
            </w:tcBorders>
          </w:tcPr>
          <w:p w14:paraId="21A0D6A3" w14:textId="77777777" w:rsidR="00117768" w:rsidRPr="00117768" w:rsidRDefault="00117768" w:rsidP="006E656E">
            <w:pPr>
              <w:tabs>
                <w:tab w:val="left" w:pos="1635"/>
              </w:tabs>
              <w:rPr>
                <w:sz w:val="17"/>
                <w:szCs w:val="17"/>
                <w:lang w:eastAsia="en-AU"/>
              </w:rPr>
            </w:pPr>
          </w:p>
        </w:tc>
        <w:tc>
          <w:tcPr>
            <w:tcW w:w="1865" w:type="dxa"/>
            <w:tcBorders>
              <w:top w:val="dotted" w:sz="4" w:space="0" w:color="auto"/>
              <w:left w:val="dotted" w:sz="4" w:space="0" w:color="auto"/>
              <w:bottom w:val="dotted" w:sz="4" w:space="0" w:color="auto"/>
              <w:right w:val="dotted" w:sz="4" w:space="0" w:color="auto"/>
            </w:tcBorders>
          </w:tcPr>
          <w:p w14:paraId="3256E3A3" w14:textId="77777777" w:rsidR="00117768" w:rsidRPr="00117768" w:rsidRDefault="00117768" w:rsidP="006E656E">
            <w:pPr>
              <w:tabs>
                <w:tab w:val="left" w:pos="1635"/>
              </w:tabs>
              <w:rPr>
                <w:sz w:val="17"/>
                <w:szCs w:val="17"/>
                <w:lang w:eastAsia="en-AU"/>
              </w:rPr>
            </w:pPr>
            <w:r w:rsidRPr="00117768">
              <w:rPr>
                <w:sz w:val="17"/>
                <w:szCs w:val="17"/>
                <w:lang w:eastAsia="en-AU"/>
              </w:rPr>
              <w:t>Quality of end of primary cycle examination is improved</w:t>
            </w:r>
          </w:p>
        </w:tc>
        <w:tc>
          <w:tcPr>
            <w:tcW w:w="2693" w:type="dxa"/>
            <w:tcBorders>
              <w:top w:val="dotted" w:sz="4" w:space="0" w:color="auto"/>
              <w:left w:val="dotted" w:sz="4" w:space="0" w:color="auto"/>
              <w:bottom w:val="dotted" w:sz="4" w:space="0" w:color="auto"/>
              <w:right w:val="dotted" w:sz="4" w:space="0" w:color="auto"/>
            </w:tcBorders>
          </w:tcPr>
          <w:p w14:paraId="4A67B570" w14:textId="77777777" w:rsidR="00117768" w:rsidRPr="00117768" w:rsidRDefault="00117768" w:rsidP="006E656E">
            <w:pPr>
              <w:tabs>
                <w:tab w:val="left" w:pos="1635"/>
              </w:tabs>
              <w:rPr>
                <w:sz w:val="17"/>
                <w:szCs w:val="17"/>
                <w:lang w:eastAsia="en-AU"/>
              </w:rPr>
            </w:pPr>
            <w:r w:rsidRPr="00117768">
              <w:rPr>
                <w:sz w:val="17"/>
                <w:szCs w:val="17"/>
                <w:lang w:eastAsia="en-AU"/>
              </w:rPr>
              <w:t>Increased proportion of competency based questions in Grade 5 exams (as opposed to test items that test memory/recall only).</w:t>
            </w:r>
          </w:p>
        </w:tc>
        <w:tc>
          <w:tcPr>
            <w:tcW w:w="2835" w:type="dxa"/>
            <w:tcBorders>
              <w:top w:val="dotted" w:sz="4" w:space="0" w:color="auto"/>
              <w:left w:val="dotted" w:sz="4" w:space="0" w:color="auto"/>
              <w:bottom w:val="dotted" w:sz="4" w:space="0" w:color="auto"/>
              <w:right w:val="dotted" w:sz="4" w:space="0" w:color="auto"/>
            </w:tcBorders>
          </w:tcPr>
          <w:p w14:paraId="07A85FA2" w14:textId="77777777" w:rsidR="00117768" w:rsidRPr="00264CCB" w:rsidRDefault="00117768" w:rsidP="006E656E">
            <w:pPr>
              <w:tabs>
                <w:tab w:val="left" w:pos="1635"/>
              </w:tabs>
              <w:rPr>
                <w:i/>
                <w:sz w:val="17"/>
                <w:szCs w:val="17"/>
                <w:lang w:eastAsia="en-AU"/>
              </w:rPr>
            </w:pPr>
            <w:r w:rsidRPr="00264CCB">
              <w:rPr>
                <w:i/>
                <w:sz w:val="17"/>
                <w:szCs w:val="17"/>
                <w:lang w:eastAsia="en-AU"/>
              </w:rPr>
              <w:t>50%</w:t>
            </w:r>
          </w:p>
          <w:p w14:paraId="61698A70" w14:textId="77777777" w:rsidR="00117768" w:rsidRPr="00117768" w:rsidRDefault="00117768" w:rsidP="006E656E">
            <w:pPr>
              <w:tabs>
                <w:tab w:val="left" w:pos="1635"/>
              </w:tabs>
              <w:rPr>
                <w:sz w:val="17"/>
                <w:szCs w:val="17"/>
                <w:lang w:eastAsia="en-AU"/>
              </w:rPr>
            </w:pPr>
            <w:r w:rsidRPr="00117768">
              <w:rPr>
                <w:sz w:val="17"/>
                <w:szCs w:val="17"/>
                <w:lang w:eastAsia="en-AU"/>
              </w:rPr>
              <w:t>50%</w:t>
            </w:r>
          </w:p>
        </w:tc>
        <w:tc>
          <w:tcPr>
            <w:tcW w:w="2861"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28F0DA8F" w14:textId="77777777" w:rsidR="00117768" w:rsidRPr="00264CCB" w:rsidRDefault="00E476DA" w:rsidP="006E656E">
            <w:pPr>
              <w:tabs>
                <w:tab w:val="left" w:pos="1635"/>
              </w:tabs>
              <w:rPr>
                <w:i/>
                <w:sz w:val="17"/>
                <w:szCs w:val="17"/>
                <w:lang w:eastAsia="en-AU"/>
              </w:rPr>
            </w:pPr>
            <w:r>
              <w:rPr>
                <w:i/>
                <w:sz w:val="17"/>
                <w:szCs w:val="17"/>
                <w:lang w:eastAsia="en-AU"/>
              </w:rPr>
              <w:t xml:space="preserve">Target: </w:t>
            </w:r>
            <w:r w:rsidR="007669E6">
              <w:rPr>
                <w:i/>
                <w:sz w:val="17"/>
                <w:szCs w:val="17"/>
                <w:lang w:eastAsia="en-AU"/>
              </w:rPr>
              <w:t>50</w:t>
            </w:r>
            <w:r w:rsidR="00117768" w:rsidRPr="00264CCB">
              <w:rPr>
                <w:i/>
                <w:sz w:val="17"/>
                <w:szCs w:val="17"/>
                <w:lang w:eastAsia="en-AU"/>
              </w:rPr>
              <w:t>%</w:t>
            </w:r>
          </w:p>
          <w:p w14:paraId="3AFD5AB2" w14:textId="77777777" w:rsidR="00117768" w:rsidRPr="00117768" w:rsidRDefault="00117768" w:rsidP="006E656E">
            <w:pPr>
              <w:tabs>
                <w:tab w:val="left" w:pos="1635"/>
              </w:tabs>
              <w:rPr>
                <w:sz w:val="17"/>
                <w:szCs w:val="17"/>
                <w:lang w:eastAsia="en-AU"/>
              </w:rPr>
            </w:pPr>
            <w:r w:rsidRPr="00117768">
              <w:rPr>
                <w:sz w:val="17"/>
                <w:szCs w:val="17"/>
                <w:lang w:eastAsia="en-AU"/>
              </w:rPr>
              <w:t>50 %</w:t>
            </w:r>
          </w:p>
        </w:tc>
        <w:tc>
          <w:tcPr>
            <w:tcW w:w="1558" w:type="dxa"/>
            <w:tcBorders>
              <w:top w:val="dotted" w:sz="4" w:space="0" w:color="auto"/>
              <w:left w:val="dotted" w:sz="4" w:space="0" w:color="auto"/>
              <w:bottom w:val="dotted" w:sz="4" w:space="0" w:color="auto"/>
              <w:right w:val="dotted" w:sz="4" w:space="0" w:color="auto"/>
            </w:tcBorders>
          </w:tcPr>
          <w:p w14:paraId="1FDCB8C4" w14:textId="77777777" w:rsidR="00AE756E" w:rsidRDefault="0066155C" w:rsidP="006E656E">
            <w:pPr>
              <w:tabs>
                <w:tab w:val="left" w:pos="1635"/>
              </w:tabs>
              <w:rPr>
                <w:sz w:val="17"/>
                <w:szCs w:val="17"/>
                <w:lang w:eastAsia="en-AU"/>
              </w:rPr>
            </w:pPr>
            <w:r>
              <w:rPr>
                <w:sz w:val="17"/>
                <w:szCs w:val="17"/>
                <w:lang w:eastAsia="en-AU"/>
              </w:rPr>
              <w:t>65%</w:t>
            </w:r>
            <w:r w:rsidR="00AE756E">
              <w:rPr>
                <w:sz w:val="17"/>
                <w:szCs w:val="17"/>
                <w:lang w:eastAsia="en-AU"/>
              </w:rPr>
              <w:t xml:space="preserve"> </w:t>
            </w:r>
          </w:p>
          <w:p w14:paraId="248D21BA" w14:textId="2F71126D" w:rsidR="00117768" w:rsidRPr="00117768" w:rsidRDefault="00117768" w:rsidP="006E656E">
            <w:pPr>
              <w:tabs>
                <w:tab w:val="left" w:pos="1635"/>
              </w:tabs>
              <w:rPr>
                <w:sz w:val="17"/>
                <w:szCs w:val="17"/>
                <w:lang w:eastAsia="en-AU"/>
              </w:rPr>
            </w:pPr>
            <w:r w:rsidRPr="00117768">
              <w:rPr>
                <w:sz w:val="17"/>
                <w:szCs w:val="17"/>
                <w:lang w:eastAsia="en-AU"/>
              </w:rPr>
              <w:t>(Pr</w:t>
            </w:r>
            <w:r w:rsidR="008E1D62">
              <w:rPr>
                <w:sz w:val="17"/>
                <w:szCs w:val="17"/>
                <w:lang w:eastAsia="en-AU"/>
              </w:rPr>
              <w:t>ogram scheduled to end June 2018</w:t>
            </w:r>
            <w:r w:rsidR="00E44C34">
              <w:rPr>
                <w:rStyle w:val="FootnoteReference"/>
                <w:sz w:val="17"/>
                <w:szCs w:val="17"/>
                <w:lang w:eastAsia="en-AU"/>
              </w:rPr>
              <w:footnoteReference w:id="56"/>
            </w:r>
            <w:r w:rsidRPr="00117768">
              <w:rPr>
                <w:sz w:val="17"/>
                <w:szCs w:val="17"/>
                <w:lang w:eastAsia="en-AU"/>
              </w:rPr>
              <w:t>)</w:t>
            </w:r>
          </w:p>
        </w:tc>
        <w:tc>
          <w:tcPr>
            <w:tcW w:w="1251" w:type="dxa"/>
            <w:gridSpan w:val="2"/>
            <w:tcBorders>
              <w:top w:val="dotted" w:sz="4" w:space="0" w:color="auto"/>
              <w:left w:val="dotted" w:sz="4" w:space="0" w:color="auto"/>
              <w:bottom w:val="dotted" w:sz="4" w:space="0" w:color="auto"/>
              <w:right w:val="dotted" w:sz="4" w:space="0" w:color="auto"/>
            </w:tcBorders>
          </w:tcPr>
          <w:p w14:paraId="5553A5D9" w14:textId="43BB1B4D" w:rsidR="00117768" w:rsidRPr="00117768" w:rsidRDefault="00F56889" w:rsidP="00AE756E">
            <w:pPr>
              <w:tabs>
                <w:tab w:val="left" w:pos="1635"/>
              </w:tabs>
              <w:rPr>
                <w:sz w:val="17"/>
                <w:szCs w:val="17"/>
                <w:lang w:eastAsia="en-AU"/>
              </w:rPr>
            </w:pPr>
            <w:r>
              <w:rPr>
                <w:sz w:val="17"/>
                <w:szCs w:val="17"/>
                <w:lang w:eastAsia="en-AU"/>
              </w:rPr>
              <w:t xml:space="preserve">PEDP3 Results Matrix, </w:t>
            </w:r>
            <w:r w:rsidR="00AE756E">
              <w:rPr>
                <w:sz w:val="17"/>
                <w:szCs w:val="17"/>
                <w:lang w:eastAsia="en-AU"/>
              </w:rPr>
              <w:t>Government of Bangladesh</w:t>
            </w:r>
            <w:r w:rsidR="007047C8">
              <w:rPr>
                <w:sz w:val="17"/>
                <w:szCs w:val="17"/>
                <w:lang w:eastAsia="en-AU"/>
              </w:rPr>
              <w:t xml:space="preserve"> </w:t>
            </w:r>
          </w:p>
        </w:tc>
      </w:tr>
      <w:tr w:rsidR="00F7449F" w:rsidRPr="00117768" w14:paraId="57D71933" w14:textId="77777777" w:rsidTr="00FF7F2C">
        <w:trPr>
          <w:gridAfter w:val="1"/>
          <w:wAfter w:w="9" w:type="dxa"/>
          <w:trHeight w:val="624"/>
        </w:trPr>
        <w:tc>
          <w:tcPr>
            <w:tcW w:w="1486" w:type="dxa"/>
            <w:vMerge w:val="restart"/>
            <w:tcBorders>
              <w:top w:val="dotted" w:sz="4" w:space="0" w:color="auto"/>
              <w:left w:val="dotted" w:sz="4" w:space="0" w:color="auto"/>
              <w:right w:val="dotted" w:sz="4" w:space="0" w:color="auto"/>
            </w:tcBorders>
          </w:tcPr>
          <w:p w14:paraId="1A3B32E1" w14:textId="77777777" w:rsidR="00F7449F" w:rsidRDefault="00F7449F" w:rsidP="00F7449F">
            <w:pPr>
              <w:pBdr>
                <w:top w:val="nil"/>
                <w:left w:val="nil"/>
                <w:bottom w:val="nil"/>
                <w:right w:val="nil"/>
                <w:between w:val="nil"/>
                <w:bar w:val="nil"/>
              </w:pBdr>
              <w:tabs>
                <w:tab w:val="left" w:pos="1635"/>
              </w:tabs>
              <w:suppressAutoHyphens w:val="0"/>
              <w:spacing w:before="0" w:after="0" w:line="240" w:lineRule="auto"/>
              <w:rPr>
                <w:b/>
                <w:sz w:val="17"/>
                <w:szCs w:val="17"/>
                <w:lang w:val="en-AU" w:eastAsia="en-AU"/>
              </w:rPr>
            </w:pPr>
          </w:p>
          <w:p w14:paraId="47807BA2" w14:textId="6C1B9C08" w:rsidR="00F7449F" w:rsidRPr="00117768" w:rsidRDefault="00F7449F" w:rsidP="00F7449F">
            <w:pPr>
              <w:tabs>
                <w:tab w:val="left" w:pos="1635"/>
              </w:tabs>
              <w:rPr>
                <w:sz w:val="17"/>
                <w:szCs w:val="17"/>
                <w:lang w:eastAsia="en-AU"/>
              </w:rPr>
            </w:pPr>
            <w:r>
              <w:rPr>
                <w:b/>
                <w:sz w:val="17"/>
                <w:szCs w:val="17"/>
                <w:lang w:val="en-AU" w:eastAsia="en-AU"/>
              </w:rPr>
              <w:t xml:space="preserve">2. </w:t>
            </w:r>
            <w:r w:rsidRPr="00117768">
              <w:rPr>
                <w:b/>
                <w:sz w:val="17"/>
                <w:szCs w:val="17"/>
                <w:lang w:val="en-AU" w:eastAsia="en-AU"/>
              </w:rPr>
              <w:t xml:space="preserve">Poor children particularly girls benefit from non-formal </w:t>
            </w:r>
            <w:r w:rsidRPr="004875B2">
              <w:rPr>
                <w:b/>
                <w:sz w:val="17"/>
                <w:szCs w:val="17"/>
                <w:lang w:eastAsia="en-AU"/>
              </w:rPr>
              <w:t>education</w:t>
            </w:r>
          </w:p>
        </w:tc>
        <w:tc>
          <w:tcPr>
            <w:tcW w:w="1327" w:type="dxa"/>
            <w:vMerge w:val="restart"/>
            <w:tcBorders>
              <w:top w:val="dotted" w:sz="4" w:space="0" w:color="auto"/>
              <w:left w:val="dotted" w:sz="4" w:space="0" w:color="auto"/>
              <w:right w:val="dotted" w:sz="4" w:space="0" w:color="auto"/>
            </w:tcBorders>
          </w:tcPr>
          <w:p w14:paraId="2713C3EE" w14:textId="004B4F87" w:rsidR="00F7449F" w:rsidRPr="00117768" w:rsidRDefault="00F7449F" w:rsidP="00F7449F">
            <w:pPr>
              <w:tabs>
                <w:tab w:val="left" w:pos="1635"/>
              </w:tabs>
              <w:rPr>
                <w:sz w:val="17"/>
                <w:szCs w:val="17"/>
                <w:lang w:eastAsia="en-AU"/>
              </w:rPr>
            </w:pPr>
            <w:r w:rsidRPr="00117768">
              <w:rPr>
                <w:i/>
                <w:sz w:val="17"/>
                <w:szCs w:val="17"/>
                <w:lang w:eastAsia="en-AU"/>
              </w:rPr>
              <w:t>BRAC meets targets of numbers of children completing a course of primary or pre-primary education, of which 65% are girls</w:t>
            </w:r>
          </w:p>
        </w:tc>
        <w:tc>
          <w:tcPr>
            <w:tcW w:w="1865" w:type="dxa"/>
            <w:tcBorders>
              <w:top w:val="dotted" w:sz="4" w:space="0" w:color="auto"/>
              <w:left w:val="dotted" w:sz="4" w:space="0" w:color="auto"/>
              <w:bottom w:val="dotted" w:sz="4" w:space="0" w:color="auto"/>
              <w:right w:val="dotted" w:sz="4" w:space="0" w:color="auto"/>
            </w:tcBorders>
          </w:tcPr>
          <w:p w14:paraId="3C503F47" w14:textId="6436AE41" w:rsidR="00F7449F" w:rsidRPr="00117768" w:rsidRDefault="00F7449F" w:rsidP="00F7449F">
            <w:pPr>
              <w:tabs>
                <w:tab w:val="left" w:pos="1635"/>
              </w:tabs>
              <w:rPr>
                <w:sz w:val="17"/>
                <w:szCs w:val="17"/>
                <w:lang w:eastAsia="en-AU"/>
              </w:rPr>
            </w:pPr>
            <w:r w:rsidRPr="00117768">
              <w:rPr>
                <w:sz w:val="17"/>
                <w:szCs w:val="17"/>
                <w:lang w:eastAsia="en-AU"/>
              </w:rPr>
              <w:t xml:space="preserve">BRAC education program </w:t>
            </w:r>
            <w:r>
              <w:rPr>
                <w:sz w:val="17"/>
                <w:szCs w:val="17"/>
                <w:lang w:eastAsia="en-AU"/>
              </w:rPr>
              <w:t>effective for remainder of SPA (Phase 1)</w:t>
            </w:r>
            <w:r w:rsidRPr="00117768">
              <w:rPr>
                <w:sz w:val="17"/>
                <w:szCs w:val="17"/>
                <w:lang w:eastAsia="en-AU"/>
              </w:rPr>
              <w:t xml:space="preserve">                           </w:t>
            </w:r>
          </w:p>
        </w:tc>
        <w:tc>
          <w:tcPr>
            <w:tcW w:w="2693" w:type="dxa"/>
            <w:tcBorders>
              <w:top w:val="dotted" w:sz="4" w:space="0" w:color="auto"/>
              <w:left w:val="dotted" w:sz="4" w:space="0" w:color="auto"/>
              <w:bottom w:val="dotted" w:sz="4" w:space="0" w:color="auto"/>
              <w:right w:val="dotted" w:sz="4" w:space="0" w:color="auto"/>
            </w:tcBorders>
          </w:tcPr>
          <w:p w14:paraId="6D985B03" w14:textId="20C7E702" w:rsidR="00F7449F" w:rsidRPr="00117768" w:rsidRDefault="00F7449F" w:rsidP="00F7449F">
            <w:pPr>
              <w:tabs>
                <w:tab w:val="left" w:pos="1635"/>
              </w:tabs>
              <w:rPr>
                <w:sz w:val="17"/>
                <w:szCs w:val="17"/>
                <w:lang w:eastAsia="en-AU"/>
              </w:rPr>
            </w:pPr>
            <w:r w:rsidRPr="00117768">
              <w:rPr>
                <w:sz w:val="17"/>
                <w:szCs w:val="17"/>
                <w:lang w:eastAsia="en-AU"/>
              </w:rPr>
              <w:t>BRAC BEP targets for 2014 and 2015</w:t>
            </w:r>
          </w:p>
        </w:tc>
        <w:tc>
          <w:tcPr>
            <w:tcW w:w="2835" w:type="dxa"/>
            <w:tcBorders>
              <w:top w:val="dotted" w:sz="4" w:space="0" w:color="auto"/>
              <w:left w:val="dotted" w:sz="4" w:space="0" w:color="auto"/>
              <w:bottom w:val="dotted" w:sz="4" w:space="0" w:color="auto"/>
              <w:right w:val="dotted" w:sz="4" w:space="0" w:color="auto"/>
            </w:tcBorders>
          </w:tcPr>
          <w:p w14:paraId="2FF5EF1A" w14:textId="77777777" w:rsidR="00F7449F" w:rsidRPr="00264CCB" w:rsidRDefault="00F7449F" w:rsidP="00F7449F">
            <w:pPr>
              <w:tabs>
                <w:tab w:val="left" w:pos="1635"/>
              </w:tabs>
              <w:rPr>
                <w:i/>
                <w:sz w:val="17"/>
                <w:szCs w:val="17"/>
                <w:lang w:eastAsia="en-AU"/>
              </w:rPr>
            </w:pPr>
            <w:r w:rsidRPr="00264CCB">
              <w:rPr>
                <w:i/>
                <w:sz w:val="17"/>
                <w:szCs w:val="17"/>
                <w:lang w:eastAsia="en-AU"/>
              </w:rPr>
              <w:t>438,000</w:t>
            </w:r>
          </w:p>
          <w:p w14:paraId="08E8623A" w14:textId="08E274D7" w:rsidR="00F7449F" w:rsidRPr="00264CCB" w:rsidRDefault="00F7449F" w:rsidP="00F7449F">
            <w:pPr>
              <w:tabs>
                <w:tab w:val="left" w:pos="1635"/>
              </w:tabs>
              <w:rPr>
                <w:i/>
                <w:sz w:val="17"/>
                <w:szCs w:val="17"/>
                <w:lang w:eastAsia="en-AU"/>
              </w:rPr>
            </w:pPr>
            <w:r w:rsidRPr="00117768">
              <w:rPr>
                <w:sz w:val="17"/>
                <w:szCs w:val="17"/>
                <w:lang w:eastAsia="en-AU"/>
              </w:rPr>
              <w:t>470,075 children completed BRAC</w:t>
            </w:r>
            <w:r>
              <w:rPr>
                <w:sz w:val="17"/>
                <w:szCs w:val="17"/>
                <w:lang w:eastAsia="en-AU"/>
              </w:rPr>
              <w:t xml:space="preserve"> primary and pre-primary school</w:t>
            </w:r>
          </w:p>
        </w:tc>
        <w:tc>
          <w:tcPr>
            <w:tcW w:w="2861"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6538EE8F" w14:textId="77777777" w:rsidR="00F7449F" w:rsidRPr="00264CCB" w:rsidRDefault="00F7449F" w:rsidP="00F7449F">
            <w:pPr>
              <w:tabs>
                <w:tab w:val="left" w:pos="1635"/>
              </w:tabs>
              <w:rPr>
                <w:i/>
                <w:sz w:val="17"/>
                <w:szCs w:val="17"/>
                <w:lang w:eastAsia="en-AU"/>
              </w:rPr>
            </w:pPr>
            <w:r>
              <w:rPr>
                <w:i/>
                <w:sz w:val="17"/>
                <w:szCs w:val="17"/>
                <w:lang w:eastAsia="en-AU"/>
              </w:rPr>
              <w:t xml:space="preserve">Target: </w:t>
            </w:r>
            <w:r w:rsidRPr="00264CCB">
              <w:rPr>
                <w:i/>
                <w:sz w:val="17"/>
                <w:szCs w:val="17"/>
                <w:lang w:eastAsia="en-AU"/>
              </w:rPr>
              <w:t>470,075</w:t>
            </w:r>
            <w:r>
              <w:rPr>
                <w:rStyle w:val="FootnoteReference"/>
                <w:i/>
                <w:sz w:val="17"/>
                <w:szCs w:val="17"/>
                <w:lang w:eastAsia="en-AU"/>
              </w:rPr>
              <w:footnoteReference w:id="57"/>
            </w:r>
          </w:p>
          <w:p w14:paraId="560D0058" w14:textId="5424BEB0" w:rsidR="00F7449F" w:rsidRDefault="00F7449F" w:rsidP="00F7449F">
            <w:pPr>
              <w:tabs>
                <w:tab w:val="left" w:pos="1635"/>
              </w:tabs>
              <w:rPr>
                <w:i/>
                <w:sz w:val="17"/>
                <w:szCs w:val="17"/>
                <w:lang w:eastAsia="en-AU"/>
              </w:rPr>
            </w:pPr>
            <w:r w:rsidRPr="00117768">
              <w:rPr>
                <w:sz w:val="17"/>
                <w:szCs w:val="17"/>
                <w:lang w:eastAsia="en-AU"/>
              </w:rPr>
              <w:t>631,222 children completed BRAC primary and pre-primary school</w:t>
            </w:r>
          </w:p>
        </w:tc>
        <w:tc>
          <w:tcPr>
            <w:tcW w:w="1558" w:type="dxa"/>
            <w:tcBorders>
              <w:top w:val="dotted" w:sz="4" w:space="0" w:color="auto"/>
              <w:left w:val="dotted" w:sz="4" w:space="0" w:color="auto"/>
              <w:bottom w:val="dotted" w:sz="4" w:space="0" w:color="auto"/>
              <w:right w:val="dotted" w:sz="4" w:space="0" w:color="auto"/>
            </w:tcBorders>
          </w:tcPr>
          <w:p w14:paraId="4BD30F6D" w14:textId="3DCEA92A" w:rsidR="00F7449F" w:rsidRDefault="00F7449F" w:rsidP="00F7449F">
            <w:pPr>
              <w:tabs>
                <w:tab w:val="left" w:pos="1635"/>
              </w:tabs>
              <w:rPr>
                <w:sz w:val="17"/>
                <w:szCs w:val="17"/>
                <w:lang w:eastAsia="en-AU"/>
              </w:rPr>
            </w:pPr>
            <w:r>
              <w:rPr>
                <w:sz w:val="17"/>
                <w:szCs w:val="17"/>
                <w:lang w:eastAsia="en-AU"/>
              </w:rPr>
              <w:t>TBA</w:t>
            </w:r>
          </w:p>
        </w:tc>
        <w:tc>
          <w:tcPr>
            <w:tcW w:w="1251" w:type="dxa"/>
            <w:gridSpan w:val="2"/>
            <w:tcBorders>
              <w:top w:val="dotted" w:sz="4" w:space="0" w:color="auto"/>
              <w:left w:val="dotted" w:sz="4" w:space="0" w:color="auto"/>
              <w:bottom w:val="dotted" w:sz="4" w:space="0" w:color="auto"/>
              <w:right w:val="dotted" w:sz="4" w:space="0" w:color="auto"/>
            </w:tcBorders>
          </w:tcPr>
          <w:p w14:paraId="7B03B22B" w14:textId="3C3C82FB" w:rsidR="00F7449F" w:rsidRDefault="00F7449F" w:rsidP="00F7449F">
            <w:pPr>
              <w:tabs>
                <w:tab w:val="left" w:pos="1635"/>
              </w:tabs>
              <w:rPr>
                <w:sz w:val="17"/>
                <w:szCs w:val="17"/>
                <w:lang w:eastAsia="en-AU"/>
              </w:rPr>
            </w:pPr>
            <w:r w:rsidRPr="00117768">
              <w:rPr>
                <w:sz w:val="17"/>
                <w:szCs w:val="17"/>
                <w:lang w:eastAsia="en-AU"/>
              </w:rPr>
              <w:t>BRAC reporting</w:t>
            </w:r>
          </w:p>
        </w:tc>
      </w:tr>
      <w:tr w:rsidR="00F7449F" w:rsidRPr="00117768" w14:paraId="3C0C30F9" w14:textId="77777777" w:rsidTr="00FF7F2C">
        <w:trPr>
          <w:gridAfter w:val="1"/>
          <w:wAfter w:w="9" w:type="dxa"/>
          <w:trHeight w:val="624"/>
        </w:trPr>
        <w:tc>
          <w:tcPr>
            <w:tcW w:w="1486" w:type="dxa"/>
            <w:vMerge/>
            <w:tcBorders>
              <w:left w:val="dotted" w:sz="4" w:space="0" w:color="auto"/>
              <w:bottom w:val="dotted" w:sz="4" w:space="0" w:color="auto"/>
              <w:right w:val="dotted" w:sz="4" w:space="0" w:color="auto"/>
            </w:tcBorders>
          </w:tcPr>
          <w:p w14:paraId="489D1567" w14:textId="77777777" w:rsidR="00F7449F" w:rsidRPr="00117768" w:rsidRDefault="00F7449F" w:rsidP="00F7449F">
            <w:pPr>
              <w:tabs>
                <w:tab w:val="left" w:pos="1635"/>
              </w:tabs>
              <w:rPr>
                <w:sz w:val="17"/>
                <w:szCs w:val="17"/>
                <w:lang w:eastAsia="en-AU"/>
              </w:rPr>
            </w:pPr>
          </w:p>
        </w:tc>
        <w:tc>
          <w:tcPr>
            <w:tcW w:w="1327" w:type="dxa"/>
            <w:vMerge/>
            <w:tcBorders>
              <w:left w:val="dotted" w:sz="4" w:space="0" w:color="auto"/>
              <w:bottom w:val="dotted" w:sz="4" w:space="0" w:color="auto"/>
              <w:right w:val="dotted" w:sz="4" w:space="0" w:color="auto"/>
            </w:tcBorders>
          </w:tcPr>
          <w:p w14:paraId="4D4AEB15" w14:textId="77777777" w:rsidR="00F7449F" w:rsidRPr="00117768" w:rsidRDefault="00F7449F" w:rsidP="00F7449F">
            <w:pPr>
              <w:tabs>
                <w:tab w:val="left" w:pos="1635"/>
              </w:tabs>
              <w:rPr>
                <w:sz w:val="17"/>
                <w:szCs w:val="17"/>
                <w:lang w:eastAsia="en-AU"/>
              </w:rPr>
            </w:pPr>
          </w:p>
        </w:tc>
        <w:tc>
          <w:tcPr>
            <w:tcW w:w="1865" w:type="dxa"/>
            <w:tcBorders>
              <w:top w:val="dotted" w:sz="4" w:space="0" w:color="auto"/>
              <w:left w:val="dotted" w:sz="4" w:space="0" w:color="auto"/>
              <w:bottom w:val="dotted" w:sz="4" w:space="0" w:color="auto"/>
              <w:right w:val="dotted" w:sz="4" w:space="0" w:color="auto"/>
            </w:tcBorders>
          </w:tcPr>
          <w:p w14:paraId="4E29563A" w14:textId="78799F09" w:rsidR="00F7449F" w:rsidRPr="00117768" w:rsidRDefault="00F7449F" w:rsidP="00F7449F">
            <w:pPr>
              <w:tabs>
                <w:tab w:val="left" w:pos="1635"/>
              </w:tabs>
              <w:rPr>
                <w:sz w:val="17"/>
                <w:szCs w:val="17"/>
                <w:lang w:eastAsia="en-AU"/>
              </w:rPr>
            </w:pPr>
            <w:r w:rsidRPr="00117768">
              <w:rPr>
                <w:sz w:val="17"/>
                <w:szCs w:val="17"/>
                <w:lang w:eastAsia="en-AU"/>
              </w:rPr>
              <w:t xml:space="preserve">BRAC education program adapts to Bangladesh's changing needs. BRAC complements government program. </w:t>
            </w:r>
          </w:p>
        </w:tc>
        <w:tc>
          <w:tcPr>
            <w:tcW w:w="2693" w:type="dxa"/>
            <w:tcBorders>
              <w:top w:val="dotted" w:sz="4" w:space="0" w:color="auto"/>
              <w:left w:val="dotted" w:sz="4" w:space="0" w:color="auto"/>
              <w:bottom w:val="dotted" w:sz="4" w:space="0" w:color="auto"/>
              <w:right w:val="dotted" w:sz="4" w:space="0" w:color="auto"/>
            </w:tcBorders>
          </w:tcPr>
          <w:p w14:paraId="22DDC17E" w14:textId="6CD723E3" w:rsidR="00F7449F" w:rsidRPr="00117768" w:rsidRDefault="00F7449F" w:rsidP="00F7449F">
            <w:pPr>
              <w:tabs>
                <w:tab w:val="left" w:pos="1635"/>
              </w:tabs>
              <w:rPr>
                <w:sz w:val="17"/>
                <w:szCs w:val="17"/>
                <w:lang w:eastAsia="en-AU"/>
              </w:rPr>
            </w:pPr>
            <w:r w:rsidRPr="00117768">
              <w:rPr>
                <w:sz w:val="17"/>
                <w:szCs w:val="17"/>
                <w:lang w:eastAsia="en-AU"/>
              </w:rPr>
              <w:t>Agreed policies and targets for SPA 2. Advocacy with government for change to assessment system.</w:t>
            </w:r>
          </w:p>
        </w:tc>
        <w:tc>
          <w:tcPr>
            <w:tcW w:w="2835" w:type="dxa"/>
            <w:tcBorders>
              <w:top w:val="dotted" w:sz="4" w:space="0" w:color="auto"/>
              <w:left w:val="dotted" w:sz="4" w:space="0" w:color="auto"/>
              <w:bottom w:val="dotted" w:sz="4" w:space="0" w:color="auto"/>
              <w:right w:val="dotted" w:sz="4" w:space="0" w:color="auto"/>
            </w:tcBorders>
          </w:tcPr>
          <w:p w14:paraId="1488B2FA" w14:textId="77777777" w:rsidR="00F7449F" w:rsidRDefault="00F7449F" w:rsidP="00F7449F">
            <w:pPr>
              <w:tabs>
                <w:tab w:val="left" w:pos="1635"/>
              </w:tabs>
              <w:rPr>
                <w:i/>
                <w:sz w:val="17"/>
                <w:szCs w:val="17"/>
                <w:lang w:eastAsia="en-AU"/>
              </w:rPr>
            </w:pPr>
            <w:r w:rsidRPr="00264CCB">
              <w:rPr>
                <w:i/>
                <w:sz w:val="17"/>
                <w:szCs w:val="17"/>
                <w:lang w:eastAsia="en-AU"/>
              </w:rPr>
              <w:t>BRAC education</w:t>
            </w:r>
            <w:r>
              <w:rPr>
                <w:i/>
                <w:sz w:val="17"/>
                <w:szCs w:val="17"/>
                <w:lang w:eastAsia="en-AU"/>
              </w:rPr>
              <w:t xml:space="preserve"> design reflects changing needs</w:t>
            </w:r>
          </w:p>
          <w:p w14:paraId="3054D11F" w14:textId="77777777" w:rsidR="00F7449F" w:rsidRPr="00264CCB" w:rsidRDefault="00F7449F" w:rsidP="00F7449F">
            <w:pPr>
              <w:tabs>
                <w:tab w:val="left" w:pos="1635"/>
              </w:tabs>
              <w:rPr>
                <w:i/>
                <w:sz w:val="17"/>
                <w:szCs w:val="17"/>
                <w:lang w:eastAsia="en-AU"/>
              </w:rPr>
            </w:pPr>
          </w:p>
        </w:tc>
        <w:tc>
          <w:tcPr>
            <w:tcW w:w="2861"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B46EFDE" w14:textId="77777777" w:rsidR="00F7449F" w:rsidRPr="00561DF2" w:rsidRDefault="00F7449F" w:rsidP="00F7449F">
            <w:pPr>
              <w:tabs>
                <w:tab w:val="left" w:pos="1635"/>
              </w:tabs>
              <w:rPr>
                <w:i/>
                <w:sz w:val="17"/>
                <w:szCs w:val="17"/>
                <w:lang w:eastAsia="en-AU"/>
              </w:rPr>
            </w:pPr>
            <w:r>
              <w:rPr>
                <w:i/>
                <w:sz w:val="17"/>
                <w:szCs w:val="17"/>
                <w:lang w:eastAsia="en-AU"/>
              </w:rPr>
              <w:t xml:space="preserve">Target: </w:t>
            </w:r>
            <w:r w:rsidRPr="00561DF2">
              <w:rPr>
                <w:i/>
                <w:sz w:val="17"/>
                <w:szCs w:val="17"/>
                <w:lang w:eastAsia="en-AU"/>
              </w:rPr>
              <w:t xml:space="preserve">BRAC policy dialogue with Government to share lessons learned. </w:t>
            </w:r>
          </w:p>
          <w:p w14:paraId="40E75DA4" w14:textId="68B28648" w:rsidR="00F7449F" w:rsidRDefault="00F7449F" w:rsidP="00A51ABD">
            <w:pPr>
              <w:tabs>
                <w:tab w:val="left" w:pos="1635"/>
              </w:tabs>
              <w:rPr>
                <w:i/>
                <w:sz w:val="17"/>
                <w:szCs w:val="17"/>
                <w:lang w:eastAsia="en-AU"/>
              </w:rPr>
            </w:pPr>
            <w:r w:rsidRPr="00561DF2">
              <w:rPr>
                <w:sz w:val="17"/>
                <w:szCs w:val="17"/>
                <w:lang w:eastAsia="en-AU"/>
              </w:rPr>
              <w:t>BRAC is one of four NGOs selected by the GoB as implementing partners in the pilot on Second Chance Education. The pilot covers 100,000 out of school children</w:t>
            </w:r>
            <w:r>
              <w:rPr>
                <w:sz w:val="17"/>
                <w:szCs w:val="17"/>
                <w:lang w:eastAsia="en-AU"/>
              </w:rPr>
              <w:t xml:space="preserve">. </w:t>
            </w:r>
          </w:p>
        </w:tc>
        <w:tc>
          <w:tcPr>
            <w:tcW w:w="1558" w:type="dxa"/>
            <w:tcBorders>
              <w:top w:val="dotted" w:sz="4" w:space="0" w:color="auto"/>
              <w:left w:val="dotted" w:sz="4" w:space="0" w:color="auto"/>
              <w:bottom w:val="dotted" w:sz="4" w:space="0" w:color="auto"/>
              <w:right w:val="dotted" w:sz="4" w:space="0" w:color="auto"/>
            </w:tcBorders>
          </w:tcPr>
          <w:p w14:paraId="07002C15" w14:textId="31199050" w:rsidR="00F7449F" w:rsidRDefault="00F7449F" w:rsidP="00F7449F">
            <w:pPr>
              <w:tabs>
                <w:tab w:val="left" w:pos="1635"/>
              </w:tabs>
              <w:rPr>
                <w:sz w:val="17"/>
                <w:szCs w:val="17"/>
                <w:lang w:eastAsia="en-AU"/>
              </w:rPr>
            </w:pPr>
            <w:r>
              <w:rPr>
                <w:rStyle w:val="FootnoteReference"/>
                <w:sz w:val="17"/>
                <w:szCs w:val="17"/>
                <w:lang w:eastAsia="en-AU"/>
              </w:rPr>
              <w:footnoteReference w:id="58"/>
            </w:r>
            <w:r>
              <w:rPr>
                <w:sz w:val="17"/>
                <w:szCs w:val="17"/>
                <w:lang w:eastAsia="en-AU"/>
              </w:rPr>
              <w:t>TBA</w:t>
            </w:r>
          </w:p>
        </w:tc>
        <w:tc>
          <w:tcPr>
            <w:tcW w:w="1251" w:type="dxa"/>
            <w:gridSpan w:val="2"/>
            <w:tcBorders>
              <w:top w:val="dotted" w:sz="4" w:space="0" w:color="auto"/>
              <w:left w:val="dotted" w:sz="4" w:space="0" w:color="auto"/>
              <w:bottom w:val="dotted" w:sz="4" w:space="0" w:color="auto"/>
              <w:right w:val="dotted" w:sz="4" w:space="0" w:color="auto"/>
            </w:tcBorders>
          </w:tcPr>
          <w:p w14:paraId="2CA7CA64" w14:textId="7B47CC88" w:rsidR="00F7449F" w:rsidRDefault="00F7449F" w:rsidP="00F7449F">
            <w:pPr>
              <w:tabs>
                <w:tab w:val="left" w:pos="1635"/>
              </w:tabs>
              <w:rPr>
                <w:sz w:val="17"/>
                <w:szCs w:val="17"/>
                <w:lang w:eastAsia="en-AU"/>
              </w:rPr>
            </w:pPr>
            <w:r w:rsidRPr="00117768">
              <w:rPr>
                <w:sz w:val="17"/>
                <w:szCs w:val="17"/>
                <w:lang w:eastAsia="en-AU"/>
              </w:rPr>
              <w:t>BRAC reporting</w:t>
            </w:r>
          </w:p>
        </w:tc>
      </w:tr>
      <w:tr w:rsidR="00A51ABD" w:rsidRPr="00117768" w14:paraId="7A006C5D" w14:textId="77777777" w:rsidTr="00A51ABD">
        <w:trPr>
          <w:gridAfter w:val="1"/>
          <w:wAfter w:w="9" w:type="dxa"/>
          <w:trHeight w:val="1460"/>
        </w:trPr>
        <w:tc>
          <w:tcPr>
            <w:tcW w:w="1486" w:type="dxa"/>
            <w:vMerge w:val="restart"/>
            <w:tcBorders>
              <w:top w:val="dotted" w:sz="4" w:space="0" w:color="auto"/>
              <w:left w:val="dotted" w:sz="4" w:space="0" w:color="auto"/>
              <w:right w:val="dotted" w:sz="4" w:space="0" w:color="auto"/>
            </w:tcBorders>
          </w:tcPr>
          <w:p w14:paraId="2BD1ABB1" w14:textId="23FF46A6" w:rsidR="00A51ABD" w:rsidRPr="00532CA1" w:rsidRDefault="00A51ABD" w:rsidP="00FF7F2C">
            <w:pPr>
              <w:tabs>
                <w:tab w:val="left" w:pos="1635"/>
              </w:tabs>
              <w:rPr>
                <w:b/>
                <w:sz w:val="17"/>
                <w:szCs w:val="17"/>
                <w:lang w:val="en-AU" w:eastAsia="en-AU"/>
              </w:rPr>
            </w:pPr>
            <w:r w:rsidRPr="00A51ABD">
              <w:rPr>
                <w:b/>
                <w:sz w:val="17"/>
                <w:szCs w:val="17"/>
                <w:lang w:val="en-AU" w:eastAsia="en-AU"/>
              </w:rPr>
              <w:t>3. Partnership between Government and Development Partners improves effectiveness, equitable and accountable service delivery of primary education outcomes</w:t>
            </w:r>
          </w:p>
        </w:tc>
        <w:tc>
          <w:tcPr>
            <w:tcW w:w="1327" w:type="dxa"/>
            <w:tcBorders>
              <w:top w:val="dotted" w:sz="4" w:space="0" w:color="auto"/>
              <w:left w:val="dotted" w:sz="4" w:space="0" w:color="auto"/>
              <w:bottom w:val="dotted" w:sz="4" w:space="0" w:color="auto"/>
              <w:right w:val="dotted" w:sz="4" w:space="0" w:color="auto"/>
            </w:tcBorders>
          </w:tcPr>
          <w:p w14:paraId="25B478FF" w14:textId="1CE26B0F" w:rsidR="00A51ABD" w:rsidRPr="00532CA1" w:rsidRDefault="00A51ABD" w:rsidP="00FF7F2C">
            <w:pPr>
              <w:tabs>
                <w:tab w:val="left" w:pos="1635"/>
              </w:tabs>
              <w:rPr>
                <w:i/>
                <w:sz w:val="17"/>
                <w:szCs w:val="17"/>
                <w:lang w:eastAsia="en-AU"/>
              </w:rPr>
            </w:pPr>
            <w:r w:rsidRPr="00FF7F2C">
              <w:rPr>
                <w:i/>
                <w:sz w:val="17"/>
                <w:szCs w:val="17"/>
                <w:lang w:eastAsia="en-AU"/>
              </w:rPr>
              <w:t>Key policy and management priorities promoted through policy based dialogue</w:t>
            </w:r>
          </w:p>
        </w:tc>
        <w:tc>
          <w:tcPr>
            <w:tcW w:w="1865" w:type="dxa"/>
            <w:tcBorders>
              <w:top w:val="dotted" w:sz="4" w:space="0" w:color="auto"/>
              <w:left w:val="dotted" w:sz="4" w:space="0" w:color="auto"/>
              <w:bottom w:val="dotted" w:sz="4" w:space="0" w:color="auto"/>
              <w:right w:val="dotted" w:sz="4" w:space="0" w:color="auto"/>
            </w:tcBorders>
          </w:tcPr>
          <w:p w14:paraId="264ABB15" w14:textId="77777777" w:rsidR="00A51ABD" w:rsidRPr="00117768" w:rsidRDefault="00A51ABD" w:rsidP="00FF7F2C">
            <w:pPr>
              <w:tabs>
                <w:tab w:val="left" w:pos="1635"/>
              </w:tabs>
              <w:rPr>
                <w:sz w:val="17"/>
                <w:szCs w:val="17"/>
                <w:lang w:eastAsia="en-AU"/>
              </w:rPr>
            </w:pPr>
            <w:r w:rsidRPr="00117768">
              <w:rPr>
                <w:sz w:val="17"/>
                <w:szCs w:val="17"/>
                <w:lang w:eastAsia="en-AU"/>
              </w:rPr>
              <w:t>Disbursement Linked Indicators (DLIs) maintained as the basis for dialogue.</w:t>
            </w:r>
          </w:p>
          <w:p w14:paraId="1792A45C" w14:textId="77777777" w:rsidR="00A51ABD" w:rsidRPr="00117768" w:rsidRDefault="00A51ABD" w:rsidP="00FF7F2C">
            <w:pPr>
              <w:tabs>
                <w:tab w:val="left" w:pos="1635"/>
              </w:tabs>
              <w:rPr>
                <w:sz w:val="17"/>
                <w:szCs w:val="17"/>
                <w:lang w:eastAsia="en-AU"/>
              </w:rPr>
            </w:pPr>
          </w:p>
        </w:tc>
        <w:tc>
          <w:tcPr>
            <w:tcW w:w="2693" w:type="dxa"/>
            <w:tcBorders>
              <w:top w:val="dotted" w:sz="4" w:space="0" w:color="auto"/>
              <w:left w:val="dotted" w:sz="4" w:space="0" w:color="auto"/>
              <w:bottom w:val="dotted" w:sz="4" w:space="0" w:color="auto"/>
              <w:right w:val="dotted" w:sz="4" w:space="0" w:color="auto"/>
            </w:tcBorders>
          </w:tcPr>
          <w:p w14:paraId="6FB8091A" w14:textId="1BF7EAF3" w:rsidR="00A51ABD" w:rsidRPr="00117768" w:rsidRDefault="00A51ABD" w:rsidP="00FF7F2C">
            <w:pPr>
              <w:tabs>
                <w:tab w:val="left" w:pos="1635"/>
              </w:tabs>
              <w:rPr>
                <w:sz w:val="17"/>
                <w:szCs w:val="17"/>
                <w:lang w:eastAsia="en-AU"/>
              </w:rPr>
            </w:pPr>
            <w:r w:rsidRPr="00117768">
              <w:rPr>
                <w:sz w:val="17"/>
                <w:szCs w:val="17"/>
                <w:lang w:eastAsia="en-AU"/>
              </w:rPr>
              <w:t>50% of donor fund disbursement for Primary Education development Partnership 3 is directly linked to results achieved with the remaining 50% subject to meeting annual audit requirements</w:t>
            </w:r>
          </w:p>
        </w:tc>
        <w:tc>
          <w:tcPr>
            <w:tcW w:w="2835" w:type="dxa"/>
            <w:tcBorders>
              <w:top w:val="dotted" w:sz="4" w:space="0" w:color="auto"/>
              <w:left w:val="dotted" w:sz="4" w:space="0" w:color="auto"/>
              <w:bottom w:val="dotted" w:sz="4" w:space="0" w:color="auto"/>
              <w:right w:val="dotted" w:sz="4" w:space="0" w:color="auto"/>
            </w:tcBorders>
          </w:tcPr>
          <w:p w14:paraId="10FD2959" w14:textId="77777777" w:rsidR="00A51ABD" w:rsidRDefault="00A51ABD" w:rsidP="00FF7F2C">
            <w:pPr>
              <w:tabs>
                <w:tab w:val="left" w:pos="1635"/>
              </w:tabs>
              <w:rPr>
                <w:i/>
                <w:sz w:val="17"/>
                <w:szCs w:val="17"/>
                <w:lang w:eastAsia="en-AU"/>
              </w:rPr>
            </w:pPr>
            <w:r w:rsidRPr="00117768">
              <w:rPr>
                <w:sz w:val="17"/>
                <w:szCs w:val="17"/>
                <w:lang w:eastAsia="en-AU"/>
              </w:rPr>
              <w:t>50%</w:t>
            </w:r>
          </w:p>
          <w:p w14:paraId="5B27F03B" w14:textId="77777777" w:rsidR="00A51ABD" w:rsidRPr="004875B2" w:rsidRDefault="00A51ABD" w:rsidP="00FF7F2C">
            <w:pPr>
              <w:rPr>
                <w:sz w:val="17"/>
                <w:szCs w:val="17"/>
                <w:lang w:eastAsia="en-AU"/>
              </w:rPr>
            </w:pPr>
          </w:p>
          <w:p w14:paraId="2637EA6A" w14:textId="77777777" w:rsidR="00A51ABD" w:rsidRPr="004875B2" w:rsidRDefault="00A51ABD" w:rsidP="00FF7F2C">
            <w:pPr>
              <w:rPr>
                <w:sz w:val="17"/>
                <w:szCs w:val="17"/>
                <w:lang w:eastAsia="en-AU"/>
              </w:rPr>
            </w:pPr>
          </w:p>
          <w:p w14:paraId="024226AE" w14:textId="04CCC554" w:rsidR="00A51ABD" w:rsidRPr="00117768" w:rsidRDefault="00A51ABD" w:rsidP="00FF7F2C">
            <w:pPr>
              <w:tabs>
                <w:tab w:val="left" w:pos="1635"/>
              </w:tabs>
              <w:rPr>
                <w:sz w:val="17"/>
                <w:szCs w:val="17"/>
                <w:lang w:eastAsia="en-AU"/>
              </w:rPr>
            </w:pPr>
          </w:p>
        </w:tc>
        <w:tc>
          <w:tcPr>
            <w:tcW w:w="2861"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17CD9180" w14:textId="77777777" w:rsidR="00A51ABD" w:rsidRPr="00E476DA" w:rsidRDefault="00A51ABD" w:rsidP="00FF7F2C">
            <w:pPr>
              <w:tabs>
                <w:tab w:val="left" w:pos="1635"/>
              </w:tabs>
              <w:rPr>
                <w:i/>
                <w:sz w:val="17"/>
                <w:szCs w:val="17"/>
                <w:lang w:eastAsia="en-AU"/>
              </w:rPr>
            </w:pPr>
            <w:r w:rsidRPr="00E476DA">
              <w:rPr>
                <w:i/>
                <w:sz w:val="17"/>
                <w:szCs w:val="17"/>
                <w:lang w:eastAsia="en-AU"/>
              </w:rPr>
              <w:t>Target: 50%</w:t>
            </w:r>
          </w:p>
          <w:p w14:paraId="44538AB4" w14:textId="77777777" w:rsidR="00A51ABD" w:rsidRDefault="00A51ABD" w:rsidP="00FF7F2C">
            <w:pPr>
              <w:tabs>
                <w:tab w:val="left" w:pos="1635"/>
              </w:tabs>
              <w:rPr>
                <w:i/>
                <w:sz w:val="17"/>
                <w:szCs w:val="17"/>
                <w:lang w:eastAsia="en-AU"/>
              </w:rPr>
            </w:pPr>
            <w:r w:rsidRPr="00117768">
              <w:rPr>
                <w:sz w:val="17"/>
                <w:szCs w:val="17"/>
                <w:lang w:eastAsia="en-AU"/>
              </w:rPr>
              <w:t>50%</w:t>
            </w:r>
          </w:p>
          <w:p w14:paraId="3ED29AFB" w14:textId="77777777" w:rsidR="00A51ABD" w:rsidRPr="00E476DA" w:rsidRDefault="00A51ABD" w:rsidP="00FF7F2C">
            <w:pPr>
              <w:tabs>
                <w:tab w:val="left" w:pos="1635"/>
              </w:tabs>
              <w:rPr>
                <w:i/>
                <w:sz w:val="17"/>
                <w:szCs w:val="17"/>
                <w:lang w:eastAsia="en-AU"/>
              </w:rPr>
            </w:pPr>
          </w:p>
        </w:tc>
        <w:tc>
          <w:tcPr>
            <w:tcW w:w="1558" w:type="dxa"/>
            <w:tcBorders>
              <w:top w:val="dotted" w:sz="4" w:space="0" w:color="auto"/>
              <w:left w:val="dotted" w:sz="4" w:space="0" w:color="auto"/>
              <w:bottom w:val="dotted" w:sz="4" w:space="0" w:color="auto"/>
              <w:right w:val="dotted" w:sz="4" w:space="0" w:color="auto"/>
            </w:tcBorders>
          </w:tcPr>
          <w:p w14:paraId="00F3710F" w14:textId="77777777" w:rsidR="00A51ABD" w:rsidRDefault="00A51ABD" w:rsidP="00FF7F2C">
            <w:pPr>
              <w:tabs>
                <w:tab w:val="left" w:pos="1635"/>
              </w:tabs>
              <w:rPr>
                <w:rStyle w:val="FootnoteReference"/>
                <w:sz w:val="17"/>
                <w:szCs w:val="17"/>
                <w:lang w:eastAsia="en-AU"/>
              </w:rPr>
            </w:pPr>
            <w:r w:rsidRPr="00117768">
              <w:rPr>
                <w:sz w:val="17"/>
                <w:szCs w:val="17"/>
                <w:lang w:eastAsia="en-AU"/>
              </w:rPr>
              <w:t xml:space="preserve">(Program scheduled to end June </w:t>
            </w:r>
            <w:r>
              <w:rPr>
                <w:sz w:val="17"/>
                <w:szCs w:val="17"/>
                <w:lang w:eastAsia="en-AU"/>
              </w:rPr>
              <w:t>2018</w:t>
            </w:r>
            <w:r>
              <w:rPr>
                <w:rStyle w:val="FootnoteReference"/>
                <w:sz w:val="17"/>
                <w:szCs w:val="17"/>
                <w:lang w:eastAsia="en-AU"/>
              </w:rPr>
              <w:footnoteReference w:id="59"/>
            </w:r>
            <w:r w:rsidRPr="00117768">
              <w:rPr>
                <w:sz w:val="17"/>
                <w:szCs w:val="17"/>
                <w:lang w:eastAsia="en-AU"/>
              </w:rPr>
              <w:t>)</w:t>
            </w:r>
          </w:p>
          <w:p w14:paraId="1644F570" w14:textId="77777777" w:rsidR="00A51ABD" w:rsidRPr="004875B2" w:rsidRDefault="00A51ABD" w:rsidP="00FF7F2C">
            <w:pPr>
              <w:rPr>
                <w:sz w:val="17"/>
                <w:szCs w:val="17"/>
                <w:lang w:eastAsia="en-AU"/>
              </w:rPr>
            </w:pPr>
          </w:p>
          <w:p w14:paraId="30906AC0" w14:textId="44B81DC4" w:rsidR="00A51ABD" w:rsidRPr="00117768" w:rsidRDefault="00A51ABD" w:rsidP="00FF7F2C">
            <w:pPr>
              <w:tabs>
                <w:tab w:val="left" w:pos="1635"/>
              </w:tabs>
              <w:rPr>
                <w:sz w:val="17"/>
                <w:szCs w:val="17"/>
                <w:lang w:eastAsia="en-AU"/>
              </w:rPr>
            </w:pPr>
          </w:p>
        </w:tc>
        <w:tc>
          <w:tcPr>
            <w:tcW w:w="1251" w:type="dxa"/>
            <w:gridSpan w:val="2"/>
            <w:tcBorders>
              <w:top w:val="dotted" w:sz="4" w:space="0" w:color="auto"/>
              <w:left w:val="dotted" w:sz="4" w:space="0" w:color="auto"/>
              <w:bottom w:val="dotted" w:sz="4" w:space="0" w:color="auto"/>
              <w:right w:val="dotted" w:sz="4" w:space="0" w:color="000000" w:themeColor="text1"/>
            </w:tcBorders>
          </w:tcPr>
          <w:p w14:paraId="6DCBC31A" w14:textId="77777777" w:rsidR="00A51ABD" w:rsidRDefault="00A51ABD" w:rsidP="00FF7F2C">
            <w:pPr>
              <w:tabs>
                <w:tab w:val="left" w:pos="1635"/>
              </w:tabs>
              <w:rPr>
                <w:sz w:val="17"/>
                <w:szCs w:val="17"/>
                <w:lang w:eastAsia="en-AU"/>
              </w:rPr>
            </w:pPr>
            <w:r w:rsidRPr="00117768">
              <w:rPr>
                <w:sz w:val="17"/>
                <w:szCs w:val="17"/>
                <w:lang w:eastAsia="en-AU"/>
              </w:rPr>
              <w:t>Government of Bangladesh</w:t>
            </w:r>
          </w:p>
          <w:p w14:paraId="3D08A08D" w14:textId="77777777" w:rsidR="00A51ABD" w:rsidRPr="00532CA1" w:rsidRDefault="00A51ABD" w:rsidP="00FF7F2C">
            <w:pPr>
              <w:rPr>
                <w:sz w:val="17"/>
                <w:szCs w:val="17"/>
                <w:lang w:eastAsia="en-AU"/>
              </w:rPr>
            </w:pPr>
          </w:p>
          <w:p w14:paraId="0F040E7A" w14:textId="77777777" w:rsidR="00A51ABD" w:rsidRPr="00532CA1" w:rsidRDefault="00A51ABD" w:rsidP="00FF7F2C">
            <w:pPr>
              <w:rPr>
                <w:sz w:val="17"/>
                <w:szCs w:val="17"/>
                <w:lang w:eastAsia="en-AU"/>
              </w:rPr>
            </w:pPr>
          </w:p>
          <w:p w14:paraId="2F5C10E2" w14:textId="77777777" w:rsidR="00A51ABD" w:rsidRPr="00117768" w:rsidRDefault="00A51ABD" w:rsidP="00FF7F2C">
            <w:pPr>
              <w:tabs>
                <w:tab w:val="left" w:pos="1635"/>
              </w:tabs>
              <w:rPr>
                <w:sz w:val="17"/>
                <w:szCs w:val="17"/>
                <w:lang w:eastAsia="en-AU"/>
              </w:rPr>
            </w:pPr>
          </w:p>
        </w:tc>
      </w:tr>
      <w:tr w:rsidR="00A51ABD" w:rsidRPr="00117768" w14:paraId="7CF5915E" w14:textId="77777777" w:rsidTr="00FF7F2C">
        <w:trPr>
          <w:gridAfter w:val="1"/>
          <w:wAfter w:w="9" w:type="dxa"/>
          <w:trHeight w:val="624"/>
        </w:trPr>
        <w:tc>
          <w:tcPr>
            <w:tcW w:w="1486" w:type="dxa"/>
            <w:vMerge/>
            <w:tcBorders>
              <w:left w:val="dotted" w:sz="4" w:space="0" w:color="auto"/>
              <w:right w:val="dotted" w:sz="4" w:space="0" w:color="auto"/>
            </w:tcBorders>
          </w:tcPr>
          <w:p w14:paraId="7EBCA340" w14:textId="77777777" w:rsidR="00A51ABD" w:rsidRPr="00117768" w:rsidRDefault="00A51ABD" w:rsidP="00FF7F2C">
            <w:pPr>
              <w:tabs>
                <w:tab w:val="left" w:pos="1635"/>
              </w:tabs>
              <w:rPr>
                <w:sz w:val="17"/>
                <w:szCs w:val="17"/>
                <w:lang w:eastAsia="en-AU"/>
              </w:rPr>
            </w:pPr>
          </w:p>
        </w:tc>
        <w:tc>
          <w:tcPr>
            <w:tcW w:w="1327" w:type="dxa"/>
            <w:tcBorders>
              <w:top w:val="dotted" w:sz="4" w:space="0" w:color="auto"/>
              <w:left w:val="dotted" w:sz="4" w:space="0" w:color="auto"/>
              <w:bottom w:val="dotted" w:sz="4" w:space="0" w:color="auto"/>
              <w:right w:val="dotted" w:sz="4" w:space="0" w:color="auto"/>
            </w:tcBorders>
          </w:tcPr>
          <w:p w14:paraId="25CFDCEA" w14:textId="313FD8C0" w:rsidR="00A51ABD" w:rsidRPr="00117768" w:rsidRDefault="00A51ABD" w:rsidP="00FF7F2C">
            <w:pPr>
              <w:tabs>
                <w:tab w:val="left" w:pos="1635"/>
              </w:tabs>
              <w:rPr>
                <w:sz w:val="17"/>
                <w:szCs w:val="17"/>
                <w:lang w:eastAsia="en-AU"/>
              </w:rPr>
            </w:pPr>
            <w:r w:rsidRPr="00C95EC6">
              <w:rPr>
                <w:i/>
                <w:sz w:val="17"/>
                <w:szCs w:val="17"/>
                <w:lang w:eastAsia="en-AU"/>
              </w:rPr>
              <w:t>Government policies and practice for gender equity in primary education demonstrate analysis and commitment beyond parity</w:t>
            </w:r>
          </w:p>
        </w:tc>
        <w:tc>
          <w:tcPr>
            <w:tcW w:w="1865" w:type="dxa"/>
            <w:tcBorders>
              <w:top w:val="dotted" w:sz="4" w:space="0" w:color="auto"/>
              <w:left w:val="dotted" w:sz="4" w:space="0" w:color="auto"/>
              <w:bottom w:val="dotted" w:sz="4" w:space="0" w:color="auto"/>
              <w:right w:val="dotted" w:sz="4" w:space="0" w:color="auto"/>
            </w:tcBorders>
          </w:tcPr>
          <w:p w14:paraId="325AD0DB" w14:textId="1ACF09FE" w:rsidR="00A51ABD" w:rsidRPr="00117768" w:rsidRDefault="00A51ABD" w:rsidP="00FF7F2C">
            <w:pPr>
              <w:tabs>
                <w:tab w:val="left" w:pos="1635"/>
              </w:tabs>
              <w:rPr>
                <w:sz w:val="17"/>
                <w:szCs w:val="17"/>
                <w:lang w:eastAsia="en-AU"/>
              </w:rPr>
            </w:pPr>
            <w:r w:rsidRPr="00117768">
              <w:rPr>
                <w:sz w:val="17"/>
                <w:szCs w:val="17"/>
                <w:lang w:eastAsia="en-AU"/>
              </w:rPr>
              <w:t xml:space="preserve">Improved and extended data and analysis available to education officials at UP level </w:t>
            </w:r>
          </w:p>
        </w:tc>
        <w:tc>
          <w:tcPr>
            <w:tcW w:w="2693" w:type="dxa"/>
            <w:tcBorders>
              <w:top w:val="dotted" w:sz="4" w:space="0" w:color="auto"/>
              <w:left w:val="dotted" w:sz="4" w:space="0" w:color="auto"/>
              <w:bottom w:val="dotted" w:sz="4" w:space="0" w:color="auto"/>
              <w:right w:val="dotted" w:sz="4" w:space="0" w:color="auto"/>
            </w:tcBorders>
          </w:tcPr>
          <w:p w14:paraId="610B1ED9" w14:textId="13BF047B" w:rsidR="00A51ABD" w:rsidRPr="00117768" w:rsidRDefault="00A51ABD" w:rsidP="00FF7F2C">
            <w:pPr>
              <w:tabs>
                <w:tab w:val="left" w:pos="1635"/>
              </w:tabs>
              <w:rPr>
                <w:sz w:val="17"/>
                <w:szCs w:val="17"/>
                <w:lang w:eastAsia="en-AU"/>
              </w:rPr>
            </w:pPr>
            <w:r w:rsidRPr="00117768">
              <w:rPr>
                <w:sz w:val="17"/>
                <w:szCs w:val="17"/>
                <w:lang w:eastAsia="en-AU"/>
              </w:rPr>
              <w:t>Government generating gender sensitive analysis of primary education system and applying this to implementation of PEDP</w:t>
            </w:r>
          </w:p>
        </w:tc>
        <w:tc>
          <w:tcPr>
            <w:tcW w:w="2835" w:type="dxa"/>
            <w:tcBorders>
              <w:top w:val="dotted" w:sz="4" w:space="0" w:color="auto"/>
              <w:left w:val="dotted" w:sz="4" w:space="0" w:color="auto"/>
              <w:bottom w:val="dotted" w:sz="4" w:space="0" w:color="auto"/>
              <w:right w:val="dotted" w:sz="4" w:space="0" w:color="auto"/>
            </w:tcBorders>
          </w:tcPr>
          <w:p w14:paraId="221BA6CC" w14:textId="55A35949" w:rsidR="00A51ABD" w:rsidRPr="00117768" w:rsidRDefault="00A51ABD" w:rsidP="00FF7F2C">
            <w:pPr>
              <w:tabs>
                <w:tab w:val="left" w:pos="1635"/>
              </w:tabs>
              <w:rPr>
                <w:sz w:val="17"/>
                <w:szCs w:val="17"/>
                <w:lang w:eastAsia="en-AU"/>
              </w:rPr>
            </w:pPr>
            <w:r>
              <w:rPr>
                <w:i/>
                <w:sz w:val="17"/>
                <w:szCs w:val="17"/>
                <w:lang w:eastAsia="en-AU"/>
              </w:rPr>
              <w:t>Review of PEDP3 text</w:t>
            </w:r>
            <w:r w:rsidRPr="00264CCB">
              <w:rPr>
                <w:i/>
                <w:sz w:val="17"/>
                <w:szCs w:val="17"/>
                <w:lang w:eastAsia="en-AU"/>
              </w:rPr>
              <w:t>book revisions</w:t>
            </w:r>
            <w:r w:rsidRPr="00117768">
              <w:rPr>
                <w:sz w:val="17"/>
                <w:szCs w:val="17"/>
                <w:lang w:eastAsia="en-AU"/>
              </w:rPr>
              <w:t xml:space="preserve"> </w:t>
            </w:r>
            <w:r w:rsidRPr="00264CCB">
              <w:rPr>
                <w:i/>
                <w:sz w:val="17"/>
                <w:szCs w:val="17"/>
                <w:lang w:eastAsia="en-AU"/>
              </w:rPr>
              <w:t>(grades 1 and 5) and the Diploma of Education curriculum and teacher guide materials from a gender perspective.  Review Gender and inclusive education plan and agree on at least one qualitative study on gender issues in primary education to inform PEDP4 design.</w:t>
            </w:r>
          </w:p>
          <w:p w14:paraId="02AB5B01" w14:textId="19DA97DC" w:rsidR="00A51ABD" w:rsidRPr="00264CCB" w:rsidRDefault="00A51ABD" w:rsidP="00FF7F2C">
            <w:pPr>
              <w:tabs>
                <w:tab w:val="left" w:pos="1635"/>
              </w:tabs>
              <w:rPr>
                <w:i/>
                <w:sz w:val="17"/>
                <w:szCs w:val="17"/>
                <w:lang w:eastAsia="en-AU"/>
              </w:rPr>
            </w:pPr>
            <w:r w:rsidRPr="00117768">
              <w:rPr>
                <w:sz w:val="17"/>
                <w:szCs w:val="17"/>
                <w:lang w:eastAsia="en-AU"/>
              </w:rPr>
              <w:t>The study on gender issues has not yet commenced.</w:t>
            </w:r>
          </w:p>
        </w:tc>
        <w:tc>
          <w:tcPr>
            <w:tcW w:w="2861"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72008BCA" w14:textId="77777777" w:rsidR="00A51ABD" w:rsidRPr="00264CCB" w:rsidRDefault="00A51ABD" w:rsidP="00FF7F2C">
            <w:pPr>
              <w:tabs>
                <w:tab w:val="left" w:pos="1635"/>
              </w:tabs>
              <w:rPr>
                <w:i/>
                <w:sz w:val="17"/>
                <w:szCs w:val="17"/>
                <w:lang w:eastAsia="en-AU"/>
              </w:rPr>
            </w:pPr>
            <w:r>
              <w:rPr>
                <w:i/>
                <w:sz w:val="17"/>
                <w:szCs w:val="17"/>
                <w:lang w:eastAsia="en-AU"/>
              </w:rPr>
              <w:t xml:space="preserve">Target: </w:t>
            </w:r>
            <w:r w:rsidRPr="00264CCB">
              <w:rPr>
                <w:i/>
                <w:sz w:val="17"/>
                <w:szCs w:val="17"/>
                <w:lang w:eastAsia="en-AU"/>
              </w:rPr>
              <w:t>Qualitative study conducted to deepen understanding gender issues in primary education as part of PEDP4 design process.</w:t>
            </w:r>
          </w:p>
          <w:p w14:paraId="02CEE59F" w14:textId="2C662CD9" w:rsidR="00A51ABD" w:rsidRPr="00067531" w:rsidRDefault="00A51ABD" w:rsidP="00FF7F2C">
            <w:pPr>
              <w:tabs>
                <w:tab w:val="left" w:pos="1635"/>
              </w:tabs>
              <w:rPr>
                <w:sz w:val="17"/>
                <w:szCs w:val="17"/>
                <w:lang w:eastAsia="en-AU"/>
              </w:rPr>
            </w:pPr>
            <w:r w:rsidRPr="00117768">
              <w:rPr>
                <w:sz w:val="17"/>
                <w:szCs w:val="17"/>
                <w:lang w:eastAsia="en-AU"/>
              </w:rPr>
              <w:t xml:space="preserve">DFAT commissioned a household education survey with a focus on gender. The analysis will inform options for advocacy on gender. The survey to be finalised in June 2017. </w:t>
            </w:r>
          </w:p>
        </w:tc>
        <w:tc>
          <w:tcPr>
            <w:tcW w:w="1558" w:type="dxa"/>
            <w:tcBorders>
              <w:top w:val="dotted" w:sz="4" w:space="0" w:color="auto"/>
              <w:left w:val="dotted" w:sz="4" w:space="0" w:color="auto"/>
              <w:bottom w:val="dotted" w:sz="4" w:space="0" w:color="auto"/>
              <w:right w:val="dotted" w:sz="4" w:space="0" w:color="auto"/>
            </w:tcBorders>
          </w:tcPr>
          <w:p w14:paraId="564BB757" w14:textId="74BDD9EE" w:rsidR="00A51ABD" w:rsidRDefault="00A51ABD" w:rsidP="00FF7F2C">
            <w:pPr>
              <w:tabs>
                <w:tab w:val="left" w:pos="1635"/>
              </w:tabs>
              <w:rPr>
                <w:rStyle w:val="FootnoteReference"/>
                <w:sz w:val="17"/>
                <w:szCs w:val="17"/>
                <w:lang w:eastAsia="en-AU"/>
              </w:rPr>
            </w:pPr>
            <w:r w:rsidRPr="00117768">
              <w:rPr>
                <w:sz w:val="17"/>
                <w:szCs w:val="17"/>
                <w:lang w:eastAsia="en-AU"/>
              </w:rPr>
              <w:t>PEDP4 integrates lessons learned from quantitative and qualitative monitoring and evaluation on gender issues in primary education</w:t>
            </w:r>
          </w:p>
        </w:tc>
        <w:tc>
          <w:tcPr>
            <w:tcW w:w="1251" w:type="dxa"/>
            <w:gridSpan w:val="2"/>
            <w:tcBorders>
              <w:top w:val="dotted" w:sz="4" w:space="0" w:color="auto"/>
              <w:left w:val="dotted" w:sz="4" w:space="0" w:color="auto"/>
              <w:bottom w:val="dotted" w:sz="4" w:space="0" w:color="auto"/>
              <w:right w:val="dotted" w:sz="4" w:space="0" w:color="auto"/>
            </w:tcBorders>
          </w:tcPr>
          <w:p w14:paraId="31C56662" w14:textId="18E3714F" w:rsidR="00A51ABD" w:rsidRPr="00117768" w:rsidRDefault="00A51ABD" w:rsidP="00FF7F2C">
            <w:pPr>
              <w:tabs>
                <w:tab w:val="left" w:pos="1635"/>
              </w:tabs>
              <w:rPr>
                <w:sz w:val="17"/>
                <w:szCs w:val="17"/>
                <w:lang w:eastAsia="en-AU"/>
              </w:rPr>
            </w:pPr>
            <w:r>
              <w:rPr>
                <w:sz w:val="17"/>
                <w:szCs w:val="17"/>
                <w:lang w:eastAsia="en-AU"/>
              </w:rPr>
              <w:t>Government of Bangladesh</w:t>
            </w:r>
          </w:p>
        </w:tc>
      </w:tr>
      <w:tr w:rsidR="00FF7F2C" w:rsidRPr="00117768" w14:paraId="1B06015C" w14:textId="77777777" w:rsidTr="00FF7F2C">
        <w:trPr>
          <w:gridAfter w:val="1"/>
          <w:wAfter w:w="9" w:type="dxa"/>
          <w:trHeight w:val="624"/>
        </w:trPr>
        <w:tc>
          <w:tcPr>
            <w:tcW w:w="1486" w:type="dxa"/>
            <w:tcBorders>
              <w:left w:val="dotted" w:sz="4" w:space="0" w:color="auto"/>
              <w:bottom w:val="dotted" w:sz="4" w:space="0" w:color="auto"/>
              <w:right w:val="dotted" w:sz="4" w:space="0" w:color="auto"/>
            </w:tcBorders>
          </w:tcPr>
          <w:p w14:paraId="0D0BC3C7" w14:textId="77777777" w:rsidR="00FF7F2C" w:rsidRPr="00117768" w:rsidRDefault="00FF7F2C" w:rsidP="00FF7F2C">
            <w:pPr>
              <w:tabs>
                <w:tab w:val="left" w:pos="1635"/>
              </w:tabs>
              <w:rPr>
                <w:sz w:val="17"/>
                <w:szCs w:val="17"/>
                <w:lang w:eastAsia="en-AU"/>
              </w:rPr>
            </w:pPr>
          </w:p>
        </w:tc>
        <w:tc>
          <w:tcPr>
            <w:tcW w:w="1327" w:type="dxa"/>
            <w:tcBorders>
              <w:top w:val="dotted" w:sz="4" w:space="0" w:color="auto"/>
              <w:left w:val="dotted" w:sz="4" w:space="0" w:color="auto"/>
              <w:bottom w:val="dotted" w:sz="4" w:space="0" w:color="auto"/>
              <w:right w:val="dotted" w:sz="4" w:space="0" w:color="auto"/>
            </w:tcBorders>
          </w:tcPr>
          <w:p w14:paraId="427C33A4" w14:textId="77777777" w:rsidR="00FF7F2C" w:rsidRPr="00117768" w:rsidRDefault="00FF7F2C" w:rsidP="00FF7F2C">
            <w:pPr>
              <w:tabs>
                <w:tab w:val="left" w:pos="1635"/>
              </w:tabs>
              <w:rPr>
                <w:i/>
                <w:sz w:val="17"/>
                <w:szCs w:val="17"/>
                <w:lang w:eastAsia="en-AU"/>
              </w:rPr>
            </w:pPr>
            <w:r w:rsidRPr="00117768">
              <w:rPr>
                <w:i/>
                <w:sz w:val="17"/>
                <w:szCs w:val="17"/>
                <w:lang w:eastAsia="en-AU"/>
              </w:rPr>
              <w:t xml:space="preserve">Budget and expenditure decisions are based on analysis of data                                                                                                   </w:t>
            </w:r>
          </w:p>
          <w:p w14:paraId="31D5EB0D" w14:textId="77777777" w:rsidR="00FF7F2C" w:rsidRDefault="00FF7F2C" w:rsidP="00FF7F2C">
            <w:pPr>
              <w:tabs>
                <w:tab w:val="left" w:pos="1635"/>
              </w:tabs>
              <w:rPr>
                <w:i/>
                <w:sz w:val="17"/>
                <w:szCs w:val="17"/>
                <w:lang w:eastAsia="en-AU"/>
              </w:rPr>
            </w:pPr>
          </w:p>
          <w:p w14:paraId="76A72EB5" w14:textId="77777777" w:rsidR="00FF7F2C" w:rsidRPr="00264CCB" w:rsidRDefault="00FF7F2C" w:rsidP="00FF7F2C">
            <w:pPr>
              <w:rPr>
                <w:sz w:val="17"/>
                <w:szCs w:val="17"/>
                <w:lang w:eastAsia="en-AU"/>
              </w:rPr>
            </w:pPr>
          </w:p>
          <w:p w14:paraId="06B7BF8E" w14:textId="77777777" w:rsidR="00FF7F2C" w:rsidRPr="00264CCB" w:rsidRDefault="00FF7F2C" w:rsidP="00FF7F2C">
            <w:pPr>
              <w:rPr>
                <w:sz w:val="17"/>
                <w:szCs w:val="17"/>
                <w:lang w:eastAsia="en-AU"/>
              </w:rPr>
            </w:pPr>
          </w:p>
          <w:p w14:paraId="523C7058" w14:textId="77777777" w:rsidR="00FF7F2C" w:rsidRPr="00264CCB" w:rsidRDefault="00FF7F2C" w:rsidP="00FF7F2C">
            <w:pPr>
              <w:rPr>
                <w:sz w:val="17"/>
                <w:szCs w:val="17"/>
                <w:lang w:eastAsia="en-AU"/>
              </w:rPr>
            </w:pPr>
          </w:p>
          <w:p w14:paraId="73AEBDED" w14:textId="77777777" w:rsidR="00FF7F2C" w:rsidRPr="00264CCB" w:rsidRDefault="00FF7F2C" w:rsidP="00FF7F2C">
            <w:pPr>
              <w:rPr>
                <w:sz w:val="17"/>
                <w:szCs w:val="17"/>
                <w:lang w:eastAsia="en-AU"/>
              </w:rPr>
            </w:pPr>
          </w:p>
          <w:p w14:paraId="11B924C3" w14:textId="77777777" w:rsidR="00FF7F2C" w:rsidRPr="00264CCB" w:rsidRDefault="00FF7F2C" w:rsidP="00FF7F2C">
            <w:pPr>
              <w:rPr>
                <w:sz w:val="17"/>
                <w:szCs w:val="17"/>
                <w:lang w:eastAsia="en-AU"/>
              </w:rPr>
            </w:pPr>
          </w:p>
          <w:p w14:paraId="06C40377" w14:textId="77777777" w:rsidR="00FF7F2C" w:rsidRPr="00264CCB" w:rsidRDefault="00FF7F2C" w:rsidP="00FF7F2C">
            <w:pPr>
              <w:rPr>
                <w:sz w:val="17"/>
                <w:szCs w:val="17"/>
                <w:lang w:eastAsia="en-AU"/>
              </w:rPr>
            </w:pPr>
          </w:p>
          <w:p w14:paraId="28C5AFAB" w14:textId="77777777" w:rsidR="00FF7F2C" w:rsidRPr="00264CCB" w:rsidRDefault="00FF7F2C" w:rsidP="00FF7F2C">
            <w:pPr>
              <w:rPr>
                <w:sz w:val="17"/>
                <w:szCs w:val="17"/>
                <w:lang w:eastAsia="en-AU"/>
              </w:rPr>
            </w:pPr>
          </w:p>
          <w:p w14:paraId="42F0F8E1" w14:textId="77777777" w:rsidR="00FF7F2C" w:rsidRPr="00264CCB" w:rsidRDefault="00FF7F2C" w:rsidP="00FF7F2C">
            <w:pPr>
              <w:rPr>
                <w:sz w:val="17"/>
                <w:szCs w:val="17"/>
                <w:lang w:eastAsia="en-AU"/>
              </w:rPr>
            </w:pPr>
          </w:p>
          <w:p w14:paraId="3188ADB3" w14:textId="77777777" w:rsidR="00FF7F2C" w:rsidRPr="00264CCB" w:rsidRDefault="00FF7F2C" w:rsidP="00FF7F2C">
            <w:pPr>
              <w:rPr>
                <w:sz w:val="17"/>
                <w:szCs w:val="17"/>
                <w:lang w:eastAsia="en-AU"/>
              </w:rPr>
            </w:pPr>
          </w:p>
          <w:p w14:paraId="637C7D53" w14:textId="77777777" w:rsidR="00FF7F2C" w:rsidRPr="00264CCB" w:rsidRDefault="00FF7F2C" w:rsidP="00FF7F2C">
            <w:pPr>
              <w:rPr>
                <w:sz w:val="17"/>
                <w:szCs w:val="17"/>
                <w:lang w:eastAsia="en-AU"/>
              </w:rPr>
            </w:pPr>
          </w:p>
          <w:p w14:paraId="39E0B610" w14:textId="77777777" w:rsidR="00FF7F2C" w:rsidRPr="00264CCB" w:rsidRDefault="00FF7F2C" w:rsidP="00FF7F2C">
            <w:pPr>
              <w:rPr>
                <w:sz w:val="17"/>
                <w:szCs w:val="17"/>
                <w:lang w:eastAsia="en-AU"/>
              </w:rPr>
            </w:pPr>
          </w:p>
          <w:p w14:paraId="7CB566A4" w14:textId="77777777" w:rsidR="00FF7F2C" w:rsidRPr="00264CCB" w:rsidRDefault="00FF7F2C" w:rsidP="00FF7F2C">
            <w:pPr>
              <w:rPr>
                <w:sz w:val="17"/>
                <w:szCs w:val="17"/>
                <w:lang w:eastAsia="en-AU"/>
              </w:rPr>
            </w:pPr>
          </w:p>
          <w:p w14:paraId="562F91D2" w14:textId="77777777" w:rsidR="00FF7F2C" w:rsidRPr="00264CCB" w:rsidRDefault="00FF7F2C" w:rsidP="00FF7F2C">
            <w:pPr>
              <w:rPr>
                <w:sz w:val="17"/>
                <w:szCs w:val="17"/>
                <w:lang w:eastAsia="en-AU"/>
              </w:rPr>
            </w:pPr>
          </w:p>
          <w:p w14:paraId="176258F3" w14:textId="77777777" w:rsidR="00FF7F2C" w:rsidRPr="00117768" w:rsidRDefault="00FF7F2C" w:rsidP="00FF7F2C">
            <w:pPr>
              <w:tabs>
                <w:tab w:val="left" w:pos="1635"/>
              </w:tabs>
              <w:rPr>
                <w:sz w:val="17"/>
                <w:szCs w:val="17"/>
                <w:lang w:eastAsia="en-AU"/>
              </w:rPr>
            </w:pPr>
          </w:p>
        </w:tc>
        <w:tc>
          <w:tcPr>
            <w:tcW w:w="1865" w:type="dxa"/>
            <w:tcBorders>
              <w:top w:val="dotted" w:sz="4" w:space="0" w:color="auto"/>
              <w:left w:val="dotted" w:sz="4" w:space="0" w:color="auto"/>
              <w:bottom w:val="dotted" w:sz="4" w:space="0" w:color="auto"/>
              <w:right w:val="dotted" w:sz="4" w:space="0" w:color="auto"/>
            </w:tcBorders>
          </w:tcPr>
          <w:p w14:paraId="32FB29D6" w14:textId="79FA0305" w:rsidR="00FF7F2C" w:rsidRPr="00117768" w:rsidRDefault="00FF7F2C" w:rsidP="00FF7F2C">
            <w:pPr>
              <w:tabs>
                <w:tab w:val="left" w:pos="1635"/>
              </w:tabs>
              <w:rPr>
                <w:sz w:val="17"/>
                <w:szCs w:val="17"/>
                <w:lang w:eastAsia="en-AU"/>
              </w:rPr>
            </w:pPr>
            <w:r w:rsidRPr="00117768">
              <w:rPr>
                <w:sz w:val="17"/>
                <w:szCs w:val="17"/>
                <w:lang w:eastAsia="en-AU"/>
              </w:rPr>
              <w:t>Data collected through school census and presented in Annual Sector Performance report with credible analysis which informs operational plans</w:t>
            </w:r>
          </w:p>
        </w:tc>
        <w:tc>
          <w:tcPr>
            <w:tcW w:w="2693" w:type="dxa"/>
            <w:tcBorders>
              <w:top w:val="dotted" w:sz="4" w:space="0" w:color="auto"/>
              <w:left w:val="dotted" w:sz="4" w:space="0" w:color="auto"/>
              <w:bottom w:val="dotted" w:sz="4" w:space="0" w:color="auto"/>
              <w:right w:val="dotted" w:sz="4" w:space="0" w:color="auto"/>
            </w:tcBorders>
          </w:tcPr>
          <w:p w14:paraId="0752DFF0" w14:textId="77777777" w:rsidR="00FF7F2C" w:rsidRDefault="00FF7F2C" w:rsidP="00FF7F2C">
            <w:pPr>
              <w:tabs>
                <w:tab w:val="left" w:pos="1635"/>
              </w:tabs>
              <w:rPr>
                <w:sz w:val="17"/>
                <w:szCs w:val="17"/>
                <w:lang w:eastAsia="en-AU"/>
              </w:rPr>
            </w:pPr>
            <w:r w:rsidRPr="00117768">
              <w:rPr>
                <w:sz w:val="17"/>
                <w:szCs w:val="17"/>
                <w:lang w:eastAsia="en-AU"/>
              </w:rPr>
              <w:t>Annual planning is based upon credible evidence and analysis from the Annual School Census, data from which is presented in the Annual Sector Performance Report (ASPR), as well as decisions made in the PEDP3 Mid-Term Review</w:t>
            </w:r>
          </w:p>
          <w:p w14:paraId="1165BD40" w14:textId="77777777" w:rsidR="00FF7F2C" w:rsidRPr="00264CCB" w:rsidRDefault="00FF7F2C" w:rsidP="00FF7F2C">
            <w:pPr>
              <w:rPr>
                <w:sz w:val="17"/>
                <w:szCs w:val="17"/>
                <w:lang w:eastAsia="en-AU"/>
              </w:rPr>
            </w:pPr>
          </w:p>
          <w:p w14:paraId="071A0989" w14:textId="77777777" w:rsidR="00FF7F2C" w:rsidRPr="00264CCB" w:rsidRDefault="00FF7F2C" w:rsidP="00FF7F2C">
            <w:pPr>
              <w:rPr>
                <w:sz w:val="17"/>
                <w:szCs w:val="17"/>
                <w:lang w:eastAsia="en-AU"/>
              </w:rPr>
            </w:pPr>
          </w:p>
          <w:p w14:paraId="0CEC729D" w14:textId="77777777" w:rsidR="00FF7F2C" w:rsidRPr="00264CCB" w:rsidRDefault="00FF7F2C" w:rsidP="00FF7F2C">
            <w:pPr>
              <w:rPr>
                <w:sz w:val="17"/>
                <w:szCs w:val="17"/>
                <w:lang w:eastAsia="en-AU"/>
              </w:rPr>
            </w:pPr>
          </w:p>
          <w:p w14:paraId="65F59A18" w14:textId="77777777" w:rsidR="00FF7F2C" w:rsidRPr="00264CCB" w:rsidRDefault="00FF7F2C" w:rsidP="00FF7F2C">
            <w:pPr>
              <w:rPr>
                <w:sz w:val="17"/>
                <w:szCs w:val="17"/>
                <w:lang w:eastAsia="en-AU"/>
              </w:rPr>
            </w:pPr>
          </w:p>
          <w:p w14:paraId="1A25793E" w14:textId="77777777" w:rsidR="00FF7F2C" w:rsidRPr="00264CCB" w:rsidRDefault="00FF7F2C" w:rsidP="00FF7F2C">
            <w:pPr>
              <w:rPr>
                <w:sz w:val="17"/>
                <w:szCs w:val="17"/>
                <w:lang w:eastAsia="en-AU"/>
              </w:rPr>
            </w:pPr>
          </w:p>
          <w:p w14:paraId="2AA8EFEE" w14:textId="77777777" w:rsidR="00FF7F2C" w:rsidRPr="00264CCB" w:rsidRDefault="00FF7F2C" w:rsidP="00FF7F2C">
            <w:pPr>
              <w:rPr>
                <w:sz w:val="17"/>
                <w:szCs w:val="17"/>
                <w:lang w:eastAsia="en-AU"/>
              </w:rPr>
            </w:pPr>
          </w:p>
          <w:p w14:paraId="2E093DFA" w14:textId="77777777" w:rsidR="00FF7F2C" w:rsidRPr="00264CCB" w:rsidRDefault="00FF7F2C" w:rsidP="00FF7F2C">
            <w:pPr>
              <w:rPr>
                <w:sz w:val="17"/>
                <w:szCs w:val="17"/>
                <w:lang w:eastAsia="en-AU"/>
              </w:rPr>
            </w:pPr>
          </w:p>
          <w:p w14:paraId="339B625C" w14:textId="77777777" w:rsidR="00FF7F2C" w:rsidRPr="00264CCB" w:rsidRDefault="00FF7F2C" w:rsidP="00FF7F2C">
            <w:pPr>
              <w:rPr>
                <w:sz w:val="17"/>
                <w:szCs w:val="17"/>
                <w:lang w:eastAsia="en-AU"/>
              </w:rPr>
            </w:pPr>
          </w:p>
          <w:p w14:paraId="6B192249" w14:textId="77777777" w:rsidR="00FF7F2C" w:rsidRPr="00264CCB" w:rsidRDefault="00FF7F2C" w:rsidP="00FF7F2C">
            <w:pPr>
              <w:rPr>
                <w:sz w:val="17"/>
                <w:szCs w:val="17"/>
                <w:lang w:eastAsia="en-AU"/>
              </w:rPr>
            </w:pPr>
          </w:p>
          <w:p w14:paraId="3E453392" w14:textId="77777777" w:rsidR="00FF7F2C" w:rsidRPr="00264CCB" w:rsidRDefault="00FF7F2C" w:rsidP="00FF7F2C">
            <w:pPr>
              <w:rPr>
                <w:sz w:val="17"/>
                <w:szCs w:val="17"/>
                <w:lang w:eastAsia="en-AU"/>
              </w:rPr>
            </w:pPr>
          </w:p>
          <w:p w14:paraId="7FD834FD" w14:textId="77777777" w:rsidR="00FF7F2C" w:rsidRPr="00264CCB" w:rsidRDefault="00FF7F2C" w:rsidP="00FF7F2C">
            <w:pPr>
              <w:rPr>
                <w:sz w:val="17"/>
                <w:szCs w:val="17"/>
                <w:lang w:eastAsia="en-AU"/>
              </w:rPr>
            </w:pPr>
          </w:p>
          <w:p w14:paraId="2475BCA8" w14:textId="77777777" w:rsidR="00FF7F2C" w:rsidRPr="00264CCB" w:rsidRDefault="00FF7F2C" w:rsidP="00FF7F2C">
            <w:pPr>
              <w:rPr>
                <w:sz w:val="17"/>
                <w:szCs w:val="17"/>
                <w:lang w:eastAsia="en-AU"/>
              </w:rPr>
            </w:pPr>
          </w:p>
          <w:p w14:paraId="53D33E7D" w14:textId="77777777" w:rsidR="00FF7F2C" w:rsidRPr="00264CCB" w:rsidRDefault="00FF7F2C" w:rsidP="00FF7F2C">
            <w:pPr>
              <w:rPr>
                <w:sz w:val="17"/>
                <w:szCs w:val="17"/>
                <w:lang w:eastAsia="en-AU"/>
              </w:rPr>
            </w:pPr>
          </w:p>
          <w:p w14:paraId="6880BC20" w14:textId="77777777" w:rsidR="00FF7F2C" w:rsidRPr="00117768" w:rsidRDefault="00FF7F2C" w:rsidP="00FF7F2C">
            <w:pPr>
              <w:tabs>
                <w:tab w:val="left" w:pos="1635"/>
              </w:tabs>
              <w:rPr>
                <w:sz w:val="17"/>
                <w:szCs w:val="17"/>
                <w:lang w:eastAsia="en-AU"/>
              </w:rPr>
            </w:pPr>
          </w:p>
        </w:tc>
        <w:tc>
          <w:tcPr>
            <w:tcW w:w="2835" w:type="dxa"/>
            <w:tcBorders>
              <w:top w:val="dotted" w:sz="4" w:space="0" w:color="auto"/>
              <w:left w:val="dotted" w:sz="4" w:space="0" w:color="auto"/>
              <w:bottom w:val="dotted" w:sz="4" w:space="0" w:color="auto"/>
              <w:right w:val="dotted" w:sz="4" w:space="0" w:color="auto"/>
            </w:tcBorders>
          </w:tcPr>
          <w:p w14:paraId="6A1129DC" w14:textId="77777777" w:rsidR="00FF7F2C" w:rsidRDefault="00FF7F2C" w:rsidP="00FF7F2C">
            <w:pPr>
              <w:pStyle w:val="Default"/>
              <w:rPr>
                <w:rFonts w:asciiTheme="minorHAnsi" w:hAnsiTheme="minorHAnsi" w:cstheme="minorBidi"/>
                <w:color w:val="495965" w:themeColor="text2"/>
                <w:sz w:val="17"/>
                <w:szCs w:val="17"/>
                <w:lang w:val="en-GB"/>
              </w:rPr>
            </w:pPr>
          </w:p>
          <w:p w14:paraId="2F7FBEB4" w14:textId="77777777" w:rsidR="00FF7F2C" w:rsidRPr="00A24ADE" w:rsidRDefault="00FF7F2C" w:rsidP="00FF7F2C">
            <w:pPr>
              <w:pStyle w:val="Default"/>
              <w:rPr>
                <w:rFonts w:asciiTheme="minorHAnsi" w:hAnsiTheme="minorHAnsi" w:cstheme="minorBidi"/>
                <w:i/>
                <w:color w:val="495965" w:themeColor="text2"/>
                <w:sz w:val="17"/>
                <w:szCs w:val="17"/>
                <w:lang w:val="en-GB"/>
              </w:rPr>
            </w:pPr>
            <w:r w:rsidRPr="00A24ADE">
              <w:rPr>
                <w:rFonts w:asciiTheme="minorHAnsi" w:hAnsiTheme="minorHAnsi" w:cstheme="minorBidi"/>
                <w:i/>
                <w:color w:val="495965" w:themeColor="text2"/>
                <w:sz w:val="17"/>
                <w:szCs w:val="17"/>
                <w:lang w:val="en-GB"/>
              </w:rPr>
              <w:t xml:space="preserve">ASPR findings and review of annual progress integrated into Annual Operation Plans; IFRs, AFR and audit conducted and quality improved </w:t>
            </w:r>
          </w:p>
          <w:p w14:paraId="52C3DACD" w14:textId="77777777" w:rsidR="00FF7F2C" w:rsidRPr="00A24ADE" w:rsidRDefault="00FF7F2C" w:rsidP="00FF7F2C">
            <w:pPr>
              <w:pStyle w:val="Default"/>
              <w:rPr>
                <w:rFonts w:asciiTheme="minorHAnsi" w:hAnsiTheme="minorHAnsi" w:cstheme="minorBidi"/>
                <w:i/>
                <w:color w:val="495965" w:themeColor="text2"/>
                <w:sz w:val="17"/>
                <w:szCs w:val="17"/>
                <w:lang w:val="en-GB"/>
              </w:rPr>
            </w:pPr>
            <w:r w:rsidRPr="00A24ADE">
              <w:rPr>
                <w:rFonts w:asciiTheme="minorHAnsi" w:hAnsiTheme="minorHAnsi" w:cstheme="minorBidi"/>
                <w:i/>
                <w:color w:val="495965" w:themeColor="text2"/>
                <w:sz w:val="17"/>
                <w:szCs w:val="17"/>
                <w:lang w:val="en-GB"/>
              </w:rPr>
              <w:t xml:space="preserve">ASPR findings and annual progress integrated into AOP; IFRs, AFR and audit conducted and quality improved; Review of safeguards processes and audit functions informs PEDP4 design. </w:t>
            </w:r>
          </w:p>
          <w:p w14:paraId="2DBDF91C" w14:textId="3EADDB64" w:rsidR="00FF7F2C" w:rsidRPr="00264CCB" w:rsidRDefault="00FF7F2C" w:rsidP="00FF7F2C">
            <w:pPr>
              <w:tabs>
                <w:tab w:val="left" w:pos="1635"/>
              </w:tabs>
              <w:rPr>
                <w:i/>
                <w:sz w:val="17"/>
                <w:szCs w:val="17"/>
                <w:lang w:eastAsia="en-AU"/>
              </w:rPr>
            </w:pPr>
            <w:r w:rsidRPr="00A24ADE">
              <w:rPr>
                <w:sz w:val="17"/>
                <w:szCs w:val="17"/>
              </w:rPr>
              <w:t>ASPR findings &amp; review of annual progress integrated into Annual Operations Plan in the last FY. The functioning of the mitigation controls has generally been reasonable in that financial reports have been provided by the GoB to DPs, a number of qtly and annual fiduciary reviews and external audits have been undertaken annually by the GoB’s supreme audit institution. There have been some delays in the preparation of documents, especially financial reports (due to capacity challenges within the GoB) &amp; fiduciary reviews (due to a lack of planning (quarterly reviews) &amp; delayed preparation of ToRs (annual reviews) by DPs). However, a more diligent focus on</w:t>
            </w:r>
            <w:r>
              <w:rPr>
                <w:sz w:val="20"/>
                <w:szCs w:val="20"/>
              </w:rPr>
              <w:t xml:space="preserve"> timeliness by a GoB-DP working group has helped to expedite the preparatory processes to some extent. </w:t>
            </w:r>
          </w:p>
        </w:tc>
        <w:tc>
          <w:tcPr>
            <w:tcW w:w="2861"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2EC65AE7" w14:textId="77777777" w:rsidR="00FF7F2C" w:rsidRPr="00264CCB" w:rsidRDefault="00FF7F2C" w:rsidP="00FF7F2C">
            <w:pPr>
              <w:tabs>
                <w:tab w:val="left" w:pos="1635"/>
              </w:tabs>
              <w:rPr>
                <w:i/>
                <w:sz w:val="17"/>
                <w:szCs w:val="17"/>
                <w:lang w:eastAsia="en-AU"/>
              </w:rPr>
            </w:pPr>
            <w:r>
              <w:rPr>
                <w:i/>
                <w:sz w:val="17"/>
                <w:szCs w:val="17"/>
                <w:lang w:eastAsia="en-AU"/>
              </w:rPr>
              <w:t xml:space="preserve">Target: </w:t>
            </w:r>
            <w:r w:rsidRPr="00264CCB">
              <w:rPr>
                <w:i/>
                <w:sz w:val="17"/>
                <w:szCs w:val="17"/>
                <w:lang w:eastAsia="en-AU"/>
              </w:rPr>
              <w:t>ASPR findings and annual progress integrated into AOP; IFRs, AFR and audit conducted and quality improved; Review of safeguards processes and audit functions informs PEDP4 design</w:t>
            </w:r>
          </w:p>
          <w:p w14:paraId="0A9A2604" w14:textId="77777777" w:rsidR="00FF7F2C" w:rsidRPr="00117768" w:rsidRDefault="00FF7F2C" w:rsidP="00FF7F2C">
            <w:pPr>
              <w:tabs>
                <w:tab w:val="left" w:pos="1635"/>
              </w:tabs>
              <w:rPr>
                <w:sz w:val="17"/>
                <w:szCs w:val="17"/>
                <w:lang w:eastAsia="en-AU"/>
              </w:rPr>
            </w:pPr>
            <w:r w:rsidRPr="00117768">
              <w:rPr>
                <w:sz w:val="17"/>
                <w:szCs w:val="17"/>
                <w:lang w:eastAsia="en-AU"/>
              </w:rPr>
              <w:t xml:space="preserve">ASPR findings &amp; review of annual progress were integrated into the Annual Operations Plan 2016/17. </w:t>
            </w:r>
          </w:p>
          <w:p w14:paraId="56B10F9D" w14:textId="77777777" w:rsidR="00FF7F2C" w:rsidRPr="00117768" w:rsidRDefault="00FF7F2C" w:rsidP="00FF7F2C">
            <w:pPr>
              <w:tabs>
                <w:tab w:val="left" w:pos="1635"/>
              </w:tabs>
              <w:rPr>
                <w:sz w:val="17"/>
                <w:szCs w:val="17"/>
                <w:lang w:eastAsia="en-AU"/>
              </w:rPr>
            </w:pPr>
            <w:r>
              <w:rPr>
                <w:sz w:val="17"/>
                <w:szCs w:val="17"/>
                <w:lang w:eastAsia="en-AU"/>
              </w:rPr>
              <w:t xml:space="preserve">The functioning of safeguards  (mitigation  controls) has been reasonable with </w:t>
            </w:r>
            <w:r w:rsidRPr="00117768">
              <w:rPr>
                <w:sz w:val="17"/>
                <w:szCs w:val="17"/>
                <w:lang w:eastAsia="en-AU"/>
              </w:rPr>
              <w:t xml:space="preserve">financial reports provided by </w:t>
            </w:r>
            <w:r>
              <w:rPr>
                <w:sz w:val="17"/>
                <w:szCs w:val="17"/>
                <w:lang w:eastAsia="en-AU"/>
              </w:rPr>
              <w:t>the GoB to Development Partners (DPs), a number of quarterly</w:t>
            </w:r>
            <w:r w:rsidRPr="00117768">
              <w:rPr>
                <w:sz w:val="17"/>
                <w:szCs w:val="17"/>
                <w:lang w:eastAsia="en-AU"/>
              </w:rPr>
              <w:t xml:space="preserve"> and annual fiduciary review</w:t>
            </w:r>
            <w:r>
              <w:rPr>
                <w:sz w:val="17"/>
                <w:szCs w:val="17"/>
                <w:lang w:eastAsia="en-AU"/>
              </w:rPr>
              <w:t xml:space="preserve">s and external audits </w:t>
            </w:r>
            <w:r w:rsidRPr="00117768">
              <w:rPr>
                <w:sz w:val="17"/>
                <w:szCs w:val="17"/>
                <w:lang w:eastAsia="en-AU"/>
              </w:rPr>
              <w:t xml:space="preserve">undertaken </w:t>
            </w:r>
            <w:r>
              <w:rPr>
                <w:sz w:val="17"/>
                <w:szCs w:val="17"/>
                <w:lang w:eastAsia="en-AU"/>
              </w:rPr>
              <w:t>by the GoB’s Supreme Audit I</w:t>
            </w:r>
            <w:r w:rsidRPr="00117768">
              <w:rPr>
                <w:sz w:val="17"/>
                <w:szCs w:val="17"/>
                <w:lang w:eastAsia="en-AU"/>
              </w:rPr>
              <w:t>nstitution. There have been some delays in the preparation of documents, especially financial reports (due to capac</w:t>
            </w:r>
            <w:r>
              <w:rPr>
                <w:sz w:val="17"/>
                <w:szCs w:val="17"/>
                <w:lang w:eastAsia="en-AU"/>
              </w:rPr>
              <w:t>ity challenges within the GoB) and</w:t>
            </w:r>
            <w:r w:rsidRPr="00117768">
              <w:rPr>
                <w:sz w:val="17"/>
                <w:szCs w:val="17"/>
                <w:lang w:eastAsia="en-AU"/>
              </w:rPr>
              <w:t xml:space="preserve"> fiduciary reviews (due to a lack of planning (quarterly reviews) &amp; d</w:t>
            </w:r>
            <w:r>
              <w:rPr>
                <w:sz w:val="17"/>
                <w:szCs w:val="17"/>
                <w:lang w:eastAsia="en-AU"/>
              </w:rPr>
              <w:t>elayed preparation of Terms of References (annual reviews) by DPs</w:t>
            </w:r>
            <w:r w:rsidRPr="00117768">
              <w:rPr>
                <w:sz w:val="17"/>
                <w:szCs w:val="17"/>
                <w:lang w:eastAsia="en-AU"/>
              </w:rPr>
              <w:t xml:space="preserve">. However, a more diligent focus on timeliness by a GoB-DP working group has helped to expedite the preparatory processes to some extent. </w:t>
            </w:r>
          </w:p>
          <w:p w14:paraId="6C0A66B5" w14:textId="61B0E1A9" w:rsidR="00FF7F2C" w:rsidRDefault="00FF7F2C" w:rsidP="00FF7F2C">
            <w:pPr>
              <w:tabs>
                <w:tab w:val="left" w:pos="1635"/>
              </w:tabs>
              <w:rPr>
                <w:i/>
                <w:sz w:val="17"/>
                <w:szCs w:val="17"/>
                <w:lang w:eastAsia="en-AU"/>
              </w:rPr>
            </w:pPr>
            <w:r>
              <w:rPr>
                <w:sz w:val="17"/>
                <w:szCs w:val="17"/>
                <w:lang w:eastAsia="en-AU"/>
              </w:rPr>
              <w:t xml:space="preserve">The Public Financial Management </w:t>
            </w:r>
            <w:r w:rsidRPr="00117768">
              <w:rPr>
                <w:sz w:val="17"/>
                <w:szCs w:val="17"/>
                <w:lang w:eastAsia="en-AU"/>
              </w:rPr>
              <w:t>Assessment to inform PEDP4 was initiated.</w:t>
            </w:r>
          </w:p>
        </w:tc>
        <w:tc>
          <w:tcPr>
            <w:tcW w:w="1558" w:type="dxa"/>
            <w:tcBorders>
              <w:top w:val="dotted" w:sz="4" w:space="0" w:color="auto"/>
              <w:left w:val="dotted" w:sz="4" w:space="0" w:color="auto"/>
              <w:bottom w:val="dotted" w:sz="4" w:space="0" w:color="auto"/>
              <w:right w:val="dotted" w:sz="4" w:space="0" w:color="auto"/>
            </w:tcBorders>
          </w:tcPr>
          <w:p w14:paraId="59CDF240" w14:textId="77777777" w:rsidR="00FF7F2C" w:rsidRDefault="00FF7F2C" w:rsidP="00FF7F2C">
            <w:pPr>
              <w:tabs>
                <w:tab w:val="left" w:pos="1635"/>
              </w:tabs>
              <w:rPr>
                <w:sz w:val="17"/>
                <w:szCs w:val="17"/>
                <w:lang w:eastAsia="en-AU"/>
              </w:rPr>
            </w:pPr>
            <w:r w:rsidRPr="00117768">
              <w:rPr>
                <w:sz w:val="17"/>
                <w:szCs w:val="17"/>
                <w:lang w:eastAsia="en-AU"/>
              </w:rPr>
              <w:t>R</w:t>
            </w:r>
            <w:r>
              <w:rPr>
                <w:sz w:val="17"/>
                <w:szCs w:val="17"/>
                <w:lang w:eastAsia="en-AU"/>
              </w:rPr>
              <w:t>eview of annual r</w:t>
            </w:r>
            <w:r w:rsidRPr="00117768">
              <w:rPr>
                <w:sz w:val="17"/>
                <w:szCs w:val="17"/>
                <w:lang w:eastAsia="en-AU"/>
              </w:rPr>
              <w:t>ev</w:t>
            </w:r>
            <w:r>
              <w:rPr>
                <w:sz w:val="17"/>
                <w:szCs w:val="17"/>
                <w:lang w:eastAsia="en-AU"/>
              </w:rPr>
              <w:t>iew and planning process</w:t>
            </w:r>
            <w:r w:rsidRPr="00117768">
              <w:rPr>
                <w:sz w:val="17"/>
                <w:szCs w:val="17"/>
                <w:lang w:eastAsia="en-AU"/>
              </w:rPr>
              <w:t xml:space="preserve"> informs PEDP4 design</w:t>
            </w:r>
          </w:p>
          <w:p w14:paraId="4CD363A1" w14:textId="77777777" w:rsidR="00FF7F2C" w:rsidRPr="00264CCB" w:rsidRDefault="00FF7F2C" w:rsidP="00FF7F2C">
            <w:pPr>
              <w:rPr>
                <w:sz w:val="17"/>
                <w:szCs w:val="17"/>
                <w:lang w:eastAsia="en-AU"/>
              </w:rPr>
            </w:pPr>
          </w:p>
          <w:p w14:paraId="64A20448" w14:textId="77777777" w:rsidR="00FF7F2C" w:rsidRPr="00264CCB" w:rsidRDefault="00FF7F2C" w:rsidP="00FF7F2C">
            <w:pPr>
              <w:rPr>
                <w:sz w:val="17"/>
                <w:szCs w:val="17"/>
                <w:lang w:eastAsia="en-AU"/>
              </w:rPr>
            </w:pPr>
          </w:p>
          <w:p w14:paraId="368B3478" w14:textId="77777777" w:rsidR="00FF7F2C" w:rsidRPr="00264CCB" w:rsidRDefault="00FF7F2C" w:rsidP="00FF7F2C">
            <w:pPr>
              <w:rPr>
                <w:sz w:val="17"/>
                <w:szCs w:val="17"/>
                <w:lang w:eastAsia="en-AU"/>
              </w:rPr>
            </w:pPr>
          </w:p>
          <w:p w14:paraId="1568B22B" w14:textId="77777777" w:rsidR="00FF7F2C" w:rsidRPr="00264CCB" w:rsidRDefault="00FF7F2C" w:rsidP="00FF7F2C">
            <w:pPr>
              <w:rPr>
                <w:sz w:val="17"/>
                <w:szCs w:val="17"/>
                <w:lang w:eastAsia="en-AU"/>
              </w:rPr>
            </w:pPr>
          </w:p>
          <w:p w14:paraId="6C87D58A" w14:textId="77777777" w:rsidR="00FF7F2C" w:rsidRPr="00264CCB" w:rsidRDefault="00FF7F2C" w:rsidP="00FF7F2C">
            <w:pPr>
              <w:rPr>
                <w:sz w:val="17"/>
                <w:szCs w:val="17"/>
                <w:lang w:eastAsia="en-AU"/>
              </w:rPr>
            </w:pPr>
          </w:p>
          <w:p w14:paraId="3217F8A2" w14:textId="77777777" w:rsidR="00FF7F2C" w:rsidRPr="00264CCB" w:rsidRDefault="00FF7F2C" w:rsidP="00FF7F2C">
            <w:pPr>
              <w:rPr>
                <w:sz w:val="17"/>
                <w:szCs w:val="17"/>
                <w:lang w:eastAsia="en-AU"/>
              </w:rPr>
            </w:pPr>
          </w:p>
          <w:p w14:paraId="5CAA2F19" w14:textId="77777777" w:rsidR="00FF7F2C" w:rsidRPr="00264CCB" w:rsidRDefault="00FF7F2C" w:rsidP="00FF7F2C">
            <w:pPr>
              <w:rPr>
                <w:sz w:val="17"/>
                <w:szCs w:val="17"/>
                <w:lang w:eastAsia="en-AU"/>
              </w:rPr>
            </w:pPr>
          </w:p>
          <w:p w14:paraId="07DDC088" w14:textId="77777777" w:rsidR="00FF7F2C" w:rsidRPr="00264CCB" w:rsidRDefault="00FF7F2C" w:rsidP="00FF7F2C">
            <w:pPr>
              <w:rPr>
                <w:sz w:val="17"/>
                <w:szCs w:val="17"/>
                <w:lang w:eastAsia="en-AU"/>
              </w:rPr>
            </w:pPr>
          </w:p>
          <w:p w14:paraId="612FCAD7" w14:textId="77777777" w:rsidR="00FF7F2C" w:rsidRPr="00264CCB" w:rsidRDefault="00FF7F2C" w:rsidP="00FF7F2C">
            <w:pPr>
              <w:rPr>
                <w:sz w:val="17"/>
                <w:szCs w:val="17"/>
                <w:lang w:eastAsia="en-AU"/>
              </w:rPr>
            </w:pPr>
          </w:p>
          <w:p w14:paraId="0185851B" w14:textId="77777777" w:rsidR="00FF7F2C" w:rsidRPr="00264CCB" w:rsidRDefault="00FF7F2C" w:rsidP="00FF7F2C">
            <w:pPr>
              <w:rPr>
                <w:sz w:val="17"/>
                <w:szCs w:val="17"/>
                <w:lang w:eastAsia="en-AU"/>
              </w:rPr>
            </w:pPr>
          </w:p>
          <w:p w14:paraId="7A501EF8" w14:textId="77777777" w:rsidR="00FF7F2C" w:rsidRPr="00264CCB" w:rsidRDefault="00FF7F2C" w:rsidP="00FF7F2C">
            <w:pPr>
              <w:rPr>
                <w:sz w:val="17"/>
                <w:szCs w:val="17"/>
                <w:lang w:eastAsia="en-AU"/>
              </w:rPr>
            </w:pPr>
          </w:p>
          <w:p w14:paraId="6EC0F8D8" w14:textId="77777777" w:rsidR="00FF7F2C" w:rsidRPr="00264CCB" w:rsidRDefault="00FF7F2C" w:rsidP="00FF7F2C">
            <w:pPr>
              <w:rPr>
                <w:sz w:val="17"/>
                <w:szCs w:val="17"/>
                <w:lang w:eastAsia="en-AU"/>
              </w:rPr>
            </w:pPr>
          </w:p>
          <w:p w14:paraId="7C17594C" w14:textId="77777777" w:rsidR="00FF7F2C" w:rsidRPr="00264CCB" w:rsidRDefault="00FF7F2C" w:rsidP="00FF7F2C">
            <w:pPr>
              <w:rPr>
                <w:sz w:val="17"/>
                <w:szCs w:val="17"/>
                <w:lang w:eastAsia="en-AU"/>
              </w:rPr>
            </w:pPr>
          </w:p>
          <w:p w14:paraId="26C9A8EE" w14:textId="77777777" w:rsidR="00FF7F2C" w:rsidRPr="00264CCB" w:rsidRDefault="00FF7F2C" w:rsidP="00FF7F2C">
            <w:pPr>
              <w:rPr>
                <w:sz w:val="17"/>
                <w:szCs w:val="17"/>
                <w:lang w:eastAsia="en-AU"/>
              </w:rPr>
            </w:pPr>
          </w:p>
          <w:p w14:paraId="216270BB" w14:textId="77777777" w:rsidR="00FF7F2C" w:rsidRDefault="00FF7F2C" w:rsidP="00FF7F2C">
            <w:pPr>
              <w:rPr>
                <w:sz w:val="17"/>
                <w:szCs w:val="17"/>
                <w:lang w:eastAsia="en-AU"/>
              </w:rPr>
            </w:pPr>
          </w:p>
          <w:p w14:paraId="66132F27" w14:textId="4583A0B8" w:rsidR="00FF7F2C" w:rsidRDefault="00FF7F2C" w:rsidP="00FF7F2C">
            <w:pPr>
              <w:tabs>
                <w:tab w:val="left" w:pos="1635"/>
              </w:tabs>
              <w:rPr>
                <w:rStyle w:val="FootnoteReference"/>
                <w:sz w:val="17"/>
                <w:szCs w:val="17"/>
                <w:lang w:eastAsia="en-AU"/>
              </w:rPr>
            </w:pPr>
          </w:p>
        </w:tc>
        <w:tc>
          <w:tcPr>
            <w:tcW w:w="1251" w:type="dxa"/>
            <w:gridSpan w:val="2"/>
            <w:tcBorders>
              <w:top w:val="dotted" w:sz="4" w:space="0" w:color="auto"/>
              <w:left w:val="dotted" w:sz="4" w:space="0" w:color="auto"/>
              <w:bottom w:val="dotted" w:sz="4" w:space="0" w:color="auto"/>
              <w:right w:val="dotted" w:sz="4" w:space="0" w:color="auto"/>
            </w:tcBorders>
          </w:tcPr>
          <w:p w14:paraId="0904DFAF" w14:textId="7AF636CB" w:rsidR="00FF7F2C" w:rsidRPr="00117768" w:rsidRDefault="00FF7F2C" w:rsidP="00FF7F2C">
            <w:pPr>
              <w:tabs>
                <w:tab w:val="left" w:pos="1635"/>
              </w:tabs>
              <w:rPr>
                <w:sz w:val="17"/>
                <w:szCs w:val="17"/>
                <w:lang w:eastAsia="en-AU"/>
              </w:rPr>
            </w:pPr>
            <w:r w:rsidRPr="00117768">
              <w:rPr>
                <w:sz w:val="17"/>
                <w:szCs w:val="17"/>
                <w:lang w:eastAsia="en-AU"/>
              </w:rPr>
              <w:t>Source: JCM and JARM reports (included primarily to track progress of PEDP3 not Australian engagement)</w:t>
            </w:r>
          </w:p>
        </w:tc>
      </w:tr>
    </w:tbl>
    <w:tbl>
      <w:tblPr>
        <w:tblpPr w:leftFromText="180" w:rightFromText="180" w:vertAnchor="text" w:horzAnchor="page" w:tblpX="529" w:tblpY="-1661"/>
        <w:tblW w:w="16068" w:type="dxa"/>
        <w:tblLayout w:type="fixed"/>
        <w:tblLook w:val="04A0" w:firstRow="1" w:lastRow="0" w:firstColumn="1" w:lastColumn="0" w:noHBand="0" w:noVBand="1"/>
      </w:tblPr>
      <w:tblGrid>
        <w:gridCol w:w="1649"/>
        <w:gridCol w:w="615"/>
        <w:gridCol w:w="1048"/>
        <w:gridCol w:w="1544"/>
        <w:gridCol w:w="1531"/>
        <w:gridCol w:w="4002"/>
        <w:gridCol w:w="3126"/>
        <w:gridCol w:w="1132"/>
        <w:gridCol w:w="1421"/>
      </w:tblGrid>
      <w:tr w:rsidR="00A025F2" w:rsidRPr="00117768" w14:paraId="383B0CE6" w14:textId="77777777" w:rsidTr="00E60A7E">
        <w:trPr>
          <w:trHeight w:val="554"/>
        </w:trPr>
        <w:tc>
          <w:tcPr>
            <w:tcW w:w="2264" w:type="dxa"/>
            <w:gridSpan w:val="2"/>
          </w:tcPr>
          <w:p w14:paraId="1A8B278F" w14:textId="77777777" w:rsidR="00A025F2" w:rsidRDefault="00A025F2" w:rsidP="00A025F2">
            <w:pPr>
              <w:tabs>
                <w:tab w:val="left" w:pos="1635"/>
              </w:tabs>
              <w:rPr>
                <w:b/>
                <w:iCs/>
                <w:sz w:val="17"/>
                <w:szCs w:val="17"/>
                <w:lang w:val="en-AU" w:eastAsia="en-AU"/>
              </w:rPr>
            </w:pPr>
          </w:p>
          <w:p w14:paraId="2BA28520" w14:textId="77777777" w:rsidR="00A025F2" w:rsidRDefault="00A025F2" w:rsidP="00A025F2">
            <w:pPr>
              <w:tabs>
                <w:tab w:val="left" w:pos="1635"/>
              </w:tabs>
              <w:rPr>
                <w:b/>
                <w:iCs/>
                <w:sz w:val="17"/>
                <w:szCs w:val="17"/>
                <w:lang w:val="en-AU" w:eastAsia="en-AU"/>
              </w:rPr>
            </w:pPr>
          </w:p>
          <w:p w14:paraId="24B098C0" w14:textId="6A9E57A2" w:rsidR="00A025F2" w:rsidRPr="00117768" w:rsidRDefault="00A025F2" w:rsidP="00A025F2">
            <w:pPr>
              <w:tabs>
                <w:tab w:val="left" w:pos="1635"/>
              </w:tabs>
              <w:rPr>
                <w:b/>
                <w:iCs/>
                <w:sz w:val="17"/>
                <w:szCs w:val="17"/>
                <w:lang w:val="en-AU" w:eastAsia="en-AU"/>
              </w:rPr>
            </w:pPr>
          </w:p>
        </w:tc>
        <w:tc>
          <w:tcPr>
            <w:tcW w:w="13804" w:type="dxa"/>
            <w:gridSpan w:val="7"/>
          </w:tcPr>
          <w:p w14:paraId="25E0B2E0" w14:textId="77777777" w:rsidR="00A025F2" w:rsidRPr="00117768" w:rsidRDefault="00A025F2" w:rsidP="00A025F2">
            <w:pPr>
              <w:tabs>
                <w:tab w:val="left" w:pos="1635"/>
              </w:tabs>
              <w:rPr>
                <w:b/>
                <w:i/>
                <w:iCs/>
                <w:sz w:val="17"/>
                <w:szCs w:val="17"/>
                <w:lang w:val="en-AU" w:eastAsia="en-AU"/>
              </w:rPr>
            </w:pPr>
          </w:p>
        </w:tc>
      </w:tr>
      <w:tr w:rsidR="00DF209F" w:rsidRPr="00117768" w14:paraId="19601475" w14:textId="77777777" w:rsidTr="00A20FBD">
        <w:trPr>
          <w:trHeight w:val="554"/>
        </w:trPr>
        <w:tc>
          <w:tcPr>
            <w:tcW w:w="2264" w:type="dxa"/>
            <w:gridSpan w:val="2"/>
            <w:tcBorders>
              <w:top w:val="dotted" w:sz="4" w:space="0" w:color="auto"/>
              <w:left w:val="dotted" w:sz="4" w:space="0" w:color="auto"/>
              <w:bottom w:val="dotted" w:sz="4" w:space="0" w:color="auto"/>
              <w:right w:val="dotted" w:sz="4" w:space="0" w:color="auto"/>
            </w:tcBorders>
            <w:shd w:val="clear" w:color="auto" w:fill="D8DCDB" w:themeFill="background2"/>
          </w:tcPr>
          <w:p w14:paraId="7CAFA919" w14:textId="77777777" w:rsidR="00DF209F" w:rsidRPr="00117768" w:rsidRDefault="00DF209F" w:rsidP="00A025F2">
            <w:pPr>
              <w:tabs>
                <w:tab w:val="left" w:pos="1635"/>
              </w:tabs>
              <w:rPr>
                <w:b/>
                <w:iCs/>
                <w:sz w:val="17"/>
                <w:szCs w:val="17"/>
                <w:lang w:val="en-AU" w:eastAsia="en-AU"/>
              </w:rPr>
            </w:pPr>
            <w:r w:rsidRPr="00117768">
              <w:rPr>
                <w:b/>
                <w:iCs/>
                <w:sz w:val="17"/>
                <w:szCs w:val="17"/>
                <w:lang w:val="en-AU" w:eastAsia="en-AU"/>
              </w:rPr>
              <w:br w:type="page"/>
              <w:t>Australia’s aid objective</w:t>
            </w:r>
            <w:r>
              <w:rPr>
                <w:b/>
                <w:iCs/>
                <w:sz w:val="17"/>
                <w:szCs w:val="17"/>
                <w:lang w:val="en-AU" w:eastAsia="en-AU"/>
              </w:rPr>
              <w:t xml:space="preserve"> two: </w:t>
            </w:r>
          </w:p>
        </w:tc>
        <w:tc>
          <w:tcPr>
            <w:tcW w:w="13804" w:type="dxa"/>
            <w:gridSpan w:val="7"/>
            <w:tcBorders>
              <w:top w:val="dotted" w:sz="4" w:space="0" w:color="auto"/>
              <w:left w:val="dotted" w:sz="4" w:space="0" w:color="auto"/>
              <w:bottom w:val="dotted" w:sz="4" w:space="0" w:color="auto"/>
              <w:right w:val="dotted" w:sz="4" w:space="0" w:color="auto"/>
            </w:tcBorders>
            <w:shd w:val="clear" w:color="auto" w:fill="D8DCDB" w:themeFill="background2"/>
          </w:tcPr>
          <w:p w14:paraId="79F72555" w14:textId="77777777" w:rsidR="00DF209F" w:rsidRPr="00117768" w:rsidRDefault="00DF209F" w:rsidP="00A025F2">
            <w:pPr>
              <w:tabs>
                <w:tab w:val="left" w:pos="1635"/>
              </w:tabs>
              <w:rPr>
                <w:b/>
                <w:iCs/>
                <w:sz w:val="17"/>
                <w:szCs w:val="17"/>
                <w:lang w:val="en-AU" w:eastAsia="en-AU"/>
              </w:rPr>
            </w:pPr>
            <w:r w:rsidRPr="00117768">
              <w:rPr>
                <w:b/>
                <w:i/>
                <w:iCs/>
                <w:sz w:val="17"/>
                <w:szCs w:val="17"/>
                <w:lang w:val="en-AU" w:eastAsia="en-AU"/>
              </w:rPr>
              <w:t>Building economic resilience by reducing vulnerability and improving inclusion in the growing economy</w:t>
            </w:r>
          </w:p>
        </w:tc>
      </w:tr>
      <w:tr w:rsidR="00A025F2" w:rsidRPr="00117768" w14:paraId="77F0F8D8" w14:textId="77777777" w:rsidTr="00E60A7E">
        <w:trPr>
          <w:trHeight w:val="409"/>
        </w:trPr>
        <w:tc>
          <w:tcPr>
            <w:tcW w:w="6387" w:type="dxa"/>
            <w:gridSpan w:val="5"/>
            <w:tcBorders>
              <w:top w:val="dotted" w:sz="4" w:space="0" w:color="auto"/>
              <w:left w:val="dotted" w:sz="4" w:space="0" w:color="auto"/>
              <w:bottom w:val="dotted" w:sz="4" w:space="0" w:color="auto"/>
              <w:right w:val="dotted" w:sz="4" w:space="0" w:color="auto"/>
            </w:tcBorders>
          </w:tcPr>
          <w:p w14:paraId="3CFAA5A0" w14:textId="10EC7945" w:rsidR="00A025F2" w:rsidRPr="00117768" w:rsidRDefault="00A025F2" w:rsidP="00A025F2">
            <w:pPr>
              <w:tabs>
                <w:tab w:val="left" w:pos="1635"/>
              </w:tabs>
              <w:rPr>
                <w:b/>
                <w:i/>
                <w:iCs/>
                <w:sz w:val="17"/>
                <w:szCs w:val="17"/>
                <w:lang w:val="en-AU" w:eastAsia="en-AU"/>
              </w:rPr>
            </w:pPr>
          </w:p>
        </w:tc>
        <w:tc>
          <w:tcPr>
            <w:tcW w:w="7128" w:type="dxa"/>
            <w:gridSpan w:val="2"/>
            <w:tcBorders>
              <w:top w:val="dotted" w:sz="4" w:space="0" w:color="auto"/>
              <w:left w:val="dotted" w:sz="4" w:space="0" w:color="auto"/>
              <w:bottom w:val="dotted" w:sz="4" w:space="0" w:color="auto"/>
              <w:right w:val="dotted" w:sz="4" w:space="0" w:color="auto"/>
            </w:tcBorders>
          </w:tcPr>
          <w:p w14:paraId="1C4AF12B" w14:textId="7DC1EED2" w:rsidR="00A025F2" w:rsidRPr="00117768" w:rsidRDefault="00A025F2" w:rsidP="00A025F2">
            <w:pPr>
              <w:tabs>
                <w:tab w:val="left" w:pos="1635"/>
              </w:tabs>
              <w:rPr>
                <w:b/>
                <w:i/>
                <w:iCs/>
                <w:sz w:val="17"/>
                <w:szCs w:val="17"/>
                <w:lang w:val="en-AU" w:eastAsia="en-AU"/>
              </w:rPr>
            </w:pPr>
            <w:r w:rsidRPr="00A025F2">
              <w:rPr>
                <w:b/>
                <w:i/>
                <w:iCs/>
                <w:sz w:val="17"/>
                <w:szCs w:val="17"/>
                <w:lang w:val="en-AU" w:eastAsia="en-AU"/>
              </w:rPr>
              <w:t>Annual Progress Targets/Milestones</w:t>
            </w:r>
          </w:p>
        </w:tc>
        <w:tc>
          <w:tcPr>
            <w:tcW w:w="2552" w:type="dxa"/>
            <w:gridSpan w:val="2"/>
            <w:tcBorders>
              <w:top w:val="dotted" w:sz="4" w:space="0" w:color="auto"/>
              <w:left w:val="dotted" w:sz="4" w:space="0" w:color="auto"/>
              <w:bottom w:val="dotted" w:sz="4" w:space="0" w:color="auto"/>
              <w:right w:val="dotted" w:sz="4" w:space="0" w:color="auto"/>
            </w:tcBorders>
          </w:tcPr>
          <w:p w14:paraId="76B0CE8D" w14:textId="4012621E" w:rsidR="00A025F2" w:rsidRPr="00117768" w:rsidRDefault="00A025F2" w:rsidP="00A025F2">
            <w:pPr>
              <w:tabs>
                <w:tab w:val="left" w:pos="1635"/>
              </w:tabs>
              <w:rPr>
                <w:b/>
                <w:i/>
                <w:iCs/>
                <w:sz w:val="17"/>
                <w:szCs w:val="17"/>
                <w:lang w:val="en-AU" w:eastAsia="en-AU"/>
              </w:rPr>
            </w:pPr>
          </w:p>
        </w:tc>
      </w:tr>
      <w:tr w:rsidR="00DF209F" w:rsidRPr="00117768" w14:paraId="6A4D429A" w14:textId="77777777" w:rsidTr="00A20FBD">
        <w:trPr>
          <w:trHeight w:val="758"/>
        </w:trPr>
        <w:tc>
          <w:tcPr>
            <w:tcW w:w="1649" w:type="dxa"/>
            <w:tcBorders>
              <w:top w:val="dotted" w:sz="4" w:space="0" w:color="auto"/>
              <w:left w:val="dotted" w:sz="4" w:space="0" w:color="auto"/>
              <w:bottom w:val="dotted" w:sz="4" w:space="0" w:color="auto"/>
              <w:right w:val="dotted" w:sz="4" w:space="0" w:color="auto"/>
            </w:tcBorders>
            <w:shd w:val="clear" w:color="auto" w:fill="D8DCDB" w:themeFill="background2"/>
          </w:tcPr>
          <w:p w14:paraId="72877FF6" w14:textId="77777777" w:rsidR="00DF209F" w:rsidRPr="00117768" w:rsidRDefault="00DF209F" w:rsidP="00A025F2">
            <w:pPr>
              <w:tabs>
                <w:tab w:val="left" w:pos="1635"/>
              </w:tabs>
              <w:rPr>
                <w:b/>
                <w:i/>
                <w:iCs/>
                <w:sz w:val="17"/>
                <w:szCs w:val="17"/>
                <w:lang w:val="en-AU" w:eastAsia="en-AU"/>
              </w:rPr>
            </w:pPr>
            <w:r w:rsidRPr="00117768">
              <w:rPr>
                <w:b/>
                <w:iCs/>
                <w:sz w:val="17"/>
                <w:szCs w:val="17"/>
                <w:lang w:val="en-AU" w:eastAsia="en-AU"/>
              </w:rPr>
              <w:t>Plan outcome</w:t>
            </w:r>
          </w:p>
        </w:tc>
        <w:tc>
          <w:tcPr>
            <w:tcW w:w="1663" w:type="dxa"/>
            <w:gridSpan w:val="2"/>
            <w:tcBorders>
              <w:top w:val="dotted" w:sz="4" w:space="0" w:color="auto"/>
              <w:left w:val="dotted" w:sz="4" w:space="0" w:color="auto"/>
              <w:bottom w:val="dotted" w:sz="4" w:space="0" w:color="auto"/>
              <w:right w:val="dotted" w:sz="4" w:space="0" w:color="auto"/>
            </w:tcBorders>
            <w:shd w:val="clear" w:color="auto" w:fill="D8DCDB" w:themeFill="background2"/>
          </w:tcPr>
          <w:p w14:paraId="5344E632" w14:textId="77777777" w:rsidR="00DF209F" w:rsidRPr="00117768" w:rsidRDefault="00DF209F" w:rsidP="00A025F2">
            <w:pPr>
              <w:tabs>
                <w:tab w:val="left" w:pos="1635"/>
              </w:tabs>
              <w:rPr>
                <w:b/>
                <w:i/>
                <w:iCs/>
                <w:sz w:val="17"/>
                <w:szCs w:val="17"/>
                <w:lang w:val="en-AU" w:eastAsia="en-AU"/>
              </w:rPr>
            </w:pPr>
            <w:r w:rsidRPr="00117768">
              <w:rPr>
                <w:b/>
                <w:iCs/>
                <w:sz w:val="17"/>
                <w:szCs w:val="17"/>
                <w:lang w:val="en-AU" w:eastAsia="en-AU"/>
              </w:rPr>
              <w:t>Plan outcome indicators</w:t>
            </w:r>
          </w:p>
        </w:tc>
        <w:tc>
          <w:tcPr>
            <w:tcW w:w="1544" w:type="dxa"/>
            <w:tcBorders>
              <w:top w:val="dotted" w:sz="4" w:space="0" w:color="auto"/>
              <w:left w:val="dotted" w:sz="4" w:space="0" w:color="auto"/>
              <w:bottom w:val="dotted" w:sz="4" w:space="0" w:color="auto"/>
              <w:right w:val="dotted" w:sz="4" w:space="0" w:color="auto"/>
            </w:tcBorders>
            <w:shd w:val="clear" w:color="auto" w:fill="D8DCDB" w:themeFill="background2"/>
          </w:tcPr>
          <w:p w14:paraId="153FE050" w14:textId="77777777" w:rsidR="00DF209F" w:rsidRPr="00117768" w:rsidRDefault="00DF209F" w:rsidP="00A025F2">
            <w:pPr>
              <w:tabs>
                <w:tab w:val="left" w:pos="1635"/>
              </w:tabs>
              <w:rPr>
                <w:b/>
                <w:i/>
                <w:iCs/>
                <w:sz w:val="17"/>
                <w:szCs w:val="17"/>
                <w:lang w:val="en-AU" w:eastAsia="en-AU"/>
              </w:rPr>
            </w:pPr>
            <w:r w:rsidRPr="00117768">
              <w:rPr>
                <w:b/>
                <w:iCs/>
                <w:sz w:val="17"/>
                <w:szCs w:val="17"/>
                <w:lang w:val="en-AU" w:eastAsia="en-AU"/>
              </w:rPr>
              <w:t>Intermediate outcome</w:t>
            </w:r>
          </w:p>
        </w:tc>
        <w:tc>
          <w:tcPr>
            <w:tcW w:w="1530" w:type="dxa"/>
            <w:tcBorders>
              <w:top w:val="dotted" w:sz="4" w:space="0" w:color="auto"/>
              <w:left w:val="dotted" w:sz="4" w:space="0" w:color="auto"/>
              <w:bottom w:val="dotted" w:sz="4" w:space="0" w:color="auto"/>
              <w:right w:val="dotted" w:sz="4" w:space="0" w:color="auto"/>
            </w:tcBorders>
            <w:shd w:val="clear" w:color="auto" w:fill="D8DCDB" w:themeFill="background2"/>
          </w:tcPr>
          <w:p w14:paraId="4E8D0FDD" w14:textId="77777777" w:rsidR="00DF209F" w:rsidRPr="00117768" w:rsidRDefault="00DF209F" w:rsidP="00A025F2">
            <w:pPr>
              <w:tabs>
                <w:tab w:val="left" w:pos="1635"/>
              </w:tabs>
              <w:rPr>
                <w:b/>
                <w:i/>
                <w:iCs/>
                <w:sz w:val="17"/>
                <w:szCs w:val="17"/>
                <w:lang w:val="en-AU" w:eastAsia="en-AU"/>
              </w:rPr>
            </w:pPr>
            <w:r w:rsidRPr="00117768">
              <w:rPr>
                <w:b/>
                <w:iCs/>
                <w:sz w:val="17"/>
                <w:szCs w:val="17"/>
                <w:lang w:val="en-AU" w:eastAsia="en-AU"/>
              </w:rPr>
              <w:t>Intermediate outcome indicators</w:t>
            </w:r>
          </w:p>
        </w:tc>
        <w:tc>
          <w:tcPr>
            <w:tcW w:w="4002" w:type="dxa"/>
            <w:tcBorders>
              <w:top w:val="dotted" w:sz="4" w:space="0" w:color="auto"/>
              <w:left w:val="dotted" w:sz="4" w:space="0" w:color="auto"/>
              <w:bottom w:val="dotted" w:sz="4" w:space="0" w:color="auto"/>
              <w:right w:val="dotted" w:sz="4" w:space="0" w:color="auto"/>
            </w:tcBorders>
            <w:shd w:val="clear" w:color="auto" w:fill="D8DCDB" w:themeFill="background2"/>
          </w:tcPr>
          <w:p w14:paraId="14A670F9" w14:textId="77777777" w:rsidR="00DF209F" w:rsidRPr="00117768" w:rsidRDefault="00DF209F" w:rsidP="00A025F2">
            <w:pPr>
              <w:tabs>
                <w:tab w:val="left" w:pos="1635"/>
              </w:tabs>
              <w:rPr>
                <w:b/>
                <w:iCs/>
                <w:sz w:val="17"/>
                <w:szCs w:val="17"/>
                <w:lang w:val="en-AU" w:eastAsia="en-AU"/>
              </w:rPr>
            </w:pPr>
            <w:r w:rsidRPr="00117768">
              <w:rPr>
                <w:b/>
                <w:iCs/>
                <w:sz w:val="17"/>
                <w:szCs w:val="17"/>
                <w:lang w:val="en-AU" w:eastAsia="en-AU"/>
              </w:rPr>
              <w:t>2015-16</w:t>
            </w:r>
          </w:p>
        </w:tc>
        <w:tc>
          <w:tcPr>
            <w:tcW w:w="3125" w:type="dxa"/>
            <w:tcBorders>
              <w:top w:val="dotted" w:sz="4" w:space="0" w:color="auto"/>
              <w:left w:val="dotted" w:sz="4" w:space="0" w:color="auto"/>
              <w:bottom w:val="dotted" w:sz="4" w:space="0" w:color="auto"/>
              <w:right w:val="dotted" w:sz="4" w:space="0" w:color="auto"/>
            </w:tcBorders>
            <w:shd w:val="clear" w:color="auto" w:fill="D8DCDB" w:themeFill="background2"/>
          </w:tcPr>
          <w:p w14:paraId="5048B235" w14:textId="77777777" w:rsidR="00DF209F" w:rsidRPr="00117768" w:rsidRDefault="00DF209F" w:rsidP="00A025F2">
            <w:pPr>
              <w:tabs>
                <w:tab w:val="left" w:pos="1635"/>
              </w:tabs>
              <w:rPr>
                <w:b/>
                <w:iCs/>
                <w:sz w:val="17"/>
                <w:szCs w:val="17"/>
                <w:lang w:val="en-AU" w:eastAsia="en-AU"/>
              </w:rPr>
            </w:pPr>
            <w:r w:rsidRPr="00117768">
              <w:rPr>
                <w:b/>
                <w:iCs/>
                <w:sz w:val="17"/>
                <w:szCs w:val="17"/>
                <w:lang w:val="en-AU" w:eastAsia="en-AU"/>
              </w:rPr>
              <w:t>2016-17</w:t>
            </w:r>
          </w:p>
        </w:tc>
        <w:tc>
          <w:tcPr>
            <w:tcW w:w="1132" w:type="dxa"/>
            <w:tcBorders>
              <w:top w:val="dotted" w:sz="4" w:space="0" w:color="auto"/>
              <w:left w:val="dotted" w:sz="4" w:space="0" w:color="auto"/>
              <w:bottom w:val="dotted" w:sz="4" w:space="0" w:color="auto"/>
              <w:right w:val="dotted" w:sz="4" w:space="0" w:color="auto"/>
            </w:tcBorders>
            <w:shd w:val="clear" w:color="auto" w:fill="D8DCDB" w:themeFill="background2"/>
          </w:tcPr>
          <w:p w14:paraId="0FE98C79" w14:textId="77777777" w:rsidR="00DF209F" w:rsidRPr="00117768" w:rsidRDefault="00DF209F" w:rsidP="00A025F2">
            <w:pPr>
              <w:tabs>
                <w:tab w:val="left" w:pos="1635"/>
              </w:tabs>
              <w:rPr>
                <w:b/>
                <w:iCs/>
                <w:sz w:val="17"/>
                <w:szCs w:val="17"/>
                <w:lang w:val="en-AU" w:eastAsia="en-AU"/>
              </w:rPr>
            </w:pPr>
            <w:r w:rsidRPr="00117768">
              <w:rPr>
                <w:b/>
                <w:iCs/>
                <w:sz w:val="17"/>
                <w:szCs w:val="17"/>
                <w:lang w:val="en-AU" w:eastAsia="en-AU"/>
              </w:rPr>
              <w:t>2017-18</w:t>
            </w:r>
          </w:p>
        </w:tc>
        <w:tc>
          <w:tcPr>
            <w:tcW w:w="1420" w:type="dxa"/>
            <w:tcBorders>
              <w:top w:val="dotted" w:sz="4" w:space="0" w:color="auto"/>
              <w:left w:val="dotted" w:sz="4" w:space="0" w:color="auto"/>
              <w:bottom w:val="dotted" w:sz="4" w:space="0" w:color="auto"/>
              <w:right w:val="dotted" w:sz="4" w:space="0" w:color="auto"/>
            </w:tcBorders>
            <w:shd w:val="clear" w:color="auto" w:fill="D8DCDB" w:themeFill="background2"/>
          </w:tcPr>
          <w:p w14:paraId="0DBEC30B" w14:textId="77777777" w:rsidR="00DF209F" w:rsidRPr="00117768" w:rsidRDefault="00DF209F" w:rsidP="00A025F2">
            <w:pPr>
              <w:tabs>
                <w:tab w:val="left" w:pos="1635"/>
              </w:tabs>
              <w:rPr>
                <w:b/>
                <w:i/>
                <w:iCs/>
                <w:sz w:val="17"/>
                <w:szCs w:val="17"/>
                <w:lang w:val="en-AU" w:eastAsia="en-AU"/>
              </w:rPr>
            </w:pPr>
            <w:r w:rsidRPr="00117768">
              <w:rPr>
                <w:b/>
                <w:iCs/>
                <w:sz w:val="17"/>
                <w:szCs w:val="17"/>
                <w:lang w:val="en-AU" w:eastAsia="en-AU"/>
              </w:rPr>
              <w:t>Data source and baseline</w:t>
            </w:r>
          </w:p>
        </w:tc>
      </w:tr>
      <w:tr w:rsidR="00DF209F" w:rsidRPr="00117768" w14:paraId="0DA8CA3F" w14:textId="77777777" w:rsidTr="00E60A7E">
        <w:trPr>
          <w:trHeight w:val="1660"/>
        </w:trPr>
        <w:tc>
          <w:tcPr>
            <w:tcW w:w="1649" w:type="dxa"/>
            <w:tcBorders>
              <w:top w:val="dotted" w:sz="4" w:space="0" w:color="auto"/>
              <w:left w:val="dotted" w:sz="4" w:space="0" w:color="auto"/>
              <w:bottom w:val="dotted" w:sz="4" w:space="0" w:color="auto"/>
              <w:right w:val="dotted" w:sz="4" w:space="0" w:color="auto"/>
            </w:tcBorders>
          </w:tcPr>
          <w:p w14:paraId="31010455" w14:textId="4763A360" w:rsidR="00DF209F" w:rsidRPr="00117768" w:rsidRDefault="000A688B" w:rsidP="000A688B">
            <w:pPr>
              <w:pBdr>
                <w:top w:val="nil"/>
                <w:left w:val="nil"/>
                <w:bottom w:val="nil"/>
                <w:right w:val="nil"/>
                <w:between w:val="nil"/>
                <w:bar w:val="nil"/>
              </w:pBdr>
              <w:tabs>
                <w:tab w:val="left" w:pos="1635"/>
              </w:tabs>
              <w:rPr>
                <w:b/>
                <w:sz w:val="17"/>
                <w:szCs w:val="17"/>
                <w:lang w:val="en-AU" w:eastAsia="en-AU"/>
              </w:rPr>
            </w:pPr>
            <w:r>
              <w:rPr>
                <w:b/>
                <w:sz w:val="17"/>
                <w:szCs w:val="17"/>
                <w:lang w:val="en-AU" w:eastAsia="en-AU"/>
              </w:rPr>
              <w:t xml:space="preserve">1. </w:t>
            </w:r>
            <w:r w:rsidR="00DF209F" w:rsidRPr="00117768">
              <w:rPr>
                <w:b/>
                <w:sz w:val="17"/>
                <w:szCs w:val="17"/>
                <w:lang w:val="en-AU" w:eastAsia="en-AU"/>
              </w:rPr>
              <w:t>Government of Bangladesh implements its National Social Security Strategy informed by best international practices</w:t>
            </w:r>
          </w:p>
        </w:tc>
        <w:tc>
          <w:tcPr>
            <w:tcW w:w="1663" w:type="dxa"/>
            <w:gridSpan w:val="2"/>
            <w:tcBorders>
              <w:top w:val="dotted" w:sz="4" w:space="0" w:color="auto"/>
              <w:left w:val="dotted" w:sz="4" w:space="0" w:color="auto"/>
              <w:bottom w:val="dotted" w:sz="4" w:space="0" w:color="auto"/>
              <w:right w:val="dotted" w:sz="4" w:space="0" w:color="auto"/>
            </w:tcBorders>
          </w:tcPr>
          <w:p w14:paraId="0F100A6C" w14:textId="44C59EB9" w:rsidR="00DF209F" w:rsidRPr="00117768" w:rsidRDefault="00E60A7E" w:rsidP="00A025F2">
            <w:pPr>
              <w:tabs>
                <w:tab w:val="left" w:pos="1635"/>
              </w:tabs>
              <w:rPr>
                <w:i/>
                <w:sz w:val="17"/>
                <w:szCs w:val="17"/>
                <w:lang w:eastAsia="en-AU"/>
              </w:rPr>
            </w:pPr>
            <w:r>
              <w:rPr>
                <w:i/>
                <w:sz w:val="17"/>
                <w:szCs w:val="17"/>
                <w:lang w:eastAsia="en-AU"/>
              </w:rPr>
              <w:t>National Social Security S</w:t>
            </w:r>
            <w:r w:rsidR="00DF209F" w:rsidRPr="00117768">
              <w:rPr>
                <w:i/>
                <w:sz w:val="17"/>
                <w:szCs w:val="17"/>
                <w:lang w:eastAsia="en-AU"/>
              </w:rPr>
              <w:t xml:space="preserve">trategy (NSSS) formulated and implemented; </w:t>
            </w:r>
          </w:p>
          <w:p w14:paraId="756C8708" w14:textId="77777777" w:rsidR="00DF209F" w:rsidRPr="00117768" w:rsidRDefault="00DF209F" w:rsidP="00A025F2">
            <w:pPr>
              <w:tabs>
                <w:tab w:val="left" w:pos="1635"/>
              </w:tabs>
              <w:rPr>
                <w:i/>
                <w:sz w:val="17"/>
                <w:szCs w:val="17"/>
                <w:lang w:eastAsia="en-AU"/>
              </w:rPr>
            </w:pPr>
          </w:p>
          <w:p w14:paraId="5F8527C7" w14:textId="77777777" w:rsidR="00DF209F" w:rsidRPr="00117768" w:rsidRDefault="00DF209F" w:rsidP="00A025F2">
            <w:pPr>
              <w:tabs>
                <w:tab w:val="left" w:pos="1635"/>
              </w:tabs>
              <w:rPr>
                <w:i/>
                <w:sz w:val="17"/>
                <w:szCs w:val="17"/>
                <w:lang w:eastAsia="en-AU"/>
              </w:rPr>
            </w:pPr>
          </w:p>
          <w:p w14:paraId="1253F076" w14:textId="77777777" w:rsidR="00DF209F" w:rsidRPr="00117768" w:rsidRDefault="00DF209F" w:rsidP="00A025F2">
            <w:pPr>
              <w:tabs>
                <w:tab w:val="left" w:pos="1635"/>
              </w:tabs>
              <w:rPr>
                <w:i/>
                <w:sz w:val="17"/>
                <w:szCs w:val="17"/>
                <w:lang w:eastAsia="en-AU"/>
              </w:rPr>
            </w:pPr>
          </w:p>
          <w:p w14:paraId="393C9950" w14:textId="77777777" w:rsidR="00DF209F" w:rsidRPr="00117768" w:rsidRDefault="00DF209F" w:rsidP="00A025F2">
            <w:pPr>
              <w:tabs>
                <w:tab w:val="left" w:pos="1635"/>
              </w:tabs>
              <w:rPr>
                <w:i/>
                <w:sz w:val="17"/>
                <w:szCs w:val="17"/>
                <w:lang w:eastAsia="en-AU"/>
              </w:rPr>
            </w:pPr>
          </w:p>
          <w:p w14:paraId="75AAE3CC" w14:textId="59512A68" w:rsidR="00DF209F" w:rsidRPr="00117768" w:rsidRDefault="00DF209F" w:rsidP="00A025F2">
            <w:pPr>
              <w:tabs>
                <w:tab w:val="left" w:pos="1635"/>
              </w:tabs>
              <w:rPr>
                <w:i/>
                <w:sz w:val="17"/>
                <w:szCs w:val="17"/>
                <w:lang w:eastAsia="en-AU"/>
              </w:rPr>
            </w:pPr>
            <w:r w:rsidRPr="00117768">
              <w:rPr>
                <w:i/>
                <w:sz w:val="17"/>
                <w:szCs w:val="17"/>
                <w:lang w:eastAsia="en-AU"/>
              </w:rPr>
              <w:t xml:space="preserve"> </w:t>
            </w:r>
          </w:p>
        </w:tc>
        <w:tc>
          <w:tcPr>
            <w:tcW w:w="1544" w:type="dxa"/>
            <w:tcBorders>
              <w:top w:val="dotted" w:sz="4" w:space="0" w:color="auto"/>
              <w:left w:val="dotted" w:sz="4" w:space="0" w:color="auto"/>
              <w:bottom w:val="dotted" w:sz="4" w:space="0" w:color="auto"/>
              <w:right w:val="dotted" w:sz="4" w:space="0" w:color="auto"/>
            </w:tcBorders>
          </w:tcPr>
          <w:p w14:paraId="37F1FA2D" w14:textId="77777777" w:rsidR="00DF209F" w:rsidRPr="00117768" w:rsidRDefault="00DF209F" w:rsidP="00A025F2">
            <w:pPr>
              <w:tabs>
                <w:tab w:val="left" w:pos="1635"/>
              </w:tabs>
              <w:rPr>
                <w:sz w:val="17"/>
                <w:szCs w:val="17"/>
                <w:lang w:eastAsia="en-AU"/>
              </w:rPr>
            </w:pPr>
            <w:r w:rsidRPr="00117768">
              <w:rPr>
                <w:sz w:val="17"/>
                <w:szCs w:val="17"/>
                <w:lang w:eastAsia="en-AU"/>
              </w:rPr>
              <w:t>Better cross-government coordination on policies, budgets and plans for a more effective and efficient social security system</w:t>
            </w:r>
          </w:p>
        </w:tc>
        <w:tc>
          <w:tcPr>
            <w:tcW w:w="1530" w:type="dxa"/>
            <w:tcBorders>
              <w:top w:val="dotted" w:sz="4" w:space="0" w:color="auto"/>
              <w:left w:val="dotted" w:sz="4" w:space="0" w:color="auto"/>
              <w:bottom w:val="dotted" w:sz="4" w:space="0" w:color="auto"/>
              <w:right w:val="dotted" w:sz="4" w:space="0" w:color="auto"/>
            </w:tcBorders>
          </w:tcPr>
          <w:p w14:paraId="59176DEF" w14:textId="77777777" w:rsidR="00DF209F" w:rsidRPr="00117768" w:rsidRDefault="00DF209F" w:rsidP="00A025F2">
            <w:pPr>
              <w:tabs>
                <w:tab w:val="left" w:pos="1635"/>
              </w:tabs>
              <w:rPr>
                <w:sz w:val="17"/>
                <w:szCs w:val="17"/>
                <w:lang w:eastAsia="en-AU"/>
              </w:rPr>
            </w:pPr>
            <w:r w:rsidRPr="00117768">
              <w:rPr>
                <w:sz w:val="17"/>
                <w:szCs w:val="17"/>
                <w:lang w:eastAsia="en-AU"/>
              </w:rPr>
              <w:t>Existence of budgets and costed plans; consistent application across government</w:t>
            </w:r>
          </w:p>
        </w:tc>
        <w:tc>
          <w:tcPr>
            <w:tcW w:w="4002" w:type="dxa"/>
            <w:tcBorders>
              <w:top w:val="dotted" w:sz="4" w:space="0" w:color="auto"/>
              <w:left w:val="dotted" w:sz="4" w:space="0" w:color="auto"/>
              <w:bottom w:val="dotted" w:sz="4" w:space="0" w:color="auto"/>
              <w:right w:val="dotted" w:sz="4" w:space="0" w:color="auto"/>
            </w:tcBorders>
          </w:tcPr>
          <w:p w14:paraId="72E13EA4" w14:textId="1113F5DB" w:rsidR="00DF209F" w:rsidRPr="00264CCB" w:rsidRDefault="00DF209F" w:rsidP="00A025F2">
            <w:pPr>
              <w:tabs>
                <w:tab w:val="left" w:pos="1635"/>
              </w:tabs>
              <w:rPr>
                <w:i/>
                <w:sz w:val="17"/>
                <w:szCs w:val="17"/>
                <w:lang w:eastAsia="en-AU"/>
              </w:rPr>
            </w:pPr>
            <w:r w:rsidRPr="00264CCB">
              <w:rPr>
                <w:i/>
                <w:sz w:val="17"/>
                <w:szCs w:val="17"/>
                <w:lang w:eastAsia="en-AU"/>
              </w:rPr>
              <w:t>Program Steering Committee with M</w:t>
            </w:r>
            <w:r w:rsidR="00567400">
              <w:rPr>
                <w:i/>
                <w:sz w:val="17"/>
                <w:szCs w:val="17"/>
                <w:lang w:eastAsia="en-AU"/>
              </w:rPr>
              <w:t xml:space="preserve">inistry </w:t>
            </w:r>
            <w:r w:rsidRPr="00264CCB">
              <w:rPr>
                <w:i/>
                <w:sz w:val="17"/>
                <w:szCs w:val="17"/>
                <w:lang w:eastAsia="en-AU"/>
              </w:rPr>
              <w:t>o</w:t>
            </w:r>
            <w:r w:rsidR="00567400">
              <w:rPr>
                <w:i/>
                <w:sz w:val="17"/>
                <w:szCs w:val="17"/>
                <w:lang w:eastAsia="en-AU"/>
              </w:rPr>
              <w:t xml:space="preserve">f </w:t>
            </w:r>
            <w:r w:rsidRPr="00264CCB">
              <w:rPr>
                <w:i/>
                <w:sz w:val="17"/>
                <w:szCs w:val="17"/>
                <w:lang w:eastAsia="en-AU"/>
              </w:rPr>
              <w:t>F</w:t>
            </w:r>
            <w:r w:rsidR="00567400">
              <w:rPr>
                <w:i/>
                <w:sz w:val="17"/>
                <w:szCs w:val="17"/>
                <w:lang w:eastAsia="en-AU"/>
              </w:rPr>
              <w:t>inance (MoF)</w:t>
            </w:r>
            <w:r w:rsidRPr="00264CCB">
              <w:rPr>
                <w:i/>
                <w:sz w:val="17"/>
                <w:szCs w:val="17"/>
                <w:lang w:eastAsia="en-AU"/>
              </w:rPr>
              <w:t xml:space="preserve"> and other relevant ministries established and functional; </w:t>
            </w:r>
          </w:p>
          <w:p w14:paraId="462D0B18" w14:textId="77777777" w:rsidR="00DF209F" w:rsidRPr="00117768" w:rsidRDefault="00DF209F" w:rsidP="00A025F2">
            <w:pPr>
              <w:tabs>
                <w:tab w:val="left" w:pos="1635"/>
              </w:tabs>
              <w:rPr>
                <w:sz w:val="17"/>
                <w:szCs w:val="17"/>
                <w:lang w:eastAsia="en-AU"/>
              </w:rPr>
            </w:pPr>
            <w:r w:rsidRPr="00117768">
              <w:rPr>
                <w:sz w:val="17"/>
                <w:szCs w:val="17"/>
                <w:lang w:eastAsia="en-AU"/>
              </w:rPr>
              <w:t xml:space="preserve">Both Program Steering Committee and Project Implementation Committee established and functional.  </w:t>
            </w:r>
          </w:p>
          <w:p w14:paraId="490F78C0" w14:textId="77777777" w:rsidR="00DF209F" w:rsidRPr="00117768" w:rsidRDefault="00DF209F" w:rsidP="00A025F2">
            <w:pPr>
              <w:tabs>
                <w:tab w:val="left" w:pos="1635"/>
              </w:tabs>
              <w:rPr>
                <w:sz w:val="17"/>
                <w:szCs w:val="17"/>
                <w:lang w:eastAsia="en-AU"/>
              </w:rPr>
            </w:pPr>
          </w:p>
          <w:p w14:paraId="71984034" w14:textId="77777777" w:rsidR="00DF209F" w:rsidRPr="00264CCB" w:rsidRDefault="00DF209F" w:rsidP="00A025F2">
            <w:pPr>
              <w:tabs>
                <w:tab w:val="left" w:pos="1635"/>
              </w:tabs>
              <w:rPr>
                <w:i/>
                <w:sz w:val="17"/>
                <w:szCs w:val="17"/>
                <w:lang w:eastAsia="en-AU"/>
              </w:rPr>
            </w:pPr>
            <w:r w:rsidRPr="00264CCB">
              <w:rPr>
                <w:i/>
                <w:sz w:val="17"/>
                <w:szCs w:val="17"/>
                <w:lang w:eastAsia="en-AU"/>
              </w:rPr>
              <w:t>NSSS translated into the 7th Five Year Plan</w:t>
            </w:r>
          </w:p>
          <w:p w14:paraId="78E3FEA7" w14:textId="77777777" w:rsidR="00DF209F" w:rsidRPr="00117768" w:rsidRDefault="00DF209F" w:rsidP="00A025F2">
            <w:pPr>
              <w:tabs>
                <w:tab w:val="left" w:pos="1635"/>
              </w:tabs>
              <w:rPr>
                <w:sz w:val="17"/>
                <w:szCs w:val="17"/>
                <w:lang w:eastAsia="en-AU"/>
              </w:rPr>
            </w:pPr>
            <w:r w:rsidRPr="00117768">
              <w:rPr>
                <w:sz w:val="17"/>
                <w:szCs w:val="17"/>
                <w:lang w:eastAsia="en-AU"/>
              </w:rPr>
              <w:t xml:space="preserve">NSSS has strong political buy in and endorsed by the 7th Five Year plan (2016-2020). </w:t>
            </w:r>
          </w:p>
        </w:tc>
        <w:tc>
          <w:tcPr>
            <w:tcW w:w="312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DAD3EEF" w14:textId="627FBE26" w:rsidR="00DF209F" w:rsidRDefault="00DF209F" w:rsidP="00A025F2">
            <w:pPr>
              <w:tabs>
                <w:tab w:val="left" w:pos="1635"/>
              </w:tabs>
              <w:rPr>
                <w:i/>
                <w:sz w:val="17"/>
                <w:szCs w:val="17"/>
                <w:lang w:eastAsia="en-AU"/>
              </w:rPr>
            </w:pPr>
            <w:r>
              <w:rPr>
                <w:i/>
                <w:sz w:val="17"/>
                <w:szCs w:val="17"/>
                <w:lang w:eastAsia="en-AU"/>
              </w:rPr>
              <w:t xml:space="preserve">Target: </w:t>
            </w:r>
            <w:r w:rsidRPr="00264CCB">
              <w:rPr>
                <w:i/>
                <w:sz w:val="17"/>
                <w:szCs w:val="17"/>
                <w:lang w:eastAsia="en-AU"/>
              </w:rPr>
              <w:t>Data from Government of Bangladesh</w:t>
            </w:r>
            <w:r w:rsidR="00E60A7E">
              <w:rPr>
                <w:i/>
                <w:sz w:val="17"/>
                <w:szCs w:val="17"/>
                <w:lang w:eastAsia="en-AU"/>
              </w:rPr>
              <w:t xml:space="preserve"> (GoB)</w:t>
            </w:r>
            <w:r w:rsidRPr="00264CCB">
              <w:rPr>
                <w:i/>
                <w:sz w:val="17"/>
                <w:szCs w:val="17"/>
                <w:lang w:eastAsia="en-AU"/>
              </w:rPr>
              <w:t xml:space="preserve"> sources analysed and recommendations made for systematic improvement;</w:t>
            </w:r>
          </w:p>
          <w:p w14:paraId="5A5430D0" w14:textId="22341A27" w:rsidR="00DF209F" w:rsidRPr="00D72A85" w:rsidRDefault="00DF209F" w:rsidP="00A025F2">
            <w:pPr>
              <w:tabs>
                <w:tab w:val="left" w:pos="1635"/>
              </w:tabs>
              <w:rPr>
                <w:sz w:val="17"/>
                <w:szCs w:val="17"/>
                <w:lang w:eastAsia="en-AU"/>
              </w:rPr>
            </w:pPr>
            <w:r w:rsidRPr="00614217">
              <w:rPr>
                <w:sz w:val="17"/>
                <w:szCs w:val="17"/>
                <w:lang w:eastAsia="en-AU"/>
              </w:rPr>
              <w:t xml:space="preserve">Implementation of Research Framework underway. Research recommendations (for example on coverage, targeting, and budget implications) are informing the development of program reform plans which are to be completed in the next reporting period.  Research activities include -  </w:t>
            </w:r>
            <w:r>
              <w:rPr>
                <w:sz w:val="17"/>
                <w:szCs w:val="17"/>
                <w:lang w:eastAsia="en-AU"/>
              </w:rPr>
              <w:t>a</w:t>
            </w:r>
            <w:r w:rsidR="00E60A7E">
              <w:rPr>
                <w:sz w:val="17"/>
                <w:szCs w:val="17"/>
                <w:lang w:eastAsia="en-AU"/>
              </w:rPr>
              <w:t>nalysis</w:t>
            </w:r>
            <w:r w:rsidRPr="00614217">
              <w:rPr>
                <w:sz w:val="17"/>
                <w:szCs w:val="17"/>
                <w:lang w:eastAsia="en-AU"/>
              </w:rPr>
              <w:t xml:space="preserve"> of 29 GoB social protection pr</w:t>
            </w:r>
            <w:r>
              <w:rPr>
                <w:sz w:val="17"/>
                <w:szCs w:val="17"/>
                <w:lang w:eastAsia="en-AU"/>
              </w:rPr>
              <w:t>ograms</w:t>
            </w:r>
            <w:r w:rsidRPr="00614217">
              <w:rPr>
                <w:sz w:val="17"/>
                <w:szCs w:val="17"/>
                <w:lang w:eastAsia="en-AU"/>
              </w:rPr>
              <w:t>;  diagnostic studies of 7 programs</w:t>
            </w:r>
            <w:r w:rsidR="00E60A7E">
              <w:rPr>
                <w:sz w:val="17"/>
                <w:szCs w:val="17"/>
                <w:lang w:eastAsia="en-AU"/>
              </w:rPr>
              <w:t xml:space="preserve"> – 4 completed and 2 underway; </w:t>
            </w:r>
            <w:r>
              <w:rPr>
                <w:sz w:val="17"/>
                <w:szCs w:val="17"/>
                <w:lang w:eastAsia="en-AU"/>
              </w:rPr>
              <w:t xml:space="preserve">and </w:t>
            </w:r>
            <w:r w:rsidRPr="00614217">
              <w:rPr>
                <w:sz w:val="17"/>
                <w:szCs w:val="17"/>
                <w:lang w:eastAsia="en-AU"/>
              </w:rPr>
              <w:t>studies on issues th</w:t>
            </w:r>
            <w:r>
              <w:rPr>
                <w:sz w:val="17"/>
                <w:szCs w:val="17"/>
                <w:lang w:eastAsia="en-AU"/>
              </w:rPr>
              <w:t>at cut across schemes</w:t>
            </w:r>
            <w:r w:rsidRPr="00614217">
              <w:rPr>
                <w:sz w:val="17"/>
                <w:szCs w:val="17"/>
                <w:lang w:eastAsia="en-AU"/>
              </w:rPr>
              <w:t xml:space="preserve"> – e</w:t>
            </w:r>
            <w:r>
              <w:rPr>
                <w:sz w:val="17"/>
                <w:szCs w:val="17"/>
                <w:lang w:eastAsia="en-AU"/>
              </w:rPr>
              <w:t>.</w:t>
            </w:r>
            <w:r w:rsidRPr="00614217">
              <w:rPr>
                <w:sz w:val="17"/>
                <w:szCs w:val="17"/>
                <w:lang w:eastAsia="en-AU"/>
              </w:rPr>
              <w:t>g. payment systems. </w:t>
            </w:r>
          </w:p>
          <w:p w14:paraId="6AE17B2B" w14:textId="77777777" w:rsidR="00DF209F" w:rsidRPr="00264CCB" w:rsidRDefault="00DF209F" w:rsidP="00A025F2">
            <w:pPr>
              <w:tabs>
                <w:tab w:val="left" w:pos="1635"/>
              </w:tabs>
              <w:rPr>
                <w:i/>
                <w:sz w:val="17"/>
                <w:szCs w:val="17"/>
                <w:lang w:eastAsia="en-AU"/>
              </w:rPr>
            </w:pPr>
            <w:r>
              <w:rPr>
                <w:i/>
                <w:sz w:val="17"/>
                <w:szCs w:val="17"/>
                <w:lang w:eastAsia="en-AU"/>
              </w:rPr>
              <w:t xml:space="preserve">Target: </w:t>
            </w:r>
            <w:r w:rsidRPr="00264CCB">
              <w:rPr>
                <w:i/>
                <w:sz w:val="17"/>
                <w:szCs w:val="17"/>
                <w:lang w:eastAsia="en-AU"/>
              </w:rPr>
              <w:t>Increased budget - as a percentage of GDP and fewer safety net programs</w:t>
            </w:r>
          </w:p>
          <w:p w14:paraId="673F1821" w14:textId="272EDBB2" w:rsidR="00DF209F" w:rsidRPr="00117768" w:rsidRDefault="00DF209F" w:rsidP="00C74270">
            <w:pPr>
              <w:tabs>
                <w:tab w:val="left" w:pos="1635"/>
              </w:tabs>
              <w:rPr>
                <w:sz w:val="17"/>
                <w:szCs w:val="17"/>
                <w:lang w:eastAsia="en-AU"/>
              </w:rPr>
            </w:pPr>
            <w:r w:rsidRPr="00117768">
              <w:rPr>
                <w:sz w:val="17"/>
                <w:szCs w:val="17"/>
                <w:lang w:eastAsia="en-AU"/>
              </w:rPr>
              <w:t>Budget in</w:t>
            </w:r>
            <w:r>
              <w:rPr>
                <w:sz w:val="17"/>
                <w:szCs w:val="17"/>
                <w:lang w:eastAsia="en-AU"/>
              </w:rPr>
              <w:t>creased from 2.08 per cent of GDP (</w:t>
            </w:r>
            <w:r w:rsidRPr="00117768">
              <w:rPr>
                <w:sz w:val="17"/>
                <w:szCs w:val="17"/>
                <w:lang w:eastAsia="en-AU"/>
              </w:rPr>
              <w:t>2015-16</w:t>
            </w:r>
            <w:r>
              <w:rPr>
                <w:sz w:val="17"/>
                <w:szCs w:val="17"/>
                <w:lang w:eastAsia="en-AU"/>
              </w:rPr>
              <w:t>)</w:t>
            </w:r>
            <w:r w:rsidRPr="00117768">
              <w:rPr>
                <w:sz w:val="17"/>
                <w:szCs w:val="17"/>
                <w:lang w:eastAsia="en-AU"/>
              </w:rPr>
              <w:t xml:space="preserve"> </w:t>
            </w:r>
            <w:r>
              <w:rPr>
                <w:sz w:val="17"/>
                <w:szCs w:val="17"/>
                <w:lang w:eastAsia="en-AU"/>
              </w:rPr>
              <w:t xml:space="preserve">to 2.09 per cent in </w:t>
            </w:r>
            <w:r>
              <w:rPr>
                <w:sz w:val="17"/>
                <w:szCs w:val="17"/>
                <w:lang w:eastAsia="en-AU"/>
              </w:rPr>
              <w:br/>
              <w:t xml:space="preserve">2016-17. </w:t>
            </w:r>
            <w:r w:rsidR="00C74270">
              <w:rPr>
                <w:sz w:val="17"/>
                <w:szCs w:val="17"/>
                <w:lang w:eastAsia="en-AU"/>
              </w:rPr>
              <w:t xml:space="preserve">Budget expenditure </w:t>
            </w:r>
            <w:r w:rsidRPr="00B4365A">
              <w:rPr>
                <w:sz w:val="17"/>
                <w:szCs w:val="17"/>
                <w:lang w:eastAsia="en-AU"/>
              </w:rPr>
              <w:t>increased from AUD 41.99 billion in 2015-16 to 50.34 billion in 2016-17</w:t>
            </w:r>
            <w:r>
              <w:rPr>
                <w:sz w:val="17"/>
                <w:szCs w:val="17"/>
                <w:lang w:eastAsia="en-AU"/>
              </w:rPr>
              <w:t>.</w:t>
            </w:r>
          </w:p>
        </w:tc>
        <w:tc>
          <w:tcPr>
            <w:tcW w:w="1132" w:type="dxa"/>
            <w:tcBorders>
              <w:top w:val="dotted" w:sz="4" w:space="0" w:color="auto"/>
              <w:left w:val="dotted" w:sz="4" w:space="0" w:color="auto"/>
              <w:bottom w:val="dotted" w:sz="4" w:space="0" w:color="auto"/>
              <w:right w:val="dotted" w:sz="4" w:space="0" w:color="auto"/>
            </w:tcBorders>
          </w:tcPr>
          <w:p w14:paraId="7A8D9F66" w14:textId="77777777" w:rsidR="00DF209F" w:rsidRPr="00117768" w:rsidRDefault="00DF209F" w:rsidP="00A025F2">
            <w:pPr>
              <w:tabs>
                <w:tab w:val="left" w:pos="1635"/>
              </w:tabs>
              <w:rPr>
                <w:sz w:val="17"/>
                <w:szCs w:val="17"/>
                <w:lang w:eastAsia="en-AU"/>
              </w:rPr>
            </w:pPr>
            <w:r w:rsidRPr="00117768">
              <w:rPr>
                <w:sz w:val="17"/>
                <w:szCs w:val="17"/>
                <w:lang w:eastAsia="en-AU"/>
              </w:rPr>
              <w:t>Efficient utilisation of resources through consolidated and effectively managed social protection programs with greater coverage and better targeting</w:t>
            </w:r>
          </w:p>
        </w:tc>
        <w:tc>
          <w:tcPr>
            <w:tcW w:w="1420" w:type="dxa"/>
            <w:tcBorders>
              <w:top w:val="dotted" w:sz="4" w:space="0" w:color="auto"/>
              <w:left w:val="dotted" w:sz="4" w:space="0" w:color="auto"/>
              <w:bottom w:val="dotted" w:sz="4" w:space="0" w:color="auto"/>
              <w:right w:val="dotted" w:sz="4" w:space="0" w:color="auto"/>
            </w:tcBorders>
          </w:tcPr>
          <w:p w14:paraId="2628FE19" w14:textId="77777777" w:rsidR="00DF209F" w:rsidRPr="00117768" w:rsidRDefault="00DF209F" w:rsidP="00A025F2">
            <w:pPr>
              <w:tabs>
                <w:tab w:val="left" w:pos="1635"/>
              </w:tabs>
              <w:rPr>
                <w:sz w:val="17"/>
                <w:szCs w:val="17"/>
                <w:lang w:eastAsia="en-AU"/>
              </w:rPr>
            </w:pPr>
            <w:r w:rsidRPr="00117768">
              <w:rPr>
                <w:sz w:val="17"/>
                <w:szCs w:val="17"/>
                <w:lang w:eastAsia="en-AU"/>
              </w:rPr>
              <w:t>Government of Bangladesh and DFID Reporting</w:t>
            </w:r>
          </w:p>
        </w:tc>
      </w:tr>
      <w:tr w:rsidR="00DF209F" w:rsidRPr="00117768" w14:paraId="4F1AD899" w14:textId="77777777" w:rsidTr="00E60A7E">
        <w:trPr>
          <w:trHeight w:val="781"/>
        </w:trPr>
        <w:tc>
          <w:tcPr>
            <w:tcW w:w="1649" w:type="dxa"/>
            <w:vMerge w:val="restart"/>
            <w:tcBorders>
              <w:top w:val="dotted" w:sz="4" w:space="0" w:color="auto"/>
              <w:left w:val="dotted" w:sz="4" w:space="0" w:color="auto"/>
              <w:bottom w:val="dotted" w:sz="4" w:space="0" w:color="auto"/>
              <w:right w:val="dotted" w:sz="4" w:space="0" w:color="auto"/>
            </w:tcBorders>
          </w:tcPr>
          <w:p w14:paraId="1F63791A" w14:textId="77777777" w:rsidR="00DF209F" w:rsidRPr="00117768" w:rsidRDefault="00DF209F" w:rsidP="00A025F2">
            <w:pPr>
              <w:tabs>
                <w:tab w:val="left" w:pos="1635"/>
              </w:tabs>
              <w:rPr>
                <w:sz w:val="17"/>
                <w:szCs w:val="17"/>
                <w:lang w:eastAsia="en-AU"/>
              </w:rPr>
            </w:pPr>
          </w:p>
          <w:p w14:paraId="4629A659" w14:textId="77777777" w:rsidR="00DF209F" w:rsidRPr="00117768" w:rsidRDefault="00DF209F" w:rsidP="00A025F2">
            <w:pPr>
              <w:tabs>
                <w:tab w:val="left" w:pos="1635"/>
              </w:tabs>
              <w:rPr>
                <w:sz w:val="17"/>
                <w:szCs w:val="17"/>
                <w:lang w:eastAsia="en-AU"/>
              </w:rPr>
            </w:pPr>
          </w:p>
          <w:p w14:paraId="46DF7E3F" w14:textId="77777777" w:rsidR="00DF209F" w:rsidRPr="00117768" w:rsidRDefault="00DF209F" w:rsidP="00A025F2">
            <w:pPr>
              <w:tabs>
                <w:tab w:val="left" w:pos="1635"/>
              </w:tabs>
              <w:rPr>
                <w:sz w:val="17"/>
                <w:szCs w:val="17"/>
                <w:lang w:eastAsia="en-AU"/>
              </w:rPr>
            </w:pPr>
          </w:p>
          <w:p w14:paraId="06FB0F88" w14:textId="77777777" w:rsidR="00DF209F" w:rsidRPr="00117768" w:rsidRDefault="00DF209F" w:rsidP="00A025F2">
            <w:pPr>
              <w:tabs>
                <w:tab w:val="left" w:pos="1635"/>
              </w:tabs>
              <w:rPr>
                <w:sz w:val="17"/>
                <w:szCs w:val="17"/>
                <w:lang w:eastAsia="en-AU"/>
              </w:rPr>
            </w:pPr>
          </w:p>
          <w:p w14:paraId="688F834F" w14:textId="77777777" w:rsidR="00DF209F" w:rsidRPr="00117768" w:rsidRDefault="00DF209F" w:rsidP="00A025F2">
            <w:pPr>
              <w:tabs>
                <w:tab w:val="left" w:pos="1635"/>
              </w:tabs>
              <w:rPr>
                <w:sz w:val="17"/>
                <w:szCs w:val="17"/>
                <w:lang w:eastAsia="en-AU"/>
              </w:rPr>
            </w:pPr>
          </w:p>
          <w:p w14:paraId="64AD62A9" w14:textId="77777777" w:rsidR="00DF209F" w:rsidRPr="00117768" w:rsidRDefault="00DF209F" w:rsidP="00A025F2">
            <w:pPr>
              <w:tabs>
                <w:tab w:val="left" w:pos="1635"/>
              </w:tabs>
              <w:rPr>
                <w:sz w:val="17"/>
                <w:szCs w:val="17"/>
                <w:lang w:eastAsia="en-AU"/>
              </w:rPr>
            </w:pPr>
          </w:p>
        </w:tc>
        <w:tc>
          <w:tcPr>
            <w:tcW w:w="1663" w:type="dxa"/>
            <w:gridSpan w:val="2"/>
            <w:tcBorders>
              <w:top w:val="dotted" w:sz="4" w:space="0" w:color="auto"/>
              <w:left w:val="dotted" w:sz="4" w:space="0" w:color="auto"/>
              <w:bottom w:val="dotted" w:sz="4" w:space="0" w:color="auto"/>
              <w:right w:val="dotted" w:sz="4" w:space="0" w:color="auto"/>
            </w:tcBorders>
          </w:tcPr>
          <w:p w14:paraId="6AAEDBFD" w14:textId="77777777" w:rsidR="00DF209F" w:rsidRPr="00117768" w:rsidRDefault="00DF209F" w:rsidP="00A025F2">
            <w:pPr>
              <w:tabs>
                <w:tab w:val="left" w:pos="1635"/>
              </w:tabs>
              <w:rPr>
                <w:i/>
                <w:sz w:val="17"/>
                <w:szCs w:val="17"/>
                <w:lang w:eastAsia="en-AU"/>
              </w:rPr>
            </w:pPr>
            <w:r w:rsidRPr="00117768">
              <w:rPr>
                <w:i/>
                <w:sz w:val="17"/>
                <w:szCs w:val="17"/>
                <w:lang w:eastAsia="en-AU"/>
              </w:rPr>
              <w:lastRenderedPageBreak/>
              <w:t>Directions of NSSS reflected in national development plans; and</w:t>
            </w:r>
          </w:p>
          <w:p w14:paraId="513A56A5" w14:textId="77777777" w:rsidR="00DF209F" w:rsidRPr="00117768" w:rsidRDefault="00DF209F" w:rsidP="00A025F2">
            <w:pPr>
              <w:tabs>
                <w:tab w:val="left" w:pos="1635"/>
              </w:tabs>
              <w:rPr>
                <w:i/>
                <w:sz w:val="17"/>
                <w:szCs w:val="17"/>
                <w:lang w:eastAsia="en-AU"/>
              </w:rPr>
            </w:pPr>
          </w:p>
          <w:p w14:paraId="461ADAB2" w14:textId="77777777" w:rsidR="00DF209F" w:rsidRPr="00117768" w:rsidRDefault="00DF209F" w:rsidP="00A025F2">
            <w:pPr>
              <w:tabs>
                <w:tab w:val="left" w:pos="1635"/>
              </w:tabs>
              <w:rPr>
                <w:i/>
                <w:sz w:val="17"/>
                <w:szCs w:val="17"/>
                <w:lang w:eastAsia="en-AU"/>
              </w:rPr>
            </w:pPr>
          </w:p>
          <w:p w14:paraId="0F44C7F1" w14:textId="77777777" w:rsidR="00DF209F" w:rsidRPr="00117768" w:rsidRDefault="00DF209F" w:rsidP="00A025F2">
            <w:pPr>
              <w:tabs>
                <w:tab w:val="left" w:pos="1635"/>
              </w:tabs>
              <w:rPr>
                <w:i/>
                <w:sz w:val="17"/>
                <w:szCs w:val="17"/>
                <w:lang w:eastAsia="en-AU"/>
              </w:rPr>
            </w:pPr>
          </w:p>
          <w:p w14:paraId="5CB723E4" w14:textId="77777777" w:rsidR="00DF209F" w:rsidRPr="00117768" w:rsidRDefault="00DF209F" w:rsidP="00A025F2">
            <w:pPr>
              <w:tabs>
                <w:tab w:val="left" w:pos="1635"/>
              </w:tabs>
              <w:rPr>
                <w:i/>
                <w:sz w:val="17"/>
                <w:szCs w:val="17"/>
                <w:lang w:eastAsia="en-AU"/>
              </w:rPr>
            </w:pPr>
          </w:p>
          <w:p w14:paraId="78E8DCA2" w14:textId="77777777" w:rsidR="00DF209F" w:rsidRPr="00117768" w:rsidRDefault="00DF209F" w:rsidP="00A025F2">
            <w:pPr>
              <w:tabs>
                <w:tab w:val="left" w:pos="1635"/>
              </w:tabs>
              <w:rPr>
                <w:i/>
                <w:sz w:val="17"/>
                <w:szCs w:val="17"/>
                <w:lang w:eastAsia="en-AU"/>
              </w:rPr>
            </w:pPr>
          </w:p>
          <w:p w14:paraId="186527E4" w14:textId="77777777" w:rsidR="00DF209F" w:rsidRPr="00117768" w:rsidRDefault="00DF209F" w:rsidP="00A025F2">
            <w:pPr>
              <w:tabs>
                <w:tab w:val="left" w:pos="1635"/>
              </w:tabs>
              <w:rPr>
                <w:i/>
                <w:sz w:val="17"/>
                <w:szCs w:val="17"/>
                <w:lang w:eastAsia="en-AU"/>
              </w:rPr>
            </w:pPr>
          </w:p>
        </w:tc>
        <w:tc>
          <w:tcPr>
            <w:tcW w:w="1544" w:type="dxa"/>
            <w:tcBorders>
              <w:top w:val="dotted" w:sz="4" w:space="0" w:color="auto"/>
              <w:left w:val="dotted" w:sz="4" w:space="0" w:color="auto"/>
              <w:bottom w:val="dotted" w:sz="4" w:space="0" w:color="auto"/>
              <w:right w:val="dotted" w:sz="4" w:space="0" w:color="auto"/>
            </w:tcBorders>
          </w:tcPr>
          <w:p w14:paraId="7BB8252D" w14:textId="77777777" w:rsidR="00DF209F" w:rsidRPr="00117768" w:rsidRDefault="00DF209F" w:rsidP="00A025F2">
            <w:pPr>
              <w:tabs>
                <w:tab w:val="left" w:pos="1635"/>
              </w:tabs>
              <w:rPr>
                <w:sz w:val="17"/>
                <w:szCs w:val="17"/>
                <w:lang w:eastAsia="en-AU"/>
              </w:rPr>
            </w:pPr>
            <w:r w:rsidRPr="00117768">
              <w:rPr>
                <w:sz w:val="17"/>
                <w:szCs w:val="17"/>
                <w:lang w:eastAsia="en-AU"/>
              </w:rPr>
              <w:lastRenderedPageBreak/>
              <w:t>Social Protection Unit established and operational at the Ministry of Finance</w:t>
            </w:r>
          </w:p>
        </w:tc>
        <w:tc>
          <w:tcPr>
            <w:tcW w:w="1530" w:type="dxa"/>
            <w:tcBorders>
              <w:top w:val="dotted" w:sz="4" w:space="0" w:color="auto"/>
              <w:left w:val="dotted" w:sz="4" w:space="0" w:color="auto"/>
              <w:bottom w:val="dotted" w:sz="4" w:space="0" w:color="auto"/>
              <w:right w:val="dotted" w:sz="4" w:space="0" w:color="auto"/>
            </w:tcBorders>
          </w:tcPr>
          <w:p w14:paraId="627716E6" w14:textId="77777777" w:rsidR="00DF209F" w:rsidRPr="00117768" w:rsidRDefault="00DF209F" w:rsidP="00A025F2">
            <w:pPr>
              <w:tabs>
                <w:tab w:val="left" w:pos="1635"/>
              </w:tabs>
              <w:rPr>
                <w:sz w:val="17"/>
                <w:szCs w:val="17"/>
                <w:lang w:eastAsia="en-AU"/>
              </w:rPr>
            </w:pPr>
            <w:r w:rsidRPr="00117768">
              <w:rPr>
                <w:sz w:val="17"/>
                <w:szCs w:val="17"/>
                <w:lang w:eastAsia="en-AU"/>
              </w:rPr>
              <w:t xml:space="preserve">Unit policy outputs and instances of influence on policy </w:t>
            </w:r>
          </w:p>
        </w:tc>
        <w:tc>
          <w:tcPr>
            <w:tcW w:w="4002" w:type="dxa"/>
            <w:tcBorders>
              <w:top w:val="dotted" w:sz="4" w:space="0" w:color="auto"/>
              <w:left w:val="dotted" w:sz="4" w:space="0" w:color="auto"/>
              <w:bottom w:val="dotted" w:sz="4" w:space="0" w:color="auto"/>
              <w:right w:val="dotted" w:sz="4" w:space="0" w:color="auto"/>
            </w:tcBorders>
          </w:tcPr>
          <w:p w14:paraId="0DB65099" w14:textId="77777777" w:rsidR="00DF209F" w:rsidRPr="00264CCB" w:rsidRDefault="00DF209F" w:rsidP="00A025F2">
            <w:pPr>
              <w:tabs>
                <w:tab w:val="left" w:pos="1635"/>
              </w:tabs>
              <w:rPr>
                <w:i/>
                <w:sz w:val="17"/>
                <w:szCs w:val="17"/>
                <w:lang w:eastAsia="en-AU"/>
              </w:rPr>
            </w:pPr>
            <w:r w:rsidRPr="00264CCB">
              <w:rPr>
                <w:i/>
                <w:sz w:val="17"/>
                <w:szCs w:val="17"/>
                <w:lang w:eastAsia="en-AU"/>
              </w:rPr>
              <w:t xml:space="preserve">Social Protection Unit established in Ministry of Finance; </w:t>
            </w:r>
          </w:p>
          <w:p w14:paraId="263EA54C" w14:textId="77777777" w:rsidR="00DF209F" w:rsidRPr="00117768" w:rsidRDefault="00DF209F" w:rsidP="00A025F2">
            <w:pPr>
              <w:tabs>
                <w:tab w:val="left" w:pos="1635"/>
              </w:tabs>
              <w:rPr>
                <w:sz w:val="17"/>
                <w:szCs w:val="17"/>
                <w:lang w:eastAsia="en-AU"/>
              </w:rPr>
            </w:pPr>
            <w:r w:rsidRPr="00117768">
              <w:rPr>
                <w:sz w:val="17"/>
                <w:szCs w:val="17"/>
                <w:lang w:eastAsia="en-AU"/>
              </w:rPr>
              <w:t xml:space="preserve">Social Protection Unit established; Executive director and 1 Deputy Director appointed; 3 Deputy Positions are still remaining. </w:t>
            </w:r>
          </w:p>
          <w:p w14:paraId="69C7B3D1" w14:textId="2DBE9681" w:rsidR="00DF209F" w:rsidRPr="00264CCB" w:rsidRDefault="00DF209F" w:rsidP="00A025F2">
            <w:pPr>
              <w:tabs>
                <w:tab w:val="left" w:pos="1635"/>
              </w:tabs>
              <w:rPr>
                <w:i/>
                <w:sz w:val="17"/>
                <w:szCs w:val="17"/>
                <w:lang w:eastAsia="en-AU"/>
              </w:rPr>
            </w:pPr>
            <w:r w:rsidRPr="00264CCB">
              <w:rPr>
                <w:i/>
                <w:sz w:val="17"/>
                <w:szCs w:val="17"/>
                <w:lang w:eastAsia="en-AU"/>
              </w:rPr>
              <w:lastRenderedPageBreak/>
              <w:t>Tendering completed for procurement of expertise to design a MIS based in the Social Protection unit</w:t>
            </w:r>
          </w:p>
          <w:p w14:paraId="2D4A390F" w14:textId="77777777" w:rsidR="00DF209F" w:rsidRPr="00117768" w:rsidRDefault="00DF209F" w:rsidP="00A025F2">
            <w:pPr>
              <w:tabs>
                <w:tab w:val="left" w:pos="1635"/>
              </w:tabs>
              <w:rPr>
                <w:sz w:val="17"/>
                <w:szCs w:val="17"/>
                <w:lang w:eastAsia="en-AU"/>
              </w:rPr>
            </w:pPr>
            <w:r w:rsidRPr="00117768">
              <w:rPr>
                <w:sz w:val="17"/>
                <w:szCs w:val="17"/>
                <w:lang w:eastAsia="en-AU"/>
              </w:rPr>
              <w:t>MIS methodology report approved, MIS specialist consulted with MoF, MoSW &amp; MoWCA &amp; developed an implementation plan.</w:t>
            </w:r>
          </w:p>
        </w:tc>
        <w:tc>
          <w:tcPr>
            <w:tcW w:w="312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137BD004" w14:textId="216C9E0D" w:rsidR="00DF209F" w:rsidRPr="00264CCB" w:rsidRDefault="00DF209F" w:rsidP="00A025F2">
            <w:pPr>
              <w:tabs>
                <w:tab w:val="left" w:pos="1635"/>
              </w:tabs>
              <w:rPr>
                <w:i/>
                <w:sz w:val="17"/>
                <w:szCs w:val="17"/>
                <w:lang w:eastAsia="en-AU"/>
              </w:rPr>
            </w:pPr>
            <w:r>
              <w:rPr>
                <w:i/>
                <w:sz w:val="17"/>
                <w:szCs w:val="17"/>
                <w:lang w:eastAsia="en-AU"/>
              </w:rPr>
              <w:lastRenderedPageBreak/>
              <w:t xml:space="preserve">Target: </w:t>
            </w:r>
            <w:r w:rsidRPr="00264CCB">
              <w:rPr>
                <w:i/>
                <w:sz w:val="17"/>
                <w:szCs w:val="17"/>
                <w:lang w:eastAsia="en-AU"/>
              </w:rPr>
              <w:t>M</w:t>
            </w:r>
            <w:r w:rsidR="00E60A7E">
              <w:rPr>
                <w:i/>
                <w:sz w:val="17"/>
                <w:szCs w:val="17"/>
                <w:lang w:eastAsia="en-AU"/>
              </w:rPr>
              <w:t xml:space="preserve">anagement </w:t>
            </w:r>
            <w:r w:rsidRPr="00264CCB">
              <w:rPr>
                <w:i/>
                <w:sz w:val="17"/>
                <w:szCs w:val="17"/>
                <w:lang w:eastAsia="en-AU"/>
              </w:rPr>
              <w:t>I</w:t>
            </w:r>
            <w:r w:rsidR="00E60A7E">
              <w:rPr>
                <w:i/>
                <w:sz w:val="17"/>
                <w:szCs w:val="17"/>
                <w:lang w:eastAsia="en-AU"/>
              </w:rPr>
              <w:t xml:space="preserve">nformation </w:t>
            </w:r>
            <w:r w:rsidRPr="00264CCB">
              <w:rPr>
                <w:i/>
                <w:sz w:val="17"/>
                <w:szCs w:val="17"/>
                <w:lang w:eastAsia="en-AU"/>
              </w:rPr>
              <w:t>S</w:t>
            </w:r>
            <w:r w:rsidR="00E60A7E">
              <w:rPr>
                <w:i/>
                <w:sz w:val="17"/>
                <w:szCs w:val="17"/>
                <w:lang w:eastAsia="en-AU"/>
              </w:rPr>
              <w:t xml:space="preserve">ystem (MIS) </w:t>
            </w:r>
            <w:r w:rsidRPr="00264CCB">
              <w:rPr>
                <w:i/>
                <w:sz w:val="17"/>
                <w:szCs w:val="17"/>
                <w:lang w:eastAsia="en-AU"/>
              </w:rPr>
              <w:t xml:space="preserve"> established as a central hub and linked with other MISs within main implementing line ministries</w:t>
            </w:r>
          </w:p>
          <w:p w14:paraId="0FE7DB95" w14:textId="39B409AF" w:rsidR="00DF209F" w:rsidRPr="00117768" w:rsidRDefault="00DF209F" w:rsidP="00DF05FD">
            <w:pPr>
              <w:tabs>
                <w:tab w:val="left" w:pos="1635"/>
              </w:tabs>
              <w:rPr>
                <w:sz w:val="17"/>
                <w:szCs w:val="17"/>
                <w:lang w:eastAsia="en-AU"/>
              </w:rPr>
            </w:pPr>
            <w:r w:rsidRPr="00D44ADB">
              <w:rPr>
                <w:sz w:val="17"/>
                <w:szCs w:val="17"/>
                <w:lang w:eastAsia="en-AU"/>
              </w:rPr>
              <w:t>Good progress was made to establish a central MIS</w:t>
            </w:r>
            <w:r>
              <w:rPr>
                <w:sz w:val="17"/>
                <w:szCs w:val="17"/>
                <w:lang w:eastAsia="en-AU"/>
              </w:rPr>
              <w:t xml:space="preserve"> hub</w:t>
            </w:r>
            <w:r w:rsidRPr="00D44ADB">
              <w:rPr>
                <w:sz w:val="17"/>
                <w:szCs w:val="17"/>
                <w:lang w:eastAsia="en-AU"/>
              </w:rPr>
              <w:t xml:space="preserve"> during the reporting </w:t>
            </w:r>
            <w:r w:rsidRPr="00D44ADB">
              <w:rPr>
                <w:sz w:val="17"/>
                <w:szCs w:val="17"/>
                <w:lang w:eastAsia="en-AU"/>
              </w:rPr>
              <w:lastRenderedPageBreak/>
              <w:t xml:space="preserve">period. A needs assessment, project plan, and systems specifications for the MIS were completed.  A MIS prototype </w:t>
            </w:r>
            <w:r w:rsidR="00DF05FD">
              <w:rPr>
                <w:sz w:val="17"/>
                <w:szCs w:val="17"/>
                <w:lang w:eastAsia="en-AU"/>
              </w:rPr>
              <w:t xml:space="preserve">was developed and </w:t>
            </w:r>
            <w:r w:rsidRPr="00D44ADB">
              <w:rPr>
                <w:sz w:val="17"/>
                <w:szCs w:val="17"/>
                <w:lang w:eastAsia="en-AU"/>
              </w:rPr>
              <w:t>piloted in the Directorate of Womens’ Affair. On pilot completion, the MIS will be rolled out across other Ministries.</w:t>
            </w:r>
          </w:p>
        </w:tc>
        <w:tc>
          <w:tcPr>
            <w:tcW w:w="1132" w:type="dxa"/>
            <w:tcBorders>
              <w:top w:val="dotted" w:sz="4" w:space="0" w:color="auto"/>
              <w:left w:val="dotted" w:sz="4" w:space="0" w:color="auto"/>
              <w:bottom w:val="dotted" w:sz="4" w:space="0" w:color="auto"/>
              <w:right w:val="dotted" w:sz="4" w:space="0" w:color="auto"/>
            </w:tcBorders>
          </w:tcPr>
          <w:p w14:paraId="4CDFAA76" w14:textId="77777777" w:rsidR="00DF209F" w:rsidRPr="00117768" w:rsidRDefault="00DF209F" w:rsidP="00A025F2">
            <w:pPr>
              <w:tabs>
                <w:tab w:val="left" w:pos="1635"/>
              </w:tabs>
              <w:rPr>
                <w:sz w:val="17"/>
                <w:szCs w:val="17"/>
                <w:lang w:eastAsia="en-AU"/>
              </w:rPr>
            </w:pPr>
            <w:r w:rsidRPr="00117768">
              <w:rPr>
                <w:sz w:val="17"/>
                <w:szCs w:val="17"/>
                <w:lang w:eastAsia="en-AU"/>
              </w:rPr>
              <w:lastRenderedPageBreak/>
              <w:t xml:space="preserve">Enhanced security, regularity, timeliness and reliability of transfers, </w:t>
            </w:r>
            <w:r w:rsidRPr="00117768">
              <w:rPr>
                <w:sz w:val="17"/>
                <w:szCs w:val="17"/>
                <w:lang w:eastAsia="en-AU"/>
              </w:rPr>
              <w:lastRenderedPageBreak/>
              <w:t>enabled by better management information and electronic delivery systems.</w:t>
            </w:r>
          </w:p>
        </w:tc>
        <w:tc>
          <w:tcPr>
            <w:tcW w:w="1420" w:type="dxa"/>
            <w:tcBorders>
              <w:top w:val="dotted" w:sz="4" w:space="0" w:color="auto"/>
              <w:left w:val="dotted" w:sz="4" w:space="0" w:color="auto"/>
              <w:bottom w:val="dotted" w:sz="4" w:space="0" w:color="auto"/>
              <w:right w:val="dotted" w:sz="4" w:space="0" w:color="auto"/>
            </w:tcBorders>
          </w:tcPr>
          <w:p w14:paraId="3B9B47B6" w14:textId="77777777" w:rsidR="00DF209F" w:rsidRPr="00117768" w:rsidRDefault="00DF209F" w:rsidP="00A025F2">
            <w:pPr>
              <w:tabs>
                <w:tab w:val="left" w:pos="1635"/>
              </w:tabs>
              <w:rPr>
                <w:sz w:val="17"/>
                <w:szCs w:val="17"/>
                <w:lang w:eastAsia="en-AU"/>
              </w:rPr>
            </w:pPr>
            <w:r w:rsidRPr="00117768">
              <w:rPr>
                <w:sz w:val="17"/>
                <w:szCs w:val="17"/>
                <w:lang w:eastAsia="en-AU"/>
              </w:rPr>
              <w:lastRenderedPageBreak/>
              <w:t>Government of Bangladesh and DFID Reporting</w:t>
            </w:r>
          </w:p>
        </w:tc>
      </w:tr>
      <w:tr w:rsidR="00DF209F" w:rsidRPr="00117768" w14:paraId="16E90B13" w14:textId="77777777" w:rsidTr="00E60A7E">
        <w:trPr>
          <w:trHeight w:val="2763"/>
        </w:trPr>
        <w:tc>
          <w:tcPr>
            <w:tcW w:w="1649" w:type="dxa"/>
            <w:vMerge/>
            <w:tcBorders>
              <w:top w:val="single" w:sz="4" w:space="0" w:color="auto"/>
              <w:left w:val="dotted" w:sz="4" w:space="0" w:color="auto"/>
              <w:bottom w:val="dotted" w:sz="4" w:space="0" w:color="auto"/>
              <w:right w:val="dotted" w:sz="4" w:space="0" w:color="auto"/>
            </w:tcBorders>
          </w:tcPr>
          <w:p w14:paraId="53F44A5C" w14:textId="77777777" w:rsidR="00DF209F" w:rsidRPr="00117768" w:rsidRDefault="00DF209F" w:rsidP="00A025F2">
            <w:pPr>
              <w:tabs>
                <w:tab w:val="left" w:pos="1635"/>
              </w:tabs>
              <w:rPr>
                <w:sz w:val="17"/>
                <w:szCs w:val="17"/>
                <w:lang w:eastAsia="en-AU"/>
              </w:rPr>
            </w:pPr>
          </w:p>
        </w:tc>
        <w:tc>
          <w:tcPr>
            <w:tcW w:w="1663" w:type="dxa"/>
            <w:gridSpan w:val="2"/>
            <w:tcBorders>
              <w:top w:val="dotted" w:sz="4" w:space="0" w:color="auto"/>
              <w:left w:val="dotted" w:sz="4" w:space="0" w:color="auto"/>
              <w:bottom w:val="dotted" w:sz="4" w:space="0" w:color="auto"/>
              <w:right w:val="dotted" w:sz="4" w:space="0" w:color="auto"/>
            </w:tcBorders>
          </w:tcPr>
          <w:p w14:paraId="5DD59106" w14:textId="77777777" w:rsidR="00DF209F" w:rsidRPr="00117768" w:rsidRDefault="00DF209F" w:rsidP="00A025F2">
            <w:pPr>
              <w:tabs>
                <w:tab w:val="left" w:pos="1635"/>
              </w:tabs>
              <w:rPr>
                <w:sz w:val="17"/>
                <w:szCs w:val="17"/>
                <w:lang w:eastAsia="en-AU"/>
              </w:rPr>
            </w:pPr>
            <w:r w:rsidRPr="00117768">
              <w:rPr>
                <w:i/>
                <w:sz w:val="17"/>
                <w:szCs w:val="17"/>
                <w:lang w:eastAsia="en-AU"/>
              </w:rPr>
              <w:t>Number of separate safety net programs; targeting error data</w:t>
            </w:r>
          </w:p>
        </w:tc>
        <w:tc>
          <w:tcPr>
            <w:tcW w:w="1544" w:type="dxa"/>
            <w:tcBorders>
              <w:top w:val="dotted" w:sz="4" w:space="0" w:color="auto"/>
              <w:left w:val="dotted" w:sz="4" w:space="0" w:color="auto"/>
              <w:bottom w:val="dotted" w:sz="4" w:space="0" w:color="auto"/>
              <w:right w:val="dotted" w:sz="4" w:space="0" w:color="auto"/>
            </w:tcBorders>
          </w:tcPr>
          <w:p w14:paraId="652978B5" w14:textId="77777777" w:rsidR="00DF209F" w:rsidRPr="00117768" w:rsidRDefault="00DF209F" w:rsidP="00A025F2">
            <w:pPr>
              <w:tabs>
                <w:tab w:val="left" w:pos="1635"/>
              </w:tabs>
              <w:rPr>
                <w:sz w:val="17"/>
                <w:szCs w:val="17"/>
                <w:lang w:eastAsia="en-AU"/>
              </w:rPr>
            </w:pPr>
            <w:r w:rsidRPr="00117768">
              <w:rPr>
                <w:sz w:val="17"/>
                <w:szCs w:val="17"/>
                <w:lang w:eastAsia="en-AU"/>
              </w:rPr>
              <w:t>Strengthened capacity within the government of Bangladesh</w:t>
            </w:r>
          </w:p>
        </w:tc>
        <w:tc>
          <w:tcPr>
            <w:tcW w:w="1530" w:type="dxa"/>
            <w:tcBorders>
              <w:top w:val="dotted" w:sz="4" w:space="0" w:color="auto"/>
              <w:left w:val="dotted" w:sz="4" w:space="0" w:color="auto"/>
              <w:bottom w:val="dotted" w:sz="4" w:space="0" w:color="auto"/>
              <w:right w:val="dotted" w:sz="4" w:space="0" w:color="auto"/>
            </w:tcBorders>
          </w:tcPr>
          <w:p w14:paraId="03089651" w14:textId="77777777" w:rsidR="00DF209F" w:rsidRPr="00117768" w:rsidRDefault="00DF209F" w:rsidP="00A025F2">
            <w:pPr>
              <w:tabs>
                <w:tab w:val="left" w:pos="1635"/>
              </w:tabs>
              <w:rPr>
                <w:sz w:val="17"/>
                <w:szCs w:val="17"/>
                <w:lang w:eastAsia="en-AU"/>
              </w:rPr>
            </w:pPr>
            <w:r w:rsidRPr="00117768">
              <w:rPr>
                <w:sz w:val="17"/>
                <w:szCs w:val="17"/>
                <w:lang w:eastAsia="en-AU"/>
              </w:rPr>
              <w:t xml:space="preserve">Increased capacity for data gathering and analysis for making evidence-based policy decisions </w:t>
            </w:r>
          </w:p>
        </w:tc>
        <w:tc>
          <w:tcPr>
            <w:tcW w:w="4002" w:type="dxa"/>
            <w:tcBorders>
              <w:top w:val="dotted" w:sz="4" w:space="0" w:color="auto"/>
              <w:left w:val="dotted" w:sz="4" w:space="0" w:color="auto"/>
              <w:bottom w:val="dotted" w:sz="4" w:space="0" w:color="auto"/>
              <w:right w:val="dotted" w:sz="4" w:space="0" w:color="auto"/>
            </w:tcBorders>
          </w:tcPr>
          <w:p w14:paraId="7B7B5DBD" w14:textId="77777777" w:rsidR="00DF209F" w:rsidRPr="00E476DA" w:rsidRDefault="00DF209F" w:rsidP="00A025F2">
            <w:pPr>
              <w:tabs>
                <w:tab w:val="left" w:pos="1635"/>
              </w:tabs>
              <w:rPr>
                <w:i/>
                <w:sz w:val="17"/>
                <w:szCs w:val="17"/>
                <w:lang w:eastAsia="en-AU"/>
              </w:rPr>
            </w:pPr>
            <w:r w:rsidRPr="00E476DA">
              <w:rPr>
                <w:i/>
                <w:sz w:val="17"/>
                <w:szCs w:val="17"/>
                <w:lang w:eastAsia="en-AU"/>
              </w:rPr>
              <w:t>The Institutional Capacity Assessment of SPU and six line ministries taken place and capacity building plan developed</w:t>
            </w:r>
          </w:p>
          <w:p w14:paraId="46C82455" w14:textId="77777777" w:rsidR="00DF209F" w:rsidRPr="00117768" w:rsidRDefault="00DF209F" w:rsidP="00A025F2">
            <w:pPr>
              <w:tabs>
                <w:tab w:val="left" w:pos="1635"/>
              </w:tabs>
              <w:rPr>
                <w:sz w:val="17"/>
                <w:szCs w:val="17"/>
                <w:lang w:eastAsia="en-AU"/>
              </w:rPr>
            </w:pPr>
            <w:r w:rsidRPr="00117768">
              <w:rPr>
                <w:sz w:val="17"/>
                <w:szCs w:val="17"/>
                <w:lang w:eastAsia="en-AU"/>
              </w:rPr>
              <w:t xml:space="preserve">The capacity building strategy approved. </w:t>
            </w:r>
          </w:p>
          <w:p w14:paraId="0726A76D" w14:textId="77777777" w:rsidR="00DF209F" w:rsidRPr="00117768" w:rsidRDefault="00DF209F" w:rsidP="00A025F2">
            <w:pPr>
              <w:tabs>
                <w:tab w:val="left" w:pos="1635"/>
              </w:tabs>
              <w:rPr>
                <w:sz w:val="17"/>
                <w:szCs w:val="17"/>
                <w:lang w:eastAsia="en-AU"/>
              </w:rPr>
            </w:pPr>
            <w:r w:rsidRPr="00117768">
              <w:rPr>
                <w:sz w:val="17"/>
                <w:szCs w:val="17"/>
                <w:lang w:eastAsia="en-AU"/>
              </w:rPr>
              <w:t xml:space="preserve">Two National Social Protection Public Financial Management Courses held for Senior Officials of Finance Division and Six Line Ministries and their Directorates </w:t>
            </w:r>
          </w:p>
          <w:p w14:paraId="02683C28" w14:textId="52CCCF88" w:rsidR="00DF209F" w:rsidRPr="00DC6D94" w:rsidRDefault="00DF209F" w:rsidP="00A025F2">
            <w:pPr>
              <w:tabs>
                <w:tab w:val="left" w:pos="1635"/>
              </w:tabs>
              <w:rPr>
                <w:sz w:val="17"/>
                <w:szCs w:val="17"/>
                <w:lang w:eastAsia="en-AU"/>
              </w:rPr>
            </w:pPr>
            <w:r w:rsidRPr="00117768">
              <w:rPr>
                <w:sz w:val="17"/>
                <w:szCs w:val="17"/>
                <w:lang w:eastAsia="en-AU"/>
              </w:rPr>
              <w:t>8 Senior Officials from Finance Division visited India to understand Pensions for Poor</w:t>
            </w:r>
            <w:r w:rsidR="00A025F2">
              <w:rPr>
                <w:sz w:val="17"/>
                <w:szCs w:val="17"/>
                <w:lang w:eastAsia="en-AU"/>
              </w:rPr>
              <w:t>.</w:t>
            </w:r>
          </w:p>
        </w:tc>
        <w:tc>
          <w:tcPr>
            <w:tcW w:w="312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73D88858" w14:textId="77777777" w:rsidR="00DF209F" w:rsidRPr="002426DD" w:rsidRDefault="00DF209F" w:rsidP="00A025F2">
            <w:pPr>
              <w:tabs>
                <w:tab w:val="left" w:pos="1635"/>
              </w:tabs>
              <w:rPr>
                <w:i/>
                <w:sz w:val="17"/>
                <w:szCs w:val="17"/>
                <w:lang w:eastAsia="en-AU"/>
              </w:rPr>
            </w:pPr>
            <w:r>
              <w:rPr>
                <w:i/>
                <w:sz w:val="17"/>
                <w:szCs w:val="17"/>
                <w:lang w:eastAsia="en-AU"/>
              </w:rPr>
              <w:t xml:space="preserve">Target: </w:t>
            </w:r>
            <w:r w:rsidRPr="002426DD">
              <w:rPr>
                <w:i/>
                <w:sz w:val="17"/>
                <w:szCs w:val="17"/>
                <w:lang w:eastAsia="en-AU"/>
              </w:rPr>
              <w:t xml:space="preserve">Relevant trainings and study tours organised for SPU and line ministries </w:t>
            </w:r>
          </w:p>
          <w:p w14:paraId="54F3928E" w14:textId="77777777" w:rsidR="00DF209F" w:rsidRPr="00117768" w:rsidRDefault="00DF209F" w:rsidP="00A025F2">
            <w:pPr>
              <w:tabs>
                <w:tab w:val="left" w:pos="1635"/>
              </w:tabs>
              <w:rPr>
                <w:sz w:val="17"/>
                <w:szCs w:val="17"/>
                <w:lang w:eastAsia="en-AU"/>
              </w:rPr>
            </w:pPr>
            <w:r w:rsidRPr="00117768">
              <w:rPr>
                <w:sz w:val="17"/>
                <w:szCs w:val="17"/>
                <w:lang w:eastAsia="en-AU"/>
              </w:rPr>
              <w:t xml:space="preserve">Over 200 officials attended six courses on public financial management, including in Thailand. </w:t>
            </w:r>
          </w:p>
          <w:p w14:paraId="1F4A2270" w14:textId="77777777" w:rsidR="00DF209F" w:rsidRPr="00117768" w:rsidRDefault="00DF209F" w:rsidP="00A025F2">
            <w:pPr>
              <w:tabs>
                <w:tab w:val="left" w:pos="1635"/>
              </w:tabs>
              <w:rPr>
                <w:sz w:val="17"/>
                <w:szCs w:val="17"/>
                <w:lang w:eastAsia="en-AU"/>
              </w:rPr>
            </w:pPr>
            <w:r w:rsidRPr="00117768">
              <w:rPr>
                <w:sz w:val="17"/>
                <w:szCs w:val="17"/>
                <w:lang w:eastAsia="en-AU"/>
              </w:rPr>
              <w:t xml:space="preserve">The SPBMU Project Director attended the World Bank course on Social Safety Nets in Washington. </w:t>
            </w:r>
          </w:p>
          <w:p w14:paraId="28D37D73" w14:textId="16BBB33F" w:rsidR="00DF209F" w:rsidRPr="00DC6D94" w:rsidRDefault="00DF209F" w:rsidP="00A025F2">
            <w:pPr>
              <w:tabs>
                <w:tab w:val="left" w:pos="1635"/>
              </w:tabs>
              <w:rPr>
                <w:sz w:val="17"/>
                <w:szCs w:val="17"/>
                <w:lang w:eastAsia="en-AU"/>
              </w:rPr>
            </w:pPr>
            <w:r w:rsidRPr="00117768">
              <w:rPr>
                <w:sz w:val="17"/>
                <w:szCs w:val="17"/>
                <w:lang w:eastAsia="en-AU"/>
              </w:rPr>
              <w:t xml:space="preserve">18 officials benefited from study tours organised in Kenya and Indonesia. </w:t>
            </w:r>
          </w:p>
        </w:tc>
        <w:tc>
          <w:tcPr>
            <w:tcW w:w="1132" w:type="dxa"/>
            <w:tcBorders>
              <w:top w:val="dotted" w:sz="4" w:space="0" w:color="auto"/>
              <w:left w:val="dotted" w:sz="4" w:space="0" w:color="auto"/>
              <w:bottom w:val="dotted" w:sz="4" w:space="0" w:color="auto"/>
              <w:right w:val="dotted" w:sz="4" w:space="0" w:color="auto"/>
            </w:tcBorders>
          </w:tcPr>
          <w:p w14:paraId="54807938" w14:textId="77777777" w:rsidR="00DF209F" w:rsidRDefault="00DF209F" w:rsidP="00A025F2">
            <w:pPr>
              <w:tabs>
                <w:tab w:val="left" w:pos="1635"/>
              </w:tabs>
              <w:rPr>
                <w:sz w:val="17"/>
                <w:szCs w:val="17"/>
                <w:lang w:eastAsia="en-AU"/>
              </w:rPr>
            </w:pPr>
            <w:r w:rsidRPr="00117768">
              <w:rPr>
                <w:sz w:val="17"/>
                <w:szCs w:val="17"/>
                <w:lang w:eastAsia="en-AU"/>
              </w:rPr>
              <w:t xml:space="preserve">Design and implementation capacity at a national level and delivery capacity at local level built. </w:t>
            </w:r>
          </w:p>
          <w:p w14:paraId="1646D4CE" w14:textId="47A89EDC" w:rsidR="00DF209F" w:rsidRPr="00561DF2" w:rsidRDefault="00DF209F" w:rsidP="00A025F2">
            <w:pPr>
              <w:rPr>
                <w:sz w:val="17"/>
                <w:szCs w:val="17"/>
                <w:lang w:eastAsia="en-AU"/>
              </w:rPr>
            </w:pPr>
          </w:p>
        </w:tc>
        <w:tc>
          <w:tcPr>
            <w:tcW w:w="1420" w:type="dxa"/>
            <w:tcBorders>
              <w:top w:val="dotted" w:sz="4" w:space="0" w:color="auto"/>
              <w:left w:val="dotted" w:sz="4" w:space="0" w:color="auto"/>
              <w:bottom w:val="dotted" w:sz="4" w:space="0" w:color="auto"/>
              <w:right w:val="dotted" w:sz="4" w:space="0" w:color="auto"/>
            </w:tcBorders>
          </w:tcPr>
          <w:p w14:paraId="365E9616" w14:textId="77777777" w:rsidR="00DF209F" w:rsidRDefault="00DF209F" w:rsidP="00A025F2">
            <w:pPr>
              <w:tabs>
                <w:tab w:val="left" w:pos="1635"/>
              </w:tabs>
              <w:rPr>
                <w:sz w:val="17"/>
                <w:szCs w:val="17"/>
                <w:lang w:eastAsia="en-AU"/>
              </w:rPr>
            </w:pPr>
            <w:r w:rsidRPr="00117768">
              <w:rPr>
                <w:sz w:val="17"/>
                <w:szCs w:val="17"/>
                <w:lang w:eastAsia="en-AU"/>
              </w:rPr>
              <w:t>Government of Bangladesh and DFID Reporting</w:t>
            </w:r>
          </w:p>
          <w:p w14:paraId="65B0AD1F" w14:textId="77777777" w:rsidR="00DF209F" w:rsidRPr="00DC6D94" w:rsidRDefault="00DF209F" w:rsidP="00A025F2">
            <w:pPr>
              <w:rPr>
                <w:sz w:val="17"/>
                <w:szCs w:val="17"/>
                <w:lang w:eastAsia="en-AU"/>
              </w:rPr>
            </w:pPr>
          </w:p>
          <w:p w14:paraId="45EE6404" w14:textId="77777777" w:rsidR="00DF209F" w:rsidRPr="00DC6D94" w:rsidRDefault="00DF209F" w:rsidP="00A025F2">
            <w:pPr>
              <w:rPr>
                <w:sz w:val="17"/>
                <w:szCs w:val="17"/>
                <w:lang w:eastAsia="en-AU"/>
              </w:rPr>
            </w:pPr>
          </w:p>
          <w:p w14:paraId="657FBA8D" w14:textId="77777777" w:rsidR="00DF209F" w:rsidRPr="00DC6D94" w:rsidRDefault="00DF209F" w:rsidP="00A025F2">
            <w:pPr>
              <w:rPr>
                <w:sz w:val="17"/>
                <w:szCs w:val="17"/>
                <w:lang w:eastAsia="en-AU"/>
              </w:rPr>
            </w:pPr>
          </w:p>
          <w:p w14:paraId="7024AFE7" w14:textId="77777777" w:rsidR="00DF209F" w:rsidRPr="00DC6D94" w:rsidRDefault="00DF209F" w:rsidP="00A025F2">
            <w:pPr>
              <w:rPr>
                <w:sz w:val="17"/>
                <w:szCs w:val="17"/>
                <w:lang w:eastAsia="en-AU"/>
              </w:rPr>
            </w:pPr>
          </w:p>
          <w:p w14:paraId="4A7D1459" w14:textId="77777777" w:rsidR="00DF209F" w:rsidRPr="00DC6D94" w:rsidRDefault="00DF209F" w:rsidP="00A025F2">
            <w:pPr>
              <w:rPr>
                <w:sz w:val="17"/>
                <w:szCs w:val="17"/>
                <w:lang w:eastAsia="en-AU"/>
              </w:rPr>
            </w:pPr>
          </w:p>
          <w:p w14:paraId="3B8275AC" w14:textId="77777777" w:rsidR="00DF209F" w:rsidRPr="00DC6D94" w:rsidRDefault="00DF209F" w:rsidP="00A025F2">
            <w:pPr>
              <w:rPr>
                <w:sz w:val="17"/>
                <w:szCs w:val="17"/>
                <w:lang w:eastAsia="en-AU"/>
              </w:rPr>
            </w:pPr>
          </w:p>
        </w:tc>
      </w:tr>
      <w:tr w:rsidR="00DF209F" w:rsidRPr="00117768" w14:paraId="35B61035" w14:textId="77777777" w:rsidTr="00E60A7E">
        <w:trPr>
          <w:trHeight w:val="68"/>
        </w:trPr>
        <w:tc>
          <w:tcPr>
            <w:tcW w:w="1649" w:type="dxa"/>
            <w:vMerge w:val="restart"/>
            <w:tcBorders>
              <w:top w:val="dotted" w:sz="4" w:space="0" w:color="auto"/>
              <w:left w:val="dotted" w:sz="4" w:space="0" w:color="auto"/>
              <w:right w:val="dotted" w:sz="4" w:space="0" w:color="auto"/>
            </w:tcBorders>
          </w:tcPr>
          <w:p w14:paraId="055A853D" w14:textId="752D940A" w:rsidR="00DF209F" w:rsidRPr="00117768" w:rsidRDefault="000A688B" w:rsidP="000A688B">
            <w:pPr>
              <w:pBdr>
                <w:top w:val="nil"/>
                <w:left w:val="nil"/>
                <w:bottom w:val="nil"/>
                <w:right w:val="nil"/>
                <w:between w:val="nil"/>
                <w:bar w:val="nil"/>
              </w:pBdr>
              <w:tabs>
                <w:tab w:val="left" w:pos="1635"/>
              </w:tabs>
              <w:rPr>
                <w:b/>
                <w:sz w:val="17"/>
                <w:szCs w:val="17"/>
                <w:lang w:val="en-AU" w:eastAsia="en-AU"/>
              </w:rPr>
            </w:pPr>
            <w:r>
              <w:rPr>
                <w:b/>
                <w:sz w:val="17"/>
                <w:szCs w:val="17"/>
                <w:lang w:val="en-AU" w:eastAsia="en-AU"/>
              </w:rPr>
              <w:t>2.</w:t>
            </w:r>
            <w:r w:rsidR="00DF209F" w:rsidRPr="00117768">
              <w:rPr>
                <w:b/>
                <w:sz w:val="17"/>
                <w:szCs w:val="17"/>
                <w:lang w:val="en-AU" w:eastAsia="en-AU"/>
              </w:rPr>
              <w:t>NGOs and other partners provide the poorest women and women-led households with increased incomes and nutrition, greater assets and capacity to participate in the economy</w:t>
            </w:r>
          </w:p>
        </w:tc>
        <w:tc>
          <w:tcPr>
            <w:tcW w:w="1663" w:type="dxa"/>
            <w:gridSpan w:val="2"/>
            <w:vMerge w:val="restart"/>
            <w:tcBorders>
              <w:top w:val="dotted" w:sz="4" w:space="0" w:color="auto"/>
              <w:left w:val="dotted" w:sz="4" w:space="0" w:color="auto"/>
              <w:right w:val="dotted" w:sz="4" w:space="0" w:color="auto"/>
            </w:tcBorders>
          </w:tcPr>
          <w:p w14:paraId="7CB62483" w14:textId="77777777" w:rsidR="00DF209F" w:rsidRPr="00117768" w:rsidRDefault="00DF209F" w:rsidP="00A025F2">
            <w:pPr>
              <w:tabs>
                <w:tab w:val="left" w:pos="1635"/>
              </w:tabs>
              <w:rPr>
                <w:i/>
                <w:sz w:val="17"/>
                <w:szCs w:val="17"/>
                <w:lang w:eastAsia="en-AU"/>
              </w:rPr>
            </w:pPr>
            <w:r w:rsidRPr="00117768">
              <w:rPr>
                <w:i/>
                <w:sz w:val="17"/>
                <w:szCs w:val="17"/>
                <w:lang w:eastAsia="en-AU"/>
              </w:rPr>
              <w:t>Numbers graduating from NGO livelihoods programs and qualitative assessments of life changes</w:t>
            </w:r>
          </w:p>
        </w:tc>
        <w:tc>
          <w:tcPr>
            <w:tcW w:w="1544" w:type="dxa"/>
            <w:tcBorders>
              <w:top w:val="dotted" w:sz="4" w:space="0" w:color="auto"/>
              <w:left w:val="dotted" w:sz="4" w:space="0" w:color="auto"/>
              <w:bottom w:val="dotted" w:sz="4" w:space="0" w:color="auto"/>
              <w:right w:val="dotted" w:sz="4" w:space="0" w:color="auto"/>
            </w:tcBorders>
          </w:tcPr>
          <w:p w14:paraId="72A3ADFF" w14:textId="77777777" w:rsidR="00DF209F" w:rsidRPr="00117768" w:rsidRDefault="00DF209F" w:rsidP="00A025F2">
            <w:pPr>
              <w:tabs>
                <w:tab w:val="left" w:pos="1635"/>
              </w:tabs>
              <w:rPr>
                <w:sz w:val="17"/>
                <w:szCs w:val="17"/>
                <w:lang w:eastAsia="en-AU"/>
              </w:rPr>
            </w:pPr>
            <w:r w:rsidRPr="00117768">
              <w:rPr>
                <w:sz w:val="17"/>
                <w:szCs w:val="17"/>
                <w:lang w:eastAsia="en-AU"/>
              </w:rPr>
              <w:t>BRAC CFPR, WFP and CLP livelihoods programs achieve expected outputs on women’s economic empowerment for remainder of current programs</w:t>
            </w:r>
          </w:p>
          <w:p w14:paraId="0C570BF2" w14:textId="77777777" w:rsidR="00DF209F" w:rsidRPr="00117768" w:rsidRDefault="00DF209F" w:rsidP="00A025F2">
            <w:pPr>
              <w:tabs>
                <w:tab w:val="left" w:pos="1635"/>
              </w:tabs>
              <w:rPr>
                <w:sz w:val="17"/>
                <w:szCs w:val="17"/>
                <w:lang w:eastAsia="en-AU"/>
              </w:rPr>
            </w:pPr>
          </w:p>
        </w:tc>
        <w:tc>
          <w:tcPr>
            <w:tcW w:w="1530" w:type="dxa"/>
            <w:tcBorders>
              <w:top w:val="dotted" w:sz="4" w:space="0" w:color="auto"/>
              <w:left w:val="dotted" w:sz="4" w:space="0" w:color="auto"/>
              <w:bottom w:val="dotted" w:sz="4" w:space="0" w:color="auto"/>
              <w:right w:val="dotted" w:sz="4" w:space="0" w:color="auto"/>
            </w:tcBorders>
          </w:tcPr>
          <w:p w14:paraId="02720395" w14:textId="77777777" w:rsidR="00DF209F" w:rsidRPr="00117768" w:rsidRDefault="00DF209F" w:rsidP="00A025F2">
            <w:pPr>
              <w:tabs>
                <w:tab w:val="left" w:pos="1635"/>
              </w:tabs>
              <w:rPr>
                <w:sz w:val="17"/>
                <w:szCs w:val="17"/>
                <w:lang w:eastAsia="en-AU"/>
              </w:rPr>
            </w:pPr>
            <w:r w:rsidRPr="00117768">
              <w:rPr>
                <w:sz w:val="17"/>
                <w:szCs w:val="17"/>
                <w:lang w:eastAsia="en-AU"/>
              </w:rPr>
              <w:t>Number of women and their households able to access social transfer</w:t>
            </w:r>
          </w:p>
          <w:p w14:paraId="0282F33E" w14:textId="77777777" w:rsidR="00E74FD0" w:rsidRDefault="00E74FD0" w:rsidP="00A025F2">
            <w:pPr>
              <w:tabs>
                <w:tab w:val="left" w:pos="1635"/>
              </w:tabs>
              <w:rPr>
                <w:sz w:val="17"/>
                <w:szCs w:val="17"/>
                <w:lang w:eastAsia="en-AU"/>
              </w:rPr>
            </w:pPr>
          </w:p>
          <w:p w14:paraId="73C8663E" w14:textId="268DEDE6" w:rsidR="00DF209F" w:rsidRPr="002426DD" w:rsidRDefault="00DF209F" w:rsidP="00A025F2">
            <w:pPr>
              <w:tabs>
                <w:tab w:val="left" w:pos="1635"/>
              </w:tabs>
              <w:rPr>
                <w:sz w:val="17"/>
                <w:szCs w:val="17"/>
                <w:lang w:eastAsia="en-AU"/>
              </w:rPr>
            </w:pPr>
            <w:r w:rsidRPr="00117768">
              <w:rPr>
                <w:sz w:val="17"/>
                <w:szCs w:val="17"/>
                <w:lang w:eastAsia="en-AU"/>
              </w:rPr>
              <w:t>Number of women and their households graduating from partners’ livelihoods programs</w:t>
            </w:r>
          </w:p>
        </w:tc>
        <w:tc>
          <w:tcPr>
            <w:tcW w:w="4002" w:type="dxa"/>
            <w:tcBorders>
              <w:top w:val="dotted" w:sz="4" w:space="0" w:color="auto"/>
              <w:left w:val="dotted" w:sz="4" w:space="0" w:color="auto"/>
              <w:bottom w:val="dotted" w:sz="4" w:space="0" w:color="auto"/>
              <w:right w:val="dotted" w:sz="4" w:space="0" w:color="auto"/>
            </w:tcBorders>
          </w:tcPr>
          <w:p w14:paraId="6A073BA7" w14:textId="77777777" w:rsidR="00DF209F" w:rsidRPr="00D55248" w:rsidRDefault="00DF209F" w:rsidP="00A025F2">
            <w:pPr>
              <w:tabs>
                <w:tab w:val="left" w:pos="1635"/>
              </w:tabs>
              <w:rPr>
                <w:sz w:val="17"/>
                <w:szCs w:val="17"/>
                <w:lang w:eastAsia="en-AU"/>
              </w:rPr>
            </w:pPr>
            <w:r>
              <w:rPr>
                <w:sz w:val="17"/>
                <w:szCs w:val="17"/>
                <w:lang w:eastAsia="en-AU"/>
              </w:rPr>
              <w:t>108,520</w:t>
            </w:r>
          </w:p>
          <w:p w14:paraId="32885B7F" w14:textId="77777777" w:rsidR="00DF209F" w:rsidRPr="00D55248" w:rsidRDefault="00DF209F" w:rsidP="00A025F2">
            <w:pPr>
              <w:tabs>
                <w:tab w:val="left" w:pos="1635"/>
              </w:tabs>
              <w:rPr>
                <w:sz w:val="17"/>
                <w:szCs w:val="17"/>
                <w:lang w:eastAsia="en-AU"/>
              </w:rPr>
            </w:pPr>
            <w:r>
              <w:rPr>
                <w:sz w:val="17"/>
                <w:szCs w:val="17"/>
                <w:lang w:eastAsia="en-AU"/>
              </w:rPr>
              <w:t xml:space="preserve"> 85,264 (CLP+CFPR)</w:t>
            </w:r>
          </w:p>
          <w:p w14:paraId="342AEB35" w14:textId="77777777" w:rsidR="00DF209F" w:rsidRDefault="00DF209F" w:rsidP="00A025F2">
            <w:pPr>
              <w:tabs>
                <w:tab w:val="left" w:pos="1635"/>
              </w:tabs>
              <w:rPr>
                <w:sz w:val="17"/>
                <w:szCs w:val="17"/>
                <w:lang w:eastAsia="en-AU"/>
              </w:rPr>
            </w:pPr>
          </w:p>
          <w:p w14:paraId="6D8E2273" w14:textId="77777777" w:rsidR="00DF209F" w:rsidRDefault="00DF209F" w:rsidP="00A025F2">
            <w:pPr>
              <w:tabs>
                <w:tab w:val="left" w:pos="1635"/>
              </w:tabs>
              <w:rPr>
                <w:sz w:val="17"/>
                <w:szCs w:val="17"/>
                <w:lang w:eastAsia="en-AU"/>
              </w:rPr>
            </w:pPr>
          </w:p>
          <w:p w14:paraId="00CC7996" w14:textId="77777777" w:rsidR="00DF209F" w:rsidRPr="00D55248" w:rsidRDefault="00DF209F" w:rsidP="00A025F2">
            <w:pPr>
              <w:tabs>
                <w:tab w:val="left" w:pos="1635"/>
              </w:tabs>
              <w:rPr>
                <w:sz w:val="17"/>
                <w:szCs w:val="17"/>
                <w:lang w:eastAsia="en-AU"/>
              </w:rPr>
            </w:pPr>
            <w:r w:rsidRPr="00D55248">
              <w:rPr>
                <w:sz w:val="17"/>
                <w:szCs w:val="17"/>
                <w:lang w:eastAsia="en-AU"/>
              </w:rPr>
              <w:t>105,409</w:t>
            </w:r>
          </w:p>
          <w:p w14:paraId="3F6120DF" w14:textId="77777777" w:rsidR="00DF209F" w:rsidRPr="00D55248" w:rsidRDefault="00DF209F" w:rsidP="00A025F2">
            <w:pPr>
              <w:tabs>
                <w:tab w:val="left" w:pos="1635"/>
              </w:tabs>
              <w:rPr>
                <w:sz w:val="17"/>
                <w:szCs w:val="17"/>
                <w:lang w:eastAsia="en-AU"/>
              </w:rPr>
            </w:pPr>
            <w:r>
              <w:rPr>
                <w:sz w:val="17"/>
                <w:szCs w:val="17"/>
                <w:lang w:eastAsia="en-AU"/>
              </w:rPr>
              <w:t>114,506 (CFPR+CLP)</w:t>
            </w:r>
          </w:p>
          <w:p w14:paraId="0C36D964" w14:textId="77777777" w:rsidR="00DF209F" w:rsidRPr="00117768" w:rsidRDefault="00DF209F" w:rsidP="00A025F2">
            <w:pPr>
              <w:tabs>
                <w:tab w:val="left" w:pos="1635"/>
              </w:tabs>
              <w:rPr>
                <w:sz w:val="17"/>
                <w:szCs w:val="17"/>
                <w:lang w:eastAsia="en-AU"/>
              </w:rPr>
            </w:pPr>
          </w:p>
        </w:tc>
        <w:tc>
          <w:tcPr>
            <w:tcW w:w="312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2F3E901F" w14:textId="77777777" w:rsidR="00DF209F" w:rsidRPr="00E476DA" w:rsidRDefault="00DF209F" w:rsidP="00A025F2">
            <w:pPr>
              <w:tabs>
                <w:tab w:val="left" w:pos="1635"/>
              </w:tabs>
              <w:rPr>
                <w:i/>
                <w:sz w:val="17"/>
                <w:szCs w:val="17"/>
                <w:lang w:eastAsia="en-AU"/>
              </w:rPr>
            </w:pPr>
            <w:r>
              <w:rPr>
                <w:i/>
                <w:sz w:val="17"/>
                <w:szCs w:val="17"/>
                <w:lang w:eastAsia="en-AU"/>
              </w:rPr>
              <w:t>Target:</w:t>
            </w:r>
            <w:r w:rsidRPr="00B31A9E">
              <w:rPr>
                <w:i/>
                <w:sz w:val="17"/>
                <w:szCs w:val="17"/>
                <w:lang w:eastAsia="en-AU"/>
              </w:rPr>
              <w:t>102,600</w:t>
            </w:r>
            <w:r>
              <w:rPr>
                <w:rStyle w:val="FootnoteReference"/>
                <w:i/>
                <w:sz w:val="17"/>
                <w:szCs w:val="17"/>
                <w:lang w:eastAsia="en-AU"/>
              </w:rPr>
              <w:footnoteReference w:id="60"/>
            </w:r>
            <w:r w:rsidRPr="00B31A9E">
              <w:rPr>
                <w:i/>
                <w:sz w:val="17"/>
                <w:szCs w:val="17"/>
                <w:lang w:eastAsia="en-AU"/>
              </w:rPr>
              <w:t xml:space="preserve"> </w:t>
            </w:r>
          </w:p>
          <w:p w14:paraId="681E4F7A" w14:textId="77777777" w:rsidR="00E74FD0" w:rsidRDefault="00DF209F" w:rsidP="00A025F2">
            <w:pPr>
              <w:tabs>
                <w:tab w:val="left" w:pos="1635"/>
              </w:tabs>
              <w:rPr>
                <w:sz w:val="17"/>
                <w:szCs w:val="17"/>
                <w:lang w:eastAsia="en-AU"/>
              </w:rPr>
            </w:pPr>
            <w:r w:rsidRPr="00B31A9E">
              <w:rPr>
                <w:sz w:val="17"/>
                <w:szCs w:val="17"/>
                <w:lang w:eastAsia="en-AU"/>
              </w:rPr>
              <w:t xml:space="preserve">79,480  </w:t>
            </w:r>
            <w:r>
              <w:rPr>
                <w:sz w:val="17"/>
                <w:szCs w:val="17"/>
                <w:lang w:eastAsia="en-AU"/>
              </w:rPr>
              <w:t>(TUP)</w:t>
            </w:r>
            <w:r w:rsidR="00E74FD0">
              <w:rPr>
                <w:sz w:val="17"/>
                <w:szCs w:val="17"/>
                <w:lang w:eastAsia="en-AU"/>
              </w:rPr>
              <w:t xml:space="preserve">; </w:t>
            </w:r>
            <w:r w:rsidRPr="00117768">
              <w:rPr>
                <w:sz w:val="17"/>
                <w:szCs w:val="17"/>
                <w:lang w:eastAsia="en-AU"/>
              </w:rPr>
              <w:t>9,481 (WFP, small cash grants and subsistence allowance)</w:t>
            </w:r>
            <w:r w:rsidR="00E74FD0">
              <w:rPr>
                <w:sz w:val="17"/>
                <w:szCs w:val="17"/>
                <w:lang w:eastAsia="en-AU"/>
              </w:rPr>
              <w:t xml:space="preserve">; </w:t>
            </w:r>
            <w:r w:rsidRPr="00117768">
              <w:rPr>
                <w:sz w:val="17"/>
                <w:szCs w:val="17"/>
                <w:lang w:eastAsia="en-AU"/>
              </w:rPr>
              <w:t xml:space="preserve"> </w:t>
            </w:r>
          </w:p>
          <w:p w14:paraId="136CA599" w14:textId="011C52A8" w:rsidR="00DF209F" w:rsidRDefault="00DF209F" w:rsidP="00A025F2">
            <w:pPr>
              <w:tabs>
                <w:tab w:val="left" w:pos="1635"/>
              </w:tabs>
              <w:rPr>
                <w:sz w:val="17"/>
                <w:szCs w:val="17"/>
                <w:lang w:eastAsia="en-AU"/>
              </w:rPr>
            </w:pPr>
            <w:r w:rsidRPr="001F074A">
              <w:rPr>
                <w:sz w:val="17"/>
                <w:szCs w:val="17"/>
                <w:lang w:eastAsia="en-AU"/>
              </w:rPr>
              <w:t>CLP ceased June 2016</w:t>
            </w:r>
          </w:p>
          <w:p w14:paraId="4A19A696" w14:textId="77777777" w:rsidR="00DF209F" w:rsidRPr="00D55248" w:rsidRDefault="00DF209F" w:rsidP="00A025F2">
            <w:pPr>
              <w:tabs>
                <w:tab w:val="left" w:pos="1635"/>
              </w:tabs>
              <w:rPr>
                <w:sz w:val="17"/>
                <w:szCs w:val="17"/>
                <w:lang w:eastAsia="en-AU"/>
              </w:rPr>
            </w:pPr>
            <w:r>
              <w:rPr>
                <w:sz w:val="17"/>
                <w:szCs w:val="17"/>
                <w:lang w:eastAsia="en-AU"/>
              </w:rPr>
              <w:t xml:space="preserve">Target: </w:t>
            </w:r>
            <w:r w:rsidRPr="00D55248">
              <w:rPr>
                <w:sz w:val="17"/>
                <w:szCs w:val="17"/>
                <w:lang w:eastAsia="en-AU"/>
              </w:rPr>
              <w:t>81,539</w:t>
            </w:r>
          </w:p>
          <w:p w14:paraId="304BA3B2" w14:textId="0640523E" w:rsidR="00DF209F" w:rsidRDefault="00DF209F" w:rsidP="00A025F2">
            <w:pPr>
              <w:tabs>
                <w:tab w:val="left" w:pos="1635"/>
              </w:tabs>
              <w:rPr>
                <w:sz w:val="17"/>
                <w:szCs w:val="17"/>
                <w:lang w:eastAsia="en-AU"/>
              </w:rPr>
            </w:pPr>
            <w:r w:rsidRPr="00D55248">
              <w:rPr>
                <w:sz w:val="17"/>
                <w:szCs w:val="17"/>
                <w:lang w:eastAsia="en-AU"/>
              </w:rPr>
              <w:t>86,975 (TUP)</w:t>
            </w:r>
            <w:r w:rsidR="00E74FD0">
              <w:rPr>
                <w:sz w:val="17"/>
                <w:szCs w:val="17"/>
                <w:lang w:eastAsia="en-AU"/>
              </w:rPr>
              <w:t xml:space="preserve">; </w:t>
            </w:r>
            <w:r>
              <w:rPr>
                <w:sz w:val="17"/>
                <w:szCs w:val="17"/>
                <w:lang w:eastAsia="en-AU"/>
              </w:rPr>
              <w:t>CLP ceased June 2016</w:t>
            </w:r>
          </w:p>
          <w:p w14:paraId="60D3A573" w14:textId="77777777" w:rsidR="00DF209F" w:rsidRPr="00D55248" w:rsidRDefault="00DF209F" w:rsidP="00A025F2">
            <w:pPr>
              <w:rPr>
                <w:sz w:val="17"/>
                <w:szCs w:val="17"/>
                <w:lang w:eastAsia="en-AU"/>
              </w:rPr>
            </w:pPr>
          </w:p>
          <w:p w14:paraId="327F190D" w14:textId="77777777" w:rsidR="00DF209F" w:rsidRPr="00D55248" w:rsidRDefault="00DF209F" w:rsidP="00A025F2">
            <w:pPr>
              <w:rPr>
                <w:sz w:val="17"/>
                <w:szCs w:val="17"/>
                <w:lang w:eastAsia="en-AU"/>
              </w:rPr>
            </w:pPr>
          </w:p>
        </w:tc>
        <w:tc>
          <w:tcPr>
            <w:tcW w:w="1132" w:type="dxa"/>
            <w:tcBorders>
              <w:top w:val="dotted" w:sz="4" w:space="0" w:color="auto"/>
              <w:left w:val="dotted" w:sz="4" w:space="0" w:color="auto"/>
              <w:bottom w:val="dotted" w:sz="4" w:space="0" w:color="auto"/>
              <w:right w:val="dotted" w:sz="4" w:space="0" w:color="auto"/>
            </w:tcBorders>
          </w:tcPr>
          <w:p w14:paraId="50F0CD41" w14:textId="77777777" w:rsidR="00DF209F" w:rsidRPr="00117768" w:rsidRDefault="00DF209F" w:rsidP="00A025F2">
            <w:pPr>
              <w:tabs>
                <w:tab w:val="left" w:pos="1635"/>
              </w:tabs>
              <w:rPr>
                <w:sz w:val="17"/>
                <w:szCs w:val="17"/>
                <w:lang w:eastAsia="en-AU"/>
              </w:rPr>
            </w:pPr>
            <w:r>
              <w:rPr>
                <w:sz w:val="17"/>
                <w:szCs w:val="17"/>
                <w:lang w:eastAsia="en-AU"/>
              </w:rPr>
              <w:t>TBA</w:t>
            </w:r>
          </w:p>
        </w:tc>
        <w:tc>
          <w:tcPr>
            <w:tcW w:w="1420" w:type="dxa"/>
            <w:tcBorders>
              <w:top w:val="dotted" w:sz="4" w:space="0" w:color="auto"/>
              <w:left w:val="dotted" w:sz="4" w:space="0" w:color="auto"/>
              <w:bottom w:val="dotted" w:sz="4" w:space="0" w:color="auto"/>
              <w:right w:val="dotted" w:sz="4" w:space="0" w:color="auto"/>
            </w:tcBorders>
          </w:tcPr>
          <w:p w14:paraId="40FF2608" w14:textId="77777777" w:rsidR="00DF209F" w:rsidRDefault="00DF209F" w:rsidP="00A025F2">
            <w:pPr>
              <w:tabs>
                <w:tab w:val="left" w:pos="1635"/>
              </w:tabs>
              <w:rPr>
                <w:sz w:val="17"/>
                <w:szCs w:val="17"/>
                <w:lang w:eastAsia="en-AU"/>
              </w:rPr>
            </w:pPr>
            <w:r w:rsidRPr="00117768">
              <w:rPr>
                <w:sz w:val="17"/>
                <w:szCs w:val="17"/>
                <w:lang w:eastAsia="en-AU"/>
              </w:rPr>
              <w:t>BRAC,WFP baseline report and annual reporting</w:t>
            </w:r>
          </w:p>
          <w:p w14:paraId="1762DE92" w14:textId="77777777" w:rsidR="00DF209F" w:rsidRPr="00117768" w:rsidRDefault="00DF209F" w:rsidP="00A025F2">
            <w:pPr>
              <w:rPr>
                <w:sz w:val="17"/>
                <w:szCs w:val="17"/>
                <w:lang w:eastAsia="en-AU"/>
              </w:rPr>
            </w:pPr>
          </w:p>
          <w:p w14:paraId="47013C76" w14:textId="77777777" w:rsidR="00DF209F" w:rsidRPr="00117768" w:rsidRDefault="00DF209F" w:rsidP="00A025F2">
            <w:pPr>
              <w:rPr>
                <w:sz w:val="17"/>
                <w:szCs w:val="17"/>
                <w:lang w:eastAsia="en-AU"/>
              </w:rPr>
            </w:pPr>
          </w:p>
          <w:p w14:paraId="15796844" w14:textId="77777777" w:rsidR="00DF209F" w:rsidRPr="00117768" w:rsidRDefault="00DF209F" w:rsidP="00A025F2">
            <w:pPr>
              <w:rPr>
                <w:sz w:val="17"/>
                <w:szCs w:val="17"/>
                <w:lang w:eastAsia="en-AU"/>
              </w:rPr>
            </w:pPr>
          </w:p>
          <w:p w14:paraId="6DA1B3AB" w14:textId="77777777" w:rsidR="00DF209F" w:rsidRDefault="00DF209F" w:rsidP="00A025F2">
            <w:pPr>
              <w:rPr>
                <w:sz w:val="17"/>
                <w:szCs w:val="17"/>
                <w:lang w:eastAsia="en-AU"/>
              </w:rPr>
            </w:pPr>
          </w:p>
          <w:p w14:paraId="6F76A573" w14:textId="77777777" w:rsidR="00DF209F" w:rsidRPr="00D55248" w:rsidRDefault="00DF209F" w:rsidP="00A025F2">
            <w:pPr>
              <w:rPr>
                <w:sz w:val="17"/>
                <w:szCs w:val="17"/>
                <w:lang w:eastAsia="en-AU"/>
              </w:rPr>
            </w:pPr>
          </w:p>
        </w:tc>
      </w:tr>
      <w:tr w:rsidR="00DF209F" w:rsidRPr="00117768" w14:paraId="2D19F40E" w14:textId="77777777" w:rsidTr="00E60A7E">
        <w:trPr>
          <w:trHeight w:val="1104"/>
        </w:trPr>
        <w:tc>
          <w:tcPr>
            <w:tcW w:w="1649" w:type="dxa"/>
            <w:vMerge/>
            <w:tcBorders>
              <w:left w:val="dotted" w:sz="4" w:space="0" w:color="auto"/>
              <w:right w:val="dotted" w:sz="4" w:space="0" w:color="auto"/>
            </w:tcBorders>
          </w:tcPr>
          <w:p w14:paraId="24989C98" w14:textId="77777777" w:rsidR="00DF209F" w:rsidRPr="00117768" w:rsidRDefault="00DF209F" w:rsidP="00A025F2">
            <w:pPr>
              <w:tabs>
                <w:tab w:val="left" w:pos="1635"/>
              </w:tabs>
              <w:rPr>
                <w:iCs/>
                <w:sz w:val="17"/>
                <w:szCs w:val="17"/>
                <w:lang w:val="en-AU" w:eastAsia="en-AU"/>
              </w:rPr>
            </w:pPr>
          </w:p>
        </w:tc>
        <w:tc>
          <w:tcPr>
            <w:tcW w:w="1663" w:type="dxa"/>
            <w:gridSpan w:val="2"/>
            <w:vMerge/>
            <w:tcBorders>
              <w:left w:val="dotted" w:sz="4" w:space="0" w:color="auto"/>
              <w:right w:val="dotted" w:sz="4" w:space="0" w:color="auto"/>
            </w:tcBorders>
          </w:tcPr>
          <w:p w14:paraId="0DBC36CF" w14:textId="77777777" w:rsidR="00DF209F" w:rsidRPr="00117768" w:rsidRDefault="00DF209F" w:rsidP="00A025F2">
            <w:pPr>
              <w:tabs>
                <w:tab w:val="left" w:pos="1635"/>
              </w:tabs>
              <w:rPr>
                <w:iCs/>
                <w:sz w:val="17"/>
                <w:szCs w:val="17"/>
                <w:lang w:val="en-AU" w:eastAsia="en-AU"/>
              </w:rPr>
            </w:pPr>
          </w:p>
        </w:tc>
        <w:tc>
          <w:tcPr>
            <w:tcW w:w="1544" w:type="dxa"/>
            <w:vMerge w:val="restart"/>
            <w:tcBorders>
              <w:top w:val="dotted" w:sz="4" w:space="0" w:color="auto"/>
              <w:left w:val="dotted" w:sz="4" w:space="0" w:color="auto"/>
              <w:right w:val="dotted" w:sz="4" w:space="0" w:color="auto"/>
            </w:tcBorders>
          </w:tcPr>
          <w:p w14:paraId="088F5089" w14:textId="77777777" w:rsidR="00DF209F" w:rsidRPr="00117768" w:rsidRDefault="00DF209F" w:rsidP="00A025F2">
            <w:pPr>
              <w:tabs>
                <w:tab w:val="left" w:pos="1635"/>
              </w:tabs>
              <w:rPr>
                <w:sz w:val="17"/>
                <w:szCs w:val="17"/>
                <w:lang w:eastAsia="en-AU"/>
              </w:rPr>
            </w:pPr>
            <w:r w:rsidRPr="00117768">
              <w:rPr>
                <w:sz w:val="17"/>
                <w:szCs w:val="17"/>
                <w:lang w:eastAsia="en-AU"/>
              </w:rPr>
              <w:t xml:space="preserve"> Malnourished women and children treated by WFP in Cox’s Bazar District improved their nutritional status </w:t>
            </w:r>
          </w:p>
        </w:tc>
        <w:tc>
          <w:tcPr>
            <w:tcW w:w="1530" w:type="dxa"/>
            <w:tcBorders>
              <w:top w:val="dotted" w:sz="4" w:space="0" w:color="auto"/>
              <w:left w:val="dotted" w:sz="4" w:space="0" w:color="auto"/>
              <w:bottom w:val="dotted" w:sz="4" w:space="0" w:color="auto"/>
              <w:right w:val="dotted" w:sz="4" w:space="0" w:color="auto"/>
            </w:tcBorders>
          </w:tcPr>
          <w:p w14:paraId="7D11471F" w14:textId="77777777" w:rsidR="00DF209F" w:rsidRPr="00117768" w:rsidRDefault="00DF209F" w:rsidP="00A025F2">
            <w:pPr>
              <w:tabs>
                <w:tab w:val="left" w:pos="1635"/>
              </w:tabs>
              <w:rPr>
                <w:sz w:val="17"/>
                <w:szCs w:val="17"/>
                <w:lang w:eastAsia="en-AU"/>
              </w:rPr>
            </w:pPr>
            <w:r w:rsidRPr="00117768">
              <w:rPr>
                <w:sz w:val="17"/>
                <w:szCs w:val="17"/>
                <w:lang w:eastAsia="en-AU"/>
              </w:rPr>
              <w:t>Wasting outcome improved</w:t>
            </w:r>
            <w:r>
              <w:rPr>
                <w:sz w:val="17"/>
                <w:szCs w:val="17"/>
                <w:lang w:eastAsia="en-AU"/>
              </w:rPr>
              <w:t xml:space="preserve"> (1% reduction per year)</w:t>
            </w:r>
          </w:p>
        </w:tc>
        <w:tc>
          <w:tcPr>
            <w:tcW w:w="4002" w:type="dxa"/>
            <w:tcBorders>
              <w:top w:val="dotted" w:sz="4" w:space="0" w:color="auto"/>
              <w:left w:val="dotted" w:sz="4" w:space="0" w:color="auto"/>
              <w:bottom w:val="dotted" w:sz="4" w:space="0" w:color="auto"/>
              <w:right w:val="dotted" w:sz="4" w:space="0" w:color="auto"/>
            </w:tcBorders>
          </w:tcPr>
          <w:p w14:paraId="1AE268AD" w14:textId="77777777" w:rsidR="00DF209F" w:rsidRPr="00117768" w:rsidRDefault="00DF209F" w:rsidP="00A025F2">
            <w:pPr>
              <w:tabs>
                <w:tab w:val="left" w:pos="1635"/>
              </w:tabs>
              <w:rPr>
                <w:sz w:val="17"/>
                <w:szCs w:val="17"/>
                <w:lang w:eastAsia="en-AU"/>
              </w:rPr>
            </w:pPr>
            <w:r w:rsidRPr="00117768">
              <w:rPr>
                <w:sz w:val="17"/>
                <w:szCs w:val="17"/>
                <w:lang w:eastAsia="en-AU"/>
              </w:rPr>
              <w:t>11.57% (WFP baseline report Dec’15)</w:t>
            </w:r>
          </w:p>
        </w:tc>
        <w:tc>
          <w:tcPr>
            <w:tcW w:w="312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7AD6646D" w14:textId="77777777" w:rsidR="00DF209F" w:rsidRDefault="00DF209F" w:rsidP="00A025F2">
            <w:pPr>
              <w:tabs>
                <w:tab w:val="left" w:pos="1635"/>
              </w:tabs>
              <w:rPr>
                <w:sz w:val="17"/>
                <w:szCs w:val="17"/>
                <w:lang w:eastAsia="en-AU"/>
              </w:rPr>
            </w:pPr>
            <w:r>
              <w:rPr>
                <w:sz w:val="17"/>
                <w:szCs w:val="17"/>
                <w:lang w:eastAsia="en-AU"/>
              </w:rPr>
              <w:t>Target: 10.57%</w:t>
            </w:r>
          </w:p>
          <w:p w14:paraId="0DD7908D" w14:textId="77777777" w:rsidR="00DF209F" w:rsidRPr="00117768" w:rsidRDefault="00DF209F" w:rsidP="00A025F2">
            <w:pPr>
              <w:tabs>
                <w:tab w:val="left" w:pos="1635"/>
              </w:tabs>
              <w:rPr>
                <w:sz w:val="17"/>
                <w:szCs w:val="17"/>
                <w:lang w:eastAsia="en-AU"/>
              </w:rPr>
            </w:pPr>
            <w:r w:rsidRPr="00117768">
              <w:rPr>
                <w:sz w:val="17"/>
                <w:szCs w:val="17"/>
                <w:lang w:eastAsia="en-AU"/>
              </w:rPr>
              <w:t>14.6</w:t>
            </w:r>
            <w:r>
              <w:rPr>
                <w:sz w:val="17"/>
                <w:szCs w:val="17"/>
                <w:lang w:eastAsia="en-AU"/>
              </w:rPr>
              <w:t xml:space="preserve">% (wasting increased significantly due to an influx of over 74,000 refugees in October – November 2016). </w:t>
            </w:r>
          </w:p>
        </w:tc>
        <w:tc>
          <w:tcPr>
            <w:tcW w:w="1132" w:type="dxa"/>
            <w:tcBorders>
              <w:top w:val="dotted" w:sz="4" w:space="0" w:color="auto"/>
              <w:left w:val="dotted" w:sz="4" w:space="0" w:color="auto"/>
              <w:bottom w:val="dotted" w:sz="4" w:space="0" w:color="auto"/>
              <w:right w:val="dotted" w:sz="4" w:space="0" w:color="auto"/>
            </w:tcBorders>
          </w:tcPr>
          <w:p w14:paraId="21D13AE1" w14:textId="77777777" w:rsidR="00DF209F" w:rsidRPr="00117768" w:rsidRDefault="00DF209F" w:rsidP="00A025F2">
            <w:pPr>
              <w:tabs>
                <w:tab w:val="left" w:pos="1635"/>
              </w:tabs>
              <w:rPr>
                <w:sz w:val="17"/>
                <w:szCs w:val="17"/>
                <w:lang w:eastAsia="en-AU"/>
              </w:rPr>
            </w:pPr>
            <w:r>
              <w:rPr>
                <w:sz w:val="17"/>
                <w:szCs w:val="17"/>
                <w:lang w:eastAsia="en-AU"/>
              </w:rPr>
              <w:t>TBA</w:t>
            </w:r>
            <w:r w:rsidRPr="00117768">
              <w:rPr>
                <w:sz w:val="17"/>
                <w:szCs w:val="17"/>
                <w:lang w:eastAsia="en-AU"/>
              </w:rPr>
              <w:t xml:space="preserve"> </w:t>
            </w:r>
          </w:p>
        </w:tc>
        <w:tc>
          <w:tcPr>
            <w:tcW w:w="1420" w:type="dxa"/>
            <w:vMerge w:val="restart"/>
            <w:tcBorders>
              <w:top w:val="dotted" w:sz="4" w:space="0" w:color="auto"/>
              <w:left w:val="dotted" w:sz="4" w:space="0" w:color="auto"/>
              <w:right w:val="dotted" w:sz="4" w:space="0" w:color="auto"/>
            </w:tcBorders>
          </w:tcPr>
          <w:p w14:paraId="72CC926A" w14:textId="77777777" w:rsidR="00DF209F" w:rsidRPr="00117768" w:rsidRDefault="00DF209F" w:rsidP="00A025F2">
            <w:pPr>
              <w:tabs>
                <w:tab w:val="left" w:pos="1635"/>
              </w:tabs>
              <w:rPr>
                <w:b/>
                <w:sz w:val="17"/>
                <w:szCs w:val="17"/>
                <w:lang w:eastAsia="en-AU"/>
              </w:rPr>
            </w:pPr>
            <w:r w:rsidRPr="00117768">
              <w:rPr>
                <w:sz w:val="17"/>
                <w:szCs w:val="17"/>
                <w:lang w:eastAsia="en-AU"/>
              </w:rPr>
              <w:t xml:space="preserve">WFP Annual reporting; Baseline report 2015 ; </w:t>
            </w:r>
            <w:r w:rsidRPr="00117768">
              <w:rPr>
                <w:sz w:val="17"/>
                <w:szCs w:val="17"/>
              </w:rPr>
              <w:t xml:space="preserve"> </w:t>
            </w:r>
            <w:r w:rsidRPr="00117768">
              <w:rPr>
                <w:sz w:val="17"/>
                <w:szCs w:val="17"/>
                <w:lang w:eastAsia="en-AU"/>
              </w:rPr>
              <w:t>Nutrition outcome survey 2017</w:t>
            </w:r>
          </w:p>
        </w:tc>
      </w:tr>
      <w:tr w:rsidR="00DF209F" w:rsidRPr="00117768" w14:paraId="47E20F12" w14:textId="77777777" w:rsidTr="00E60A7E">
        <w:trPr>
          <w:trHeight w:val="591"/>
        </w:trPr>
        <w:tc>
          <w:tcPr>
            <w:tcW w:w="1649" w:type="dxa"/>
            <w:vMerge/>
            <w:tcBorders>
              <w:left w:val="dotted" w:sz="4" w:space="0" w:color="auto"/>
              <w:bottom w:val="dotted" w:sz="4" w:space="0" w:color="auto"/>
              <w:right w:val="dotted" w:sz="4" w:space="0" w:color="auto"/>
            </w:tcBorders>
          </w:tcPr>
          <w:p w14:paraId="57B48730" w14:textId="77777777" w:rsidR="00DF209F" w:rsidRPr="00117768" w:rsidRDefault="00DF209F" w:rsidP="00A025F2">
            <w:pPr>
              <w:tabs>
                <w:tab w:val="left" w:pos="1635"/>
              </w:tabs>
              <w:rPr>
                <w:iCs/>
                <w:sz w:val="17"/>
                <w:szCs w:val="17"/>
                <w:lang w:val="en-AU" w:eastAsia="en-AU"/>
              </w:rPr>
            </w:pPr>
          </w:p>
        </w:tc>
        <w:tc>
          <w:tcPr>
            <w:tcW w:w="1663" w:type="dxa"/>
            <w:gridSpan w:val="2"/>
            <w:vMerge/>
            <w:tcBorders>
              <w:left w:val="dotted" w:sz="4" w:space="0" w:color="auto"/>
              <w:bottom w:val="dotted" w:sz="4" w:space="0" w:color="auto"/>
              <w:right w:val="dotted" w:sz="4" w:space="0" w:color="auto"/>
            </w:tcBorders>
          </w:tcPr>
          <w:p w14:paraId="43B32EEE" w14:textId="77777777" w:rsidR="00DF209F" w:rsidRPr="00117768" w:rsidRDefault="00DF209F" w:rsidP="00A025F2">
            <w:pPr>
              <w:tabs>
                <w:tab w:val="left" w:pos="1635"/>
              </w:tabs>
              <w:rPr>
                <w:iCs/>
                <w:sz w:val="17"/>
                <w:szCs w:val="17"/>
                <w:lang w:val="en-AU" w:eastAsia="en-AU"/>
              </w:rPr>
            </w:pPr>
          </w:p>
        </w:tc>
        <w:tc>
          <w:tcPr>
            <w:tcW w:w="1544" w:type="dxa"/>
            <w:vMerge/>
            <w:tcBorders>
              <w:left w:val="dotted" w:sz="4" w:space="0" w:color="auto"/>
              <w:bottom w:val="dotted" w:sz="4" w:space="0" w:color="auto"/>
              <w:right w:val="dotted" w:sz="4" w:space="0" w:color="auto"/>
            </w:tcBorders>
          </w:tcPr>
          <w:p w14:paraId="4C1C28EB" w14:textId="77777777" w:rsidR="00DF209F" w:rsidRPr="00117768" w:rsidDel="0087061E" w:rsidRDefault="00DF209F" w:rsidP="00A025F2">
            <w:pPr>
              <w:tabs>
                <w:tab w:val="left" w:pos="1635"/>
              </w:tabs>
              <w:rPr>
                <w:sz w:val="17"/>
                <w:szCs w:val="17"/>
                <w:lang w:eastAsia="en-AU"/>
              </w:rPr>
            </w:pPr>
          </w:p>
        </w:tc>
        <w:tc>
          <w:tcPr>
            <w:tcW w:w="1530" w:type="dxa"/>
            <w:tcBorders>
              <w:top w:val="dotted" w:sz="4" w:space="0" w:color="auto"/>
              <w:left w:val="dotted" w:sz="4" w:space="0" w:color="auto"/>
              <w:bottom w:val="dotted" w:sz="4" w:space="0" w:color="auto"/>
              <w:right w:val="dotted" w:sz="4" w:space="0" w:color="auto"/>
            </w:tcBorders>
          </w:tcPr>
          <w:p w14:paraId="453494E6" w14:textId="79F11603" w:rsidR="00DF209F" w:rsidRPr="00117768" w:rsidDel="00963815" w:rsidRDefault="00DF209F" w:rsidP="00A025F2">
            <w:pPr>
              <w:tabs>
                <w:tab w:val="left" w:pos="1635"/>
              </w:tabs>
              <w:rPr>
                <w:sz w:val="17"/>
                <w:szCs w:val="17"/>
                <w:lang w:eastAsia="en-AU"/>
              </w:rPr>
            </w:pPr>
            <w:r w:rsidRPr="00117768">
              <w:rPr>
                <w:sz w:val="17"/>
                <w:szCs w:val="17"/>
                <w:lang w:eastAsia="en-AU"/>
              </w:rPr>
              <w:t>Stunting outcome improved</w:t>
            </w:r>
            <w:r>
              <w:rPr>
                <w:sz w:val="17"/>
                <w:szCs w:val="17"/>
                <w:lang w:eastAsia="en-AU"/>
              </w:rPr>
              <w:t xml:space="preserve"> (</w:t>
            </w:r>
            <w:r w:rsidRPr="00537143">
              <w:rPr>
                <w:sz w:val="17"/>
                <w:szCs w:val="17"/>
                <w:lang w:eastAsia="en-AU"/>
              </w:rPr>
              <w:t>2% reduction per year)</w:t>
            </w:r>
          </w:p>
        </w:tc>
        <w:tc>
          <w:tcPr>
            <w:tcW w:w="4002" w:type="dxa"/>
            <w:tcBorders>
              <w:top w:val="dotted" w:sz="4" w:space="0" w:color="auto"/>
              <w:left w:val="dotted" w:sz="4" w:space="0" w:color="auto"/>
              <w:bottom w:val="dotted" w:sz="4" w:space="0" w:color="auto"/>
              <w:right w:val="dotted" w:sz="4" w:space="0" w:color="auto"/>
            </w:tcBorders>
          </w:tcPr>
          <w:p w14:paraId="0D4121C3" w14:textId="77777777" w:rsidR="00DF209F" w:rsidRPr="00117768" w:rsidRDefault="00DF209F" w:rsidP="00A025F2">
            <w:pPr>
              <w:tabs>
                <w:tab w:val="left" w:pos="1635"/>
              </w:tabs>
              <w:rPr>
                <w:iCs/>
                <w:sz w:val="17"/>
                <w:szCs w:val="17"/>
                <w:lang w:val="en-AU" w:eastAsia="en-AU"/>
              </w:rPr>
            </w:pPr>
            <w:r w:rsidRPr="00117768">
              <w:rPr>
                <w:iCs/>
                <w:sz w:val="17"/>
                <w:szCs w:val="17"/>
                <w:lang w:val="en-AU" w:eastAsia="en-AU"/>
              </w:rPr>
              <w:t>44.47% (WFP baseline report Dec’15)</w:t>
            </w:r>
          </w:p>
        </w:tc>
        <w:tc>
          <w:tcPr>
            <w:tcW w:w="312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16B8E007" w14:textId="77777777" w:rsidR="00DF209F" w:rsidRPr="00537143" w:rsidRDefault="00DF209F" w:rsidP="00A025F2">
            <w:pPr>
              <w:tabs>
                <w:tab w:val="left" w:pos="1635"/>
              </w:tabs>
              <w:rPr>
                <w:i/>
                <w:sz w:val="17"/>
                <w:szCs w:val="17"/>
                <w:lang w:eastAsia="en-AU"/>
              </w:rPr>
            </w:pPr>
            <w:r w:rsidRPr="00537143">
              <w:rPr>
                <w:i/>
                <w:sz w:val="17"/>
                <w:szCs w:val="17"/>
                <w:lang w:eastAsia="en-AU"/>
              </w:rPr>
              <w:t>Target: 42.47%</w:t>
            </w:r>
          </w:p>
          <w:p w14:paraId="4D772A22" w14:textId="77777777" w:rsidR="00DF209F" w:rsidRPr="00117768" w:rsidRDefault="00DF209F" w:rsidP="00A025F2">
            <w:pPr>
              <w:tabs>
                <w:tab w:val="left" w:pos="1635"/>
              </w:tabs>
              <w:rPr>
                <w:sz w:val="17"/>
                <w:szCs w:val="17"/>
                <w:lang w:eastAsia="en-AU"/>
              </w:rPr>
            </w:pPr>
            <w:r>
              <w:rPr>
                <w:sz w:val="17"/>
                <w:szCs w:val="17"/>
                <w:lang w:eastAsia="en-AU"/>
              </w:rPr>
              <w:t xml:space="preserve">42.1% </w:t>
            </w:r>
          </w:p>
        </w:tc>
        <w:tc>
          <w:tcPr>
            <w:tcW w:w="1132" w:type="dxa"/>
            <w:tcBorders>
              <w:top w:val="dotted" w:sz="4" w:space="0" w:color="auto"/>
              <w:left w:val="dotted" w:sz="4" w:space="0" w:color="auto"/>
              <w:bottom w:val="dotted" w:sz="4" w:space="0" w:color="auto"/>
              <w:right w:val="dotted" w:sz="4" w:space="0" w:color="auto"/>
            </w:tcBorders>
          </w:tcPr>
          <w:p w14:paraId="6F984007" w14:textId="77777777" w:rsidR="00DF209F" w:rsidRPr="00117768" w:rsidRDefault="00DF209F" w:rsidP="00A025F2">
            <w:pPr>
              <w:tabs>
                <w:tab w:val="left" w:pos="1635"/>
              </w:tabs>
              <w:rPr>
                <w:sz w:val="17"/>
                <w:szCs w:val="17"/>
                <w:lang w:eastAsia="en-AU"/>
              </w:rPr>
            </w:pPr>
            <w:r w:rsidRPr="00117768">
              <w:rPr>
                <w:sz w:val="17"/>
                <w:szCs w:val="17"/>
                <w:lang w:eastAsia="en-AU"/>
              </w:rPr>
              <w:t>40.1%</w:t>
            </w:r>
          </w:p>
        </w:tc>
        <w:tc>
          <w:tcPr>
            <w:tcW w:w="1420" w:type="dxa"/>
            <w:vMerge/>
            <w:tcBorders>
              <w:left w:val="dotted" w:sz="4" w:space="0" w:color="auto"/>
              <w:bottom w:val="dotted" w:sz="4" w:space="0" w:color="auto"/>
              <w:right w:val="dotted" w:sz="4" w:space="0" w:color="auto"/>
            </w:tcBorders>
          </w:tcPr>
          <w:p w14:paraId="3EDD390A" w14:textId="77777777" w:rsidR="00DF209F" w:rsidRPr="00117768" w:rsidRDefault="00DF209F" w:rsidP="00A025F2">
            <w:pPr>
              <w:tabs>
                <w:tab w:val="left" w:pos="1635"/>
              </w:tabs>
              <w:rPr>
                <w:iCs/>
                <w:sz w:val="17"/>
                <w:szCs w:val="17"/>
                <w:lang w:val="en-AU" w:eastAsia="en-AU"/>
              </w:rPr>
            </w:pPr>
          </w:p>
        </w:tc>
      </w:tr>
      <w:tr w:rsidR="00DF209F" w:rsidRPr="00117768" w14:paraId="3D9E7666" w14:textId="77777777" w:rsidTr="00E60A7E">
        <w:trPr>
          <w:trHeight w:val="1683"/>
        </w:trPr>
        <w:tc>
          <w:tcPr>
            <w:tcW w:w="1649" w:type="dxa"/>
            <w:vMerge w:val="restart"/>
            <w:tcBorders>
              <w:top w:val="dotted" w:sz="4" w:space="0" w:color="auto"/>
              <w:left w:val="dotted" w:sz="4" w:space="0" w:color="auto"/>
              <w:right w:val="dotted" w:sz="4" w:space="0" w:color="auto"/>
            </w:tcBorders>
          </w:tcPr>
          <w:p w14:paraId="46690898" w14:textId="064574E1" w:rsidR="00DF209F" w:rsidRPr="00117768" w:rsidRDefault="000A688B" w:rsidP="000A688B">
            <w:pPr>
              <w:pBdr>
                <w:top w:val="nil"/>
                <w:left w:val="nil"/>
                <w:bottom w:val="nil"/>
                <w:right w:val="nil"/>
                <w:between w:val="nil"/>
                <w:bar w:val="nil"/>
              </w:pBdr>
              <w:tabs>
                <w:tab w:val="left" w:pos="1635"/>
              </w:tabs>
              <w:rPr>
                <w:b/>
                <w:sz w:val="17"/>
                <w:szCs w:val="17"/>
                <w:lang w:val="en-AU" w:eastAsia="en-AU"/>
              </w:rPr>
            </w:pPr>
            <w:r>
              <w:rPr>
                <w:b/>
                <w:sz w:val="17"/>
                <w:szCs w:val="17"/>
                <w:lang w:val="en-AU" w:eastAsia="en-AU"/>
              </w:rPr>
              <w:t>3.</w:t>
            </w:r>
            <w:r w:rsidR="00DF209F" w:rsidRPr="00117768">
              <w:rPr>
                <w:b/>
                <w:sz w:val="17"/>
                <w:szCs w:val="17"/>
                <w:lang w:val="en-AU" w:eastAsia="en-AU"/>
              </w:rPr>
              <w:t>Disadvantaged youth have access to skills and jobs</w:t>
            </w:r>
          </w:p>
        </w:tc>
        <w:tc>
          <w:tcPr>
            <w:tcW w:w="1663" w:type="dxa"/>
            <w:gridSpan w:val="2"/>
            <w:vMerge w:val="restart"/>
            <w:tcBorders>
              <w:top w:val="dotted" w:sz="4" w:space="0" w:color="auto"/>
              <w:left w:val="dotted" w:sz="4" w:space="0" w:color="auto"/>
              <w:right w:val="dotted" w:sz="4" w:space="0" w:color="auto"/>
            </w:tcBorders>
          </w:tcPr>
          <w:p w14:paraId="467B8E01" w14:textId="77777777" w:rsidR="00DF209F" w:rsidRPr="00117768" w:rsidRDefault="00DF209F" w:rsidP="00A025F2">
            <w:pPr>
              <w:tabs>
                <w:tab w:val="left" w:pos="1635"/>
              </w:tabs>
              <w:rPr>
                <w:i/>
                <w:sz w:val="17"/>
                <w:szCs w:val="17"/>
                <w:lang w:eastAsia="en-AU"/>
              </w:rPr>
            </w:pPr>
            <w:r w:rsidRPr="00117768">
              <w:rPr>
                <w:i/>
                <w:sz w:val="17"/>
                <w:szCs w:val="17"/>
                <w:lang w:eastAsia="en-AU"/>
              </w:rPr>
              <w:t>500,000 youth receive skills training and are able to secure decent employment in the domestic and foreign markets.</w:t>
            </w:r>
          </w:p>
        </w:tc>
        <w:tc>
          <w:tcPr>
            <w:tcW w:w="1544" w:type="dxa"/>
            <w:tcBorders>
              <w:top w:val="dotted" w:sz="4" w:space="0" w:color="auto"/>
              <w:left w:val="dotted" w:sz="4" w:space="0" w:color="auto"/>
              <w:bottom w:val="dotted" w:sz="4" w:space="0" w:color="auto"/>
              <w:right w:val="dotted" w:sz="4" w:space="0" w:color="auto"/>
            </w:tcBorders>
          </w:tcPr>
          <w:p w14:paraId="0D038D97" w14:textId="77777777" w:rsidR="00DF209F" w:rsidRPr="00117768" w:rsidDel="007F0BE3" w:rsidRDefault="00DF209F" w:rsidP="00A025F2">
            <w:pPr>
              <w:tabs>
                <w:tab w:val="left" w:pos="1635"/>
              </w:tabs>
              <w:rPr>
                <w:sz w:val="17"/>
                <w:szCs w:val="17"/>
                <w:lang w:eastAsia="en-AU"/>
              </w:rPr>
            </w:pPr>
            <w:r w:rsidRPr="00117768">
              <w:rPr>
                <w:sz w:val="17"/>
                <w:szCs w:val="17"/>
                <w:lang w:eastAsia="en-AU"/>
              </w:rPr>
              <w:t>Customize Skills Training programs targeting adolescents and youth, b</w:t>
            </w:r>
            <w:r>
              <w:rPr>
                <w:sz w:val="17"/>
                <w:szCs w:val="17"/>
                <w:lang w:eastAsia="en-AU"/>
              </w:rPr>
              <w:t>ased on age and education level</w:t>
            </w:r>
          </w:p>
        </w:tc>
        <w:tc>
          <w:tcPr>
            <w:tcW w:w="1530" w:type="dxa"/>
            <w:tcBorders>
              <w:top w:val="dotted" w:sz="4" w:space="0" w:color="auto"/>
              <w:left w:val="dotted" w:sz="4" w:space="0" w:color="auto"/>
              <w:bottom w:val="dotted" w:sz="4" w:space="0" w:color="auto"/>
              <w:right w:val="dotted" w:sz="4" w:space="0" w:color="auto"/>
            </w:tcBorders>
          </w:tcPr>
          <w:p w14:paraId="5C5B896F" w14:textId="77777777" w:rsidR="00DF209F" w:rsidRPr="00117768" w:rsidRDefault="00DF209F" w:rsidP="00A025F2">
            <w:pPr>
              <w:tabs>
                <w:tab w:val="left" w:pos="1635"/>
              </w:tabs>
              <w:rPr>
                <w:sz w:val="17"/>
                <w:szCs w:val="17"/>
                <w:lang w:eastAsia="en-AU"/>
              </w:rPr>
            </w:pPr>
            <w:r w:rsidRPr="00117768">
              <w:rPr>
                <w:sz w:val="17"/>
                <w:szCs w:val="17"/>
                <w:lang w:eastAsia="en-AU"/>
              </w:rPr>
              <w:t xml:space="preserve">Number of beneficiaries in STAR, ADP and Gonokendro in BEP </w:t>
            </w:r>
          </w:p>
          <w:p w14:paraId="3EB44E47" w14:textId="77777777" w:rsidR="00DF209F" w:rsidRPr="00117768" w:rsidRDefault="00DF209F" w:rsidP="00A025F2">
            <w:pPr>
              <w:tabs>
                <w:tab w:val="left" w:pos="1635"/>
              </w:tabs>
              <w:rPr>
                <w:sz w:val="17"/>
                <w:szCs w:val="17"/>
                <w:lang w:eastAsia="en-AU"/>
              </w:rPr>
            </w:pPr>
          </w:p>
        </w:tc>
        <w:tc>
          <w:tcPr>
            <w:tcW w:w="4002" w:type="dxa"/>
            <w:tcBorders>
              <w:top w:val="dotted" w:sz="4" w:space="0" w:color="auto"/>
              <w:left w:val="dotted" w:sz="4" w:space="0" w:color="auto"/>
              <w:bottom w:val="dotted" w:sz="4" w:space="0" w:color="auto"/>
              <w:right w:val="dotted" w:sz="4" w:space="0" w:color="auto"/>
            </w:tcBorders>
          </w:tcPr>
          <w:p w14:paraId="262BC34D" w14:textId="77777777" w:rsidR="00DF209F" w:rsidRDefault="00DF209F" w:rsidP="00A025F2">
            <w:pPr>
              <w:tabs>
                <w:tab w:val="left" w:pos="1635"/>
              </w:tabs>
              <w:rPr>
                <w:sz w:val="17"/>
                <w:szCs w:val="17"/>
                <w:lang w:eastAsia="en-AU"/>
              </w:rPr>
            </w:pPr>
          </w:p>
          <w:p w14:paraId="77F01BB7" w14:textId="77777777" w:rsidR="00DF209F" w:rsidRPr="00117768" w:rsidRDefault="00DF209F" w:rsidP="00A025F2">
            <w:pPr>
              <w:tabs>
                <w:tab w:val="left" w:pos="1635"/>
              </w:tabs>
              <w:rPr>
                <w:iCs/>
                <w:sz w:val="17"/>
                <w:szCs w:val="17"/>
                <w:lang w:val="en-AU" w:eastAsia="en-AU"/>
              </w:rPr>
            </w:pPr>
            <w:r>
              <w:rPr>
                <w:sz w:val="17"/>
                <w:szCs w:val="17"/>
                <w:lang w:eastAsia="en-AU"/>
              </w:rPr>
              <w:t>TBA after completion of BRAC Skills Strategy</w:t>
            </w:r>
            <w:r w:rsidRPr="00117768">
              <w:rPr>
                <w:sz w:val="17"/>
                <w:szCs w:val="17"/>
                <w:lang w:eastAsia="en-AU"/>
              </w:rPr>
              <w:t xml:space="preserve"> </w:t>
            </w:r>
          </w:p>
        </w:tc>
        <w:tc>
          <w:tcPr>
            <w:tcW w:w="312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16424E7" w14:textId="77777777" w:rsidR="00DF209F" w:rsidRPr="00E476DA" w:rsidRDefault="00DF209F" w:rsidP="00A025F2">
            <w:pPr>
              <w:tabs>
                <w:tab w:val="left" w:pos="1635"/>
              </w:tabs>
              <w:rPr>
                <w:i/>
                <w:sz w:val="17"/>
                <w:szCs w:val="17"/>
                <w:lang w:eastAsia="en-AU"/>
              </w:rPr>
            </w:pPr>
            <w:r w:rsidRPr="00E476DA">
              <w:rPr>
                <w:i/>
                <w:sz w:val="17"/>
                <w:szCs w:val="17"/>
                <w:lang w:eastAsia="en-AU"/>
              </w:rPr>
              <w:t>Target: 1.5 million</w:t>
            </w:r>
          </w:p>
          <w:p w14:paraId="09E8A1A4" w14:textId="77777777" w:rsidR="00DF209F" w:rsidRPr="00117768" w:rsidRDefault="00DF209F" w:rsidP="00A025F2">
            <w:pPr>
              <w:tabs>
                <w:tab w:val="left" w:pos="1635"/>
              </w:tabs>
              <w:rPr>
                <w:sz w:val="17"/>
                <w:szCs w:val="17"/>
                <w:lang w:eastAsia="en-AU"/>
              </w:rPr>
            </w:pPr>
            <w:r w:rsidRPr="00117768">
              <w:rPr>
                <w:sz w:val="17"/>
                <w:szCs w:val="17"/>
                <w:lang w:eastAsia="en-AU"/>
              </w:rPr>
              <w:t xml:space="preserve">Total beneficiaries from ADP and </w:t>
            </w:r>
            <w:r>
              <w:rPr>
                <w:sz w:val="17"/>
                <w:szCs w:val="17"/>
                <w:lang w:eastAsia="en-AU"/>
              </w:rPr>
              <w:t>Gonokendro: 1,551,219 (in 2016)</w:t>
            </w:r>
          </w:p>
          <w:p w14:paraId="3C8DBD63" w14:textId="77777777" w:rsidR="00DF209F" w:rsidRPr="00E476DA" w:rsidRDefault="00DF209F" w:rsidP="00A025F2">
            <w:pPr>
              <w:tabs>
                <w:tab w:val="left" w:pos="1635"/>
              </w:tabs>
              <w:rPr>
                <w:i/>
                <w:sz w:val="17"/>
                <w:szCs w:val="17"/>
                <w:lang w:eastAsia="en-AU"/>
              </w:rPr>
            </w:pPr>
            <w:r w:rsidRPr="00E476DA">
              <w:rPr>
                <w:i/>
                <w:sz w:val="17"/>
                <w:szCs w:val="17"/>
                <w:lang w:eastAsia="en-AU"/>
              </w:rPr>
              <w:t>Target: 30,000</w:t>
            </w:r>
          </w:p>
          <w:p w14:paraId="24A74A45" w14:textId="77777777" w:rsidR="00DF209F" w:rsidRPr="00DC6D94" w:rsidRDefault="00DF209F" w:rsidP="00A025F2">
            <w:pPr>
              <w:tabs>
                <w:tab w:val="left" w:pos="1635"/>
              </w:tabs>
              <w:rPr>
                <w:sz w:val="17"/>
                <w:szCs w:val="17"/>
                <w:lang w:eastAsia="en-AU"/>
              </w:rPr>
            </w:pPr>
            <w:r w:rsidRPr="00117768">
              <w:rPr>
                <w:sz w:val="17"/>
                <w:szCs w:val="17"/>
                <w:lang w:eastAsia="en-AU"/>
              </w:rPr>
              <w:t>33,240 people received skills training.</w:t>
            </w:r>
          </w:p>
        </w:tc>
        <w:tc>
          <w:tcPr>
            <w:tcW w:w="1132" w:type="dxa"/>
            <w:tcBorders>
              <w:top w:val="dotted" w:sz="4" w:space="0" w:color="auto"/>
              <w:left w:val="dotted" w:sz="4" w:space="0" w:color="auto"/>
              <w:bottom w:val="dotted" w:sz="4" w:space="0" w:color="auto"/>
              <w:right w:val="dotted" w:sz="4" w:space="0" w:color="auto"/>
            </w:tcBorders>
          </w:tcPr>
          <w:p w14:paraId="40D90199" w14:textId="77777777" w:rsidR="00DF209F" w:rsidRPr="00117768" w:rsidRDefault="00DF209F" w:rsidP="00A025F2">
            <w:pPr>
              <w:tabs>
                <w:tab w:val="left" w:pos="1635"/>
              </w:tabs>
              <w:rPr>
                <w:sz w:val="17"/>
                <w:szCs w:val="17"/>
                <w:lang w:eastAsia="en-AU"/>
              </w:rPr>
            </w:pPr>
            <w:r w:rsidRPr="00117768">
              <w:rPr>
                <w:sz w:val="17"/>
                <w:szCs w:val="17"/>
                <w:lang w:eastAsia="en-AU"/>
              </w:rPr>
              <w:t>TBA</w:t>
            </w:r>
          </w:p>
        </w:tc>
        <w:tc>
          <w:tcPr>
            <w:tcW w:w="1420" w:type="dxa"/>
            <w:tcBorders>
              <w:top w:val="dotted" w:sz="4" w:space="0" w:color="auto"/>
              <w:left w:val="dotted" w:sz="4" w:space="0" w:color="auto"/>
              <w:bottom w:val="dotted" w:sz="4" w:space="0" w:color="auto"/>
              <w:right w:val="dotted" w:sz="4" w:space="0" w:color="auto"/>
            </w:tcBorders>
          </w:tcPr>
          <w:p w14:paraId="601F1DD3" w14:textId="77777777" w:rsidR="00DF209F" w:rsidRDefault="00DF209F" w:rsidP="00A025F2">
            <w:pPr>
              <w:tabs>
                <w:tab w:val="left" w:pos="1635"/>
              </w:tabs>
              <w:rPr>
                <w:sz w:val="17"/>
                <w:szCs w:val="17"/>
                <w:lang w:eastAsia="en-AU"/>
              </w:rPr>
            </w:pPr>
            <w:r w:rsidRPr="00117768">
              <w:rPr>
                <w:sz w:val="17"/>
                <w:szCs w:val="17"/>
                <w:lang w:eastAsia="en-AU"/>
              </w:rPr>
              <w:t xml:space="preserve">BRAC SPA reporting </w:t>
            </w:r>
          </w:p>
          <w:p w14:paraId="24C8204A" w14:textId="77777777" w:rsidR="00DF209F" w:rsidRPr="00DC6D94" w:rsidRDefault="00DF209F" w:rsidP="00A025F2">
            <w:pPr>
              <w:rPr>
                <w:sz w:val="17"/>
                <w:szCs w:val="17"/>
                <w:lang w:eastAsia="en-AU"/>
              </w:rPr>
            </w:pPr>
          </w:p>
          <w:p w14:paraId="2C8B7B4B" w14:textId="77777777" w:rsidR="00DF209F" w:rsidRPr="00DC6D94" w:rsidRDefault="00DF209F" w:rsidP="00A025F2">
            <w:pPr>
              <w:rPr>
                <w:sz w:val="17"/>
                <w:szCs w:val="17"/>
                <w:lang w:eastAsia="en-AU"/>
              </w:rPr>
            </w:pPr>
          </w:p>
          <w:p w14:paraId="7E05BFDD" w14:textId="77777777" w:rsidR="00DF209F" w:rsidRPr="00DC6D94" w:rsidRDefault="00DF209F" w:rsidP="00A025F2">
            <w:pPr>
              <w:rPr>
                <w:sz w:val="17"/>
                <w:szCs w:val="17"/>
                <w:lang w:eastAsia="en-AU"/>
              </w:rPr>
            </w:pPr>
          </w:p>
        </w:tc>
      </w:tr>
      <w:tr w:rsidR="00DF209F" w:rsidRPr="00117768" w14:paraId="063783BD" w14:textId="77777777" w:rsidTr="00E60A7E">
        <w:trPr>
          <w:trHeight w:val="68"/>
        </w:trPr>
        <w:tc>
          <w:tcPr>
            <w:tcW w:w="1649" w:type="dxa"/>
            <w:vMerge/>
            <w:tcBorders>
              <w:left w:val="dotted" w:sz="4" w:space="0" w:color="auto"/>
              <w:bottom w:val="dotted" w:sz="4" w:space="0" w:color="auto"/>
              <w:right w:val="dotted" w:sz="4" w:space="0" w:color="auto"/>
            </w:tcBorders>
          </w:tcPr>
          <w:p w14:paraId="0330FD4D" w14:textId="77777777" w:rsidR="00DF209F" w:rsidRPr="00117768" w:rsidDel="001B798D" w:rsidRDefault="00DF209F" w:rsidP="00A025F2">
            <w:pPr>
              <w:numPr>
                <w:ilvl w:val="0"/>
                <w:numId w:val="12"/>
              </w:numPr>
              <w:pBdr>
                <w:top w:val="nil"/>
                <w:left w:val="nil"/>
                <w:bottom w:val="nil"/>
                <w:right w:val="nil"/>
                <w:between w:val="nil"/>
                <w:bar w:val="nil"/>
              </w:pBdr>
              <w:tabs>
                <w:tab w:val="left" w:pos="1635"/>
              </w:tabs>
              <w:suppressAutoHyphens w:val="0"/>
              <w:spacing w:before="0" w:after="0" w:line="240" w:lineRule="auto"/>
              <w:rPr>
                <w:b/>
                <w:iCs/>
                <w:sz w:val="17"/>
                <w:szCs w:val="17"/>
                <w:lang w:val="en-AU" w:eastAsia="en-AU"/>
              </w:rPr>
            </w:pPr>
          </w:p>
        </w:tc>
        <w:tc>
          <w:tcPr>
            <w:tcW w:w="1663" w:type="dxa"/>
            <w:gridSpan w:val="2"/>
            <w:vMerge/>
            <w:tcBorders>
              <w:left w:val="dotted" w:sz="4" w:space="0" w:color="auto"/>
              <w:bottom w:val="dotted" w:sz="4" w:space="0" w:color="auto"/>
              <w:right w:val="dotted" w:sz="4" w:space="0" w:color="auto"/>
            </w:tcBorders>
          </w:tcPr>
          <w:p w14:paraId="09722913" w14:textId="77777777" w:rsidR="00DF209F" w:rsidRPr="00117768" w:rsidRDefault="00DF209F" w:rsidP="00A025F2">
            <w:pPr>
              <w:tabs>
                <w:tab w:val="left" w:pos="1635"/>
              </w:tabs>
              <w:rPr>
                <w:i/>
                <w:iCs/>
                <w:sz w:val="17"/>
                <w:szCs w:val="17"/>
                <w:lang w:val="en-AU" w:eastAsia="en-AU"/>
              </w:rPr>
            </w:pPr>
          </w:p>
        </w:tc>
        <w:tc>
          <w:tcPr>
            <w:tcW w:w="1544" w:type="dxa"/>
            <w:tcBorders>
              <w:top w:val="dotted" w:sz="4" w:space="0" w:color="auto"/>
              <w:left w:val="dotted" w:sz="4" w:space="0" w:color="auto"/>
              <w:bottom w:val="dotted" w:sz="4" w:space="0" w:color="auto"/>
              <w:right w:val="dotted" w:sz="4" w:space="0" w:color="auto"/>
            </w:tcBorders>
          </w:tcPr>
          <w:p w14:paraId="7B9E76EC" w14:textId="77777777" w:rsidR="00DF209F" w:rsidRPr="00117768" w:rsidDel="00776901" w:rsidRDefault="00DF209F" w:rsidP="00A025F2">
            <w:pPr>
              <w:tabs>
                <w:tab w:val="left" w:pos="1635"/>
              </w:tabs>
              <w:rPr>
                <w:sz w:val="17"/>
                <w:szCs w:val="17"/>
                <w:lang w:eastAsia="en-AU"/>
              </w:rPr>
            </w:pPr>
            <w:r w:rsidRPr="00117768">
              <w:rPr>
                <w:sz w:val="17"/>
                <w:szCs w:val="17"/>
                <w:lang w:eastAsia="en-AU"/>
              </w:rPr>
              <w:t>Support GoB in strengthening skills development initiatives &amp; leverage BRAC’s  program</w:t>
            </w:r>
            <w:r>
              <w:rPr>
                <w:sz w:val="17"/>
                <w:szCs w:val="17"/>
                <w:lang w:eastAsia="en-AU"/>
              </w:rPr>
              <w:t xml:space="preserve"> resources, networks &amp; expertise.</w:t>
            </w:r>
          </w:p>
        </w:tc>
        <w:tc>
          <w:tcPr>
            <w:tcW w:w="1530" w:type="dxa"/>
            <w:tcBorders>
              <w:top w:val="dotted" w:sz="4" w:space="0" w:color="auto"/>
              <w:left w:val="dotted" w:sz="4" w:space="0" w:color="auto"/>
              <w:bottom w:val="dotted" w:sz="4" w:space="0" w:color="auto"/>
              <w:right w:val="dotted" w:sz="4" w:space="0" w:color="auto"/>
            </w:tcBorders>
          </w:tcPr>
          <w:p w14:paraId="09453556" w14:textId="77777777" w:rsidR="00DF209F" w:rsidRPr="00117768" w:rsidRDefault="00DF209F" w:rsidP="00A025F2">
            <w:pPr>
              <w:tabs>
                <w:tab w:val="left" w:pos="1635"/>
              </w:tabs>
              <w:rPr>
                <w:sz w:val="17"/>
                <w:szCs w:val="17"/>
                <w:lang w:eastAsia="en-AU"/>
              </w:rPr>
            </w:pPr>
            <w:r w:rsidRPr="00117768">
              <w:rPr>
                <w:sz w:val="17"/>
                <w:szCs w:val="17"/>
                <w:lang w:eastAsia="en-AU"/>
              </w:rPr>
              <w:t xml:space="preserve">Number of PACE Schools </w:t>
            </w:r>
          </w:p>
          <w:p w14:paraId="3F1BE74E" w14:textId="77777777" w:rsidR="00DF209F" w:rsidRPr="00117768" w:rsidRDefault="00DF209F" w:rsidP="00A025F2">
            <w:pPr>
              <w:tabs>
                <w:tab w:val="left" w:pos="1635"/>
              </w:tabs>
              <w:rPr>
                <w:sz w:val="17"/>
                <w:szCs w:val="17"/>
                <w:lang w:eastAsia="en-AU"/>
              </w:rPr>
            </w:pPr>
          </w:p>
          <w:p w14:paraId="2C85649E" w14:textId="77777777" w:rsidR="00DF209F" w:rsidRPr="00117768" w:rsidRDefault="00DF209F" w:rsidP="00A025F2">
            <w:pPr>
              <w:tabs>
                <w:tab w:val="left" w:pos="1635"/>
              </w:tabs>
              <w:rPr>
                <w:sz w:val="17"/>
                <w:szCs w:val="17"/>
                <w:lang w:eastAsia="en-AU"/>
              </w:rPr>
            </w:pPr>
          </w:p>
        </w:tc>
        <w:tc>
          <w:tcPr>
            <w:tcW w:w="4002" w:type="dxa"/>
            <w:tcBorders>
              <w:top w:val="dotted" w:sz="4" w:space="0" w:color="auto"/>
              <w:left w:val="dotted" w:sz="4" w:space="0" w:color="auto"/>
              <w:bottom w:val="dotted" w:sz="4" w:space="0" w:color="auto"/>
              <w:right w:val="dotted" w:sz="4" w:space="0" w:color="auto"/>
            </w:tcBorders>
          </w:tcPr>
          <w:p w14:paraId="1471CD9A" w14:textId="77777777" w:rsidR="00DF209F" w:rsidRPr="00117768" w:rsidRDefault="00DF209F" w:rsidP="00A025F2">
            <w:pPr>
              <w:tabs>
                <w:tab w:val="left" w:pos="1635"/>
              </w:tabs>
              <w:rPr>
                <w:sz w:val="17"/>
                <w:szCs w:val="17"/>
                <w:lang w:eastAsia="en-AU"/>
              </w:rPr>
            </w:pPr>
            <w:r>
              <w:rPr>
                <w:sz w:val="17"/>
                <w:szCs w:val="17"/>
                <w:lang w:eastAsia="en-AU"/>
              </w:rPr>
              <w:t>TBA after completion of BRAC Skills Strategy</w:t>
            </w:r>
          </w:p>
          <w:p w14:paraId="6CE95C5E" w14:textId="77777777" w:rsidR="00DF209F" w:rsidRPr="00117768" w:rsidRDefault="00DF209F" w:rsidP="00A025F2">
            <w:pPr>
              <w:tabs>
                <w:tab w:val="left" w:pos="1635"/>
              </w:tabs>
              <w:rPr>
                <w:iCs/>
                <w:sz w:val="17"/>
                <w:szCs w:val="17"/>
                <w:lang w:val="en-AU" w:eastAsia="en-AU"/>
              </w:rPr>
            </w:pPr>
          </w:p>
        </w:tc>
        <w:tc>
          <w:tcPr>
            <w:tcW w:w="312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4F8970AB" w14:textId="2079F1D4" w:rsidR="00DF209F" w:rsidRPr="00E476DA" w:rsidRDefault="00DF209F" w:rsidP="00A025F2">
            <w:pPr>
              <w:tabs>
                <w:tab w:val="left" w:pos="1635"/>
              </w:tabs>
              <w:rPr>
                <w:i/>
                <w:sz w:val="17"/>
                <w:szCs w:val="17"/>
                <w:lang w:eastAsia="en-AU"/>
              </w:rPr>
            </w:pPr>
            <w:r w:rsidRPr="00E476DA">
              <w:rPr>
                <w:i/>
                <w:sz w:val="17"/>
                <w:szCs w:val="17"/>
                <w:lang w:eastAsia="en-AU"/>
              </w:rPr>
              <w:t>Target: 1</w:t>
            </w:r>
            <w:r w:rsidR="00DF05FD">
              <w:rPr>
                <w:i/>
                <w:sz w:val="17"/>
                <w:szCs w:val="17"/>
                <w:lang w:eastAsia="en-AU"/>
              </w:rPr>
              <w:t>,</w:t>
            </w:r>
            <w:r w:rsidRPr="00E476DA">
              <w:rPr>
                <w:i/>
                <w:sz w:val="17"/>
                <w:szCs w:val="17"/>
                <w:lang w:eastAsia="en-AU"/>
              </w:rPr>
              <w:t>400</w:t>
            </w:r>
          </w:p>
          <w:p w14:paraId="66B426F6" w14:textId="77777777" w:rsidR="00DF209F" w:rsidRPr="00117768" w:rsidRDefault="00DF209F" w:rsidP="00A025F2">
            <w:pPr>
              <w:tabs>
                <w:tab w:val="left" w:pos="1635"/>
              </w:tabs>
              <w:rPr>
                <w:sz w:val="17"/>
                <w:szCs w:val="17"/>
                <w:lang w:eastAsia="en-AU"/>
              </w:rPr>
            </w:pPr>
          </w:p>
          <w:p w14:paraId="28479937" w14:textId="77777777" w:rsidR="00DF209F" w:rsidRDefault="00DF209F" w:rsidP="00A025F2">
            <w:pPr>
              <w:tabs>
                <w:tab w:val="left" w:pos="1635"/>
              </w:tabs>
              <w:rPr>
                <w:sz w:val="17"/>
                <w:szCs w:val="17"/>
                <w:lang w:eastAsia="en-AU"/>
              </w:rPr>
            </w:pPr>
            <w:r w:rsidRPr="00117768">
              <w:rPr>
                <w:sz w:val="17"/>
                <w:szCs w:val="17"/>
                <w:lang w:eastAsia="en-AU"/>
              </w:rPr>
              <w:t>1,400 PACE schools</w:t>
            </w:r>
          </w:p>
          <w:p w14:paraId="5DCD9165" w14:textId="77777777" w:rsidR="00DF209F" w:rsidRPr="006E656E" w:rsidRDefault="00DF209F" w:rsidP="00A025F2">
            <w:pPr>
              <w:rPr>
                <w:sz w:val="17"/>
                <w:szCs w:val="17"/>
                <w:lang w:eastAsia="en-AU"/>
              </w:rPr>
            </w:pPr>
          </w:p>
          <w:p w14:paraId="324FB54C" w14:textId="77777777" w:rsidR="00DF209F" w:rsidRDefault="00DF209F" w:rsidP="00A025F2">
            <w:pPr>
              <w:rPr>
                <w:sz w:val="17"/>
                <w:szCs w:val="17"/>
                <w:lang w:eastAsia="en-AU"/>
              </w:rPr>
            </w:pPr>
          </w:p>
          <w:p w14:paraId="36EAE3C6" w14:textId="77777777" w:rsidR="00DF209F" w:rsidRPr="006E656E" w:rsidRDefault="00DF209F" w:rsidP="00A025F2">
            <w:pPr>
              <w:rPr>
                <w:sz w:val="17"/>
                <w:szCs w:val="17"/>
                <w:lang w:eastAsia="en-AU"/>
              </w:rPr>
            </w:pPr>
          </w:p>
        </w:tc>
        <w:tc>
          <w:tcPr>
            <w:tcW w:w="1132" w:type="dxa"/>
            <w:tcBorders>
              <w:top w:val="dotted" w:sz="4" w:space="0" w:color="auto"/>
              <w:left w:val="dotted" w:sz="4" w:space="0" w:color="auto"/>
              <w:bottom w:val="dotted" w:sz="4" w:space="0" w:color="auto"/>
              <w:right w:val="dotted" w:sz="4" w:space="0" w:color="auto"/>
            </w:tcBorders>
          </w:tcPr>
          <w:p w14:paraId="6C31017D" w14:textId="77777777" w:rsidR="00DF209F" w:rsidRPr="00117768" w:rsidRDefault="00DF209F" w:rsidP="00A025F2">
            <w:pPr>
              <w:tabs>
                <w:tab w:val="left" w:pos="1635"/>
              </w:tabs>
              <w:rPr>
                <w:sz w:val="17"/>
                <w:szCs w:val="17"/>
                <w:lang w:eastAsia="en-AU"/>
              </w:rPr>
            </w:pPr>
            <w:r w:rsidRPr="00117768">
              <w:rPr>
                <w:sz w:val="17"/>
                <w:szCs w:val="17"/>
                <w:lang w:eastAsia="en-AU"/>
              </w:rPr>
              <w:t>TBA</w:t>
            </w:r>
          </w:p>
        </w:tc>
        <w:tc>
          <w:tcPr>
            <w:tcW w:w="1420" w:type="dxa"/>
            <w:tcBorders>
              <w:top w:val="dotted" w:sz="4" w:space="0" w:color="auto"/>
              <w:left w:val="dotted" w:sz="4" w:space="0" w:color="auto"/>
              <w:bottom w:val="dotted" w:sz="4" w:space="0" w:color="auto"/>
              <w:right w:val="dotted" w:sz="4" w:space="0" w:color="auto"/>
            </w:tcBorders>
          </w:tcPr>
          <w:p w14:paraId="2F12FB18" w14:textId="77777777" w:rsidR="00DF209F" w:rsidRPr="00117768" w:rsidRDefault="00DF209F" w:rsidP="00A025F2">
            <w:pPr>
              <w:tabs>
                <w:tab w:val="left" w:pos="1635"/>
              </w:tabs>
              <w:rPr>
                <w:sz w:val="17"/>
                <w:szCs w:val="17"/>
                <w:lang w:eastAsia="en-AU"/>
              </w:rPr>
            </w:pPr>
            <w:r w:rsidRPr="00117768">
              <w:rPr>
                <w:sz w:val="17"/>
                <w:szCs w:val="17"/>
                <w:lang w:eastAsia="en-AU"/>
              </w:rPr>
              <w:t>BRAC SPA reporting</w:t>
            </w:r>
          </w:p>
        </w:tc>
      </w:tr>
    </w:tbl>
    <w:p w14:paraId="47C7C9EC" w14:textId="6861118F" w:rsidR="00A025F2" w:rsidRDefault="00A025F2" w:rsidP="00DF209F"/>
    <w:p w14:paraId="6EEB8C2A" w14:textId="05175473" w:rsidR="00E74FD0" w:rsidRDefault="00E74FD0" w:rsidP="00DF209F"/>
    <w:p w14:paraId="6B0F6936" w14:textId="3BEDA953" w:rsidR="00E74FD0" w:rsidRDefault="00E74FD0" w:rsidP="00DF209F"/>
    <w:p w14:paraId="2785A387" w14:textId="3D9CEE94" w:rsidR="00E74FD0" w:rsidRDefault="00E74FD0" w:rsidP="00DF209F"/>
    <w:p w14:paraId="48796D7F" w14:textId="6BFC590A" w:rsidR="00E74FD0" w:rsidRDefault="00E74FD0" w:rsidP="00DF209F"/>
    <w:p w14:paraId="4AF0D43C" w14:textId="5D16E685" w:rsidR="00E74FD0" w:rsidRDefault="00E74FD0" w:rsidP="00DF209F"/>
    <w:p w14:paraId="52965ED9" w14:textId="6A42A3AA" w:rsidR="00E60A7E" w:rsidRDefault="00E60A7E" w:rsidP="00DF209F"/>
    <w:p w14:paraId="198DAF17" w14:textId="77777777" w:rsidR="00E60A7E" w:rsidRDefault="00E60A7E" w:rsidP="00DF209F"/>
    <w:p w14:paraId="5952F76F" w14:textId="78225B3C" w:rsidR="00E74FD0" w:rsidRDefault="00E74FD0" w:rsidP="00DF209F"/>
    <w:p w14:paraId="44AABAE7" w14:textId="7E7C0D37" w:rsidR="00E74FD0" w:rsidRDefault="00E74FD0" w:rsidP="00DF209F"/>
    <w:tbl>
      <w:tblPr>
        <w:tblpPr w:leftFromText="180" w:rightFromText="180" w:vertAnchor="text" w:horzAnchor="page" w:tblpX="514" w:tblpY="-1661"/>
        <w:tblW w:w="16033" w:type="dxa"/>
        <w:tblLayout w:type="fixed"/>
        <w:tblLook w:val="04A0" w:firstRow="1" w:lastRow="0" w:firstColumn="1" w:lastColumn="0" w:noHBand="0" w:noVBand="1"/>
      </w:tblPr>
      <w:tblGrid>
        <w:gridCol w:w="1919"/>
        <w:gridCol w:w="3038"/>
        <w:gridCol w:w="5334"/>
        <w:gridCol w:w="3185"/>
        <w:gridCol w:w="1418"/>
        <w:gridCol w:w="1139"/>
      </w:tblGrid>
      <w:tr w:rsidR="00E74FD0" w:rsidRPr="00E74FD0" w14:paraId="61B4F6EA" w14:textId="77777777" w:rsidTr="00A20FBD">
        <w:trPr>
          <w:trHeight w:val="560"/>
        </w:trPr>
        <w:tc>
          <w:tcPr>
            <w:tcW w:w="1919" w:type="dxa"/>
            <w:tcBorders>
              <w:top w:val="dotted" w:sz="4" w:space="0" w:color="auto"/>
              <w:left w:val="dotted" w:sz="4" w:space="0" w:color="auto"/>
              <w:bottom w:val="dotted" w:sz="4" w:space="0" w:color="auto"/>
              <w:right w:val="dotted" w:sz="4" w:space="0" w:color="auto"/>
            </w:tcBorders>
            <w:shd w:val="clear" w:color="auto" w:fill="D8DCDB" w:themeFill="background2"/>
          </w:tcPr>
          <w:p w14:paraId="5600DFB2" w14:textId="77777777" w:rsidR="00E74FD0" w:rsidRPr="00E74FD0" w:rsidRDefault="00E74FD0" w:rsidP="00E74FD0">
            <w:pPr>
              <w:tabs>
                <w:tab w:val="left" w:pos="1635"/>
              </w:tabs>
              <w:rPr>
                <w:b/>
                <w:iCs/>
                <w:sz w:val="17"/>
                <w:szCs w:val="17"/>
                <w:lang w:val="en-AU" w:eastAsia="en-AU"/>
              </w:rPr>
            </w:pPr>
            <w:r w:rsidRPr="00E74FD0">
              <w:rPr>
                <w:b/>
                <w:iCs/>
                <w:sz w:val="17"/>
                <w:szCs w:val="17"/>
                <w:lang w:val="en-AU" w:eastAsia="en-AU"/>
              </w:rPr>
              <w:t>Australia’s aid objective</w:t>
            </w:r>
          </w:p>
        </w:tc>
        <w:tc>
          <w:tcPr>
            <w:tcW w:w="14114" w:type="dxa"/>
            <w:gridSpan w:val="5"/>
            <w:tcBorders>
              <w:top w:val="dotted" w:sz="4" w:space="0" w:color="auto"/>
              <w:left w:val="dotted" w:sz="4" w:space="0" w:color="auto"/>
              <w:bottom w:val="dotted" w:sz="4" w:space="0" w:color="auto"/>
              <w:right w:val="dotted" w:sz="4" w:space="0" w:color="auto"/>
            </w:tcBorders>
            <w:shd w:val="clear" w:color="auto" w:fill="D8DCDB" w:themeFill="background2"/>
          </w:tcPr>
          <w:p w14:paraId="7A9282E8" w14:textId="77777777" w:rsidR="00E74FD0" w:rsidRPr="00E74FD0" w:rsidRDefault="00E74FD0" w:rsidP="00E74FD0">
            <w:pPr>
              <w:tabs>
                <w:tab w:val="left" w:pos="1635"/>
              </w:tabs>
              <w:rPr>
                <w:b/>
                <w:i/>
                <w:iCs/>
                <w:sz w:val="17"/>
                <w:szCs w:val="17"/>
                <w:lang w:val="en-AU" w:eastAsia="en-AU"/>
              </w:rPr>
            </w:pPr>
            <w:r w:rsidRPr="00E74FD0">
              <w:rPr>
                <w:b/>
                <w:i/>
                <w:iCs/>
                <w:sz w:val="17"/>
                <w:szCs w:val="17"/>
                <w:lang w:val="en-AU" w:eastAsia="en-AU"/>
              </w:rPr>
              <w:t>Program management</w:t>
            </w:r>
          </w:p>
        </w:tc>
      </w:tr>
      <w:tr w:rsidR="00E74FD0" w:rsidRPr="00E74FD0" w14:paraId="4E255DE3" w14:textId="77777777" w:rsidTr="00E74FD0">
        <w:trPr>
          <w:trHeight w:val="412"/>
        </w:trPr>
        <w:tc>
          <w:tcPr>
            <w:tcW w:w="4957" w:type="dxa"/>
            <w:gridSpan w:val="2"/>
            <w:tcBorders>
              <w:top w:val="dotted" w:sz="4" w:space="0" w:color="auto"/>
              <w:left w:val="dotted" w:sz="4" w:space="0" w:color="auto"/>
              <w:bottom w:val="dotted" w:sz="4" w:space="0" w:color="auto"/>
              <w:right w:val="dotted" w:sz="4" w:space="0" w:color="auto"/>
            </w:tcBorders>
          </w:tcPr>
          <w:p w14:paraId="767159ED" w14:textId="77777777" w:rsidR="00E74FD0" w:rsidRPr="00E74FD0" w:rsidRDefault="00E74FD0" w:rsidP="00E74FD0">
            <w:pPr>
              <w:tabs>
                <w:tab w:val="left" w:pos="1635"/>
              </w:tabs>
              <w:rPr>
                <w:b/>
                <w:i/>
                <w:iCs/>
                <w:sz w:val="17"/>
                <w:szCs w:val="17"/>
                <w:lang w:val="en-AU" w:eastAsia="en-AU"/>
              </w:rPr>
            </w:pPr>
          </w:p>
        </w:tc>
        <w:tc>
          <w:tcPr>
            <w:tcW w:w="9937" w:type="dxa"/>
            <w:gridSpan w:val="3"/>
            <w:tcBorders>
              <w:top w:val="dotted" w:sz="4" w:space="0" w:color="auto"/>
              <w:left w:val="dotted" w:sz="4" w:space="0" w:color="auto"/>
              <w:bottom w:val="dotted" w:sz="4" w:space="0" w:color="auto"/>
              <w:right w:val="dotted" w:sz="4" w:space="0" w:color="auto"/>
            </w:tcBorders>
            <w:vAlign w:val="center"/>
          </w:tcPr>
          <w:p w14:paraId="7593E104" w14:textId="77777777" w:rsidR="00E74FD0" w:rsidRPr="00E74FD0" w:rsidRDefault="00E74FD0" w:rsidP="00E74FD0">
            <w:pPr>
              <w:tabs>
                <w:tab w:val="left" w:pos="1635"/>
              </w:tabs>
              <w:rPr>
                <w:b/>
                <w:i/>
                <w:iCs/>
                <w:sz w:val="17"/>
                <w:szCs w:val="17"/>
                <w:lang w:val="en-AU" w:eastAsia="en-AU"/>
              </w:rPr>
            </w:pPr>
            <w:r w:rsidRPr="00E74FD0">
              <w:rPr>
                <w:b/>
                <w:iCs/>
                <w:sz w:val="17"/>
                <w:szCs w:val="17"/>
                <w:lang w:val="en-AU" w:eastAsia="en-AU"/>
              </w:rPr>
              <w:t>Annual Progress Targets/Milestones</w:t>
            </w:r>
          </w:p>
        </w:tc>
        <w:tc>
          <w:tcPr>
            <w:tcW w:w="1139" w:type="dxa"/>
            <w:tcBorders>
              <w:top w:val="dotted" w:sz="4" w:space="0" w:color="auto"/>
              <w:left w:val="dotted" w:sz="4" w:space="0" w:color="auto"/>
              <w:bottom w:val="dotted" w:sz="4" w:space="0" w:color="auto"/>
              <w:right w:val="dotted" w:sz="4" w:space="0" w:color="auto"/>
            </w:tcBorders>
          </w:tcPr>
          <w:p w14:paraId="452C4379" w14:textId="77777777" w:rsidR="00E74FD0" w:rsidRPr="00E74FD0" w:rsidRDefault="00E74FD0" w:rsidP="00E74FD0">
            <w:pPr>
              <w:tabs>
                <w:tab w:val="left" w:pos="1635"/>
              </w:tabs>
              <w:rPr>
                <w:b/>
                <w:i/>
                <w:iCs/>
                <w:sz w:val="17"/>
                <w:szCs w:val="17"/>
                <w:lang w:val="en-AU" w:eastAsia="en-AU"/>
              </w:rPr>
            </w:pPr>
          </w:p>
        </w:tc>
      </w:tr>
      <w:tr w:rsidR="00E74FD0" w:rsidRPr="00E74FD0" w14:paraId="2400D0CD" w14:textId="77777777" w:rsidTr="00A20FBD">
        <w:trPr>
          <w:trHeight w:val="559"/>
        </w:trPr>
        <w:tc>
          <w:tcPr>
            <w:tcW w:w="1919" w:type="dxa"/>
            <w:tcBorders>
              <w:top w:val="dotted" w:sz="4" w:space="0" w:color="auto"/>
              <w:left w:val="dotted" w:sz="4" w:space="0" w:color="auto"/>
              <w:bottom w:val="dotted" w:sz="4" w:space="0" w:color="auto"/>
              <w:right w:val="dotted" w:sz="4" w:space="0" w:color="auto"/>
            </w:tcBorders>
            <w:shd w:val="clear" w:color="auto" w:fill="D8DCDB" w:themeFill="background2"/>
          </w:tcPr>
          <w:p w14:paraId="0A8F9AA5" w14:textId="77777777" w:rsidR="00E74FD0" w:rsidRPr="00E74FD0" w:rsidRDefault="00E74FD0" w:rsidP="00E74FD0">
            <w:pPr>
              <w:tabs>
                <w:tab w:val="left" w:pos="1635"/>
              </w:tabs>
              <w:rPr>
                <w:b/>
                <w:i/>
                <w:iCs/>
                <w:sz w:val="17"/>
                <w:szCs w:val="17"/>
                <w:lang w:val="en-AU" w:eastAsia="en-AU"/>
              </w:rPr>
            </w:pPr>
            <w:r w:rsidRPr="00E74FD0">
              <w:rPr>
                <w:b/>
                <w:iCs/>
                <w:sz w:val="17"/>
                <w:szCs w:val="17"/>
                <w:lang w:val="en-AU" w:eastAsia="en-AU"/>
              </w:rPr>
              <w:t>Plan outcome</w:t>
            </w:r>
          </w:p>
        </w:tc>
        <w:tc>
          <w:tcPr>
            <w:tcW w:w="3038" w:type="dxa"/>
            <w:tcBorders>
              <w:top w:val="dotted" w:sz="4" w:space="0" w:color="auto"/>
              <w:left w:val="dotted" w:sz="4" w:space="0" w:color="auto"/>
              <w:bottom w:val="dotted" w:sz="4" w:space="0" w:color="auto"/>
              <w:right w:val="dotted" w:sz="4" w:space="0" w:color="auto"/>
            </w:tcBorders>
            <w:shd w:val="clear" w:color="auto" w:fill="D8DCDB" w:themeFill="background2"/>
          </w:tcPr>
          <w:p w14:paraId="422C62DD" w14:textId="77777777" w:rsidR="00E74FD0" w:rsidRPr="00E74FD0" w:rsidRDefault="00E74FD0" w:rsidP="00E74FD0">
            <w:pPr>
              <w:tabs>
                <w:tab w:val="left" w:pos="1635"/>
              </w:tabs>
              <w:rPr>
                <w:b/>
                <w:i/>
                <w:iCs/>
                <w:sz w:val="17"/>
                <w:szCs w:val="17"/>
                <w:lang w:val="en-AU" w:eastAsia="en-AU"/>
              </w:rPr>
            </w:pPr>
            <w:r w:rsidRPr="00E74FD0">
              <w:rPr>
                <w:b/>
                <w:iCs/>
                <w:sz w:val="17"/>
                <w:szCs w:val="17"/>
                <w:lang w:val="en-AU" w:eastAsia="en-AU"/>
              </w:rPr>
              <w:t>Plan outcome indicators</w:t>
            </w:r>
          </w:p>
          <w:p w14:paraId="3BD99798" w14:textId="77777777" w:rsidR="00E74FD0" w:rsidRPr="00E74FD0" w:rsidRDefault="00E74FD0" w:rsidP="00E74FD0">
            <w:pPr>
              <w:tabs>
                <w:tab w:val="left" w:pos="1635"/>
              </w:tabs>
              <w:rPr>
                <w:b/>
                <w:iCs/>
                <w:sz w:val="17"/>
                <w:szCs w:val="17"/>
                <w:lang w:val="en-AU" w:eastAsia="en-AU"/>
              </w:rPr>
            </w:pPr>
          </w:p>
        </w:tc>
        <w:tc>
          <w:tcPr>
            <w:tcW w:w="5334" w:type="dxa"/>
            <w:tcBorders>
              <w:top w:val="dotted" w:sz="4" w:space="0" w:color="auto"/>
              <w:left w:val="dotted" w:sz="4" w:space="0" w:color="auto"/>
              <w:bottom w:val="dotted" w:sz="4" w:space="0" w:color="auto"/>
              <w:right w:val="dotted" w:sz="4" w:space="0" w:color="auto"/>
            </w:tcBorders>
            <w:shd w:val="clear" w:color="auto" w:fill="D8DCDB" w:themeFill="background2"/>
          </w:tcPr>
          <w:p w14:paraId="25997DDC" w14:textId="77777777" w:rsidR="00E74FD0" w:rsidRPr="00E74FD0" w:rsidRDefault="00E74FD0" w:rsidP="00E74FD0">
            <w:pPr>
              <w:tabs>
                <w:tab w:val="left" w:pos="1635"/>
              </w:tabs>
              <w:rPr>
                <w:b/>
                <w:iCs/>
                <w:sz w:val="17"/>
                <w:szCs w:val="17"/>
                <w:lang w:val="en-AU" w:eastAsia="en-AU"/>
              </w:rPr>
            </w:pPr>
            <w:r w:rsidRPr="00E74FD0">
              <w:rPr>
                <w:b/>
                <w:iCs/>
                <w:sz w:val="17"/>
                <w:szCs w:val="17"/>
                <w:lang w:val="en-AU" w:eastAsia="en-AU"/>
              </w:rPr>
              <w:t>2015-16</w:t>
            </w:r>
          </w:p>
        </w:tc>
        <w:tc>
          <w:tcPr>
            <w:tcW w:w="3185" w:type="dxa"/>
            <w:tcBorders>
              <w:top w:val="dotted" w:sz="4" w:space="0" w:color="auto"/>
              <w:left w:val="dotted" w:sz="4" w:space="0" w:color="auto"/>
              <w:bottom w:val="dotted" w:sz="4" w:space="0" w:color="auto"/>
              <w:right w:val="dotted" w:sz="4" w:space="0" w:color="auto"/>
            </w:tcBorders>
            <w:shd w:val="clear" w:color="auto" w:fill="D8DCDB" w:themeFill="background2"/>
          </w:tcPr>
          <w:p w14:paraId="0C7E1A05" w14:textId="77777777" w:rsidR="00E74FD0" w:rsidRPr="00E74FD0" w:rsidRDefault="00E74FD0" w:rsidP="00E74FD0">
            <w:pPr>
              <w:tabs>
                <w:tab w:val="left" w:pos="1635"/>
              </w:tabs>
              <w:rPr>
                <w:b/>
                <w:iCs/>
                <w:sz w:val="17"/>
                <w:szCs w:val="17"/>
                <w:lang w:val="en-AU" w:eastAsia="en-AU"/>
              </w:rPr>
            </w:pPr>
            <w:r w:rsidRPr="00E74FD0">
              <w:rPr>
                <w:b/>
                <w:iCs/>
                <w:sz w:val="17"/>
                <w:szCs w:val="17"/>
                <w:lang w:val="en-AU" w:eastAsia="en-AU"/>
              </w:rPr>
              <w:t>2016-17</w:t>
            </w:r>
          </w:p>
        </w:tc>
        <w:tc>
          <w:tcPr>
            <w:tcW w:w="1418" w:type="dxa"/>
            <w:tcBorders>
              <w:top w:val="dotted" w:sz="4" w:space="0" w:color="auto"/>
              <w:left w:val="dotted" w:sz="4" w:space="0" w:color="auto"/>
              <w:bottom w:val="dotted" w:sz="4" w:space="0" w:color="auto"/>
              <w:right w:val="dotted" w:sz="4" w:space="0" w:color="auto"/>
            </w:tcBorders>
            <w:shd w:val="clear" w:color="auto" w:fill="D8DCDB" w:themeFill="background2"/>
          </w:tcPr>
          <w:p w14:paraId="5CB8F507" w14:textId="77777777" w:rsidR="00E74FD0" w:rsidRPr="00E74FD0" w:rsidRDefault="00E74FD0" w:rsidP="00E74FD0">
            <w:pPr>
              <w:tabs>
                <w:tab w:val="left" w:pos="1635"/>
              </w:tabs>
              <w:rPr>
                <w:b/>
                <w:iCs/>
                <w:sz w:val="17"/>
                <w:szCs w:val="17"/>
                <w:lang w:val="en-AU" w:eastAsia="en-AU"/>
              </w:rPr>
            </w:pPr>
            <w:r w:rsidRPr="00E74FD0">
              <w:rPr>
                <w:b/>
                <w:iCs/>
                <w:sz w:val="17"/>
                <w:szCs w:val="17"/>
                <w:lang w:val="en-AU" w:eastAsia="en-AU"/>
              </w:rPr>
              <w:t>2017-18</w:t>
            </w:r>
          </w:p>
        </w:tc>
        <w:tc>
          <w:tcPr>
            <w:tcW w:w="1139" w:type="dxa"/>
            <w:tcBorders>
              <w:top w:val="dotted" w:sz="4" w:space="0" w:color="auto"/>
              <w:left w:val="dotted" w:sz="4" w:space="0" w:color="auto"/>
              <w:bottom w:val="dotted" w:sz="4" w:space="0" w:color="auto"/>
              <w:right w:val="dotted" w:sz="4" w:space="0" w:color="auto"/>
            </w:tcBorders>
            <w:shd w:val="clear" w:color="auto" w:fill="D8DCDB" w:themeFill="background2"/>
          </w:tcPr>
          <w:p w14:paraId="3E9CE4C3" w14:textId="77777777" w:rsidR="00E74FD0" w:rsidRPr="00E74FD0" w:rsidRDefault="00E74FD0" w:rsidP="00E74FD0">
            <w:pPr>
              <w:tabs>
                <w:tab w:val="left" w:pos="1635"/>
              </w:tabs>
              <w:rPr>
                <w:b/>
                <w:i/>
                <w:iCs/>
                <w:sz w:val="17"/>
                <w:szCs w:val="17"/>
                <w:lang w:val="en-AU" w:eastAsia="en-AU"/>
              </w:rPr>
            </w:pPr>
            <w:r w:rsidRPr="00E74FD0">
              <w:rPr>
                <w:b/>
                <w:iCs/>
                <w:sz w:val="17"/>
                <w:szCs w:val="17"/>
                <w:lang w:val="en-AU" w:eastAsia="en-AU"/>
              </w:rPr>
              <w:t>Data source and baseline</w:t>
            </w:r>
          </w:p>
        </w:tc>
      </w:tr>
      <w:tr w:rsidR="00C74270" w:rsidRPr="00E74FD0" w14:paraId="2C518E22" w14:textId="77777777" w:rsidTr="007C5C3C">
        <w:trPr>
          <w:trHeight w:val="823"/>
        </w:trPr>
        <w:tc>
          <w:tcPr>
            <w:tcW w:w="1919" w:type="dxa"/>
            <w:vMerge w:val="restart"/>
            <w:tcBorders>
              <w:top w:val="dotted" w:sz="4" w:space="0" w:color="auto"/>
              <w:left w:val="dotted" w:sz="4" w:space="0" w:color="auto"/>
              <w:right w:val="dotted" w:sz="4" w:space="0" w:color="auto"/>
            </w:tcBorders>
          </w:tcPr>
          <w:p w14:paraId="4E5718A5" w14:textId="0DC3F443" w:rsidR="00C74270" w:rsidRPr="00E74FD0" w:rsidRDefault="00C74270" w:rsidP="00C74270">
            <w:pPr>
              <w:pBdr>
                <w:top w:val="nil"/>
                <w:left w:val="nil"/>
                <w:bottom w:val="nil"/>
                <w:right w:val="nil"/>
                <w:between w:val="nil"/>
                <w:bar w:val="nil"/>
              </w:pBdr>
              <w:tabs>
                <w:tab w:val="left" w:pos="1635"/>
              </w:tabs>
              <w:rPr>
                <w:b/>
                <w:sz w:val="17"/>
                <w:szCs w:val="17"/>
                <w:lang w:val="en-AU" w:eastAsia="en-AU"/>
              </w:rPr>
            </w:pPr>
            <w:r>
              <w:rPr>
                <w:b/>
                <w:sz w:val="17"/>
                <w:szCs w:val="17"/>
                <w:lang w:val="en-AU" w:eastAsia="en-AU"/>
              </w:rPr>
              <w:t>1.</w:t>
            </w:r>
            <w:r w:rsidRPr="00E74FD0">
              <w:rPr>
                <w:b/>
                <w:sz w:val="17"/>
                <w:szCs w:val="17"/>
                <w:lang w:val="en-AU" w:eastAsia="en-AU"/>
              </w:rPr>
              <w:t xml:space="preserve">A consolidated, efficient and effective program </w:t>
            </w:r>
          </w:p>
        </w:tc>
        <w:tc>
          <w:tcPr>
            <w:tcW w:w="3038" w:type="dxa"/>
            <w:tcBorders>
              <w:top w:val="dotted" w:sz="4" w:space="0" w:color="auto"/>
              <w:left w:val="dotted" w:sz="4" w:space="0" w:color="auto"/>
              <w:bottom w:val="dotted" w:sz="4" w:space="0" w:color="auto"/>
              <w:right w:val="dotted" w:sz="4" w:space="0" w:color="auto"/>
            </w:tcBorders>
          </w:tcPr>
          <w:p w14:paraId="7E59596A" w14:textId="77777777" w:rsidR="00C74270" w:rsidRPr="00E74FD0" w:rsidRDefault="00C74270" w:rsidP="00E74FD0">
            <w:pPr>
              <w:tabs>
                <w:tab w:val="left" w:pos="1635"/>
              </w:tabs>
              <w:rPr>
                <w:i/>
                <w:sz w:val="17"/>
                <w:szCs w:val="17"/>
                <w:lang w:eastAsia="en-AU"/>
              </w:rPr>
            </w:pPr>
            <w:r w:rsidRPr="00E74FD0">
              <w:rPr>
                <w:i/>
                <w:sz w:val="17"/>
                <w:szCs w:val="17"/>
                <w:lang w:eastAsia="en-AU"/>
              </w:rPr>
              <w:t>Main partnerships reduced to 4</w:t>
            </w:r>
          </w:p>
        </w:tc>
        <w:tc>
          <w:tcPr>
            <w:tcW w:w="5334" w:type="dxa"/>
            <w:tcBorders>
              <w:top w:val="dotted" w:sz="4" w:space="0" w:color="auto"/>
              <w:left w:val="dotted" w:sz="4" w:space="0" w:color="auto"/>
              <w:bottom w:val="dotted" w:sz="4" w:space="0" w:color="auto"/>
              <w:right w:val="dotted" w:sz="4" w:space="0" w:color="auto"/>
            </w:tcBorders>
          </w:tcPr>
          <w:p w14:paraId="44C831CA" w14:textId="77777777" w:rsidR="00C74270" w:rsidRPr="00E74FD0" w:rsidRDefault="00C74270" w:rsidP="00E74FD0">
            <w:pPr>
              <w:tabs>
                <w:tab w:val="left" w:pos="1635"/>
              </w:tabs>
              <w:rPr>
                <w:sz w:val="17"/>
                <w:szCs w:val="17"/>
                <w:lang w:eastAsia="en-AU"/>
              </w:rPr>
            </w:pPr>
            <w:r w:rsidRPr="00E74FD0">
              <w:rPr>
                <w:sz w:val="17"/>
                <w:szCs w:val="17"/>
                <w:lang w:eastAsia="en-AU"/>
              </w:rPr>
              <w:t xml:space="preserve">GoB, BRAC, DFID and WFP (4) with smaller or supporting investments with TAF, Scope, UNICEF and WB  </w:t>
            </w:r>
          </w:p>
        </w:tc>
        <w:tc>
          <w:tcPr>
            <w:tcW w:w="3185" w:type="dxa"/>
            <w:tcBorders>
              <w:top w:val="dotted" w:sz="4" w:space="0" w:color="auto"/>
              <w:left w:val="dotted" w:sz="4" w:space="0" w:color="auto"/>
              <w:bottom w:val="dotted" w:sz="4" w:space="0" w:color="auto"/>
              <w:right w:val="dotted" w:sz="4" w:space="0" w:color="auto"/>
            </w:tcBorders>
          </w:tcPr>
          <w:p w14:paraId="4F2AFD01" w14:textId="77777777" w:rsidR="00C74270" w:rsidRPr="00E74FD0" w:rsidRDefault="00C74270" w:rsidP="00E74FD0">
            <w:pPr>
              <w:tabs>
                <w:tab w:val="left" w:pos="1635"/>
              </w:tabs>
              <w:rPr>
                <w:sz w:val="17"/>
                <w:szCs w:val="17"/>
                <w:lang w:eastAsia="en-AU"/>
              </w:rPr>
            </w:pPr>
            <w:r w:rsidRPr="00E74FD0">
              <w:rPr>
                <w:sz w:val="17"/>
                <w:szCs w:val="17"/>
                <w:lang w:eastAsia="en-AU"/>
              </w:rPr>
              <w:t xml:space="preserve">Maintained four (4) key partnerships with the Government of Bangladesh (GoB), BRAC, DFID and WFP with smaller or supporting investments with TAF.  </w:t>
            </w:r>
          </w:p>
        </w:tc>
        <w:tc>
          <w:tcPr>
            <w:tcW w:w="1418" w:type="dxa"/>
            <w:tcBorders>
              <w:top w:val="dotted" w:sz="4" w:space="0" w:color="auto"/>
              <w:left w:val="dotted" w:sz="4" w:space="0" w:color="auto"/>
              <w:bottom w:val="dotted" w:sz="4" w:space="0" w:color="auto"/>
              <w:right w:val="dotted" w:sz="4" w:space="0" w:color="auto"/>
            </w:tcBorders>
          </w:tcPr>
          <w:p w14:paraId="3F38FB69" w14:textId="77777777" w:rsidR="00C74270" w:rsidRPr="00E74FD0" w:rsidRDefault="00C74270" w:rsidP="00E74FD0">
            <w:pPr>
              <w:tabs>
                <w:tab w:val="left" w:pos="1635"/>
              </w:tabs>
              <w:rPr>
                <w:sz w:val="17"/>
                <w:szCs w:val="17"/>
                <w:lang w:eastAsia="en-AU"/>
              </w:rPr>
            </w:pPr>
            <w:r w:rsidRPr="00E74FD0">
              <w:rPr>
                <w:sz w:val="17"/>
                <w:szCs w:val="17"/>
                <w:lang w:eastAsia="en-AU"/>
              </w:rPr>
              <w:t>4</w:t>
            </w:r>
          </w:p>
        </w:tc>
        <w:tc>
          <w:tcPr>
            <w:tcW w:w="1139" w:type="dxa"/>
            <w:tcBorders>
              <w:top w:val="dotted" w:sz="4" w:space="0" w:color="auto"/>
              <w:left w:val="dotted" w:sz="4" w:space="0" w:color="auto"/>
              <w:bottom w:val="dotted" w:sz="4" w:space="0" w:color="auto"/>
              <w:right w:val="dotted" w:sz="4" w:space="0" w:color="auto"/>
            </w:tcBorders>
          </w:tcPr>
          <w:p w14:paraId="0811C224" w14:textId="77777777" w:rsidR="00C74270" w:rsidRPr="00E74FD0" w:rsidRDefault="00C74270" w:rsidP="00E74FD0">
            <w:pPr>
              <w:tabs>
                <w:tab w:val="left" w:pos="1635"/>
              </w:tabs>
              <w:rPr>
                <w:sz w:val="17"/>
                <w:szCs w:val="17"/>
                <w:lang w:eastAsia="en-AU"/>
              </w:rPr>
            </w:pPr>
            <w:r w:rsidRPr="00E74FD0">
              <w:rPr>
                <w:sz w:val="17"/>
                <w:szCs w:val="17"/>
                <w:lang w:eastAsia="en-AU"/>
              </w:rPr>
              <w:t>AidWorks</w:t>
            </w:r>
          </w:p>
        </w:tc>
      </w:tr>
      <w:tr w:rsidR="00C74270" w:rsidRPr="00E74FD0" w14:paraId="613E4198" w14:textId="77777777" w:rsidTr="007C5C3C">
        <w:trPr>
          <w:trHeight w:val="513"/>
        </w:trPr>
        <w:tc>
          <w:tcPr>
            <w:tcW w:w="1919" w:type="dxa"/>
            <w:vMerge/>
            <w:tcBorders>
              <w:left w:val="dotted" w:sz="4" w:space="0" w:color="auto"/>
              <w:right w:val="dotted" w:sz="4" w:space="0" w:color="auto"/>
            </w:tcBorders>
          </w:tcPr>
          <w:p w14:paraId="4FC68AE3" w14:textId="77777777" w:rsidR="00C74270" w:rsidRPr="00E74FD0" w:rsidRDefault="00C74270" w:rsidP="00E74FD0">
            <w:pPr>
              <w:numPr>
                <w:ilvl w:val="0"/>
                <w:numId w:val="13"/>
              </w:numPr>
              <w:pBdr>
                <w:top w:val="nil"/>
                <w:left w:val="nil"/>
                <w:bottom w:val="nil"/>
                <w:right w:val="nil"/>
                <w:between w:val="nil"/>
                <w:bar w:val="nil"/>
              </w:pBdr>
              <w:tabs>
                <w:tab w:val="left" w:pos="1635"/>
              </w:tabs>
              <w:suppressAutoHyphens w:val="0"/>
              <w:spacing w:before="0" w:after="0" w:line="240" w:lineRule="auto"/>
              <w:rPr>
                <w:b/>
                <w:sz w:val="17"/>
                <w:szCs w:val="17"/>
                <w:lang w:val="en-AU" w:eastAsia="en-AU"/>
              </w:rPr>
            </w:pPr>
          </w:p>
        </w:tc>
        <w:tc>
          <w:tcPr>
            <w:tcW w:w="3038" w:type="dxa"/>
            <w:tcBorders>
              <w:top w:val="dotted" w:sz="4" w:space="0" w:color="auto"/>
              <w:left w:val="dotted" w:sz="4" w:space="0" w:color="auto"/>
              <w:bottom w:val="dotted" w:sz="4" w:space="0" w:color="auto"/>
              <w:right w:val="dotted" w:sz="4" w:space="0" w:color="auto"/>
            </w:tcBorders>
          </w:tcPr>
          <w:p w14:paraId="0ECB0CD2" w14:textId="77777777" w:rsidR="00C74270" w:rsidRPr="00E74FD0" w:rsidRDefault="00C74270" w:rsidP="00E74FD0">
            <w:pPr>
              <w:tabs>
                <w:tab w:val="left" w:pos="1635"/>
              </w:tabs>
              <w:rPr>
                <w:i/>
                <w:sz w:val="17"/>
                <w:szCs w:val="17"/>
                <w:lang w:eastAsia="en-AU"/>
              </w:rPr>
            </w:pPr>
            <w:r w:rsidRPr="00E74FD0">
              <w:rPr>
                <w:i/>
                <w:sz w:val="17"/>
                <w:szCs w:val="17"/>
                <w:lang w:eastAsia="en-AU"/>
              </w:rPr>
              <w:t>Reduction from 17 to 9 investments in AidWorks by financial year 2016-17</w:t>
            </w:r>
          </w:p>
        </w:tc>
        <w:tc>
          <w:tcPr>
            <w:tcW w:w="5334" w:type="dxa"/>
            <w:tcBorders>
              <w:top w:val="dotted" w:sz="4" w:space="0" w:color="auto"/>
              <w:left w:val="dotted" w:sz="4" w:space="0" w:color="auto"/>
              <w:bottom w:val="dotted" w:sz="4" w:space="0" w:color="auto"/>
              <w:right w:val="dotted" w:sz="4" w:space="0" w:color="auto"/>
            </w:tcBorders>
          </w:tcPr>
          <w:p w14:paraId="1EB78C6A" w14:textId="77777777" w:rsidR="00C74270" w:rsidRPr="00E74FD0" w:rsidRDefault="00C74270" w:rsidP="00E74FD0">
            <w:pPr>
              <w:tabs>
                <w:tab w:val="left" w:pos="1635"/>
              </w:tabs>
              <w:rPr>
                <w:sz w:val="17"/>
                <w:szCs w:val="17"/>
                <w:lang w:eastAsia="en-AU"/>
              </w:rPr>
            </w:pPr>
            <w:r w:rsidRPr="00E74FD0">
              <w:rPr>
                <w:sz w:val="17"/>
                <w:szCs w:val="17"/>
                <w:lang w:eastAsia="en-AU"/>
              </w:rPr>
              <w:t>11 Active investments, covering  5 areas of investment (primary education, strategic partnership with BRAC, WFP operations in Cox’s Bazar, social protection with DFID &amp; Australia Awards)</w:t>
            </w:r>
          </w:p>
        </w:tc>
        <w:tc>
          <w:tcPr>
            <w:tcW w:w="3185" w:type="dxa"/>
            <w:tcBorders>
              <w:top w:val="dotted" w:sz="4" w:space="0" w:color="auto"/>
              <w:left w:val="dotted" w:sz="4" w:space="0" w:color="auto"/>
              <w:bottom w:val="dotted" w:sz="4" w:space="0" w:color="auto"/>
              <w:right w:val="dotted" w:sz="4" w:space="0" w:color="auto"/>
            </w:tcBorders>
          </w:tcPr>
          <w:p w14:paraId="029273DC" w14:textId="77777777" w:rsidR="00C74270" w:rsidRPr="00E74FD0" w:rsidRDefault="00C74270" w:rsidP="00E74FD0">
            <w:pPr>
              <w:tabs>
                <w:tab w:val="left" w:pos="1635"/>
              </w:tabs>
              <w:rPr>
                <w:sz w:val="17"/>
                <w:szCs w:val="17"/>
                <w:lang w:eastAsia="en-AU"/>
              </w:rPr>
            </w:pPr>
            <w:r w:rsidRPr="00E74FD0">
              <w:rPr>
                <w:sz w:val="17"/>
                <w:szCs w:val="17"/>
                <w:lang w:eastAsia="en-AU"/>
              </w:rPr>
              <w:t xml:space="preserve">Reduced the number of active investments from 11 to 8. </w:t>
            </w:r>
          </w:p>
        </w:tc>
        <w:tc>
          <w:tcPr>
            <w:tcW w:w="1418" w:type="dxa"/>
            <w:tcBorders>
              <w:top w:val="dotted" w:sz="4" w:space="0" w:color="auto"/>
              <w:left w:val="dotted" w:sz="4" w:space="0" w:color="auto"/>
              <w:bottom w:val="dotted" w:sz="4" w:space="0" w:color="auto"/>
              <w:right w:val="dotted" w:sz="4" w:space="0" w:color="auto"/>
            </w:tcBorders>
          </w:tcPr>
          <w:p w14:paraId="47737EFC" w14:textId="77777777" w:rsidR="00C74270" w:rsidRPr="00E74FD0" w:rsidRDefault="00C74270" w:rsidP="00E74FD0">
            <w:pPr>
              <w:tabs>
                <w:tab w:val="left" w:pos="1635"/>
              </w:tabs>
              <w:rPr>
                <w:sz w:val="17"/>
                <w:szCs w:val="17"/>
                <w:lang w:eastAsia="en-AU"/>
              </w:rPr>
            </w:pPr>
            <w:r w:rsidRPr="00E74FD0">
              <w:rPr>
                <w:sz w:val="17"/>
                <w:szCs w:val="17"/>
                <w:lang w:eastAsia="en-AU"/>
              </w:rPr>
              <w:t>&lt;9</w:t>
            </w:r>
          </w:p>
        </w:tc>
        <w:tc>
          <w:tcPr>
            <w:tcW w:w="1139" w:type="dxa"/>
            <w:tcBorders>
              <w:top w:val="dotted" w:sz="4" w:space="0" w:color="auto"/>
              <w:left w:val="dotted" w:sz="4" w:space="0" w:color="auto"/>
              <w:bottom w:val="dotted" w:sz="4" w:space="0" w:color="auto"/>
              <w:right w:val="dotted" w:sz="4" w:space="0" w:color="auto"/>
            </w:tcBorders>
          </w:tcPr>
          <w:p w14:paraId="34DB6F01" w14:textId="77777777" w:rsidR="00C74270" w:rsidRPr="00E74FD0" w:rsidRDefault="00C74270" w:rsidP="00E74FD0">
            <w:pPr>
              <w:tabs>
                <w:tab w:val="left" w:pos="1635"/>
              </w:tabs>
              <w:rPr>
                <w:iCs/>
                <w:sz w:val="17"/>
                <w:szCs w:val="17"/>
                <w:lang w:val="en-AU" w:eastAsia="en-AU"/>
              </w:rPr>
            </w:pPr>
            <w:r w:rsidRPr="00E74FD0">
              <w:rPr>
                <w:iCs/>
                <w:sz w:val="17"/>
                <w:szCs w:val="17"/>
                <w:lang w:val="en-AU" w:eastAsia="en-AU"/>
              </w:rPr>
              <w:t>AidWorks</w:t>
            </w:r>
          </w:p>
        </w:tc>
      </w:tr>
      <w:tr w:rsidR="00C74270" w:rsidRPr="00E74FD0" w14:paraId="266C045E" w14:textId="77777777" w:rsidTr="007C5C3C">
        <w:trPr>
          <w:trHeight w:val="823"/>
        </w:trPr>
        <w:tc>
          <w:tcPr>
            <w:tcW w:w="1919" w:type="dxa"/>
            <w:vMerge/>
            <w:tcBorders>
              <w:left w:val="dotted" w:sz="4" w:space="0" w:color="auto"/>
              <w:bottom w:val="dotted" w:sz="4" w:space="0" w:color="auto"/>
              <w:right w:val="dotted" w:sz="4" w:space="0" w:color="auto"/>
            </w:tcBorders>
          </w:tcPr>
          <w:p w14:paraId="2C6741F5" w14:textId="77777777" w:rsidR="00C74270" w:rsidRPr="00E74FD0" w:rsidRDefault="00C74270" w:rsidP="00E74FD0">
            <w:pPr>
              <w:tabs>
                <w:tab w:val="left" w:pos="1635"/>
              </w:tabs>
              <w:rPr>
                <w:sz w:val="17"/>
                <w:szCs w:val="17"/>
                <w:lang w:eastAsia="en-AU"/>
              </w:rPr>
            </w:pPr>
          </w:p>
        </w:tc>
        <w:tc>
          <w:tcPr>
            <w:tcW w:w="3038" w:type="dxa"/>
            <w:tcBorders>
              <w:top w:val="dotted" w:sz="4" w:space="0" w:color="auto"/>
              <w:left w:val="dotted" w:sz="4" w:space="0" w:color="auto"/>
              <w:bottom w:val="dotted" w:sz="4" w:space="0" w:color="auto"/>
              <w:right w:val="dotted" w:sz="4" w:space="0" w:color="auto"/>
            </w:tcBorders>
          </w:tcPr>
          <w:p w14:paraId="105A1066" w14:textId="77777777" w:rsidR="00C74270" w:rsidRPr="00E74FD0" w:rsidRDefault="00C74270" w:rsidP="00E74FD0">
            <w:pPr>
              <w:tabs>
                <w:tab w:val="left" w:pos="1635"/>
              </w:tabs>
              <w:rPr>
                <w:i/>
                <w:sz w:val="17"/>
                <w:szCs w:val="17"/>
                <w:lang w:eastAsia="en-AU"/>
              </w:rPr>
            </w:pPr>
            <w:r w:rsidRPr="00E74FD0">
              <w:rPr>
                <w:i/>
                <w:sz w:val="17"/>
                <w:szCs w:val="17"/>
                <w:lang w:eastAsia="en-AU"/>
              </w:rPr>
              <w:t>All partnerships meet partnership objectives and are assessed as adding value to DFAT funding</w:t>
            </w:r>
          </w:p>
        </w:tc>
        <w:tc>
          <w:tcPr>
            <w:tcW w:w="5334" w:type="dxa"/>
            <w:tcBorders>
              <w:top w:val="dotted" w:sz="4" w:space="0" w:color="auto"/>
              <w:left w:val="dotted" w:sz="4" w:space="0" w:color="auto"/>
              <w:bottom w:val="dotted" w:sz="4" w:space="0" w:color="auto"/>
              <w:right w:val="dotted" w:sz="4" w:space="0" w:color="auto"/>
            </w:tcBorders>
          </w:tcPr>
          <w:p w14:paraId="6A33DBF7" w14:textId="77777777" w:rsidR="00C74270" w:rsidRPr="00E74FD0" w:rsidRDefault="00C74270" w:rsidP="00E74FD0">
            <w:pPr>
              <w:tabs>
                <w:tab w:val="left" w:pos="1635"/>
              </w:tabs>
              <w:rPr>
                <w:sz w:val="17"/>
                <w:szCs w:val="17"/>
                <w:lang w:eastAsia="en-AU"/>
              </w:rPr>
            </w:pPr>
            <w:r w:rsidRPr="00E74FD0">
              <w:rPr>
                <w:sz w:val="17"/>
                <w:szCs w:val="17"/>
                <w:lang w:eastAsia="en-AU"/>
              </w:rPr>
              <w:t xml:space="preserve">Selection of partnerships is strategic </w:t>
            </w:r>
          </w:p>
          <w:p w14:paraId="628A746F" w14:textId="77777777" w:rsidR="00C74270" w:rsidRPr="00E74FD0" w:rsidRDefault="00C74270" w:rsidP="00E74FD0">
            <w:pPr>
              <w:tabs>
                <w:tab w:val="left" w:pos="1635"/>
              </w:tabs>
              <w:rPr>
                <w:sz w:val="17"/>
                <w:szCs w:val="17"/>
                <w:lang w:eastAsia="en-AU"/>
              </w:rPr>
            </w:pPr>
            <w:r w:rsidRPr="00E74FD0">
              <w:rPr>
                <w:sz w:val="17"/>
                <w:szCs w:val="17"/>
                <w:lang w:eastAsia="en-AU"/>
              </w:rPr>
              <w:t>BRAC and PEDP3 -partnerships help to leverage our modest funding for larger gains in priority areas</w:t>
            </w:r>
          </w:p>
          <w:p w14:paraId="74A1C121" w14:textId="77777777" w:rsidR="00C74270" w:rsidRPr="00E74FD0" w:rsidRDefault="00C74270" w:rsidP="00E74FD0">
            <w:pPr>
              <w:tabs>
                <w:tab w:val="left" w:pos="1635"/>
              </w:tabs>
              <w:rPr>
                <w:sz w:val="17"/>
                <w:szCs w:val="17"/>
                <w:lang w:eastAsia="en-AU"/>
              </w:rPr>
            </w:pPr>
            <w:r w:rsidRPr="00E74FD0">
              <w:rPr>
                <w:sz w:val="17"/>
                <w:szCs w:val="17"/>
                <w:lang w:eastAsia="en-AU"/>
              </w:rPr>
              <w:t>WFP – provides useful assistance in area of need and facilitates broader dialogue for GoA</w:t>
            </w:r>
          </w:p>
          <w:p w14:paraId="7C7B0406" w14:textId="77777777" w:rsidR="00C74270" w:rsidRPr="00E74FD0" w:rsidRDefault="00C74270" w:rsidP="00E74FD0">
            <w:pPr>
              <w:tabs>
                <w:tab w:val="left" w:pos="1635"/>
              </w:tabs>
              <w:rPr>
                <w:sz w:val="17"/>
                <w:szCs w:val="17"/>
                <w:lang w:eastAsia="en-AU"/>
              </w:rPr>
            </w:pPr>
            <w:r w:rsidRPr="00E74FD0">
              <w:rPr>
                <w:sz w:val="17"/>
                <w:szCs w:val="17"/>
                <w:lang w:eastAsia="en-AU"/>
              </w:rPr>
              <w:t>SP – well targeted design but progress has been slow</w:t>
            </w:r>
          </w:p>
          <w:p w14:paraId="16564FE5" w14:textId="77777777" w:rsidR="00C74270" w:rsidRPr="00E74FD0" w:rsidRDefault="00C74270" w:rsidP="00E74FD0">
            <w:pPr>
              <w:tabs>
                <w:tab w:val="left" w:pos="1635"/>
              </w:tabs>
              <w:rPr>
                <w:sz w:val="17"/>
                <w:szCs w:val="17"/>
                <w:lang w:eastAsia="en-AU"/>
              </w:rPr>
            </w:pPr>
            <w:r w:rsidRPr="00E74FD0">
              <w:rPr>
                <w:sz w:val="17"/>
                <w:szCs w:val="17"/>
                <w:lang w:eastAsia="en-AU"/>
              </w:rPr>
              <w:t>Scope – modality allowed us to continue offering opportunities despite heavy budget cut</w:t>
            </w:r>
          </w:p>
        </w:tc>
        <w:tc>
          <w:tcPr>
            <w:tcW w:w="3185" w:type="dxa"/>
            <w:tcBorders>
              <w:top w:val="dotted" w:sz="4" w:space="0" w:color="auto"/>
              <w:left w:val="dotted" w:sz="4" w:space="0" w:color="auto"/>
              <w:bottom w:val="dotted" w:sz="4" w:space="0" w:color="auto"/>
              <w:right w:val="dotted" w:sz="4" w:space="0" w:color="auto"/>
            </w:tcBorders>
          </w:tcPr>
          <w:p w14:paraId="0843C575" w14:textId="77777777" w:rsidR="00C74270" w:rsidRPr="00E74FD0" w:rsidRDefault="00C74270" w:rsidP="00E74FD0">
            <w:pPr>
              <w:tabs>
                <w:tab w:val="left" w:pos="1635"/>
              </w:tabs>
              <w:rPr>
                <w:sz w:val="17"/>
                <w:szCs w:val="17"/>
                <w:lang w:eastAsia="en-AU"/>
              </w:rPr>
            </w:pPr>
            <w:r w:rsidRPr="00E74FD0">
              <w:rPr>
                <w:sz w:val="17"/>
                <w:szCs w:val="17"/>
                <w:lang w:eastAsia="en-AU"/>
              </w:rPr>
              <w:t>BRAC and PEDP3 -partnerships continue to help leverage Australia’s modest funding for larger gains in priority areas.</w:t>
            </w:r>
          </w:p>
          <w:p w14:paraId="2AFAD500" w14:textId="77777777" w:rsidR="00C74270" w:rsidRPr="00E74FD0" w:rsidRDefault="00C74270" w:rsidP="00E74FD0">
            <w:pPr>
              <w:tabs>
                <w:tab w:val="left" w:pos="1635"/>
              </w:tabs>
              <w:rPr>
                <w:sz w:val="17"/>
                <w:szCs w:val="17"/>
                <w:lang w:eastAsia="en-AU"/>
              </w:rPr>
            </w:pPr>
            <w:r w:rsidRPr="00E74FD0">
              <w:rPr>
                <w:sz w:val="17"/>
                <w:szCs w:val="17"/>
                <w:lang w:eastAsia="en-AU"/>
              </w:rPr>
              <w:t>WFP –delivers essential humanitarian services in a complex context and facilitates broader dialogue for GoA</w:t>
            </w:r>
          </w:p>
          <w:p w14:paraId="73CA1D04" w14:textId="77777777" w:rsidR="00C74270" w:rsidRPr="00E74FD0" w:rsidRDefault="00C74270" w:rsidP="00E74FD0">
            <w:pPr>
              <w:tabs>
                <w:tab w:val="left" w:pos="1635"/>
              </w:tabs>
              <w:rPr>
                <w:sz w:val="17"/>
                <w:szCs w:val="17"/>
                <w:lang w:eastAsia="en-AU"/>
              </w:rPr>
            </w:pPr>
            <w:r w:rsidRPr="00E74FD0">
              <w:rPr>
                <w:sz w:val="17"/>
                <w:szCs w:val="17"/>
                <w:lang w:eastAsia="en-AU"/>
              </w:rPr>
              <w:t xml:space="preserve">DFID (SP) – has helped progress GoB’s social protection reform agenda. </w:t>
            </w:r>
          </w:p>
          <w:p w14:paraId="2BC80F40" w14:textId="77777777" w:rsidR="00C74270" w:rsidRPr="00E74FD0" w:rsidRDefault="00C74270" w:rsidP="00E74FD0">
            <w:pPr>
              <w:tabs>
                <w:tab w:val="left" w:pos="1635"/>
              </w:tabs>
              <w:rPr>
                <w:sz w:val="17"/>
                <w:szCs w:val="17"/>
                <w:lang w:eastAsia="en-AU"/>
              </w:rPr>
            </w:pPr>
          </w:p>
        </w:tc>
        <w:tc>
          <w:tcPr>
            <w:tcW w:w="1418" w:type="dxa"/>
            <w:tcBorders>
              <w:top w:val="dotted" w:sz="4" w:space="0" w:color="auto"/>
              <w:left w:val="dotted" w:sz="4" w:space="0" w:color="auto"/>
              <w:bottom w:val="dotted" w:sz="4" w:space="0" w:color="auto"/>
              <w:right w:val="dotted" w:sz="4" w:space="0" w:color="auto"/>
            </w:tcBorders>
          </w:tcPr>
          <w:p w14:paraId="34FDDA33" w14:textId="77777777" w:rsidR="00C74270" w:rsidRPr="00E74FD0" w:rsidRDefault="00C74270" w:rsidP="00E74FD0">
            <w:pPr>
              <w:tabs>
                <w:tab w:val="left" w:pos="1635"/>
              </w:tabs>
              <w:rPr>
                <w:sz w:val="17"/>
                <w:szCs w:val="17"/>
                <w:lang w:eastAsia="en-AU"/>
              </w:rPr>
            </w:pPr>
          </w:p>
        </w:tc>
        <w:tc>
          <w:tcPr>
            <w:tcW w:w="1139" w:type="dxa"/>
            <w:tcBorders>
              <w:top w:val="dotted" w:sz="4" w:space="0" w:color="auto"/>
              <w:left w:val="dotted" w:sz="4" w:space="0" w:color="auto"/>
              <w:bottom w:val="dotted" w:sz="4" w:space="0" w:color="auto"/>
              <w:right w:val="dotted" w:sz="4" w:space="0" w:color="auto"/>
            </w:tcBorders>
          </w:tcPr>
          <w:p w14:paraId="09A8A91A" w14:textId="77777777" w:rsidR="00C74270" w:rsidRPr="00E74FD0" w:rsidRDefault="00C74270" w:rsidP="00E74FD0">
            <w:pPr>
              <w:tabs>
                <w:tab w:val="left" w:pos="1635"/>
              </w:tabs>
              <w:rPr>
                <w:iCs/>
                <w:sz w:val="17"/>
                <w:szCs w:val="17"/>
                <w:lang w:val="en-AU" w:eastAsia="en-AU"/>
              </w:rPr>
            </w:pPr>
            <w:r w:rsidRPr="00E74FD0">
              <w:rPr>
                <w:iCs/>
                <w:sz w:val="17"/>
                <w:szCs w:val="17"/>
                <w:lang w:val="en-AU" w:eastAsia="en-AU"/>
              </w:rPr>
              <w:t>MTR and PPAs</w:t>
            </w:r>
          </w:p>
        </w:tc>
      </w:tr>
    </w:tbl>
    <w:p w14:paraId="18F04D49" w14:textId="77777777" w:rsidR="00E74FD0" w:rsidRPr="00E74FD0" w:rsidRDefault="00E74FD0" w:rsidP="00E74FD0">
      <w:r w:rsidRPr="00E74FD0">
        <w:br w:type="page"/>
      </w:r>
    </w:p>
    <w:tbl>
      <w:tblPr>
        <w:tblpPr w:leftFromText="180" w:rightFromText="180" w:vertAnchor="text" w:horzAnchor="page" w:tblpX="529" w:tblpY="-1661"/>
        <w:tblW w:w="16018" w:type="dxa"/>
        <w:tblLayout w:type="fixed"/>
        <w:tblLook w:val="04A0" w:firstRow="1" w:lastRow="0" w:firstColumn="1" w:lastColumn="0" w:noHBand="0" w:noVBand="1"/>
      </w:tblPr>
      <w:tblGrid>
        <w:gridCol w:w="1904"/>
        <w:gridCol w:w="3058"/>
        <w:gridCol w:w="5314"/>
        <w:gridCol w:w="3185"/>
        <w:gridCol w:w="1418"/>
        <w:gridCol w:w="1139"/>
      </w:tblGrid>
      <w:tr w:rsidR="00E74FD0" w:rsidRPr="00E74FD0" w14:paraId="4075C89C" w14:textId="77777777" w:rsidTr="00C74270">
        <w:trPr>
          <w:trHeight w:val="1134"/>
        </w:trPr>
        <w:tc>
          <w:tcPr>
            <w:tcW w:w="1904" w:type="dxa"/>
            <w:tcBorders>
              <w:bottom w:val="dotted" w:sz="4" w:space="0" w:color="auto"/>
            </w:tcBorders>
          </w:tcPr>
          <w:p w14:paraId="55D1B9C4" w14:textId="77777777" w:rsidR="00E74FD0" w:rsidRPr="00E74FD0" w:rsidRDefault="00E74FD0" w:rsidP="000A688B">
            <w:pPr>
              <w:tabs>
                <w:tab w:val="left" w:pos="1635"/>
              </w:tabs>
              <w:rPr>
                <w:i/>
                <w:sz w:val="17"/>
                <w:szCs w:val="17"/>
                <w:lang w:eastAsia="en-AU"/>
              </w:rPr>
            </w:pPr>
          </w:p>
        </w:tc>
        <w:tc>
          <w:tcPr>
            <w:tcW w:w="3058" w:type="dxa"/>
            <w:tcBorders>
              <w:bottom w:val="dotted" w:sz="4" w:space="0" w:color="auto"/>
            </w:tcBorders>
          </w:tcPr>
          <w:p w14:paraId="69D082A5" w14:textId="77777777" w:rsidR="00E74FD0" w:rsidRPr="00E74FD0" w:rsidRDefault="00E74FD0" w:rsidP="000A688B">
            <w:pPr>
              <w:tabs>
                <w:tab w:val="left" w:pos="1635"/>
              </w:tabs>
              <w:rPr>
                <w:i/>
                <w:sz w:val="17"/>
                <w:szCs w:val="17"/>
                <w:lang w:eastAsia="en-AU"/>
              </w:rPr>
            </w:pPr>
          </w:p>
        </w:tc>
        <w:tc>
          <w:tcPr>
            <w:tcW w:w="5314" w:type="dxa"/>
            <w:tcBorders>
              <w:bottom w:val="dotted" w:sz="4" w:space="0" w:color="auto"/>
            </w:tcBorders>
          </w:tcPr>
          <w:p w14:paraId="7F30EA1A" w14:textId="77777777" w:rsidR="00E74FD0" w:rsidRPr="00E74FD0" w:rsidRDefault="00E74FD0" w:rsidP="000A688B">
            <w:pPr>
              <w:tabs>
                <w:tab w:val="left" w:pos="1635"/>
              </w:tabs>
              <w:rPr>
                <w:sz w:val="17"/>
                <w:szCs w:val="17"/>
                <w:lang w:eastAsia="en-AU"/>
              </w:rPr>
            </w:pPr>
          </w:p>
        </w:tc>
        <w:tc>
          <w:tcPr>
            <w:tcW w:w="3185" w:type="dxa"/>
            <w:tcBorders>
              <w:bottom w:val="dotted" w:sz="4" w:space="0" w:color="auto"/>
            </w:tcBorders>
          </w:tcPr>
          <w:p w14:paraId="1291D272" w14:textId="77777777" w:rsidR="00E74FD0" w:rsidRPr="00E74FD0" w:rsidRDefault="00E74FD0" w:rsidP="000A688B">
            <w:pPr>
              <w:tabs>
                <w:tab w:val="left" w:pos="1635"/>
              </w:tabs>
              <w:rPr>
                <w:sz w:val="17"/>
                <w:szCs w:val="17"/>
                <w:lang w:eastAsia="en-AU"/>
              </w:rPr>
            </w:pPr>
          </w:p>
        </w:tc>
        <w:tc>
          <w:tcPr>
            <w:tcW w:w="1418" w:type="dxa"/>
            <w:tcBorders>
              <w:bottom w:val="dotted" w:sz="4" w:space="0" w:color="auto"/>
            </w:tcBorders>
          </w:tcPr>
          <w:p w14:paraId="7F432192" w14:textId="77777777" w:rsidR="00E74FD0" w:rsidRPr="00E74FD0" w:rsidRDefault="00E74FD0" w:rsidP="000A688B">
            <w:pPr>
              <w:tabs>
                <w:tab w:val="left" w:pos="1635"/>
              </w:tabs>
              <w:rPr>
                <w:sz w:val="17"/>
                <w:szCs w:val="17"/>
                <w:lang w:eastAsia="en-AU"/>
              </w:rPr>
            </w:pPr>
          </w:p>
        </w:tc>
        <w:tc>
          <w:tcPr>
            <w:tcW w:w="1139" w:type="dxa"/>
            <w:tcBorders>
              <w:bottom w:val="dotted" w:sz="4" w:space="0" w:color="auto"/>
            </w:tcBorders>
          </w:tcPr>
          <w:p w14:paraId="4D6BED27" w14:textId="77777777" w:rsidR="00E74FD0" w:rsidRPr="00E74FD0" w:rsidRDefault="00E74FD0" w:rsidP="000A688B">
            <w:pPr>
              <w:tabs>
                <w:tab w:val="left" w:pos="1635"/>
              </w:tabs>
              <w:rPr>
                <w:iCs/>
                <w:sz w:val="17"/>
                <w:szCs w:val="17"/>
                <w:lang w:val="en-AU" w:eastAsia="en-AU"/>
              </w:rPr>
            </w:pPr>
          </w:p>
        </w:tc>
      </w:tr>
      <w:tr w:rsidR="00E74FD0" w:rsidRPr="00E74FD0" w14:paraId="0D82BF22" w14:textId="77777777" w:rsidTr="00C74270">
        <w:trPr>
          <w:trHeight w:val="404"/>
        </w:trPr>
        <w:tc>
          <w:tcPr>
            <w:tcW w:w="1904" w:type="dxa"/>
            <w:vMerge w:val="restart"/>
            <w:tcBorders>
              <w:top w:val="dotted" w:sz="4" w:space="0" w:color="auto"/>
              <w:left w:val="dotted" w:sz="4" w:space="0" w:color="auto"/>
              <w:bottom w:val="dotted" w:sz="4" w:space="0" w:color="auto"/>
              <w:right w:val="dotted" w:sz="4" w:space="0" w:color="auto"/>
            </w:tcBorders>
          </w:tcPr>
          <w:p w14:paraId="019DE18A" w14:textId="77777777" w:rsidR="00E74FD0" w:rsidRPr="00E74FD0" w:rsidRDefault="00E74FD0" w:rsidP="000A688B">
            <w:pPr>
              <w:tabs>
                <w:tab w:val="left" w:pos="1635"/>
              </w:tabs>
              <w:rPr>
                <w:i/>
                <w:sz w:val="17"/>
                <w:szCs w:val="17"/>
                <w:lang w:eastAsia="en-AU"/>
              </w:rPr>
            </w:pPr>
          </w:p>
        </w:tc>
        <w:tc>
          <w:tcPr>
            <w:tcW w:w="3058" w:type="dxa"/>
            <w:tcBorders>
              <w:top w:val="dotted" w:sz="4" w:space="0" w:color="auto"/>
              <w:left w:val="dotted" w:sz="4" w:space="0" w:color="auto"/>
              <w:bottom w:val="dotted" w:sz="4" w:space="0" w:color="auto"/>
              <w:right w:val="dotted" w:sz="4" w:space="0" w:color="auto"/>
            </w:tcBorders>
          </w:tcPr>
          <w:p w14:paraId="20E22EF2" w14:textId="77777777" w:rsidR="00E74FD0" w:rsidRPr="00E74FD0" w:rsidRDefault="00E74FD0" w:rsidP="000A688B">
            <w:pPr>
              <w:tabs>
                <w:tab w:val="left" w:pos="1635"/>
              </w:tabs>
              <w:rPr>
                <w:i/>
                <w:sz w:val="17"/>
                <w:szCs w:val="17"/>
                <w:lang w:eastAsia="en-AU"/>
              </w:rPr>
            </w:pPr>
            <w:r w:rsidRPr="00E74FD0">
              <w:rPr>
                <w:i/>
                <w:sz w:val="17"/>
                <w:szCs w:val="17"/>
                <w:lang w:eastAsia="en-AU"/>
              </w:rPr>
              <w:t>All investments rated 4 or above for effectiveness</w:t>
            </w:r>
          </w:p>
          <w:p w14:paraId="202FBC27" w14:textId="77777777" w:rsidR="00E74FD0" w:rsidRPr="00E74FD0" w:rsidRDefault="00E74FD0" w:rsidP="000A688B">
            <w:pPr>
              <w:tabs>
                <w:tab w:val="left" w:pos="1635"/>
              </w:tabs>
              <w:rPr>
                <w:i/>
                <w:sz w:val="17"/>
                <w:szCs w:val="17"/>
                <w:lang w:eastAsia="en-AU"/>
              </w:rPr>
            </w:pPr>
          </w:p>
        </w:tc>
        <w:tc>
          <w:tcPr>
            <w:tcW w:w="5314" w:type="dxa"/>
            <w:tcBorders>
              <w:top w:val="dotted" w:sz="4" w:space="0" w:color="auto"/>
              <w:left w:val="dotted" w:sz="4" w:space="0" w:color="auto"/>
              <w:bottom w:val="dotted" w:sz="4" w:space="0" w:color="auto"/>
              <w:right w:val="dotted" w:sz="4" w:space="0" w:color="auto"/>
            </w:tcBorders>
          </w:tcPr>
          <w:p w14:paraId="6251F906" w14:textId="77777777" w:rsidR="00E74FD0" w:rsidRPr="00E74FD0" w:rsidRDefault="00E74FD0" w:rsidP="000A688B">
            <w:pPr>
              <w:tabs>
                <w:tab w:val="left" w:pos="1635"/>
              </w:tabs>
              <w:rPr>
                <w:sz w:val="17"/>
                <w:szCs w:val="17"/>
                <w:lang w:eastAsia="en-AU"/>
              </w:rPr>
            </w:pPr>
            <w:r w:rsidRPr="00E74FD0">
              <w:rPr>
                <w:sz w:val="17"/>
                <w:szCs w:val="17"/>
                <w:lang w:eastAsia="en-AU"/>
              </w:rPr>
              <w:t>All investments were rated 4 or above for effectiveness</w:t>
            </w:r>
          </w:p>
        </w:tc>
        <w:tc>
          <w:tcPr>
            <w:tcW w:w="3185" w:type="dxa"/>
            <w:tcBorders>
              <w:top w:val="dotted" w:sz="4" w:space="0" w:color="auto"/>
              <w:left w:val="dotted" w:sz="4" w:space="0" w:color="auto"/>
              <w:bottom w:val="dotted" w:sz="4" w:space="0" w:color="auto"/>
              <w:right w:val="dotted" w:sz="4" w:space="0" w:color="auto"/>
            </w:tcBorders>
          </w:tcPr>
          <w:p w14:paraId="7DCB3CFF" w14:textId="77777777" w:rsidR="00E74FD0" w:rsidRPr="00E74FD0" w:rsidRDefault="00E74FD0" w:rsidP="000A688B">
            <w:pPr>
              <w:tabs>
                <w:tab w:val="left" w:pos="1635"/>
              </w:tabs>
              <w:rPr>
                <w:sz w:val="17"/>
                <w:szCs w:val="17"/>
                <w:lang w:eastAsia="en-AU"/>
              </w:rPr>
            </w:pPr>
            <w:r w:rsidRPr="00E74FD0">
              <w:rPr>
                <w:sz w:val="17"/>
                <w:szCs w:val="17"/>
                <w:lang w:eastAsia="en-AU"/>
              </w:rPr>
              <w:t xml:space="preserve">All investments were rated 4 or above for effectiveness </w:t>
            </w:r>
          </w:p>
        </w:tc>
        <w:tc>
          <w:tcPr>
            <w:tcW w:w="1418" w:type="dxa"/>
            <w:tcBorders>
              <w:top w:val="dotted" w:sz="4" w:space="0" w:color="auto"/>
              <w:left w:val="dotted" w:sz="4" w:space="0" w:color="auto"/>
              <w:bottom w:val="dotted" w:sz="4" w:space="0" w:color="auto"/>
              <w:right w:val="dotted" w:sz="4" w:space="0" w:color="auto"/>
            </w:tcBorders>
          </w:tcPr>
          <w:p w14:paraId="78EFF4AD" w14:textId="77777777" w:rsidR="00E74FD0" w:rsidRPr="00E74FD0" w:rsidRDefault="00E74FD0" w:rsidP="000A688B">
            <w:pPr>
              <w:tabs>
                <w:tab w:val="left" w:pos="1635"/>
              </w:tabs>
              <w:rPr>
                <w:sz w:val="17"/>
                <w:szCs w:val="17"/>
                <w:lang w:eastAsia="en-AU"/>
              </w:rPr>
            </w:pPr>
          </w:p>
        </w:tc>
        <w:tc>
          <w:tcPr>
            <w:tcW w:w="1139" w:type="dxa"/>
            <w:tcBorders>
              <w:top w:val="dotted" w:sz="4" w:space="0" w:color="auto"/>
              <w:left w:val="dotted" w:sz="4" w:space="0" w:color="auto"/>
              <w:bottom w:val="dotted" w:sz="4" w:space="0" w:color="auto"/>
              <w:right w:val="dotted" w:sz="4" w:space="0" w:color="auto"/>
            </w:tcBorders>
          </w:tcPr>
          <w:p w14:paraId="288A7C5F" w14:textId="77777777" w:rsidR="00E74FD0" w:rsidRPr="00E74FD0" w:rsidRDefault="00E74FD0" w:rsidP="000A688B">
            <w:pPr>
              <w:tabs>
                <w:tab w:val="left" w:pos="1635"/>
              </w:tabs>
              <w:rPr>
                <w:iCs/>
                <w:sz w:val="17"/>
                <w:szCs w:val="17"/>
                <w:lang w:val="en-AU" w:eastAsia="en-AU"/>
              </w:rPr>
            </w:pPr>
            <w:r w:rsidRPr="00E74FD0">
              <w:rPr>
                <w:iCs/>
                <w:sz w:val="17"/>
                <w:szCs w:val="17"/>
                <w:lang w:val="en-AU" w:eastAsia="en-AU"/>
              </w:rPr>
              <w:t>AQCs</w:t>
            </w:r>
          </w:p>
          <w:p w14:paraId="63D21529" w14:textId="77777777" w:rsidR="00E74FD0" w:rsidRPr="00E74FD0" w:rsidRDefault="00E74FD0" w:rsidP="000A688B">
            <w:pPr>
              <w:tabs>
                <w:tab w:val="left" w:pos="1635"/>
              </w:tabs>
              <w:rPr>
                <w:iCs/>
                <w:sz w:val="17"/>
                <w:szCs w:val="17"/>
                <w:lang w:val="en-AU" w:eastAsia="en-AU"/>
              </w:rPr>
            </w:pPr>
          </w:p>
        </w:tc>
      </w:tr>
      <w:tr w:rsidR="00E74FD0" w:rsidRPr="00E74FD0" w14:paraId="199A529C" w14:textId="77777777" w:rsidTr="00C74270">
        <w:trPr>
          <w:trHeight w:val="615"/>
        </w:trPr>
        <w:tc>
          <w:tcPr>
            <w:tcW w:w="1904" w:type="dxa"/>
            <w:vMerge/>
            <w:tcBorders>
              <w:top w:val="dotted" w:sz="4" w:space="0" w:color="auto"/>
              <w:left w:val="dotted" w:sz="4" w:space="0" w:color="auto"/>
              <w:bottom w:val="dotted" w:sz="4" w:space="0" w:color="auto"/>
              <w:right w:val="dotted" w:sz="4" w:space="0" w:color="auto"/>
            </w:tcBorders>
          </w:tcPr>
          <w:p w14:paraId="6BEB2AC7" w14:textId="77777777" w:rsidR="00E74FD0" w:rsidRPr="00E74FD0" w:rsidRDefault="00E74FD0" w:rsidP="000A688B">
            <w:pPr>
              <w:tabs>
                <w:tab w:val="left" w:pos="1635"/>
              </w:tabs>
              <w:rPr>
                <w:i/>
                <w:sz w:val="17"/>
                <w:szCs w:val="17"/>
                <w:lang w:eastAsia="en-AU"/>
              </w:rPr>
            </w:pPr>
          </w:p>
        </w:tc>
        <w:tc>
          <w:tcPr>
            <w:tcW w:w="3058" w:type="dxa"/>
            <w:tcBorders>
              <w:top w:val="dotted" w:sz="4" w:space="0" w:color="auto"/>
              <w:left w:val="dotted" w:sz="4" w:space="0" w:color="auto"/>
              <w:bottom w:val="dotted" w:sz="4" w:space="0" w:color="auto"/>
              <w:right w:val="dotted" w:sz="4" w:space="0" w:color="auto"/>
            </w:tcBorders>
          </w:tcPr>
          <w:p w14:paraId="37D513AC" w14:textId="77777777" w:rsidR="00E74FD0" w:rsidRPr="00E74FD0" w:rsidRDefault="00E74FD0" w:rsidP="000A688B">
            <w:pPr>
              <w:tabs>
                <w:tab w:val="left" w:pos="1635"/>
              </w:tabs>
              <w:rPr>
                <w:i/>
                <w:sz w:val="17"/>
                <w:szCs w:val="17"/>
                <w:lang w:eastAsia="en-AU"/>
              </w:rPr>
            </w:pPr>
            <w:r w:rsidRPr="00E74FD0">
              <w:rPr>
                <w:i/>
                <w:sz w:val="17"/>
                <w:szCs w:val="17"/>
                <w:lang w:eastAsia="en-AU"/>
              </w:rPr>
              <w:t xml:space="preserve">APPR reports assess progress against objectives as green or give reasoned case for lower mark </w:t>
            </w:r>
          </w:p>
        </w:tc>
        <w:tc>
          <w:tcPr>
            <w:tcW w:w="5314" w:type="dxa"/>
            <w:tcBorders>
              <w:top w:val="dotted" w:sz="4" w:space="0" w:color="auto"/>
              <w:left w:val="dotted" w:sz="4" w:space="0" w:color="auto"/>
              <w:bottom w:val="dotted" w:sz="4" w:space="0" w:color="auto"/>
              <w:right w:val="dotted" w:sz="4" w:space="0" w:color="auto"/>
            </w:tcBorders>
          </w:tcPr>
          <w:p w14:paraId="04607F3C" w14:textId="087A181C" w:rsidR="00E74FD0" w:rsidRPr="00E74FD0" w:rsidRDefault="00C74270" w:rsidP="000A688B">
            <w:pPr>
              <w:tabs>
                <w:tab w:val="left" w:pos="1635"/>
              </w:tabs>
              <w:rPr>
                <w:sz w:val="17"/>
                <w:szCs w:val="17"/>
                <w:lang w:eastAsia="en-AU"/>
              </w:rPr>
            </w:pPr>
            <w:r>
              <w:rPr>
                <w:sz w:val="17"/>
                <w:szCs w:val="17"/>
                <w:lang w:eastAsia="en-AU"/>
              </w:rPr>
              <w:t>N/A</w:t>
            </w:r>
          </w:p>
        </w:tc>
        <w:tc>
          <w:tcPr>
            <w:tcW w:w="3185" w:type="dxa"/>
            <w:tcBorders>
              <w:top w:val="dotted" w:sz="4" w:space="0" w:color="auto"/>
              <w:left w:val="dotted" w:sz="4" w:space="0" w:color="auto"/>
              <w:bottom w:val="dotted" w:sz="4" w:space="0" w:color="auto"/>
              <w:right w:val="dotted" w:sz="4" w:space="0" w:color="auto"/>
            </w:tcBorders>
          </w:tcPr>
          <w:p w14:paraId="04FDDACC" w14:textId="1F5C808D" w:rsidR="00E74FD0" w:rsidRPr="00E74FD0" w:rsidRDefault="00C74270" w:rsidP="000A688B">
            <w:pPr>
              <w:tabs>
                <w:tab w:val="left" w:pos="1635"/>
              </w:tabs>
              <w:rPr>
                <w:sz w:val="17"/>
                <w:szCs w:val="17"/>
                <w:lang w:eastAsia="en-AU"/>
              </w:rPr>
            </w:pPr>
            <w:r>
              <w:rPr>
                <w:sz w:val="17"/>
                <w:szCs w:val="17"/>
                <w:lang w:eastAsia="en-AU"/>
              </w:rPr>
              <w:t>N/A</w:t>
            </w:r>
          </w:p>
        </w:tc>
        <w:tc>
          <w:tcPr>
            <w:tcW w:w="1418" w:type="dxa"/>
            <w:tcBorders>
              <w:top w:val="dotted" w:sz="4" w:space="0" w:color="auto"/>
              <w:left w:val="dotted" w:sz="4" w:space="0" w:color="auto"/>
              <w:bottom w:val="dotted" w:sz="4" w:space="0" w:color="auto"/>
              <w:right w:val="dotted" w:sz="4" w:space="0" w:color="auto"/>
            </w:tcBorders>
          </w:tcPr>
          <w:p w14:paraId="19BF67DA" w14:textId="77777777" w:rsidR="00E74FD0" w:rsidRPr="00E74FD0" w:rsidRDefault="00E74FD0" w:rsidP="000A688B">
            <w:pPr>
              <w:tabs>
                <w:tab w:val="left" w:pos="1635"/>
              </w:tabs>
              <w:rPr>
                <w:sz w:val="17"/>
                <w:szCs w:val="17"/>
                <w:lang w:eastAsia="en-AU"/>
              </w:rPr>
            </w:pPr>
          </w:p>
        </w:tc>
        <w:tc>
          <w:tcPr>
            <w:tcW w:w="1139" w:type="dxa"/>
            <w:tcBorders>
              <w:top w:val="dotted" w:sz="4" w:space="0" w:color="auto"/>
              <w:left w:val="dotted" w:sz="4" w:space="0" w:color="auto"/>
              <w:bottom w:val="dotted" w:sz="4" w:space="0" w:color="auto"/>
              <w:right w:val="dotted" w:sz="4" w:space="0" w:color="auto"/>
            </w:tcBorders>
          </w:tcPr>
          <w:p w14:paraId="5EFFE252" w14:textId="77777777" w:rsidR="00E74FD0" w:rsidRPr="00E74FD0" w:rsidRDefault="00E74FD0" w:rsidP="000A688B">
            <w:pPr>
              <w:tabs>
                <w:tab w:val="left" w:pos="1635"/>
              </w:tabs>
              <w:rPr>
                <w:iCs/>
                <w:sz w:val="17"/>
                <w:szCs w:val="17"/>
                <w:lang w:val="en-AU" w:eastAsia="en-AU"/>
              </w:rPr>
            </w:pPr>
            <w:r w:rsidRPr="00E74FD0">
              <w:rPr>
                <w:iCs/>
                <w:sz w:val="17"/>
                <w:szCs w:val="17"/>
                <w:lang w:val="en-AU" w:eastAsia="en-AU"/>
              </w:rPr>
              <w:t>APPR</w:t>
            </w:r>
          </w:p>
        </w:tc>
      </w:tr>
      <w:tr w:rsidR="00E74FD0" w:rsidRPr="00E74FD0" w14:paraId="2BA99E0C" w14:textId="77777777" w:rsidTr="00C74270">
        <w:trPr>
          <w:trHeight w:val="105"/>
        </w:trPr>
        <w:tc>
          <w:tcPr>
            <w:tcW w:w="1904" w:type="dxa"/>
            <w:vMerge/>
            <w:tcBorders>
              <w:top w:val="dotted" w:sz="4" w:space="0" w:color="auto"/>
              <w:left w:val="dotted" w:sz="4" w:space="0" w:color="auto"/>
              <w:bottom w:val="dotted" w:sz="4" w:space="0" w:color="auto"/>
              <w:right w:val="dotted" w:sz="4" w:space="0" w:color="auto"/>
            </w:tcBorders>
          </w:tcPr>
          <w:p w14:paraId="505FF6F3" w14:textId="77777777" w:rsidR="00E74FD0" w:rsidRPr="00E74FD0" w:rsidRDefault="00E74FD0" w:rsidP="000A688B">
            <w:pPr>
              <w:tabs>
                <w:tab w:val="left" w:pos="1635"/>
              </w:tabs>
              <w:rPr>
                <w:i/>
                <w:sz w:val="17"/>
                <w:szCs w:val="17"/>
                <w:lang w:eastAsia="en-AU"/>
              </w:rPr>
            </w:pPr>
          </w:p>
        </w:tc>
        <w:tc>
          <w:tcPr>
            <w:tcW w:w="3058" w:type="dxa"/>
            <w:tcBorders>
              <w:top w:val="dotted" w:sz="4" w:space="0" w:color="auto"/>
              <w:left w:val="dotted" w:sz="4" w:space="0" w:color="auto"/>
              <w:bottom w:val="dotted" w:sz="4" w:space="0" w:color="auto"/>
              <w:right w:val="dotted" w:sz="4" w:space="0" w:color="auto"/>
            </w:tcBorders>
          </w:tcPr>
          <w:p w14:paraId="0C919EAC" w14:textId="77777777" w:rsidR="00E74FD0" w:rsidRPr="00E74FD0" w:rsidRDefault="00E74FD0" w:rsidP="000A688B">
            <w:pPr>
              <w:tabs>
                <w:tab w:val="left" w:pos="1635"/>
              </w:tabs>
              <w:rPr>
                <w:i/>
                <w:sz w:val="17"/>
                <w:szCs w:val="17"/>
                <w:lang w:eastAsia="en-AU"/>
              </w:rPr>
            </w:pPr>
            <w:r w:rsidRPr="00E74FD0">
              <w:rPr>
                <w:i/>
                <w:sz w:val="17"/>
                <w:szCs w:val="17"/>
                <w:lang w:eastAsia="en-AU"/>
              </w:rPr>
              <w:t>Staff have the right skills, knowledge and support to deliver the agreed AIP</w:t>
            </w:r>
          </w:p>
        </w:tc>
        <w:tc>
          <w:tcPr>
            <w:tcW w:w="5314" w:type="dxa"/>
            <w:tcBorders>
              <w:top w:val="dotted" w:sz="4" w:space="0" w:color="auto"/>
              <w:left w:val="dotted" w:sz="4" w:space="0" w:color="auto"/>
              <w:bottom w:val="dotted" w:sz="4" w:space="0" w:color="auto"/>
              <w:right w:val="dotted" w:sz="4" w:space="0" w:color="auto"/>
            </w:tcBorders>
          </w:tcPr>
          <w:p w14:paraId="4980F085" w14:textId="77777777" w:rsidR="00E74FD0" w:rsidRPr="00E74FD0" w:rsidRDefault="00E74FD0" w:rsidP="000A688B">
            <w:pPr>
              <w:tabs>
                <w:tab w:val="left" w:pos="1635"/>
              </w:tabs>
              <w:rPr>
                <w:sz w:val="17"/>
                <w:szCs w:val="17"/>
                <w:lang w:eastAsia="en-AU"/>
              </w:rPr>
            </w:pPr>
            <w:r w:rsidRPr="00E74FD0">
              <w:rPr>
                <w:sz w:val="17"/>
                <w:szCs w:val="17"/>
                <w:lang w:eastAsia="en-AU"/>
              </w:rPr>
              <w:t>All staff up to date on Fraud and Anti-Corruption policies;</w:t>
            </w:r>
          </w:p>
          <w:p w14:paraId="7297F575" w14:textId="77777777" w:rsidR="00E74FD0" w:rsidRPr="00E74FD0" w:rsidRDefault="00E74FD0" w:rsidP="000A688B">
            <w:pPr>
              <w:tabs>
                <w:tab w:val="left" w:pos="1635"/>
              </w:tabs>
              <w:rPr>
                <w:sz w:val="17"/>
                <w:szCs w:val="17"/>
                <w:lang w:eastAsia="en-AU"/>
              </w:rPr>
            </w:pPr>
            <w:r w:rsidRPr="00E74FD0">
              <w:rPr>
                <w:sz w:val="17"/>
                <w:szCs w:val="17"/>
                <w:lang w:eastAsia="en-AU"/>
              </w:rPr>
              <w:t>Relevant staff attend Australia Awards Regional Workshops;</w:t>
            </w:r>
          </w:p>
          <w:p w14:paraId="4AB06CDC" w14:textId="77777777" w:rsidR="00E74FD0" w:rsidRPr="00E74FD0" w:rsidRDefault="00E74FD0" w:rsidP="000A688B">
            <w:pPr>
              <w:tabs>
                <w:tab w:val="left" w:pos="1635"/>
              </w:tabs>
              <w:rPr>
                <w:sz w:val="17"/>
                <w:szCs w:val="17"/>
                <w:lang w:eastAsia="en-AU"/>
              </w:rPr>
            </w:pPr>
            <w:r w:rsidRPr="00E74FD0">
              <w:rPr>
                <w:sz w:val="17"/>
                <w:szCs w:val="17"/>
                <w:lang w:eastAsia="en-AU"/>
              </w:rPr>
              <w:t>Relevant staff attend Gender Focal point workshop or participate in gender reviews;</w:t>
            </w:r>
          </w:p>
          <w:p w14:paraId="6D4D085D" w14:textId="77777777" w:rsidR="00E74FD0" w:rsidRPr="00E74FD0" w:rsidRDefault="00E74FD0" w:rsidP="000A688B">
            <w:pPr>
              <w:tabs>
                <w:tab w:val="left" w:pos="1635"/>
              </w:tabs>
              <w:rPr>
                <w:sz w:val="17"/>
                <w:szCs w:val="17"/>
                <w:lang w:eastAsia="en-AU"/>
              </w:rPr>
            </w:pPr>
            <w:r w:rsidRPr="00E74FD0">
              <w:rPr>
                <w:sz w:val="17"/>
                <w:szCs w:val="17"/>
                <w:lang w:eastAsia="en-AU"/>
              </w:rPr>
              <w:t>Education, PFM, and M&amp;E consultants provide capacity building for relevant staff; relevant specialist expertise contracted to provide technical support as needed.</w:t>
            </w:r>
          </w:p>
          <w:p w14:paraId="3F46CCD3" w14:textId="77777777" w:rsidR="00E74FD0" w:rsidRPr="00E74FD0" w:rsidRDefault="00E74FD0" w:rsidP="000A688B">
            <w:pPr>
              <w:tabs>
                <w:tab w:val="left" w:pos="1635"/>
              </w:tabs>
              <w:rPr>
                <w:sz w:val="17"/>
                <w:szCs w:val="17"/>
                <w:lang w:eastAsia="en-AU"/>
              </w:rPr>
            </w:pPr>
            <w:r w:rsidRPr="00E74FD0">
              <w:rPr>
                <w:sz w:val="17"/>
                <w:szCs w:val="17"/>
                <w:lang w:eastAsia="en-AU"/>
              </w:rPr>
              <w:t>-South-South Knowledge Exchange Forum on Linking Social Protection to Employment Opportunities</w:t>
            </w:r>
          </w:p>
          <w:p w14:paraId="1A2C8A01" w14:textId="77777777" w:rsidR="00E74FD0" w:rsidRPr="00E74FD0" w:rsidRDefault="00E74FD0" w:rsidP="000A688B">
            <w:pPr>
              <w:tabs>
                <w:tab w:val="left" w:pos="1635"/>
              </w:tabs>
              <w:rPr>
                <w:sz w:val="17"/>
                <w:szCs w:val="17"/>
                <w:lang w:eastAsia="en-AU"/>
              </w:rPr>
            </w:pPr>
            <w:r w:rsidRPr="00E74FD0">
              <w:rPr>
                <w:sz w:val="17"/>
                <w:szCs w:val="17"/>
                <w:lang w:eastAsia="en-AU"/>
              </w:rPr>
              <w:t xml:space="preserve">-Disability, fraud training </w:t>
            </w:r>
          </w:p>
          <w:p w14:paraId="39B7098D" w14:textId="77777777" w:rsidR="00E74FD0" w:rsidRPr="00E74FD0" w:rsidRDefault="00E74FD0" w:rsidP="000A688B">
            <w:pPr>
              <w:tabs>
                <w:tab w:val="left" w:pos="1635"/>
              </w:tabs>
              <w:rPr>
                <w:sz w:val="17"/>
                <w:szCs w:val="17"/>
                <w:lang w:eastAsia="en-AU"/>
              </w:rPr>
            </w:pPr>
            <w:r w:rsidRPr="00E74FD0">
              <w:rPr>
                <w:sz w:val="17"/>
                <w:szCs w:val="17"/>
                <w:lang w:eastAsia="en-AU"/>
              </w:rPr>
              <w:t>-Talk on Climate Change &amp; TAF Survey ‘Bangladesh’s Democracy: According to its People’</w:t>
            </w:r>
          </w:p>
        </w:tc>
        <w:tc>
          <w:tcPr>
            <w:tcW w:w="3185" w:type="dxa"/>
            <w:tcBorders>
              <w:top w:val="dotted" w:sz="4" w:space="0" w:color="auto"/>
              <w:left w:val="dotted" w:sz="4" w:space="0" w:color="auto"/>
              <w:bottom w:val="dotted" w:sz="4" w:space="0" w:color="auto"/>
              <w:right w:val="dotted" w:sz="4" w:space="0" w:color="auto"/>
            </w:tcBorders>
          </w:tcPr>
          <w:p w14:paraId="3DF6411C" w14:textId="77777777" w:rsidR="00E74FD0" w:rsidRPr="00E74FD0" w:rsidRDefault="00E74FD0" w:rsidP="000A688B">
            <w:pPr>
              <w:tabs>
                <w:tab w:val="left" w:pos="1635"/>
              </w:tabs>
              <w:rPr>
                <w:sz w:val="17"/>
                <w:szCs w:val="17"/>
                <w:lang w:eastAsia="en-AU"/>
              </w:rPr>
            </w:pPr>
            <w:r w:rsidRPr="00E74FD0">
              <w:rPr>
                <w:sz w:val="17"/>
                <w:szCs w:val="17"/>
                <w:lang w:eastAsia="en-AU"/>
              </w:rPr>
              <w:t>Relevant staff attend the following training/workshop:</w:t>
            </w:r>
          </w:p>
          <w:p w14:paraId="2B2CB5AD" w14:textId="77777777" w:rsidR="00E74FD0" w:rsidRPr="00E74FD0" w:rsidRDefault="00E74FD0" w:rsidP="000A688B">
            <w:pPr>
              <w:tabs>
                <w:tab w:val="left" w:pos="1635"/>
              </w:tabs>
              <w:rPr>
                <w:sz w:val="17"/>
                <w:szCs w:val="17"/>
                <w:lang w:eastAsia="en-AU"/>
              </w:rPr>
            </w:pPr>
            <w:r w:rsidRPr="00E74FD0">
              <w:rPr>
                <w:sz w:val="17"/>
                <w:szCs w:val="17"/>
                <w:lang w:eastAsia="en-AU"/>
              </w:rPr>
              <w:t xml:space="preserve">Australia Awards Regional Workshop; </w:t>
            </w:r>
          </w:p>
          <w:p w14:paraId="6D4273E7" w14:textId="77777777" w:rsidR="00E74FD0" w:rsidRPr="00E74FD0" w:rsidRDefault="00E74FD0" w:rsidP="000A688B">
            <w:pPr>
              <w:tabs>
                <w:tab w:val="left" w:pos="1635"/>
              </w:tabs>
              <w:rPr>
                <w:sz w:val="17"/>
                <w:szCs w:val="17"/>
                <w:lang w:eastAsia="en-AU"/>
              </w:rPr>
            </w:pPr>
            <w:r w:rsidRPr="00E74FD0">
              <w:rPr>
                <w:sz w:val="17"/>
                <w:szCs w:val="17"/>
                <w:lang w:eastAsia="en-AU"/>
              </w:rPr>
              <w:t>Office of Trade Negotiations Trade Policy Course;</w:t>
            </w:r>
          </w:p>
          <w:p w14:paraId="29655EC1" w14:textId="77777777" w:rsidR="00E74FD0" w:rsidRPr="00E74FD0" w:rsidRDefault="00E74FD0" w:rsidP="000A688B">
            <w:pPr>
              <w:tabs>
                <w:tab w:val="left" w:pos="1635"/>
              </w:tabs>
              <w:rPr>
                <w:sz w:val="17"/>
                <w:szCs w:val="17"/>
                <w:lang w:eastAsia="en-AU"/>
              </w:rPr>
            </w:pPr>
            <w:r w:rsidRPr="00E74FD0">
              <w:rPr>
                <w:sz w:val="17"/>
                <w:szCs w:val="17"/>
                <w:lang w:eastAsia="en-AU"/>
              </w:rPr>
              <w:t xml:space="preserve">Humanitarian Emergency Response; </w:t>
            </w:r>
          </w:p>
          <w:p w14:paraId="30F0D314" w14:textId="77777777" w:rsidR="00E74FD0" w:rsidRPr="00E74FD0" w:rsidRDefault="00E74FD0" w:rsidP="000A688B">
            <w:pPr>
              <w:tabs>
                <w:tab w:val="left" w:pos="1635"/>
              </w:tabs>
              <w:rPr>
                <w:sz w:val="17"/>
                <w:szCs w:val="17"/>
                <w:lang w:eastAsia="en-AU"/>
              </w:rPr>
            </w:pPr>
            <w:r w:rsidRPr="00E74FD0">
              <w:rPr>
                <w:sz w:val="17"/>
                <w:szCs w:val="17"/>
                <w:lang w:eastAsia="en-AU"/>
              </w:rPr>
              <w:t>Regional Aid Management Training: Design and M&amp;E</w:t>
            </w:r>
          </w:p>
          <w:p w14:paraId="21DE6C40" w14:textId="77777777" w:rsidR="00E74FD0" w:rsidRPr="00E74FD0" w:rsidRDefault="00E74FD0" w:rsidP="000A688B">
            <w:pPr>
              <w:tabs>
                <w:tab w:val="left" w:pos="1635"/>
              </w:tabs>
              <w:rPr>
                <w:sz w:val="17"/>
                <w:szCs w:val="17"/>
                <w:lang w:eastAsia="en-AU"/>
              </w:rPr>
            </w:pPr>
            <w:r w:rsidRPr="00E74FD0">
              <w:rPr>
                <w:sz w:val="17"/>
                <w:szCs w:val="17"/>
                <w:lang w:eastAsia="en-AU"/>
              </w:rPr>
              <w:t>South-south Knowledge Collaboration: Designing and Implementing Social Protection Programs for Employment;</w:t>
            </w:r>
          </w:p>
          <w:p w14:paraId="6CEB9FC0" w14:textId="77777777" w:rsidR="00E74FD0" w:rsidRPr="00E74FD0" w:rsidRDefault="00E74FD0" w:rsidP="000A688B">
            <w:pPr>
              <w:tabs>
                <w:tab w:val="left" w:pos="1635"/>
              </w:tabs>
              <w:rPr>
                <w:sz w:val="17"/>
                <w:szCs w:val="17"/>
                <w:lang w:eastAsia="en-AU"/>
              </w:rPr>
            </w:pPr>
            <w:r w:rsidRPr="00E74FD0">
              <w:rPr>
                <w:sz w:val="17"/>
                <w:szCs w:val="17"/>
                <w:lang w:eastAsia="en-AU"/>
              </w:rPr>
              <w:t>Strategic Partnership Health Check Workshop;</w:t>
            </w:r>
          </w:p>
          <w:p w14:paraId="265C740D" w14:textId="77777777" w:rsidR="00E74FD0" w:rsidRPr="00E74FD0" w:rsidRDefault="00E74FD0" w:rsidP="000A688B">
            <w:pPr>
              <w:tabs>
                <w:tab w:val="left" w:pos="1635"/>
              </w:tabs>
              <w:rPr>
                <w:sz w:val="17"/>
                <w:szCs w:val="17"/>
                <w:lang w:eastAsia="en-AU"/>
              </w:rPr>
            </w:pPr>
            <w:r w:rsidRPr="00E74FD0">
              <w:rPr>
                <w:sz w:val="17"/>
                <w:szCs w:val="17"/>
                <w:lang w:eastAsia="en-AU"/>
              </w:rPr>
              <w:t>ANCP Partners Consultation Workshop;</w:t>
            </w:r>
          </w:p>
          <w:p w14:paraId="43DCCE65" w14:textId="77777777" w:rsidR="00E74FD0" w:rsidRPr="00E74FD0" w:rsidRDefault="00E74FD0" w:rsidP="000A688B">
            <w:pPr>
              <w:tabs>
                <w:tab w:val="left" w:pos="1635"/>
              </w:tabs>
              <w:rPr>
                <w:sz w:val="17"/>
                <w:szCs w:val="17"/>
                <w:lang w:eastAsia="en-AU"/>
              </w:rPr>
            </w:pPr>
            <w:r w:rsidRPr="00E74FD0">
              <w:rPr>
                <w:sz w:val="17"/>
                <w:szCs w:val="17"/>
                <w:lang w:eastAsia="en-AU"/>
              </w:rPr>
              <w:t>AidWorks Training;</w:t>
            </w:r>
          </w:p>
          <w:p w14:paraId="08E6D0F6" w14:textId="77777777" w:rsidR="00E74FD0" w:rsidRPr="00E74FD0" w:rsidRDefault="00E74FD0" w:rsidP="000A688B">
            <w:pPr>
              <w:tabs>
                <w:tab w:val="left" w:pos="1635"/>
              </w:tabs>
              <w:rPr>
                <w:sz w:val="17"/>
                <w:szCs w:val="17"/>
                <w:lang w:eastAsia="en-AU"/>
              </w:rPr>
            </w:pPr>
            <w:r w:rsidRPr="00E74FD0">
              <w:rPr>
                <w:sz w:val="17"/>
                <w:szCs w:val="17"/>
                <w:lang w:eastAsia="en-AU"/>
              </w:rPr>
              <w:t>Personal Safety and Confrontation Management Training;</w:t>
            </w:r>
          </w:p>
          <w:p w14:paraId="19EB1FCC" w14:textId="77777777" w:rsidR="00E74FD0" w:rsidRPr="00E74FD0" w:rsidRDefault="00E74FD0" w:rsidP="000A688B">
            <w:pPr>
              <w:tabs>
                <w:tab w:val="left" w:pos="1635"/>
              </w:tabs>
              <w:rPr>
                <w:sz w:val="17"/>
                <w:szCs w:val="17"/>
                <w:lang w:eastAsia="en-AU"/>
              </w:rPr>
            </w:pPr>
            <w:r w:rsidRPr="00E74FD0">
              <w:rPr>
                <w:sz w:val="17"/>
                <w:szCs w:val="17"/>
                <w:lang w:eastAsia="en-AU"/>
              </w:rPr>
              <w:t>Work Health and Safety E-learning;</w:t>
            </w:r>
          </w:p>
          <w:p w14:paraId="6C2F91F3" w14:textId="77777777" w:rsidR="00E74FD0" w:rsidRPr="00E74FD0" w:rsidRDefault="00E74FD0" w:rsidP="000A688B">
            <w:pPr>
              <w:tabs>
                <w:tab w:val="left" w:pos="1635"/>
              </w:tabs>
              <w:rPr>
                <w:sz w:val="17"/>
                <w:szCs w:val="17"/>
                <w:lang w:eastAsia="en-AU"/>
              </w:rPr>
            </w:pPr>
            <w:r w:rsidRPr="00E74FD0">
              <w:rPr>
                <w:sz w:val="17"/>
                <w:szCs w:val="17"/>
                <w:lang w:eastAsia="en-AU"/>
              </w:rPr>
              <w:t>Delegations E-learning;</w:t>
            </w:r>
          </w:p>
          <w:p w14:paraId="77FF03FF" w14:textId="77777777" w:rsidR="00E74FD0" w:rsidRPr="00E74FD0" w:rsidRDefault="00E74FD0" w:rsidP="000A688B">
            <w:pPr>
              <w:tabs>
                <w:tab w:val="left" w:pos="1635"/>
              </w:tabs>
              <w:rPr>
                <w:sz w:val="17"/>
                <w:szCs w:val="17"/>
                <w:lang w:eastAsia="en-AU"/>
              </w:rPr>
            </w:pPr>
            <w:r w:rsidRPr="00E74FD0">
              <w:rPr>
                <w:sz w:val="17"/>
                <w:szCs w:val="17"/>
                <w:lang w:eastAsia="en-AU"/>
              </w:rPr>
              <w:t>Talk on The Asia Foundation survey ‘Bangladesh Democracy Survey’ and Bangladesh’s Electoral System.</w:t>
            </w:r>
          </w:p>
        </w:tc>
        <w:tc>
          <w:tcPr>
            <w:tcW w:w="1418" w:type="dxa"/>
            <w:tcBorders>
              <w:top w:val="dotted" w:sz="4" w:space="0" w:color="auto"/>
              <w:left w:val="dotted" w:sz="4" w:space="0" w:color="auto"/>
              <w:bottom w:val="dotted" w:sz="4" w:space="0" w:color="auto"/>
              <w:right w:val="dotted" w:sz="4" w:space="0" w:color="auto"/>
            </w:tcBorders>
          </w:tcPr>
          <w:p w14:paraId="0D493D0F" w14:textId="77777777" w:rsidR="00E74FD0" w:rsidRPr="00E74FD0" w:rsidRDefault="00E74FD0" w:rsidP="000A688B">
            <w:pPr>
              <w:tabs>
                <w:tab w:val="left" w:pos="1635"/>
              </w:tabs>
              <w:rPr>
                <w:sz w:val="17"/>
                <w:szCs w:val="17"/>
                <w:lang w:eastAsia="en-AU"/>
              </w:rPr>
            </w:pPr>
            <w:r w:rsidRPr="00E74FD0">
              <w:rPr>
                <w:sz w:val="17"/>
                <w:szCs w:val="17"/>
                <w:lang w:eastAsia="en-AU"/>
              </w:rPr>
              <w:t>APPR management consequences sets out required staff capacities and staff up to date on relevant trainings/ workshops</w:t>
            </w:r>
          </w:p>
        </w:tc>
        <w:tc>
          <w:tcPr>
            <w:tcW w:w="1139" w:type="dxa"/>
            <w:tcBorders>
              <w:top w:val="dotted" w:sz="4" w:space="0" w:color="auto"/>
              <w:left w:val="dotted" w:sz="4" w:space="0" w:color="auto"/>
              <w:bottom w:val="dotted" w:sz="4" w:space="0" w:color="auto"/>
              <w:right w:val="dotted" w:sz="4" w:space="0" w:color="auto"/>
            </w:tcBorders>
          </w:tcPr>
          <w:p w14:paraId="4DB81FD2" w14:textId="77777777" w:rsidR="00E74FD0" w:rsidRPr="00E74FD0" w:rsidRDefault="00E74FD0" w:rsidP="000A688B">
            <w:pPr>
              <w:tabs>
                <w:tab w:val="left" w:pos="1635"/>
              </w:tabs>
              <w:rPr>
                <w:iCs/>
                <w:sz w:val="17"/>
                <w:szCs w:val="17"/>
                <w:lang w:val="en-AU" w:eastAsia="en-AU"/>
              </w:rPr>
            </w:pPr>
          </w:p>
        </w:tc>
      </w:tr>
    </w:tbl>
    <w:p w14:paraId="4AF8D906" w14:textId="77777777" w:rsidR="00A025F2" w:rsidRDefault="00A025F2" w:rsidP="00DF209F"/>
    <w:p w14:paraId="0370B027" w14:textId="77777777" w:rsidR="00CA7DD8" w:rsidRDefault="00CA7DD8" w:rsidP="00577836"/>
    <w:sectPr w:rsidR="00CA7DD8" w:rsidSect="00577836">
      <w:headerReference w:type="default" r:id="rId33"/>
      <w:pgSz w:w="16838" w:h="11906" w:orient="landscape" w:code="9"/>
      <w:pgMar w:top="1134" w:right="1527" w:bottom="1134" w:left="851" w:header="1418" w:footer="267" w:gutter="0"/>
      <w:cols w:space="397"/>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5C3C0" w14:textId="77777777" w:rsidR="00A20FBD" w:rsidRDefault="00A20FBD" w:rsidP="00EF4574">
      <w:pPr>
        <w:spacing w:before="0" w:after="0" w:line="240" w:lineRule="auto"/>
      </w:pPr>
      <w:r>
        <w:separator/>
      </w:r>
    </w:p>
  </w:endnote>
  <w:endnote w:type="continuationSeparator" w:id="0">
    <w:p w14:paraId="528D802D" w14:textId="77777777" w:rsidR="00A20FBD" w:rsidRDefault="00A20FBD"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FD0B3" w14:textId="77777777" w:rsidR="00F27D04" w:rsidRDefault="00F27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764487"/>
      <w:docPartObj>
        <w:docPartGallery w:val="Page Numbers (Bottom of Page)"/>
        <w:docPartUnique/>
      </w:docPartObj>
    </w:sdtPr>
    <w:sdtEndPr>
      <w:rPr>
        <w:color w:val="7F7F7F" w:themeColor="background1" w:themeShade="7F"/>
        <w:spacing w:val="60"/>
      </w:rPr>
    </w:sdtEndPr>
    <w:sdtContent>
      <w:p w14:paraId="28123F09" w14:textId="699FE666" w:rsidR="00A20FBD" w:rsidRDefault="00A20FBD">
        <w:pPr>
          <w:pStyle w:val="Footer"/>
          <w:pBdr>
            <w:top w:val="single" w:sz="4" w:space="1" w:color="D9D9D9" w:themeColor="background1" w:themeShade="D9"/>
          </w:pBdr>
        </w:pPr>
        <w:r>
          <w:fldChar w:fldCharType="begin"/>
        </w:r>
        <w:r>
          <w:instrText xml:space="preserve"> PAGE   \* MERGEFORMAT </w:instrText>
        </w:r>
        <w:r>
          <w:fldChar w:fldCharType="separate"/>
        </w:r>
        <w:r w:rsidR="001A2666">
          <w:rPr>
            <w:noProof/>
          </w:rPr>
          <w:t>4</w:t>
        </w:r>
        <w:r>
          <w:rPr>
            <w:noProof/>
          </w:rPr>
          <w:fldChar w:fldCharType="end"/>
        </w:r>
        <w:r>
          <w:t xml:space="preserve"> | </w:t>
        </w:r>
        <w:r>
          <w:rPr>
            <w:color w:val="7F7F7F" w:themeColor="background1" w:themeShade="7F"/>
            <w:spacing w:val="60"/>
          </w:rPr>
          <w:t>Page</w:t>
        </w:r>
      </w:p>
    </w:sdtContent>
  </w:sdt>
  <w:p w14:paraId="5F08F1C4" w14:textId="77777777" w:rsidR="00A20FBD" w:rsidRDefault="00A20F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74531" w14:textId="77777777" w:rsidR="00F27D04" w:rsidRDefault="00F27D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515400"/>
      <w:docPartObj>
        <w:docPartGallery w:val="Page Numbers (Bottom of Page)"/>
        <w:docPartUnique/>
      </w:docPartObj>
    </w:sdtPr>
    <w:sdtEndPr>
      <w:rPr>
        <w:color w:val="7F7F7F" w:themeColor="background1" w:themeShade="7F"/>
        <w:spacing w:val="60"/>
      </w:rPr>
    </w:sdtEndPr>
    <w:sdtContent>
      <w:p w14:paraId="2C594ECF" w14:textId="36EC08B1" w:rsidR="00A20FBD" w:rsidRDefault="00A20FBD" w:rsidP="00577836">
        <w:pPr>
          <w:pStyle w:val="Footer"/>
          <w:pBdr>
            <w:top w:val="single" w:sz="4" w:space="1" w:color="D9D9D9" w:themeColor="background1" w:themeShade="D9"/>
          </w:pBdr>
        </w:pPr>
        <w:r>
          <w:fldChar w:fldCharType="begin"/>
        </w:r>
        <w:r>
          <w:instrText xml:space="preserve"> PAGE   \* MERGEFORMAT </w:instrText>
        </w:r>
        <w:r>
          <w:fldChar w:fldCharType="separate"/>
        </w:r>
        <w:r w:rsidR="001A2666">
          <w:rPr>
            <w:noProof/>
          </w:rPr>
          <w:t>17</w:t>
        </w:r>
        <w:r>
          <w:rPr>
            <w:noProof/>
          </w:rPr>
          <w:fldChar w:fldCharType="end"/>
        </w:r>
        <w:r>
          <w:t xml:space="preserve"> | </w:t>
        </w:r>
        <w:r>
          <w:rPr>
            <w:color w:val="7F7F7F" w:themeColor="background1" w:themeShade="7F"/>
            <w:spacing w:val="60"/>
          </w:rPr>
          <w:t>Page</w:t>
        </w:r>
      </w:p>
    </w:sdtContent>
  </w:sdt>
  <w:p w14:paraId="055E5DA0" w14:textId="4DED9EDE" w:rsidR="00A20FBD" w:rsidRPr="00CD0E4B" w:rsidRDefault="00A20FBD" w:rsidP="00577836">
    <w:pPr>
      <w:pStyle w:val="Footer"/>
    </w:pPr>
    <w:r w:rsidRPr="00CD0E4B">
      <w:rPr>
        <w:noProof/>
        <w:lang w:val="en-AU" w:eastAsia="en-A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7EEA3" w14:textId="77777777" w:rsidR="00A20FBD" w:rsidRPr="008C5A0E" w:rsidRDefault="00A20FBD" w:rsidP="001D663E">
      <w:pPr>
        <w:pStyle w:val="Footer"/>
        <w:pBdr>
          <w:top w:val="single" w:sz="4" w:space="1" w:color="495965" w:themeColor="text2"/>
        </w:pBdr>
      </w:pPr>
    </w:p>
  </w:footnote>
  <w:footnote w:type="continuationSeparator" w:id="0">
    <w:p w14:paraId="35623994" w14:textId="77777777" w:rsidR="00A20FBD" w:rsidRDefault="00A20FBD" w:rsidP="00EF4574">
      <w:pPr>
        <w:spacing w:before="0" w:after="0" w:line="240" w:lineRule="auto"/>
      </w:pPr>
      <w:r>
        <w:continuationSeparator/>
      </w:r>
    </w:p>
  </w:footnote>
  <w:footnote w:id="1">
    <w:p w14:paraId="20F63A1C" w14:textId="4A63939F" w:rsidR="00A20FBD" w:rsidRPr="009B3626" w:rsidRDefault="00A20FBD" w:rsidP="009B3626">
      <w:pPr>
        <w:pStyle w:val="FootnoteText"/>
        <w:rPr>
          <w:lang w:val="en-AU"/>
        </w:rPr>
      </w:pPr>
      <w:r>
        <w:rPr>
          <w:rStyle w:val="FootnoteReference"/>
        </w:rPr>
        <w:footnoteRef/>
      </w:r>
      <w:r>
        <w:t xml:space="preserve"> </w:t>
      </w:r>
      <w:r>
        <w:rPr>
          <w:lang w:val="en-AU"/>
        </w:rPr>
        <w:t xml:space="preserve">2017-17 Annual Development Plan Project SharePoint Overview; </w:t>
      </w:r>
      <w:r w:rsidRPr="009B3626">
        <w:rPr>
          <w:lang w:val="en-AU"/>
        </w:rPr>
        <w:t>http://collaboration.titan.satin.lo/CivilSociety/Pages/ANCP.aspx</w:t>
      </w:r>
      <w:r>
        <w:rPr>
          <w:lang w:val="en-AU"/>
        </w:rPr>
        <w:t>.</w:t>
      </w:r>
    </w:p>
  </w:footnote>
  <w:footnote w:id="2">
    <w:p w14:paraId="3FB4CE5C" w14:textId="08CAE237" w:rsidR="00A20FBD" w:rsidRPr="00405F23" w:rsidRDefault="00A20FBD">
      <w:pPr>
        <w:pStyle w:val="FootnoteText"/>
        <w:rPr>
          <w:lang w:val="en-AU"/>
        </w:rPr>
      </w:pPr>
      <w:r>
        <w:rPr>
          <w:rStyle w:val="FootnoteReference"/>
        </w:rPr>
        <w:footnoteRef/>
      </w:r>
      <w:r>
        <w:t xml:space="preserve"> A rating of satisfactory or above in gender equality for 80 per cent of Australian investments; </w:t>
      </w:r>
      <w:r w:rsidRPr="008F5516">
        <w:t>Making Performance Count: enhancing the accountability and effectiveness of Australian aid.</w:t>
      </w:r>
    </w:p>
  </w:footnote>
  <w:footnote w:id="3">
    <w:p w14:paraId="165D66FB" w14:textId="313C7E21" w:rsidR="00A20FBD" w:rsidRPr="00B4365A" w:rsidRDefault="00A20FBD">
      <w:pPr>
        <w:pStyle w:val="FootnoteText"/>
        <w:rPr>
          <w:lang w:val="en-AU"/>
        </w:rPr>
      </w:pPr>
      <w:r>
        <w:rPr>
          <w:rStyle w:val="FootnoteReference"/>
        </w:rPr>
        <w:footnoteRef/>
      </w:r>
      <w:r>
        <w:t xml:space="preserve"> Annual Narrative Report (2016), </w:t>
      </w:r>
      <w:r w:rsidRPr="009B3626">
        <w:t>WFP’s Enhancing Food Security and Nutrition (EFSN) Programme, Cox’s Bazar district, Bangladesh</w:t>
      </w:r>
      <w:r>
        <w:t>.</w:t>
      </w:r>
      <w:r w:rsidRPr="009B3626">
        <w:t xml:space="preserve"> </w:t>
      </w:r>
    </w:p>
  </w:footnote>
  <w:footnote w:id="4">
    <w:p w14:paraId="18447092" w14:textId="0822AB7B" w:rsidR="00A20FBD" w:rsidRPr="00B4365A" w:rsidRDefault="00A20FBD" w:rsidP="00893C88">
      <w:pPr>
        <w:pStyle w:val="FootnoteText"/>
        <w:rPr>
          <w:lang w:val="en-AU"/>
        </w:rPr>
      </w:pPr>
      <w:r>
        <w:rPr>
          <w:rStyle w:val="FootnoteReference"/>
        </w:rPr>
        <w:footnoteRef/>
      </w:r>
      <w:r>
        <w:t xml:space="preserve"> </w:t>
      </w:r>
      <w:r>
        <w:rPr>
          <w:lang w:val="en-AU"/>
        </w:rPr>
        <w:t>SPA Results for 2016 (Thematic); BRAC Program MIS Data.</w:t>
      </w:r>
    </w:p>
  </w:footnote>
  <w:footnote w:id="5">
    <w:p w14:paraId="149F4C29" w14:textId="2ED72393" w:rsidR="00A20FBD" w:rsidRPr="00B4365A" w:rsidRDefault="00A20FBD" w:rsidP="00893C88">
      <w:pPr>
        <w:pStyle w:val="FootnoteText"/>
        <w:rPr>
          <w:lang w:val="en-AU"/>
        </w:rPr>
      </w:pPr>
      <w:r>
        <w:rPr>
          <w:rStyle w:val="FootnoteReference"/>
        </w:rPr>
        <w:footnoteRef/>
      </w:r>
      <w:r>
        <w:t xml:space="preserve"> BRAC PAF update report July 2017; </w:t>
      </w:r>
      <w:r>
        <w:rPr>
          <w:lang w:val="en-AU"/>
        </w:rPr>
        <w:t>BRAC Program MIS Data.</w:t>
      </w:r>
    </w:p>
  </w:footnote>
  <w:footnote w:id="6">
    <w:p w14:paraId="3E39806F" w14:textId="4F600AB9" w:rsidR="00A20FBD" w:rsidRPr="008F5516" w:rsidRDefault="00A20FBD">
      <w:pPr>
        <w:pStyle w:val="FootnoteText"/>
      </w:pPr>
      <w:r>
        <w:rPr>
          <w:rStyle w:val="FootnoteReference"/>
        </w:rPr>
        <w:footnoteRef/>
      </w:r>
      <w:r>
        <w:t xml:space="preserve"> </w:t>
      </w:r>
      <w:r>
        <w:rPr>
          <w:lang w:val="en-AU"/>
        </w:rPr>
        <w:t>SGSP Annual Review 2016;</w:t>
      </w:r>
      <w:r w:rsidRPr="008F5516">
        <w:rPr>
          <w:lang w:val="en-AU"/>
        </w:rPr>
        <w:t xml:space="preserve"> </w:t>
      </w:r>
      <w:hyperlink r:id="rId1" w:history="1">
        <w:r w:rsidRPr="008F5516">
          <w:t>https://devtracker.dfid.gov.uk/projects/GB-1-202972/documents</w:t>
        </w:r>
      </w:hyperlink>
      <w:r>
        <w:t>.</w:t>
      </w:r>
    </w:p>
  </w:footnote>
  <w:footnote w:id="7">
    <w:p w14:paraId="3F00FD5D" w14:textId="7D5ED945" w:rsidR="00A20FBD" w:rsidRPr="00EF7DFA" w:rsidRDefault="00A20FBD">
      <w:pPr>
        <w:pStyle w:val="FootnoteText"/>
        <w:rPr>
          <w:lang w:val="en-AU"/>
        </w:rPr>
      </w:pPr>
      <w:r>
        <w:rPr>
          <w:rStyle w:val="FootnoteReference"/>
        </w:rPr>
        <w:footnoteRef/>
      </w:r>
      <w:r>
        <w:t xml:space="preserve"> Quarterly Estimates (October 2016); Bangladesh Bureau of Statistics.</w:t>
      </w:r>
    </w:p>
  </w:footnote>
  <w:footnote w:id="8">
    <w:p w14:paraId="2404A6DD" w14:textId="3CDF464E" w:rsidR="00A20FBD" w:rsidRPr="00EF7DFA" w:rsidRDefault="00A20FBD">
      <w:pPr>
        <w:pStyle w:val="FootnoteText"/>
        <w:rPr>
          <w:lang w:val="en-AU"/>
        </w:rPr>
      </w:pPr>
      <w:r>
        <w:rPr>
          <w:rStyle w:val="FootnoteReference"/>
        </w:rPr>
        <w:footnoteRef/>
      </w:r>
      <w:r>
        <w:t xml:space="preserve"> UNDP Human Development Report 2016; </w:t>
      </w:r>
      <w:r w:rsidRPr="00E73042">
        <w:t>http://hdr.undp.org/en/countries/profiles/BGD</w:t>
      </w:r>
      <w:r>
        <w:t>.</w:t>
      </w:r>
    </w:p>
  </w:footnote>
  <w:footnote w:id="9">
    <w:p w14:paraId="61822A19" w14:textId="45AC78B8" w:rsidR="00A20FBD" w:rsidRPr="008F5516" w:rsidRDefault="00A20FBD">
      <w:pPr>
        <w:pStyle w:val="FootnoteText"/>
      </w:pPr>
      <w:r>
        <w:rPr>
          <w:rStyle w:val="FootnoteReference"/>
        </w:rPr>
        <w:footnoteRef/>
      </w:r>
      <w:r>
        <w:t xml:space="preserve"> Bangladesh Bureau of Statistics 2016-17;</w:t>
      </w:r>
      <w:r w:rsidRPr="008F5516">
        <w:t xml:space="preserve"> </w:t>
      </w:r>
      <w:hyperlink r:id="rId2" w:history="1">
        <w:r w:rsidRPr="008F5516">
          <w:t>http://bbs.portal.gov.bd/sites/default/files/files/bbs.portal.gov.bd/page/057b0f3b_a9e8_4fde_b3a6_6daec3853586/GDP_2016_17_Approved.pdf</w:t>
        </w:r>
      </w:hyperlink>
      <w:r>
        <w:t xml:space="preserve">. </w:t>
      </w:r>
    </w:p>
  </w:footnote>
  <w:footnote w:id="10">
    <w:p w14:paraId="5995FBAA" w14:textId="7D360FBE" w:rsidR="00A20FBD" w:rsidRPr="00EF7DFA" w:rsidRDefault="00A20FBD">
      <w:pPr>
        <w:pStyle w:val="FootnoteText"/>
        <w:rPr>
          <w:lang w:val="en-AU"/>
        </w:rPr>
      </w:pPr>
      <w:r>
        <w:rPr>
          <w:rStyle w:val="FootnoteReference"/>
        </w:rPr>
        <w:footnoteRef/>
      </w:r>
      <w:r>
        <w:t xml:space="preserve"> Remittance fell by 14.4 per cent in 2016-17 (from 15 billion, 2015-16 to 12.77 billion); Bangladesh Bureau of Statistics, 2016-17.</w:t>
      </w:r>
    </w:p>
  </w:footnote>
  <w:footnote w:id="11">
    <w:p w14:paraId="69E488E3" w14:textId="04ED6A8E" w:rsidR="00A20FBD" w:rsidRPr="00EF7DFA" w:rsidRDefault="00A20FBD">
      <w:pPr>
        <w:pStyle w:val="FootnoteText"/>
        <w:rPr>
          <w:lang w:val="en-AU"/>
        </w:rPr>
      </w:pPr>
      <w:r>
        <w:rPr>
          <w:rStyle w:val="FootnoteReference"/>
        </w:rPr>
        <w:footnoteRef/>
      </w:r>
      <w:r>
        <w:t xml:space="preserve"> Bangladesh Bureau of Statistics (2016-17). </w:t>
      </w:r>
    </w:p>
  </w:footnote>
  <w:footnote w:id="12">
    <w:p w14:paraId="7F646E63" w14:textId="6F57A0BA" w:rsidR="00A20FBD" w:rsidRPr="00EF7DFA" w:rsidRDefault="00A20FBD">
      <w:pPr>
        <w:pStyle w:val="FootnoteText"/>
        <w:rPr>
          <w:lang w:val="en-AU"/>
        </w:rPr>
      </w:pPr>
      <w:r>
        <w:rPr>
          <w:rStyle w:val="FootnoteReference"/>
        </w:rPr>
        <w:footnoteRef/>
      </w:r>
      <w:r>
        <w:t xml:space="preserve"> Quarterly Labour Force Survey 2015-16; </w:t>
      </w:r>
      <w:r w:rsidRPr="008F5516">
        <w:t>Bangladesh Bureau of Statistics</w:t>
      </w:r>
      <w:r>
        <w:t>.</w:t>
      </w:r>
      <w:r w:rsidRPr="008F5516">
        <w:t xml:space="preserve">   </w:t>
      </w:r>
    </w:p>
  </w:footnote>
  <w:footnote w:id="13">
    <w:p w14:paraId="72B1C5D7" w14:textId="67F16C4E" w:rsidR="00A20FBD" w:rsidRPr="008F5516" w:rsidRDefault="00A20FBD">
      <w:pPr>
        <w:pStyle w:val="FootnoteText"/>
        <w:rPr>
          <w:lang w:val="en-AU"/>
        </w:rPr>
      </w:pPr>
      <w:r>
        <w:rPr>
          <w:rStyle w:val="FootnoteReference"/>
        </w:rPr>
        <w:footnoteRef/>
      </w:r>
      <w:r>
        <w:t xml:space="preserve"> </w:t>
      </w:r>
      <w:r w:rsidRPr="008F5516">
        <w:t>Between 2010-2015, the Gini-Coefficient increased from 0.545 to 0.579;  http://hdr.undp.org/en/indicators/137506</w:t>
      </w:r>
    </w:p>
  </w:footnote>
  <w:footnote w:id="14">
    <w:p w14:paraId="52D0A1B2" w14:textId="772E7145" w:rsidR="00A20FBD" w:rsidRPr="00BD4F66" w:rsidRDefault="00A20FBD">
      <w:pPr>
        <w:pStyle w:val="FootnoteText"/>
        <w:rPr>
          <w:lang w:val="en-AU"/>
        </w:rPr>
      </w:pPr>
      <w:r>
        <w:rPr>
          <w:rStyle w:val="FootnoteReference"/>
        </w:rPr>
        <w:footnoteRef/>
      </w:r>
      <w:r>
        <w:t xml:space="preserve"> </w:t>
      </w:r>
      <w:r w:rsidRPr="00BD4F66">
        <w:t>Inequality: A wake-up call for Bangladesh, By Rahman Jahangir, published on 27 January 2017 on Financial Express</w:t>
      </w:r>
      <w:r>
        <w:t>;</w:t>
      </w:r>
      <w:r w:rsidRPr="00BD4F66">
        <w:t xml:space="preserve"> http://www.thefinancialexpress-bd.com/2017/01/27/60297/Inequality:-A-wake-up-call-for-Bangladesh</w:t>
      </w:r>
      <w:r>
        <w:t>.</w:t>
      </w:r>
    </w:p>
  </w:footnote>
  <w:footnote w:id="15">
    <w:p w14:paraId="28D8077A" w14:textId="7B8A5861" w:rsidR="00A20FBD" w:rsidRPr="00062E9A" w:rsidRDefault="00A20FBD">
      <w:pPr>
        <w:pStyle w:val="FootnoteText"/>
        <w:rPr>
          <w:lang w:val="en-AU"/>
        </w:rPr>
      </w:pPr>
      <w:r>
        <w:rPr>
          <w:rStyle w:val="FootnoteReference"/>
        </w:rPr>
        <w:footnoteRef/>
      </w:r>
      <w:r>
        <w:t xml:space="preserve"> </w:t>
      </w:r>
      <w:r w:rsidRPr="00062E9A">
        <w:t>https://www.transparency.org/news/feature/corruption_perceptions_index_2016</w:t>
      </w:r>
      <w:r>
        <w:t>.</w:t>
      </w:r>
    </w:p>
  </w:footnote>
  <w:footnote w:id="16">
    <w:p w14:paraId="02A396AF" w14:textId="765151A9" w:rsidR="00A20FBD" w:rsidRPr="00DB7F71" w:rsidRDefault="00A20FBD">
      <w:pPr>
        <w:pStyle w:val="FootnoteText"/>
        <w:rPr>
          <w:lang w:val="en-AU"/>
        </w:rPr>
      </w:pPr>
      <w:r>
        <w:rPr>
          <w:rStyle w:val="FootnoteReference"/>
        </w:rPr>
        <w:footnoteRef/>
      </w:r>
      <w:r>
        <w:t xml:space="preserve">  Strengthening Finance for the 7</w:t>
      </w:r>
      <w:r>
        <w:rPr>
          <w:vertAlign w:val="superscript"/>
        </w:rPr>
        <w:t>th</w:t>
      </w:r>
      <w:r>
        <w:t xml:space="preserve"> Five Year Plan and SDGs in Bangladesh: Findings from an Independent Development Finance Assessment (2016).</w:t>
      </w:r>
    </w:p>
  </w:footnote>
  <w:footnote w:id="17">
    <w:p w14:paraId="27A55444" w14:textId="15B4EC1B" w:rsidR="00A20FBD" w:rsidRPr="00953D92" w:rsidRDefault="00A20FBD" w:rsidP="00953D92">
      <w:pPr>
        <w:pStyle w:val="FootnoteText"/>
        <w:ind w:left="0" w:firstLine="0"/>
        <w:rPr>
          <w:lang w:val="en-AU"/>
        </w:rPr>
      </w:pPr>
      <w:r>
        <w:rPr>
          <w:rStyle w:val="FootnoteReference"/>
        </w:rPr>
        <w:footnoteRef/>
      </w:r>
      <w:r>
        <w:t>The eight SDGs  prioritised in the Government of Bangladesh’s Seventh Five Year Plan are: Goal 1-</w:t>
      </w:r>
      <w:r w:rsidRPr="00953D92">
        <w:t xml:space="preserve"> </w:t>
      </w:r>
      <w:r>
        <w:t>No Poverty; Goal 2-</w:t>
      </w:r>
      <w:r w:rsidRPr="00953D92">
        <w:t xml:space="preserve">Zero Hunger; Goal </w:t>
      </w:r>
      <w:r>
        <w:t>3-</w:t>
      </w:r>
      <w:r w:rsidRPr="00953D92">
        <w:t>Good Health and Well-being; Goal 4</w:t>
      </w:r>
      <w:r>
        <w:t>-</w:t>
      </w:r>
      <w:r w:rsidRPr="00953D92">
        <w:t xml:space="preserve"> Quality Education; Goal 8</w:t>
      </w:r>
      <w:r>
        <w:t>-</w:t>
      </w:r>
      <w:r w:rsidRPr="00953D92">
        <w:t>Decent Work and Economic Growth; Goal10</w:t>
      </w:r>
      <w:r>
        <w:t>-</w:t>
      </w:r>
      <w:r w:rsidRPr="00953D92">
        <w:t>Reduced Inequalities;</w:t>
      </w:r>
      <w:r>
        <w:t xml:space="preserve"> Goal 13-</w:t>
      </w:r>
      <w:r w:rsidRPr="00953D92">
        <w:t xml:space="preserve">Climate Action and ; </w:t>
      </w:r>
      <w:r>
        <w:t>Goal 16-</w:t>
      </w:r>
      <w:r w:rsidRPr="00953D92">
        <w:t>Peace, Justice and Strong Institutions</w:t>
      </w:r>
      <w:r>
        <w:t>.</w:t>
      </w:r>
    </w:p>
  </w:footnote>
  <w:footnote w:id="18">
    <w:p w14:paraId="58D8765D" w14:textId="05291E47" w:rsidR="00A20FBD" w:rsidRPr="00B4365A" w:rsidRDefault="00A20FBD">
      <w:pPr>
        <w:pStyle w:val="FootnoteText"/>
        <w:rPr>
          <w:lang w:val="en-AU"/>
        </w:rPr>
      </w:pPr>
      <w:r>
        <w:rPr>
          <w:rStyle w:val="FootnoteReference"/>
        </w:rPr>
        <w:footnoteRef/>
      </w:r>
      <w:r>
        <w:t xml:space="preserve"> </w:t>
      </w:r>
      <w:r>
        <w:rPr>
          <w:lang w:val="en-AU"/>
        </w:rPr>
        <w:t>The Bangladesh Primary Education Annual Sector Performance Report 2017; Monitoring and Evaluation Division, Directorate of Primary Education, Ministry of Primary and Mass Education</w:t>
      </w:r>
    </w:p>
  </w:footnote>
  <w:footnote w:id="19">
    <w:p w14:paraId="0341AFDF" w14:textId="7086479B" w:rsidR="00A20FBD" w:rsidRPr="00B4365A" w:rsidRDefault="00A20FBD">
      <w:pPr>
        <w:pStyle w:val="FootnoteText"/>
        <w:rPr>
          <w:lang w:val="en-AU"/>
        </w:rPr>
      </w:pPr>
      <w:r>
        <w:rPr>
          <w:rStyle w:val="FootnoteReference"/>
        </w:rPr>
        <w:footnoteRef/>
      </w:r>
      <w:r>
        <w:t xml:space="preserve"> </w:t>
      </w:r>
      <w:r>
        <w:rPr>
          <w:lang w:val="en-AU"/>
        </w:rPr>
        <w:t>The Bangladesh Primary Education Annual Sector Performance Report 2017; Monitoring and Evaluation Division, Directorate of Primary Education, Ministry of Primary and Mass Education.</w:t>
      </w:r>
    </w:p>
  </w:footnote>
  <w:footnote w:id="20">
    <w:p w14:paraId="0A04BF94" w14:textId="410C2852" w:rsidR="00A20FBD" w:rsidRPr="0074359F" w:rsidRDefault="00A20FBD" w:rsidP="00182A25">
      <w:pPr>
        <w:pStyle w:val="FootnoteText"/>
        <w:rPr>
          <w:lang w:val="en-AU"/>
        </w:rPr>
      </w:pPr>
      <w:r>
        <w:rPr>
          <w:rStyle w:val="FootnoteReference"/>
        </w:rPr>
        <w:footnoteRef/>
      </w:r>
      <w:r w:rsidRPr="00881F6E">
        <w:rPr>
          <w:lang w:val="en-AU"/>
        </w:rPr>
        <w:t xml:space="preserve"> </w:t>
      </w:r>
      <w:r w:rsidRPr="00182A25">
        <w:rPr>
          <w:lang w:val="en-AU"/>
        </w:rPr>
        <w:t>Both the PB and PAF target were revised</w:t>
      </w:r>
      <w:r>
        <w:rPr>
          <w:lang w:val="en-AU"/>
        </w:rPr>
        <w:t>.</w:t>
      </w:r>
      <w:r w:rsidRPr="00182A25">
        <w:rPr>
          <w:lang w:val="en-AU"/>
        </w:rPr>
        <w:t xml:space="preserve"> The Bangladesh APPR 2015-16 reported a target of 65 per cent, which is a reporting error. The correct target is 50 per cent. This revised figure aligns with the targets set out in the </w:t>
      </w:r>
      <w:r w:rsidRPr="00182A25">
        <w:rPr>
          <w:i/>
          <w:lang w:val="en-AU"/>
        </w:rPr>
        <w:t>PEDP3 Results Framework</w:t>
      </w:r>
      <w:r w:rsidRPr="00182A25">
        <w:rPr>
          <w:lang w:val="en-AU"/>
        </w:rPr>
        <w:t xml:space="preserve"> between </w:t>
      </w:r>
      <w:r>
        <w:rPr>
          <w:lang w:val="en-AU"/>
        </w:rPr>
        <w:t xml:space="preserve">the </w:t>
      </w:r>
      <w:r w:rsidRPr="00182A25">
        <w:rPr>
          <w:lang w:val="en-AU"/>
        </w:rPr>
        <w:t>Government</w:t>
      </w:r>
      <w:r>
        <w:rPr>
          <w:lang w:val="en-AU"/>
        </w:rPr>
        <w:t xml:space="preserve"> of Bangladesh</w:t>
      </w:r>
      <w:r w:rsidRPr="00182A25">
        <w:rPr>
          <w:lang w:val="en-AU"/>
        </w:rPr>
        <w:t xml:space="preserve"> and Australia (and 9 other donors), agreed to in December 2014.</w:t>
      </w:r>
    </w:p>
  </w:footnote>
  <w:footnote w:id="21">
    <w:p w14:paraId="733641C5" w14:textId="70A45E28" w:rsidR="00A20FBD" w:rsidRPr="001B51E1" w:rsidRDefault="00A20FBD" w:rsidP="00DE5714">
      <w:pPr>
        <w:pStyle w:val="FootnoteText"/>
        <w:rPr>
          <w:lang w:val="en-AU"/>
        </w:rPr>
      </w:pPr>
      <w:r>
        <w:rPr>
          <w:rStyle w:val="FootnoteReference"/>
        </w:rPr>
        <w:footnoteRef/>
      </w:r>
      <w:r>
        <w:t xml:space="preserve"> </w:t>
      </w:r>
      <w:r w:rsidRPr="00124632">
        <w:t>Evidence through E</w:t>
      </w:r>
      <w:r>
        <w:t xml:space="preserve">ach </w:t>
      </w:r>
      <w:r w:rsidRPr="00124632">
        <w:t>C</w:t>
      </w:r>
      <w:r>
        <w:t xml:space="preserve">hild </w:t>
      </w:r>
      <w:r w:rsidRPr="00124632">
        <w:t>L</w:t>
      </w:r>
      <w:r>
        <w:t>earns (ECL)</w:t>
      </w:r>
      <w:r w:rsidRPr="00124632">
        <w:t xml:space="preserve"> Longitudinal Study. Phase 1 indicated students from ECL schools performed slightly higher than those from non-ECL schools.</w:t>
      </w:r>
      <w:r>
        <w:rPr>
          <w:lang w:val="en-AU"/>
        </w:rPr>
        <w:t xml:space="preserve">  </w:t>
      </w:r>
    </w:p>
  </w:footnote>
  <w:footnote w:id="22">
    <w:p w14:paraId="03860B76" w14:textId="538EE7C9" w:rsidR="00A20FBD" w:rsidRPr="00372851" w:rsidRDefault="00A20FBD">
      <w:pPr>
        <w:pStyle w:val="FootnoteText"/>
        <w:rPr>
          <w:lang w:val="en-AU"/>
        </w:rPr>
      </w:pPr>
      <w:r>
        <w:rPr>
          <w:rStyle w:val="FootnoteReference"/>
        </w:rPr>
        <w:footnoteRef/>
      </w:r>
      <w:r>
        <w:t xml:space="preserve"> The Bangladesh Primary Education Annual Sector Performance Report (2017); </w:t>
      </w:r>
      <w:r>
        <w:rPr>
          <w:lang w:val="en-AU"/>
        </w:rPr>
        <w:t>Monitoring and Evaluation Division, Directorate of Primary Education, Ministry of Primary and Mass Education</w:t>
      </w:r>
      <w:r>
        <w:t>.</w:t>
      </w:r>
    </w:p>
  </w:footnote>
  <w:footnote w:id="23">
    <w:p w14:paraId="48725D99" w14:textId="5ECC605D" w:rsidR="00A20FBD" w:rsidRPr="00A063B9" w:rsidRDefault="00A20FBD">
      <w:pPr>
        <w:pStyle w:val="FootnoteText"/>
        <w:rPr>
          <w:lang w:val="en-AU"/>
        </w:rPr>
      </w:pPr>
      <w:r>
        <w:rPr>
          <w:rStyle w:val="FootnoteReference"/>
        </w:rPr>
        <w:footnoteRef/>
      </w:r>
      <w:r>
        <w:t xml:space="preserve"> The Bangladesh Primary Education Annual Sector Performance Report (2017); </w:t>
      </w:r>
      <w:r>
        <w:rPr>
          <w:lang w:val="en-AU"/>
        </w:rPr>
        <w:t>Monitoring and Evaluation Division, Directorate of Primary Education, Ministry of Primary and Mass Education</w:t>
      </w:r>
      <w:r>
        <w:t>.</w:t>
      </w:r>
    </w:p>
  </w:footnote>
  <w:footnote w:id="24">
    <w:p w14:paraId="667D851B" w14:textId="7BD83EBA" w:rsidR="00A20FBD" w:rsidRPr="00A063B9" w:rsidRDefault="00A20FBD">
      <w:pPr>
        <w:pStyle w:val="FootnoteText"/>
        <w:rPr>
          <w:lang w:val="en-AU"/>
        </w:rPr>
      </w:pPr>
      <w:r>
        <w:rPr>
          <w:rStyle w:val="FootnoteReference"/>
        </w:rPr>
        <w:footnoteRef/>
      </w:r>
      <w:r>
        <w:t xml:space="preserve"> The Bangladesh Primary Education Annual Sector Performance Report (2017); </w:t>
      </w:r>
      <w:r>
        <w:rPr>
          <w:lang w:val="en-AU"/>
        </w:rPr>
        <w:t>Monitoring and Evaluation Division, Directorate of Primary Education, Ministry of Primary and Mass Education</w:t>
      </w:r>
      <w:r>
        <w:t>.</w:t>
      </w:r>
    </w:p>
  </w:footnote>
  <w:footnote w:id="25">
    <w:p w14:paraId="5475ED40" w14:textId="4B2796DD" w:rsidR="00A20FBD" w:rsidRPr="00815E6D" w:rsidRDefault="00A20FBD">
      <w:pPr>
        <w:pStyle w:val="FootnoteText"/>
        <w:rPr>
          <w:lang w:val="en-AU"/>
        </w:rPr>
      </w:pPr>
      <w:r>
        <w:rPr>
          <w:rStyle w:val="FootnoteReference"/>
        </w:rPr>
        <w:footnoteRef/>
      </w:r>
      <w:r>
        <w:t xml:space="preserve"> </w:t>
      </w:r>
      <w:r>
        <w:rPr>
          <w:lang w:val="en-AU"/>
        </w:rPr>
        <w:t xml:space="preserve">National Student Assessment 2015 for grade 3 and grade 5, released in 2016. </w:t>
      </w:r>
    </w:p>
  </w:footnote>
  <w:footnote w:id="26">
    <w:p w14:paraId="7868446E" w14:textId="77777777" w:rsidR="00A20FBD" w:rsidRPr="001678D8" w:rsidRDefault="00A20FBD">
      <w:pPr>
        <w:pStyle w:val="FootnoteText"/>
        <w:rPr>
          <w:lang w:val="en-AU"/>
        </w:rPr>
      </w:pPr>
      <w:r>
        <w:rPr>
          <w:rStyle w:val="FootnoteReference"/>
        </w:rPr>
        <w:footnoteRef/>
      </w:r>
      <w:r>
        <w:t xml:space="preserve"> The Performance Benchmark reported in the Bangladesh Aid Program Performance Report 2015-16 was updated from 293,200t to 470,075 to align with the AIP Performance Assessment Framework target.  </w:t>
      </w:r>
    </w:p>
  </w:footnote>
  <w:footnote w:id="27">
    <w:p w14:paraId="5AB7037A" w14:textId="597F431A" w:rsidR="00A20FBD" w:rsidRPr="00B4365A" w:rsidRDefault="00A20FBD" w:rsidP="00A93765">
      <w:pPr>
        <w:pStyle w:val="FootnoteText"/>
        <w:rPr>
          <w:lang w:val="en-AU"/>
        </w:rPr>
      </w:pPr>
      <w:r>
        <w:rPr>
          <w:rStyle w:val="FootnoteReference"/>
        </w:rPr>
        <w:footnoteRef/>
      </w:r>
      <w:r>
        <w:t xml:space="preserve"> </w:t>
      </w:r>
      <w:r w:rsidRPr="00B4365A">
        <w:t>SPA Results for 2016 (Thematic)</w:t>
      </w:r>
      <w:r>
        <w:t xml:space="preserve">; </w:t>
      </w:r>
      <w:r>
        <w:rPr>
          <w:lang w:val="en-AU"/>
        </w:rPr>
        <w:t>BRAC Program MIS Data</w:t>
      </w:r>
    </w:p>
  </w:footnote>
  <w:footnote w:id="28">
    <w:p w14:paraId="5316382E" w14:textId="13DB2DB9" w:rsidR="00A20FBD" w:rsidRPr="00B4365A" w:rsidRDefault="00A20FBD">
      <w:pPr>
        <w:pStyle w:val="FootnoteText"/>
        <w:rPr>
          <w:lang w:val="en-AU"/>
        </w:rPr>
      </w:pPr>
      <w:r>
        <w:rPr>
          <w:rStyle w:val="FootnoteReference"/>
        </w:rPr>
        <w:footnoteRef/>
      </w:r>
      <w:r>
        <w:t xml:space="preserve"> </w:t>
      </w:r>
      <w:r>
        <w:rPr>
          <w:lang w:val="en-AU"/>
        </w:rPr>
        <w:t xml:space="preserve">BRAC website; </w:t>
      </w:r>
      <w:r w:rsidRPr="00711CEA">
        <w:rPr>
          <w:lang w:val="en-AU"/>
        </w:rPr>
        <w:t>http://www.brac.net/disability-inclusion</w:t>
      </w:r>
      <w:r>
        <w:rPr>
          <w:lang w:val="en-AU"/>
        </w:rPr>
        <w:t>.</w:t>
      </w:r>
    </w:p>
  </w:footnote>
  <w:footnote w:id="29">
    <w:p w14:paraId="16761F3F" w14:textId="77777777" w:rsidR="00A20FBD" w:rsidRPr="00F52D21" w:rsidRDefault="00A20FBD">
      <w:pPr>
        <w:pStyle w:val="FootnoteText"/>
        <w:rPr>
          <w:lang w:val="en-AU"/>
        </w:rPr>
      </w:pPr>
      <w:r>
        <w:rPr>
          <w:rStyle w:val="FootnoteReference"/>
        </w:rPr>
        <w:footnoteRef/>
      </w:r>
      <w:r>
        <w:t xml:space="preserve"> </w:t>
      </w:r>
      <w:r>
        <w:rPr>
          <w:lang w:val="en-AU"/>
        </w:rPr>
        <w:t xml:space="preserve">The remaining 50 per cent of funding subject to meeting annual audit requirements. </w:t>
      </w:r>
    </w:p>
  </w:footnote>
  <w:footnote w:id="30">
    <w:p w14:paraId="4C9961E4" w14:textId="008D0F67" w:rsidR="00A20FBD" w:rsidRPr="00B4365A" w:rsidRDefault="00A20FBD">
      <w:pPr>
        <w:pStyle w:val="FootnoteText"/>
        <w:rPr>
          <w:lang w:val="en-AU"/>
        </w:rPr>
      </w:pPr>
      <w:r w:rsidRPr="00B4365A">
        <w:rPr>
          <w:rStyle w:val="FootnoteReference"/>
        </w:rPr>
        <w:footnoteRef/>
      </w:r>
      <w:r w:rsidRPr="00B4365A">
        <w:t xml:space="preserve"> </w:t>
      </w:r>
      <w:r>
        <w:t xml:space="preserve">UNICEF Annual Report 2016. Australia provided Technical Assistance to UNICEF for PEDP3 implementation till June 2017. </w:t>
      </w:r>
    </w:p>
  </w:footnote>
  <w:footnote w:id="31">
    <w:p w14:paraId="334D55E6" w14:textId="0EEF05BA" w:rsidR="00A20FBD" w:rsidRPr="006A3DCD" w:rsidRDefault="00A20FBD" w:rsidP="005D26F0">
      <w:pPr>
        <w:pStyle w:val="FootnoteText"/>
        <w:rPr>
          <w:lang w:val="en-AU"/>
        </w:rPr>
      </w:pPr>
      <w:r w:rsidRPr="00B4365A">
        <w:rPr>
          <w:rStyle w:val="FootnoteReference"/>
        </w:rPr>
        <w:footnoteRef/>
      </w:r>
      <w:r w:rsidRPr="00B4365A">
        <w:t xml:space="preserve"> </w:t>
      </w:r>
      <w:r>
        <w:t>World Bank Externally Funded Output (EFO) Completion Report 2016. Australia provided Technical Assistance to World Bank for PEDP3 implementation up until April 2017.</w:t>
      </w:r>
    </w:p>
  </w:footnote>
  <w:footnote w:id="32">
    <w:p w14:paraId="38E52BE0" w14:textId="77777777" w:rsidR="00A20FBD" w:rsidRPr="00661680" w:rsidRDefault="00A20FBD">
      <w:pPr>
        <w:pStyle w:val="FootnoteText"/>
        <w:rPr>
          <w:lang w:val="en-AU"/>
        </w:rPr>
      </w:pPr>
      <w:r>
        <w:rPr>
          <w:rStyle w:val="FootnoteReference"/>
        </w:rPr>
        <w:footnoteRef/>
      </w:r>
      <w:r>
        <w:t xml:space="preserve"> </w:t>
      </w:r>
      <w:r>
        <w:rPr>
          <w:lang w:val="en-AU"/>
        </w:rPr>
        <w:t xml:space="preserve">Australia’s funding to the Annual Sector Performance Report contributed to providing robust sectoral data. </w:t>
      </w:r>
    </w:p>
  </w:footnote>
  <w:footnote w:id="33">
    <w:p w14:paraId="4AD1099D" w14:textId="0E7DE614" w:rsidR="00A20FBD" w:rsidRPr="00223A7A" w:rsidRDefault="00A20FBD">
      <w:pPr>
        <w:pStyle w:val="FootnoteText"/>
        <w:rPr>
          <w:lang w:val="en-AU"/>
        </w:rPr>
      </w:pPr>
      <w:r>
        <w:rPr>
          <w:rStyle w:val="FootnoteReference"/>
        </w:rPr>
        <w:footnoteRef/>
      </w:r>
      <w:r>
        <w:t xml:space="preserve"> 2016 SGSP Annual Review – Summary Sheet, the review was led by DFAT’s Social Protection Hub..  </w:t>
      </w:r>
    </w:p>
  </w:footnote>
  <w:footnote w:id="34">
    <w:p w14:paraId="2855DDEF" w14:textId="75580B32" w:rsidR="00A20FBD" w:rsidRPr="00281C37" w:rsidRDefault="00A20FBD" w:rsidP="00281C37">
      <w:pPr>
        <w:pStyle w:val="FootnoteText"/>
        <w:rPr>
          <w:lang w:val="en-AU"/>
        </w:rPr>
      </w:pPr>
      <w:r>
        <w:rPr>
          <w:rStyle w:val="FootnoteReference"/>
        </w:rPr>
        <w:footnoteRef/>
      </w:r>
      <w:r>
        <w:t xml:space="preserve"> Annual Narrative Report (2016), </w:t>
      </w:r>
      <w:r w:rsidRPr="00281C37">
        <w:t>WFP’s Enhancing Food Security and Nutrition (EFSN) Programme, C</w:t>
      </w:r>
      <w:r>
        <w:t>ox’s Bazar district, Bangladesh.</w:t>
      </w:r>
    </w:p>
  </w:footnote>
  <w:footnote w:id="35">
    <w:p w14:paraId="771CFED4" w14:textId="71BBC657" w:rsidR="00A20FBD" w:rsidRPr="0001263D" w:rsidRDefault="00A20FBD" w:rsidP="0042437D">
      <w:pPr>
        <w:pStyle w:val="FootnoteText"/>
        <w:rPr>
          <w:lang w:val="en-AU"/>
        </w:rPr>
      </w:pPr>
      <w:r>
        <w:rPr>
          <w:rStyle w:val="FootnoteReference"/>
        </w:rPr>
        <w:footnoteRef/>
      </w:r>
      <w:r>
        <w:t xml:space="preserve"> </w:t>
      </w:r>
      <w:r>
        <w:rPr>
          <w:lang w:val="en-AU"/>
        </w:rPr>
        <w:t>Standard Project Report (2016), Assistance to Refugees from Myanmar; World Food Programme in Bangladesh.</w:t>
      </w:r>
    </w:p>
  </w:footnote>
  <w:footnote w:id="36">
    <w:p w14:paraId="474C28BF" w14:textId="3AE01CBB" w:rsidR="00A20FBD" w:rsidRPr="0088773E" w:rsidRDefault="00A20FBD" w:rsidP="0088773E">
      <w:pPr>
        <w:pStyle w:val="FootnoteText"/>
        <w:rPr>
          <w:b/>
          <w:bCs/>
          <w:lang w:val="en-AU"/>
        </w:rPr>
      </w:pPr>
      <w:r w:rsidRPr="00B4365A">
        <w:rPr>
          <w:rStyle w:val="FootnoteReference"/>
        </w:rPr>
        <w:footnoteRef/>
      </w:r>
      <w:r>
        <w:t xml:space="preserve"> </w:t>
      </w:r>
      <w:r>
        <w:rPr>
          <w:lang w:val="en-AU"/>
        </w:rPr>
        <w:t>ACF SMART survey (</w:t>
      </w:r>
      <w:r w:rsidRPr="0088773E">
        <w:rPr>
          <w:lang w:val="en-AU"/>
        </w:rPr>
        <w:t>February 2017</w:t>
      </w:r>
      <w:r>
        <w:rPr>
          <w:lang w:val="en-AU"/>
        </w:rPr>
        <w:t>).</w:t>
      </w:r>
    </w:p>
    <w:p w14:paraId="25730BA6" w14:textId="29C4684B" w:rsidR="00A20FBD" w:rsidRPr="00B4365A" w:rsidRDefault="00A20FBD">
      <w:pPr>
        <w:pStyle w:val="FootnoteText"/>
        <w:rPr>
          <w:lang w:val="en-AU"/>
        </w:rPr>
      </w:pPr>
    </w:p>
  </w:footnote>
  <w:footnote w:id="37">
    <w:p w14:paraId="7EC42DE6" w14:textId="49F033B0" w:rsidR="00A20FBD" w:rsidRPr="00026AE0" w:rsidRDefault="00A20FBD">
      <w:pPr>
        <w:pStyle w:val="FootnoteText"/>
        <w:rPr>
          <w:lang w:val="en-AU"/>
        </w:rPr>
      </w:pPr>
      <w:r>
        <w:rPr>
          <w:rStyle w:val="FootnoteReference"/>
        </w:rPr>
        <w:footnoteRef/>
      </w:r>
      <w:r>
        <w:t xml:space="preserve"> </w:t>
      </w:r>
      <w:r w:rsidRPr="0071415F">
        <w:t>Annual Narrative Report (2016), WFP’s Enhancing Food Security and Nutrition (EFSN) Programme, Cox’s Bazar district, Bangladesh.</w:t>
      </w:r>
    </w:p>
  </w:footnote>
  <w:footnote w:id="38">
    <w:p w14:paraId="4992B6AC" w14:textId="3C822BC8" w:rsidR="00A20FBD" w:rsidRPr="00362799" w:rsidRDefault="00A20FBD">
      <w:pPr>
        <w:pStyle w:val="FootnoteText"/>
        <w:rPr>
          <w:lang w:val="en-AU"/>
        </w:rPr>
      </w:pPr>
      <w:r w:rsidRPr="00B4365A">
        <w:rPr>
          <w:rStyle w:val="FootnoteReference"/>
        </w:rPr>
        <w:footnoteRef/>
      </w:r>
      <w:r>
        <w:t xml:space="preserve"> </w:t>
      </w:r>
      <w:r w:rsidRPr="0071415F">
        <w:t>Annual Narrative Report (2016), WFP’s Enhancing Food Security and Nutrition (EFSN) Programme, Cox’s Bazar district, Bangladesh.</w:t>
      </w:r>
    </w:p>
  </w:footnote>
  <w:footnote w:id="39">
    <w:p w14:paraId="12F8D1B9" w14:textId="0E0B4FD8" w:rsidR="00A20FBD" w:rsidRPr="00B4365A" w:rsidRDefault="00A20FBD" w:rsidP="001B3D80">
      <w:pPr>
        <w:pStyle w:val="FootnoteText"/>
        <w:rPr>
          <w:lang w:val="en-AU"/>
        </w:rPr>
      </w:pPr>
      <w:r>
        <w:rPr>
          <w:rStyle w:val="FootnoteReference"/>
        </w:rPr>
        <w:footnoteRef/>
      </w:r>
      <w:r>
        <w:t xml:space="preserve"> </w:t>
      </w:r>
      <w:r>
        <w:rPr>
          <w:lang w:val="en-AU"/>
        </w:rPr>
        <w:t>SPA Results for 2016 (Thematic); BRAC Program MIS Data</w:t>
      </w:r>
    </w:p>
  </w:footnote>
  <w:footnote w:id="40">
    <w:p w14:paraId="6E9258C8" w14:textId="7F0DCCCE" w:rsidR="00A20FBD" w:rsidRPr="00B4365A" w:rsidRDefault="00A20FBD">
      <w:pPr>
        <w:pStyle w:val="FootnoteText"/>
        <w:rPr>
          <w:lang w:val="en-AU"/>
        </w:rPr>
      </w:pPr>
      <w:r>
        <w:rPr>
          <w:rStyle w:val="FootnoteReference"/>
        </w:rPr>
        <w:footnoteRef/>
      </w:r>
      <w:r>
        <w:t xml:space="preserve"> Annual Report (2016), </w:t>
      </w:r>
      <w:r>
        <w:rPr>
          <w:lang w:val="en-AU"/>
        </w:rPr>
        <w:t>BRAC CFPR-TUP.</w:t>
      </w:r>
    </w:p>
  </w:footnote>
  <w:footnote w:id="41">
    <w:p w14:paraId="7F64E1CB" w14:textId="25AA78A3" w:rsidR="00A20FBD" w:rsidRPr="00B4365A" w:rsidRDefault="00A20FBD">
      <w:pPr>
        <w:pStyle w:val="FootnoteText"/>
        <w:rPr>
          <w:lang w:val="en-AU"/>
        </w:rPr>
      </w:pPr>
      <w:r>
        <w:rPr>
          <w:rStyle w:val="FootnoteReference"/>
        </w:rPr>
        <w:footnoteRef/>
      </w:r>
      <w:r>
        <w:t xml:space="preserve">  </w:t>
      </w:r>
      <w:r>
        <w:rPr>
          <w:lang w:val="en-AU"/>
        </w:rPr>
        <w:t xml:space="preserve">SPA Results for 2016 (Thematic);  BRAC Program MIS Data </w:t>
      </w:r>
    </w:p>
  </w:footnote>
  <w:footnote w:id="42">
    <w:p w14:paraId="4F21712F" w14:textId="20FEF28B" w:rsidR="00A20FBD" w:rsidRPr="00122872" w:rsidRDefault="00A20FBD">
      <w:pPr>
        <w:pStyle w:val="FootnoteText"/>
        <w:rPr>
          <w:lang w:val="en-AU"/>
        </w:rPr>
      </w:pPr>
      <w:r>
        <w:rPr>
          <w:rStyle w:val="FootnoteReference"/>
        </w:rPr>
        <w:footnoteRef/>
      </w:r>
      <w:r>
        <w:t xml:space="preserve"> Announced in 2016 by the </w:t>
      </w:r>
      <w:r>
        <w:rPr>
          <w:lang w:val="en-AU"/>
        </w:rPr>
        <w:t>Department of Primary Education, Ministry of Primary and Mass Education.</w:t>
      </w:r>
    </w:p>
  </w:footnote>
  <w:footnote w:id="43">
    <w:p w14:paraId="5C3733BD" w14:textId="0D093C75" w:rsidR="00A20FBD" w:rsidRPr="00B4365A" w:rsidRDefault="00A20FBD">
      <w:pPr>
        <w:pStyle w:val="FootnoteText"/>
        <w:rPr>
          <w:lang w:val="en-AU"/>
        </w:rPr>
      </w:pPr>
      <w:r>
        <w:rPr>
          <w:rStyle w:val="FootnoteReference"/>
        </w:rPr>
        <w:footnoteRef/>
      </w:r>
      <w:r>
        <w:t xml:space="preserve"> Record of Conversation (May 2017); </w:t>
      </w:r>
      <w:r>
        <w:rPr>
          <w:lang w:val="en-AU"/>
        </w:rPr>
        <w:t xml:space="preserve">PEDP3 Joint Consultative Meeting. </w:t>
      </w:r>
    </w:p>
  </w:footnote>
  <w:footnote w:id="44">
    <w:p w14:paraId="4A4A8ACB" w14:textId="77777777" w:rsidR="00A20FBD" w:rsidRPr="00B53E1E" w:rsidRDefault="00A20FBD">
      <w:pPr>
        <w:pStyle w:val="FootnoteText"/>
        <w:rPr>
          <w:lang w:val="en-AU"/>
        </w:rPr>
      </w:pPr>
      <w:r>
        <w:rPr>
          <w:rStyle w:val="FootnoteReference"/>
        </w:rPr>
        <w:footnoteRef/>
      </w:r>
      <w:r>
        <w:t xml:space="preserve"> </w:t>
      </w:r>
      <w:r>
        <w:rPr>
          <w:lang w:val="en-AU"/>
        </w:rPr>
        <w:t>The Independent Comprehensive Due Diligence Assessment of WFP Bangladesh (December 2016) found that WFP had significantly increased its focus on value-for money.</w:t>
      </w:r>
    </w:p>
  </w:footnote>
  <w:footnote w:id="45">
    <w:p w14:paraId="28BB6770" w14:textId="60F2AA6F" w:rsidR="00A20FBD" w:rsidRPr="00B4365A" w:rsidRDefault="00A20FBD" w:rsidP="00DF5A40">
      <w:pPr>
        <w:pStyle w:val="FootnoteText"/>
        <w:rPr>
          <w:lang w:val="en-AU"/>
        </w:rPr>
      </w:pPr>
      <w:r>
        <w:rPr>
          <w:rStyle w:val="FootnoteReference"/>
        </w:rPr>
        <w:footnoteRef/>
      </w:r>
      <w:r>
        <w:t xml:space="preserve"> </w:t>
      </w:r>
      <w:r>
        <w:rPr>
          <w:lang w:val="en-AU"/>
        </w:rPr>
        <w:t>The National Policy on Development Cooperation, drafted by the Government of Bangladesh in 2016 aims to provide a coherent policy framework for the mobilisation and effective utilisation of foreign development assistance. It is currently being finalised.</w:t>
      </w:r>
    </w:p>
  </w:footnote>
  <w:footnote w:id="46">
    <w:p w14:paraId="387BF76C" w14:textId="09A04B9D" w:rsidR="00A20FBD" w:rsidRPr="00375B0D" w:rsidRDefault="00A20FBD" w:rsidP="00375B0D">
      <w:pPr>
        <w:pStyle w:val="FootnoteText"/>
        <w:rPr>
          <w:lang w:val="en-AU"/>
        </w:rPr>
      </w:pPr>
      <w:r>
        <w:rPr>
          <w:rStyle w:val="FootnoteReference"/>
        </w:rPr>
        <w:footnoteRef/>
      </w:r>
      <w:r>
        <w:t xml:space="preserve"> </w:t>
      </w:r>
      <w:r>
        <w:rPr>
          <w:lang w:val="en-AU"/>
        </w:rPr>
        <w:t xml:space="preserve">CLP2 Final Evaluation Report (2016); </w:t>
      </w:r>
      <w:hyperlink r:id="rId3" w:history="1">
        <w:r w:rsidRPr="00375B0D">
          <w:rPr>
            <w:lang w:val="en-AU"/>
          </w:rPr>
          <w:t>https://devtracker.dfid.gov.uk/projects/GB-1-114175/documents/</w:t>
        </w:r>
      </w:hyperlink>
      <w:r>
        <w:rPr>
          <w:lang w:val="en-AU"/>
        </w:rPr>
        <w:t>.</w:t>
      </w:r>
    </w:p>
  </w:footnote>
  <w:footnote w:id="47">
    <w:p w14:paraId="453FF818" w14:textId="4DF54C1D" w:rsidR="00A20FBD" w:rsidRPr="00375B0D" w:rsidRDefault="00A20FBD">
      <w:pPr>
        <w:pStyle w:val="FootnoteText"/>
        <w:rPr>
          <w:lang w:val="en-AU"/>
        </w:rPr>
      </w:pPr>
      <w:r>
        <w:rPr>
          <w:rStyle w:val="FootnoteReference"/>
        </w:rPr>
        <w:footnoteRef/>
      </w:r>
      <w:r>
        <w:t xml:space="preserve"> </w:t>
      </w:r>
      <w:r w:rsidRPr="00375B0D">
        <w:t>Annual Narrative Report (2016), WFP’s Enhancing Food Security and Nutrition (EFSN) Programme, Cox’s Bazar district, Bangladesh.</w:t>
      </w:r>
    </w:p>
  </w:footnote>
  <w:footnote w:id="48">
    <w:p w14:paraId="38A4B33F" w14:textId="59465B7E" w:rsidR="00A20FBD" w:rsidRPr="00D13811" w:rsidRDefault="00A20FBD" w:rsidP="00D5418E">
      <w:pPr>
        <w:pStyle w:val="FootnoteText"/>
        <w:rPr>
          <w:lang w:val="en-AU"/>
        </w:rPr>
      </w:pPr>
      <w:r>
        <w:rPr>
          <w:rStyle w:val="FootnoteReference"/>
        </w:rPr>
        <w:footnoteRef/>
      </w:r>
      <w:r>
        <w:t xml:space="preserve"> UNICEF Annual Report (2016). Australia provided Technical Assistance to UNICEF for PEDP3 implementation up until June 2017.</w:t>
      </w:r>
    </w:p>
  </w:footnote>
  <w:footnote w:id="49">
    <w:p w14:paraId="6CCCD11F" w14:textId="77777777" w:rsidR="00A20FBD" w:rsidRPr="006312FC" w:rsidRDefault="00A20FBD">
      <w:pPr>
        <w:pStyle w:val="FootnoteText"/>
        <w:rPr>
          <w:lang w:val="en-AU"/>
        </w:rPr>
      </w:pPr>
      <w:r>
        <w:rPr>
          <w:rStyle w:val="FootnoteReference"/>
        </w:rPr>
        <w:footnoteRef/>
      </w:r>
      <w:r>
        <w:t xml:space="preserve"> Independent Comprehensive Due Diligence Assessment of WFP (December 2016), undertaken by DFAT. </w:t>
      </w:r>
    </w:p>
  </w:footnote>
  <w:footnote w:id="50">
    <w:p w14:paraId="087F8B6D" w14:textId="2EB2DC89" w:rsidR="00A20FBD" w:rsidRPr="00E44C34" w:rsidRDefault="00A20FBD" w:rsidP="00E44C34">
      <w:pPr>
        <w:pStyle w:val="FootnoteText"/>
        <w:rPr>
          <w:lang w:val="en-AU"/>
        </w:rPr>
      </w:pPr>
      <w:r>
        <w:rPr>
          <w:rStyle w:val="FootnoteReference"/>
        </w:rPr>
        <w:footnoteRef/>
      </w:r>
      <w:r>
        <w:t xml:space="preserve"> </w:t>
      </w:r>
      <w:r w:rsidRPr="00E44C34">
        <w:t xml:space="preserve"> </w:t>
      </w:r>
      <w:r w:rsidRPr="00E44C34">
        <w:rPr>
          <w:lang w:val="en-AU"/>
        </w:rPr>
        <w:t>https://mof.gov.bd/en/budget/16_17/safety_net/Safety%20net_English_16-17.pdf</w:t>
      </w:r>
      <w:r>
        <w:rPr>
          <w:lang w:val="en-AU"/>
        </w:rPr>
        <w:t>.</w:t>
      </w:r>
    </w:p>
  </w:footnote>
  <w:footnote w:id="51">
    <w:p w14:paraId="20147D23" w14:textId="7B5F6895" w:rsidR="00A20FBD" w:rsidRPr="00D93A67" w:rsidRDefault="00A20FBD">
      <w:pPr>
        <w:pStyle w:val="FootnoteText"/>
        <w:rPr>
          <w:lang w:val="en-AU"/>
        </w:rPr>
      </w:pPr>
      <w:r>
        <w:rPr>
          <w:rStyle w:val="FootnoteReference"/>
        </w:rPr>
        <w:footnoteRef/>
      </w:r>
      <w:r>
        <w:t xml:space="preserve"> </w:t>
      </w:r>
      <w:r w:rsidRPr="00EE2420">
        <w:rPr>
          <w:lang w:val="en-AU"/>
        </w:rPr>
        <w:t>Standard Project Report (2016), Assistance to Refugees from Myanmar; World Food Programme in Bangladesh.</w:t>
      </w:r>
    </w:p>
  </w:footnote>
  <w:footnote w:id="52">
    <w:p w14:paraId="4D116575" w14:textId="340141B2" w:rsidR="00A20FBD" w:rsidRPr="00462827" w:rsidRDefault="00A20FBD" w:rsidP="00462827">
      <w:pPr>
        <w:pStyle w:val="FootnoteText"/>
        <w:rPr>
          <w:lang w:val="en-AU"/>
        </w:rPr>
      </w:pPr>
      <w:r>
        <w:rPr>
          <w:rStyle w:val="FootnoteReference"/>
        </w:rPr>
        <w:footnoteRef/>
      </w:r>
      <w:r>
        <w:t xml:space="preserve"> </w:t>
      </w:r>
      <w:r w:rsidRPr="00EE2420">
        <w:rPr>
          <w:lang w:val="en-AU"/>
        </w:rPr>
        <w:t>Standard Project Report (2016), Assistance to Refugees from Myanmar; World Food Programme in Bangladesh.</w:t>
      </w:r>
    </w:p>
  </w:footnote>
  <w:footnote w:id="53">
    <w:p w14:paraId="2F6E06C2" w14:textId="49100583" w:rsidR="00A20FBD" w:rsidRPr="000A3328" w:rsidRDefault="00A20FBD" w:rsidP="000A3328">
      <w:pPr>
        <w:pStyle w:val="FootnoteText"/>
        <w:rPr>
          <w:lang w:val="en-AU"/>
        </w:rPr>
      </w:pPr>
      <w:r>
        <w:rPr>
          <w:rStyle w:val="FootnoteReference"/>
        </w:rPr>
        <w:footnoteRef/>
      </w:r>
      <w:r>
        <w:t xml:space="preserve"> </w:t>
      </w:r>
      <w:r w:rsidRPr="000A3328">
        <w:rPr>
          <w:lang w:val="en-AU"/>
        </w:rPr>
        <w:t xml:space="preserve">The Performance Benchmark was revised in 2016-17. The Bangladesh APPR 2015-16 reported a target of 65 per cent, which is a reporting error. The correct target is 50 per cent. This revised figure aligns with the targets set out in the </w:t>
      </w:r>
      <w:r w:rsidRPr="000A3328">
        <w:rPr>
          <w:i/>
          <w:lang w:val="en-AU"/>
        </w:rPr>
        <w:t>PEDP3 Results Framework</w:t>
      </w:r>
      <w:r w:rsidRPr="000A3328">
        <w:rPr>
          <w:lang w:val="en-AU"/>
        </w:rPr>
        <w:t xml:space="preserve"> between t</w:t>
      </w:r>
      <w:r>
        <w:rPr>
          <w:lang w:val="en-AU"/>
        </w:rPr>
        <w:t xml:space="preserve">he Bangladesh and </w:t>
      </w:r>
      <w:r w:rsidRPr="000A3328">
        <w:rPr>
          <w:lang w:val="en-AU"/>
        </w:rPr>
        <w:t>Australia (and 9 other donors), agreed to in December 2014</w:t>
      </w:r>
    </w:p>
    <w:p w14:paraId="2B05FE5E" w14:textId="77777777" w:rsidR="00A20FBD" w:rsidRPr="00C46591" w:rsidRDefault="00A20FBD">
      <w:pPr>
        <w:pStyle w:val="FootnoteText"/>
        <w:rPr>
          <w:lang w:val="en-AU"/>
        </w:rPr>
      </w:pPr>
    </w:p>
  </w:footnote>
  <w:footnote w:id="54">
    <w:p w14:paraId="7EE28211" w14:textId="5AECDB4D" w:rsidR="00A20FBD" w:rsidRPr="00B4365A" w:rsidRDefault="00A20FBD">
      <w:pPr>
        <w:pStyle w:val="FootnoteText"/>
        <w:rPr>
          <w:lang w:val="en-AU"/>
        </w:rPr>
      </w:pPr>
      <w:r>
        <w:rPr>
          <w:rStyle w:val="FootnoteReference"/>
        </w:rPr>
        <w:footnoteRef/>
      </w:r>
      <w:r>
        <w:t xml:space="preserve"> </w:t>
      </w:r>
      <w:r>
        <w:rPr>
          <w:lang w:val="en-AU"/>
        </w:rPr>
        <w:t>TBA after PAF review in 2017-18 as per Management Response. New PAF to be finalised by March 2018.</w:t>
      </w:r>
    </w:p>
  </w:footnote>
  <w:footnote w:id="55">
    <w:p w14:paraId="7DFB9708" w14:textId="38BDF12C" w:rsidR="00A20FBD" w:rsidRPr="00026AE0" w:rsidRDefault="00A20FBD">
      <w:pPr>
        <w:pStyle w:val="FootnoteText"/>
        <w:rPr>
          <w:lang w:val="en-AU"/>
        </w:rPr>
      </w:pPr>
      <w:r>
        <w:rPr>
          <w:rStyle w:val="FootnoteReference"/>
        </w:rPr>
        <w:footnoteRef/>
      </w:r>
      <w:r>
        <w:t xml:space="preserve"> With a no-cost extension approved in April 2017, p</w:t>
      </w:r>
      <w:r>
        <w:rPr>
          <w:lang w:val="en-AU"/>
        </w:rPr>
        <w:t xml:space="preserve">program is scheduled to end in June 2018 </w:t>
      </w:r>
    </w:p>
  </w:footnote>
  <w:footnote w:id="56">
    <w:p w14:paraId="29E3BA41" w14:textId="6DDDB4A9" w:rsidR="00A20FBD" w:rsidRPr="00B4365A" w:rsidRDefault="00A20FBD">
      <w:pPr>
        <w:pStyle w:val="FootnoteText"/>
        <w:rPr>
          <w:lang w:val="en-AU"/>
        </w:rPr>
      </w:pPr>
      <w:r>
        <w:rPr>
          <w:rStyle w:val="FootnoteReference"/>
        </w:rPr>
        <w:footnoteRef/>
      </w:r>
      <w:r>
        <w:t xml:space="preserve"> </w:t>
      </w:r>
      <w:r>
        <w:rPr>
          <w:lang w:val="en-AU"/>
        </w:rPr>
        <w:t>Revised after a no-cost extension in April 2017</w:t>
      </w:r>
    </w:p>
  </w:footnote>
  <w:footnote w:id="57">
    <w:p w14:paraId="20B43E81" w14:textId="77777777" w:rsidR="00A20FBD" w:rsidRPr="00B4365A" w:rsidRDefault="00A20FBD">
      <w:pPr>
        <w:pStyle w:val="FootnoteText"/>
        <w:rPr>
          <w:lang w:val="en-AU"/>
        </w:rPr>
      </w:pPr>
      <w:r>
        <w:rPr>
          <w:rStyle w:val="FootnoteReference"/>
        </w:rPr>
        <w:footnoteRef/>
      </w:r>
      <w:r>
        <w:t xml:space="preserve"> </w:t>
      </w:r>
      <w:r>
        <w:rPr>
          <w:lang w:val="en-AU"/>
        </w:rPr>
        <w:t>This program target was adjusted from 293,200 to align with BRAC program targets.</w:t>
      </w:r>
    </w:p>
  </w:footnote>
  <w:footnote w:id="58">
    <w:p w14:paraId="3CC20BB4" w14:textId="77777777" w:rsidR="00A20FBD" w:rsidRPr="00B4365A" w:rsidRDefault="00A20FBD">
      <w:pPr>
        <w:pStyle w:val="FootnoteText"/>
        <w:rPr>
          <w:lang w:val="en-AU"/>
        </w:rPr>
      </w:pPr>
      <w:r>
        <w:rPr>
          <w:rStyle w:val="FootnoteReference"/>
        </w:rPr>
        <w:footnoteRef/>
      </w:r>
      <w:r>
        <w:t xml:space="preserve"> </w:t>
      </w:r>
      <w:r>
        <w:rPr>
          <w:lang w:val="en-AU"/>
        </w:rPr>
        <w:t>TBA after PAF review in 2017-18 as per Management Response</w:t>
      </w:r>
    </w:p>
  </w:footnote>
  <w:footnote w:id="59">
    <w:p w14:paraId="074499C5" w14:textId="77777777" w:rsidR="00A20FBD" w:rsidRPr="00026AE0" w:rsidRDefault="00A20FBD">
      <w:pPr>
        <w:pStyle w:val="FootnoteText"/>
        <w:rPr>
          <w:lang w:val="en-AU"/>
        </w:rPr>
      </w:pPr>
      <w:r>
        <w:rPr>
          <w:rStyle w:val="FootnoteReference"/>
        </w:rPr>
        <w:footnoteRef/>
      </w:r>
      <w:r>
        <w:t xml:space="preserve"> </w:t>
      </w:r>
      <w:r>
        <w:rPr>
          <w:lang w:val="en-AU"/>
        </w:rPr>
        <w:t>Revised after a no-cost extension in April 2017.</w:t>
      </w:r>
    </w:p>
  </w:footnote>
  <w:footnote w:id="60">
    <w:p w14:paraId="2D0158AB" w14:textId="77777777" w:rsidR="00A20FBD" w:rsidRPr="00026AE0" w:rsidRDefault="00A20FBD" w:rsidP="00DF209F">
      <w:pPr>
        <w:pStyle w:val="FootnoteText"/>
        <w:rPr>
          <w:lang w:val="en-AU"/>
        </w:rPr>
      </w:pPr>
      <w:r>
        <w:rPr>
          <w:rStyle w:val="FootnoteReference"/>
        </w:rPr>
        <w:footnoteRef/>
      </w:r>
      <w:r>
        <w:t xml:space="preserve"> </w:t>
      </w:r>
      <w:r>
        <w:rPr>
          <w:lang w:val="en-AU"/>
        </w:rPr>
        <w:t>Program targets 102,600 and 81,539 adjusted in 2016-17 to align with BRAC program targets.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B7927" w14:textId="77777777" w:rsidR="00F27D04" w:rsidRDefault="00F27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4031F" w14:textId="177AE55A" w:rsidR="00A20FBD" w:rsidRPr="00333501" w:rsidRDefault="00A20FBD" w:rsidP="008F56A8">
    <w:pPr>
      <w:pStyle w:val="Header"/>
      <w:jc w:val="left"/>
    </w:pPr>
    <w:r>
      <w:rPr>
        <w:noProof/>
        <w:lang w:val="en-AU" w:eastAsia="en-AU"/>
      </w:rPr>
      <w:drawing>
        <wp:anchor distT="0" distB="0" distL="114300" distR="114300" simplePos="0" relativeHeight="251655168" behindDoc="1" locked="1" layoutInCell="1" allowOverlap="1" wp14:anchorId="3CA40D45" wp14:editId="7C9DD73F">
          <wp:simplePos x="0" y="0"/>
          <wp:positionH relativeFrom="page">
            <wp:posOffset>7620</wp:posOffset>
          </wp:positionH>
          <wp:positionV relativeFrom="page">
            <wp:posOffset>55880</wp:posOffset>
          </wp:positionV>
          <wp:extent cx="7545705" cy="10702290"/>
          <wp:effectExtent l="0" t="0" r="0" b="38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1C53E" w14:textId="77777777" w:rsidR="00F27D04" w:rsidRDefault="00F27D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8E611" w14:textId="77777777" w:rsidR="00A20FBD" w:rsidRDefault="00A20F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5F029" w14:textId="77777777" w:rsidR="00A20FBD" w:rsidRPr="00333501" w:rsidRDefault="00A20FBD" w:rsidP="008F56A8">
    <w:pPr>
      <w:pStyle w:val="Header"/>
      <w:jc w:val="left"/>
    </w:pPr>
    <w:r>
      <w:rPr>
        <w:noProof/>
        <w:lang w:val="en-AU" w:eastAsia="en-AU"/>
      </w:rPr>
      <w:drawing>
        <wp:anchor distT="0" distB="0" distL="114300" distR="114300" simplePos="0" relativeHeight="251658240" behindDoc="1" locked="1" layoutInCell="1" allowOverlap="1" wp14:anchorId="4E577B28" wp14:editId="0D1C7D55">
          <wp:simplePos x="0" y="0"/>
          <wp:positionH relativeFrom="page">
            <wp:posOffset>160020</wp:posOffset>
          </wp:positionH>
          <wp:positionV relativeFrom="page">
            <wp:posOffset>160020</wp:posOffset>
          </wp:positionV>
          <wp:extent cx="10662285" cy="7545705"/>
          <wp:effectExtent l="0" t="0" r="5715" b="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8BA3C" w14:textId="77777777" w:rsidR="00A20FBD" w:rsidRPr="003D352D" w:rsidRDefault="00A20FBD" w:rsidP="003D352D">
    <w:pPr>
      <w:pStyle w:val="Header"/>
      <w:jc w:val="left"/>
    </w:pPr>
    <w:r>
      <w:rPr>
        <w:noProof/>
        <w:lang w:val="en-AU" w:eastAsia="en-AU"/>
      </w:rPr>
      <w:drawing>
        <wp:anchor distT="0" distB="0" distL="114300" distR="114300" simplePos="0" relativeHeight="251657216" behindDoc="1" locked="1" layoutInCell="1" allowOverlap="1" wp14:anchorId="1900EA84" wp14:editId="53318C1D">
          <wp:simplePos x="0" y="0"/>
          <wp:positionH relativeFrom="page">
            <wp:posOffset>7620</wp:posOffset>
          </wp:positionH>
          <wp:positionV relativeFrom="page">
            <wp:posOffset>7620</wp:posOffset>
          </wp:positionV>
          <wp:extent cx="10662285" cy="7545705"/>
          <wp:effectExtent l="0" t="0" r="5715"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541CB" w14:textId="77777777" w:rsidR="00A20FBD" w:rsidRPr="00333501" w:rsidRDefault="00A20FBD" w:rsidP="008F56A8">
    <w:pPr>
      <w:pStyle w:val="Header"/>
      <w:jc w:val="left"/>
    </w:pPr>
    <w:r>
      <w:rPr>
        <w:noProof/>
        <w:lang w:val="en-AU" w:eastAsia="en-AU"/>
      </w:rPr>
      <w:drawing>
        <wp:anchor distT="0" distB="0" distL="114300" distR="114300" simplePos="0" relativeHeight="251659264" behindDoc="1" locked="1" layoutInCell="1" allowOverlap="1" wp14:anchorId="57591580" wp14:editId="73E03EC3">
          <wp:simplePos x="0" y="0"/>
          <wp:positionH relativeFrom="page">
            <wp:posOffset>66675</wp:posOffset>
          </wp:positionH>
          <wp:positionV relativeFrom="page">
            <wp:posOffset>76200</wp:posOffset>
          </wp:positionV>
          <wp:extent cx="10610850" cy="742950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10850" cy="7429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D5D4D64"/>
    <w:multiLevelType w:val="hybridMultilevel"/>
    <w:tmpl w:val="58064A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3F5302"/>
    <w:multiLevelType w:val="hybridMultilevel"/>
    <w:tmpl w:val="718EE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C6A49D6"/>
    <w:multiLevelType w:val="hybridMultilevel"/>
    <w:tmpl w:val="D1AEB1F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4C64E9"/>
    <w:multiLevelType w:val="hybridMultilevel"/>
    <w:tmpl w:val="0BD8BB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922301D"/>
    <w:multiLevelType w:val="hybridMultilevel"/>
    <w:tmpl w:val="F3FA4F1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298B0654"/>
    <w:multiLevelType w:val="hybridMultilevel"/>
    <w:tmpl w:val="D04A612A"/>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354E2792"/>
    <w:multiLevelType w:val="hybridMultilevel"/>
    <w:tmpl w:val="9C8628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62E51FE"/>
    <w:multiLevelType w:val="hybridMultilevel"/>
    <w:tmpl w:val="891EC1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92163A8"/>
    <w:multiLevelType w:val="hybridMultilevel"/>
    <w:tmpl w:val="D64E1396"/>
    <w:lvl w:ilvl="0" w:tplc="0C09000F">
      <w:start w:val="1"/>
      <w:numFmt w:val="decimal"/>
      <w:lvlText w:val="%1."/>
      <w:lvlJc w:val="left"/>
      <w:pPr>
        <w:ind w:left="360" w:hanging="360"/>
      </w:pPr>
      <w:rPr>
        <w:rFonts w:eastAsia="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CB64CAA"/>
    <w:multiLevelType w:val="hybridMultilevel"/>
    <w:tmpl w:val="9B40817C"/>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63364CA"/>
    <w:multiLevelType w:val="hybridMultilevel"/>
    <w:tmpl w:val="C22ED8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D3C1EA7"/>
    <w:multiLevelType w:val="multilevel"/>
    <w:tmpl w:val="43428892"/>
    <w:numStyleLink w:val="BulletsList"/>
  </w:abstractNum>
  <w:abstractNum w:abstractNumId="1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637B2F91"/>
    <w:multiLevelType w:val="hybridMultilevel"/>
    <w:tmpl w:val="A8601E68"/>
    <w:lvl w:ilvl="0" w:tplc="0C09000F">
      <w:start w:val="1"/>
      <w:numFmt w:val="decimal"/>
      <w:lvlText w:val="%1."/>
      <w:lvlJc w:val="left"/>
      <w:pPr>
        <w:ind w:left="360" w:hanging="360"/>
      </w:pPr>
      <w:rPr>
        <w:rFonts w:eastAsia="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796C6F0C"/>
    <w:multiLevelType w:val="hybridMultilevel"/>
    <w:tmpl w:val="DFEA9D4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1" w15:restartNumberingAfterBreak="0">
    <w:nsid w:val="7F39096D"/>
    <w:multiLevelType w:val="hybridMultilevel"/>
    <w:tmpl w:val="9BEE75E0"/>
    <w:lvl w:ilvl="0" w:tplc="0C090001">
      <w:start w:val="1"/>
      <w:numFmt w:val="bullet"/>
      <w:lvlText w:val=""/>
      <w:lvlJc w:val="left"/>
      <w:pPr>
        <w:ind w:left="1430" w:hanging="360"/>
      </w:pPr>
      <w:rPr>
        <w:rFonts w:ascii="Symbol" w:hAnsi="Symbol" w:hint="default"/>
      </w:rPr>
    </w:lvl>
    <w:lvl w:ilvl="1" w:tplc="0C090003" w:tentative="1">
      <w:start w:val="1"/>
      <w:numFmt w:val="bullet"/>
      <w:lvlText w:val="o"/>
      <w:lvlJc w:val="left"/>
      <w:pPr>
        <w:ind w:left="2150" w:hanging="360"/>
      </w:pPr>
      <w:rPr>
        <w:rFonts w:ascii="Courier New" w:hAnsi="Courier New" w:cs="Courier New" w:hint="default"/>
      </w:rPr>
    </w:lvl>
    <w:lvl w:ilvl="2" w:tplc="0C090005" w:tentative="1">
      <w:start w:val="1"/>
      <w:numFmt w:val="bullet"/>
      <w:lvlText w:val=""/>
      <w:lvlJc w:val="left"/>
      <w:pPr>
        <w:ind w:left="2870" w:hanging="360"/>
      </w:pPr>
      <w:rPr>
        <w:rFonts w:ascii="Wingdings" w:hAnsi="Wingdings" w:hint="default"/>
      </w:rPr>
    </w:lvl>
    <w:lvl w:ilvl="3" w:tplc="0C090001" w:tentative="1">
      <w:start w:val="1"/>
      <w:numFmt w:val="bullet"/>
      <w:lvlText w:val=""/>
      <w:lvlJc w:val="left"/>
      <w:pPr>
        <w:ind w:left="3590" w:hanging="360"/>
      </w:pPr>
      <w:rPr>
        <w:rFonts w:ascii="Symbol" w:hAnsi="Symbol" w:hint="default"/>
      </w:rPr>
    </w:lvl>
    <w:lvl w:ilvl="4" w:tplc="0C090003" w:tentative="1">
      <w:start w:val="1"/>
      <w:numFmt w:val="bullet"/>
      <w:lvlText w:val="o"/>
      <w:lvlJc w:val="left"/>
      <w:pPr>
        <w:ind w:left="4310" w:hanging="360"/>
      </w:pPr>
      <w:rPr>
        <w:rFonts w:ascii="Courier New" w:hAnsi="Courier New" w:cs="Courier New" w:hint="default"/>
      </w:rPr>
    </w:lvl>
    <w:lvl w:ilvl="5" w:tplc="0C090005" w:tentative="1">
      <w:start w:val="1"/>
      <w:numFmt w:val="bullet"/>
      <w:lvlText w:val=""/>
      <w:lvlJc w:val="left"/>
      <w:pPr>
        <w:ind w:left="5030" w:hanging="360"/>
      </w:pPr>
      <w:rPr>
        <w:rFonts w:ascii="Wingdings" w:hAnsi="Wingdings" w:hint="default"/>
      </w:rPr>
    </w:lvl>
    <w:lvl w:ilvl="6" w:tplc="0C090001" w:tentative="1">
      <w:start w:val="1"/>
      <w:numFmt w:val="bullet"/>
      <w:lvlText w:val=""/>
      <w:lvlJc w:val="left"/>
      <w:pPr>
        <w:ind w:left="5750" w:hanging="360"/>
      </w:pPr>
      <w:rPr>
        <w:rFonts w:ascii="Symbol" w:hAnsi="Symbol" w:hint="default"/>
      </w:rPr>
    </w:lvl>
    <w:lvl w:ilvl="7" w:tplc="0C090003" w:tentative="1">
      <w:start w:val="1"/>
      <w:numFmt w:val="bullet"/>
      <w:lvlText w:val="o"/>
      <w:lvlJc w:val="left"/>
      <w:pPr>
        <w:ind w:left="6470" w:hanging="360"/>
      </w:pPr>
      <w:rPr>
        <w:rFonts w:ascii="Courier New" w:hAnsi="Courier New" w:cs="Courier New" w:hint="default"/>
      </w:rPr>
    </w:lvl>
    <w:lvl w:ilvl="8" w:tplc="0C090005" w:tentative="1">
      <w:start w:val="1"/>
      <w:numFmt w:val="bullet"/>
      <w:lvlText w:val=""/>
      <w:lvlJc w:val="left"/>
      <w:pPr>
        <w:ind w:left="7190" w:hanging="360"/>
      </w:pPr>
      <w:rPr>
        <w:rFonts w:ascii="Wingdings" w:hAnsi="Wingdings" w:hint="default"/>
      </w:rPr>
    </w:lvl>
  </w:abstractNum>
  <w:num w:numId="1">
    <w:abstractNumId w:val="19"/>
  </w:num>
  <w:num w:numId="2">
    <w:abstractNumId w:val="0"/>
  </w:num>
  <w:num w:numId="3">
    <w:abstractNumId w:val="8"/>
  </w:num>
  <w:num w:numId="4">
    <w:abstractNumId w:val="15"/>
  </w:num>
  <w:num w:numId="5">
    <w:abstractNumId w:val="17"/>
  </w:num>
  <w:num w:numId="6">
    <w:abstractNumId w:val="8"/>
  </w:num>
  <w:num w:numId="7">
    <w:abstractNumId w:val="16"/>
  </w:num>
  <w:num w:numId="8">
    <w:abstractNumId w:val="0"/>
  </w:num>
  <w:num w:numId="9">
    <w:abstractNumId w:val="14"/>
  </w:num>
  <w:num w:numId="10">
    <w:abstractNumId w:val="3"/>
  </w:num>
  <w:num w:numId="11">
    <w:abstractNumId w:val="11"/>
  </w:num>
  <w:num w:numId="12">
    <w:abstractNumId w:val="18"/>
  </w:num>
  <w:num w:numId="13">
    <w:abstractNumId w:val="10"/>
  </w:num>
  <w:num w:numId="14">
    <w:abstractNumId w:val="4"/>
  </w:num>
  <w:num w:numId="15">
    <w:abstractNumId w:val="7"/>
  </w:num>
  <w:num w:numId="16">
    <w:abstractNumId w:val="12"/>
  </w:num>
  <w:num w:numId="17">
    <w:abstractNumId w:val="9"/>
  </w:num>
  <w:num w:numId="18">
    <w:abstractNumId w:val="1"/>
  </w:num>
  <w:num w:numId="19">
    <w:abstractNumId w:val="6"/>
  </w:num>
  <w:num w:numId="20">
    <w:abstractNumId w:val="5"/>
  </w:num>
  <w:num w:numId="21">
    <w:abstractNumId w:val="20"/>
  </w:num>
  <w:num w:numId="22">
    <w:abstractNumId w:val="21"/>
  </w:num>
  <w:num w:numId="23">
    <w:abstractNumId w:val="2"/>
  </w:num>
  <w:num w:numId="24">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29EF"/>
    <w:rsid w:val="000059D5"/>
    <w:rsid w:val="000108A0"/>
    <w:rsid w:val="0001263D"/>
    <w:rsid w:val="00015316"/>
    <w:rsid w:val="000156E3"/>
    <w:rsid w:val="00016661"/>
    <w:rsid w:val="0002080A"/>
    <w:rsid w:val="00020E5A"/>
    <w:rsid w:val="000212EA"/>
    <w:rsid w:val="000227FF"/>
    <w:rsid w:val="000229FD"/>
    <w:rsid w:val="00024B3B"/>
    <w:rsid w:val="00025003"/>
    <w:rsid w:val="00026AE0"/>
    <w:rsid w:val="0002782F"/>
    <w:rsid w:val="00027BD1"/>
    <w:rsid w:val="00027F29"/>
    <w:rsid w:val="00031512"/>
    <w:rsid w:val="000321FD"/>
    <w:rsid w:val="00033AB7"/>
    <w:rsid w:val="00043A30"/>
    <w:rsid w:val="00044D73"/>
    <w:rsid w:val="00046759"/>
    <w:rsid w:val="00046A45"/>
    <w:rsid w:val="0004771F"/>
    <w:rsid w:val="00051B6F"/>
    <w:rsid w:val="00051C1C"/>
    <w:rsid w:val="00051C25"/>
    <w:rsid w:val="00051FAE"/>
    <w:rsid w:val="00054E4D"/>
    <w:rsid w:val="00060073"/>
    <w:rsid w:val="00060268"/>
    <w:rsid w:val="00061288"/>
    <w:rsid w:val="00062C81"/>
    <w:rsid w:val="00062E9A"/>
    <w:rsid w:val="00066D1B"/>
    <w:rsid w:val="00067531"/>
    <w:rsid w:val="00070407"/>
    <w:rsid w:val="00071011"/>
    <w:rsid w:val="0007333F"/>
    <w:rsid w:val="00074B76"/>
    <w:rsid w:val="0007564B"/>
    <w:rsid w:val="00082404"/>
    <w:rsid w:val="000830DD"/>
    <w:rsid w:val="00083AC3"/>
    <w:rsid w:val="00084483"/>
    <w:rsid w:val="000860C7"/>
    <w:rsid w:val="00086BA0"/>
    <w:rsid w:val="000900AF"/>
    <w:rsid w:val="00091CCD"/>
    <w:rsid w:val="00092711"/>
    <w:rsid w:val="000948C4"/>
    <w:rsid w:val="00096131"/>
    <w:rsid w:val="000A08FE"/>
    <w:rsid w:val="000A17C1"/>
    <w:rsid w:val="000A29F3"/>
    <w:rsid w:val="000A3328"/>
    <w:rsid w:val="000A4130"/>
    <w:rsid w:val="000A53A5"/>
    <w:rsid w:val="000A5576"/>
    <w:rsid w:val="000A5F34"/>
    <w:rsid w:val="000A688B"/>
    <w:rsid w:val="000B215F"/>
    <w:rsid w:val="000B516B"/>
    <w:rsid w:val="000B519D"/>
    <w:rsid w:val="000B6C8B"/>
    <w:rsid w:val="000C0140"/>
    <w:rsid w:val="000C3DB8"/>
    <w:rsid w:val="000C42AC"/>
    <w:rsid w:val="000C7E95"/>
    <w:rsid w:val="000D147C"/>
    <w:rsid w:val="000D222C"/>
    <w:rsid w:val="000D3F66"/>
    <w:rsid w:val="000D66D6"/>
    <w:rsid w:val="000D78BE"/>
    <w:rsid w:val="000E2C51"/>
    <w:rsid w:val="000E314A"/>
    <w:rsid w:val="000E3E75"/>
    <w:rsid w:val="000E57A3"/>
    <w:rsid w:val="000E6FAE"/>
    <w:rsid w:val="000F2567"/>
    <w:rsid w:val="00105440"/>
    <w:rsid w:val="001103E6"/>
    <w:rsid w:val="0011090C"/>
    <w:rsid w:val="001139E1"/>
    <w:rsid w:val="00117519"/>
    <w:rsid w:val="00117768"/>
    <w:rsid w:val="0012030E"/>
    <w:rsid w:val="00120679"/>
    <w:rsid w:val="0012225C"/>
    <w:rsid w:val="00122872"/>
    <w:rsid w:val="00122F0B"/>
    <w:rsid w:val="001244BB"/>
    <w:rsid w:val="00124505"/>
    <w:rsid w:val="00124632"/>
    <w:rsid w:val="001305A9"/>
    <w:rsid w:val="00131908"/>
    <w:rsid w:val="00131EFA"/>
    <w:rsid w:val="0013588D"/>
    <w:rsid w:val="0013733D"/>
    <w:rsid w:val="001429CA"/>
    <w:rsid w:val="00142ADA"/>
    <w:rsid w:val="00143680"/>
    <w:rsid w:val="0015064F"/>
    <w:rsid w:val="001541EA"/>
    <w:rsid w:val="00155948"/>
    <w:rsid w:val="00162218"/>
    <w:rsid w:val="00163B24"/>
    <w:rsid w:val="00166281"/>
    <w:rsid w:val="00166307"/>
    <w:rsid w:val="00166962"/>
    <w:rsid w:val="00166D2F"/>
    <w:rsid w:val="001678D8"/>
    <w:rsid w:val="00172C21"/>
    <w:rsid w:val="00174B8C"/>
    <w:rsid w:val="00174EDE"/>
    <w:rsid w:val="001771F7"/>
    <w:rsid w:val="00182A25"/>
    <w:rsid w:val="00184818"/>
    <w:rsid w:val="00184F8D"/>
    <w:rsid w:val="00185FA8"/>
    <w:rsid w:val="00186EA3"/>
    <w:rsid w:val="001871D9"/>
    <w:rsid w:val="00192C3F"/>
    <w:rsid w:val="00195776"/>
    <w:rsid w:val="001A2666"/>
    <w:rsid w:val="001A2B10"/>
    <w:rsid w:val="001A4640"/>
    <w:rsid w:val="001A6D1A"/>
    <w:rsid w:val="001B17C9"/>
    <w:rsid w:val="001B2344"/>
    <w:rsid w:val="001B3D80"/>
    <w:rsid w:val="001B5019"/>
    <w:rsid w:val="001C4F68"/>
    <w:rsid w:val="001C54B9"/>
    <w:rsid w:val="001C6EC7"/>
    <w:rsid w:val="001D273F"/>
    <w:rsid w:val="001D32E2"/>
    <w:rsid w:val="001D663E"/>
    <w:rsid w:val="001E1DC0"/>
    <w:rsid w:val="001E59F8"/>
    <w:rsid w:val="001E64D3"/>
    <w:rsid w:val="001E7102"/>
    <w:rsid w:val="001F074A"/>
    <w:rsid w:val="001F1B0D"/>
    <w:rsid w:val="001F64FF"/>
    <w:rsid w:val="001F749D"/>
    <w:rsid w:val="0020312D"/>
    <w:rsid w:val="0020363F"/>
    <w:rsid w:val="002043ED"/>
    <w:rsid w:val="002103CE"/>
    <w:rsid w:val="00215C2D"/>
    <w:rsid w:val="002171FD"/>
    <w:rsid w:val="002174BD"/>
    <w:rsid w:val="00217D9E"/>
    <w:rsid w:val="00220423"/>
    <w:rsid w:val="00220EDA"/>
    <w:rsid w:val="00221A26"/>
    <w:rsid w:val="00223178"/>
    <w:rsid w:val="00223A7A"/>
    <w:rsid w:val="0022770E"/>
    <w:rsid w:val="002309D8"/>
    <w:rsid w:val="00231514"/>
    <w:rsid w:val="00232E52"/>
    <w:rsid w:val="002331BC"/>
    <w:rsid w:val="00235E5F"/>
    <w:rsid w:val="00236A53"/>
    <w:rsid w:val="00240018"/>
    <w:rsid w:val="002426DD"/>
    <w:rsid w:val="00245A79"/>
    <w:rsid w:val="00246C5C"/>
    <w:rsid w:val="00247AC6"/>
    <w:rsid w:val="002526C1"/>
    <w:rsid w:val="00252872"/>
    <w:rsid w:val="00253F39"/>
    <w:rsid w:val="0026127F"/>
    <w:rsid w:val="00264CCB"/>
    <w:rsid w:val="00270CF2"/>
    <w:rsid w:val="0027330E"/>
    <w:rsid w:val="00273778"/>
    <w:rsid w:val="0027384E"/>
    <w:rsid w:val="00275DB7"/>
    <w:rsid w:val="0027602A"/>
    <w:rsid w:val="00280C57"/>
    <w:rsid w:val="0028169A"/>
    <w:rsid w:val="00281C37"/>
    <w:rsid w:val="00284957"/>
    <w:rsid w:val="00284978"/>
    <w:rsid w:val="0028602A"/>
    <w:rsid w:val="0028730D"/>
    <w:rsid w:val="00292CF0"/>
    <w:rsid w:val="002948E7"/>
    <w:rsid w:val="00294AA3"/>
    <w:rsid w:val="002A51CA"/>
    <w:rsid w:val="002A6AC8"/>
    <w:rsid w:val="002A6B26"/>
    <w:rsid w:val="002A6DF3"/>
    <w:rsid w:val="002B04B5"/>
    <w:rsid w:val="002B36C4"/>
    <w:rsid w:val="002B374A"/>
    <w:rsid w:val="002B3BFA"/>
    <w:rsid w:val="002B3E95"/>
    <w:rsid w:val="002B5E10"/>
    <w:rsid w:val="002B65FE"/>
    <w:rsid w:val="002B72FD"/>
    <w:rsid w:val="002D26B2"/>
    <w:rsid w:val="002D2B16"/>
    <w:rsid w:val="002D2BAC"/>
    <w:rsid w:val="002D413E"/>
    <w:rsid w:val="002D5606"/>
    <w:rsid w:val="002D5B84"/>
    <w:rsid w:val="002D6A69"/>
    <w:rsid w:val="002E0814"/>
    <w:rsid w:val="002E5B37"/>
    <w:rsid w:val="002F1A12"/>
    <w:rsid w:val="002F32D9"/>
    <w:rsid w:val="002F43F6"/>
    <w:rsid w:val="002F4A08"/>
    <w:rsid w:val="003002C0"/>
    <w:rsid w:val="00301144"/>
    <w:rsid w:val="00303D35"/>
    <w:rsid w:val="003100F0"/>
    <w:rsid w:val="00311FFA"/>
    <w:rsid w:val="00312118"/>
    <w:rsid w:val="00313D6E"/>
    <w:rsid w:val="003148B7"/>
    <w:rsid w:val="003158C3"/>
    <w:rsid w:val="00316905"/>
    <w:rsid w:val="00316B00"/>
    <w:rsid w:val="00320251"/>
    <w:rsid w:val="0032136C"/>
    <w:rsid w:val="00321F6B"/>
    <w:rsid w:val="0032226B"/>
    <w:rsid w:val="003237A2"/>
    <w:rsid w:val="00324651"/>
    <w:rsid w:val="0032647E"/>
    <w:rsid w:val="003274CD"/>
    <w:rsid w:val="00327740"/>
    <w:rsid w:val="00331895"/>
    <w:rsid w:val="00332EC9"/>
    <w:rsid w:val="00333501"/>
    <w:rsid w:val="003342BE"/>
    <w:rsid w:val="00340C3B"/>
    <w:rsid w:val="00342F77"/>
    <w:rsid w:val="003457C4"/>
    <w:rsid w:val="003459C1"/>
    <w:rsid w:val="00347A09"/>
    <w:rsid w:val="0035119D"/>
    <w:rsid w:val="0035542F"/>
    <w:rsid w:val="00362799"/>
    <w:rsid w:val="00362A89"/>
    <w:rsid w:val="003650A5"/>
    <w:rsid w:val="0036647D"/>
    <w:rsid w:val="003679F7"/>
    <w:rsid w:val="0037212A"/>
    <w:rsid w:val="00372851"/>
    <w:rsid w:val="00373101"/>
    <w:rsid w:val="00375B0D"/>
    <w:rsid w:val="00384B5E"/>
    <w:rsid w:val="00385DFD"/>
    <w:rsid w:val="00393F69"/>
    <w:rsid w:val="003940E5"/>
    <w:rsid w:val="00394D60"/>
    <w:rsid w:val="003958DD"/>
    <w:rsid w:val="0039726F"/>
    <w:rsid w:val="003A1333"/>
    <w:rsid w:val="003A1737"/>
    <w:rsid w:val="003A3640"/>
    <w:rsid w:val="003A44F8"/>
    <w:rsid w:val="003A5EB4"/>
    <w:rsid w:val="003A69A1"/>
    <w:rsid w:val="003A6E21"/>
    <w:rsid w:val="003A72A0"/>
    <w:rsid w:val="003A770E"/>
    <w:rsid w:val="003B435A"/>
    <w:rsid w:val="003B4F12"/>
    <w:rsid w:val="003B6D11"/>
    <w:rsid w:val="003B7139"/>
    <w:rsid w:val="003C10FC"/>
    <w:rsid w:val="003C2878"/>
    <w:rsid w:val="003C3C0B"/>
    <w:rsid w:val="003C4725"/>
    <w:rsid w:val="003C5F48"/>
    <w:rsid w:val="003D2AD0"/>
    <w:rsid w:val="003D352D"/>
    <w:rsid w:val="003D47D7"/>
    <w:rsid w:val="003D4A06"/>
    <w:rsid w:val="003D5B37"/>
    <w:rsid w:val="003D651C"/>
    <w:rsid w:val="003E3C28"/>
    <w:rsid w:val="003E7291"/>
    <w:rsid w:val="003E7D75"/>
    <w:rsid w:val="003F2893"/>
    <w:rsid w:val="003F3710"/>
    <w:rsid w:val="00400B0F"/>
    <w:rsid w:val="00402ACC"/>
    <w:rsid w:val="00402CCE"/>
    <w:rsid w:val="00403775"/>
    <w:rsid w:val="00405BDD"/>
    <w:rsid w:val="00405F23"/>
    <w:rsid w:val="004120EC"/>
    <w:rsid w:val="004157D7"/>
    <w:rsid w:val="0041585A"/>
    <w:rsid w:val="00423F31"/>
    <w:rsid w:val="0042437D"/>
    <w:rsid w:val="004256E6"/>
    <w:rsid w:val="00430391"/>
    <w:rsid w:val="004317E0"/>
    <w:rsid w:val="00431899"/>
    <w:rsid w:val="00431E2C"/>
    <w:rsid w:val="0043564E"/>
    <w:rsid w:val="00440572"/>
    <w:rsid w:val="00444D94"/>
    <w:rsid w:val="004475E8"/>
    <w:rsid w:val="0045021D"/>
    <w:rsid w:val="004510F4"/>
    <w:rsid w:val="00451B3E"/>
    <w:rsid w:val="00461F4B"/>
    <w:rsid w:val="00462827"/>
    <w:rsid w:val="00462A8C"/>
    <w:rsid w:val="004635A8"/>
    <w:rsid w:val="00463F12"/>
    <w:rsid w:val="004651F7"/>
    <w:rsid w:val="00465364"/>
    <w:rsid w:val="0046607B"/>
    <w:rsid w:val="00472C03"/>
    <w:rsid w:val="0047431E"/>
    <w:rsid w:val="00475281"/>
    <w:rsid w:val="00475DA9"/>
    <w:rsid w:val="0047722F"/>
    <w:rsid w:val="00483823"/>
    <w:rsid w:val="004854D1"/>
    <w:rsid w:val="00486804"/>
    <w:rsid w:val="004875B2"/>
    <w:rsid w:val="004935CF"/>
    <w:rsid w:val="004943BB"/>
    <w:rsid w:val="00494D8C"/>
    <w:rsid w:val="004977A1"/>
    <w:rsid w:val="00497BC3"/>
    <w:rsid w:val="004A6598"/>
    <w:rsid w:val="004B0334"/>
    <w:rsid w:val="004B3775"/>
    <w:rsid w:val="004B75E7"/>
    <w:rsid w:val="004B76A4"/>
    <w:rsid w:val="004C08FD"/>
    <w:rsid w:val="004C3322"/>
    <w:rsid w:val="004C4A06"/>
    <w:rsid w:val="004D0BA0"/>
    <w:rsid w:val="004D2C61"/>
    <w:rsid w:val="004D2FB9"/>
    <w:rsid w:val="004D43F3"/>
    <w:rsid w:val="004D4D61"/>
    <w:rsid w:val="004D6039"/>
    <w:rsid w:val="004D680E"/>
    <w:rsid w:val="004E0264"/>
    <w:rsid w:val="004E042A"/>
    <w:rsid w:val="004E058F"/>
    <w:rsid w:val="004E1379"/>
    <w:rsid w:val="004E3B87"/>
    <w:rsid w:val="004E54F4"/>
    <w:rsid w:val="004E76F1"/>
    <w:rsid w:val="004F0A04"/>
    <w:rsid w:val="004F2D62"/>
    <w:rsid w:val="004F3D7F"/>
    <w:rsid w:val="004F437F"/>
    <w:rsid w:val="004F4584"/>
    <w:rsid w:val="004F5A6A"/>
    <w:rsid w:val="0050045F"/>
    <w:rsid w:val="00500E79"/>
    <w:rsid w:val="0050361E"/>
    <w:rsid w:val="0050757E"/>
    <w:rsid w:val="00507DD8"/>
    <w:rsid w:val="00510921"/>
    <w:rsid w:val="00510A23"/>
    <w:rsid w:val="00510AD3"/>
    <w:rsid w:val="00510FAB"/>
    <w:rsid w:val="00513348"/>
    <w:rsid w:val="005156EB"/>
    <w:rsid w:val="00515E26"/>
    <w:rsid w:val="0051639F"/>
    <w:rsid w:val="00522B1A"/>
    <w:rsid w:val="005245C3"/>
    <w:rsid w:val="0052608C"/>
    <w:rsid w:val="00530D61"/>
    <w:rsid w:val="0053100D"/>
    <w:rsid w:val="005312FB"/>
    <w:rsid w:val="005313D6"/>
    <w:rsid w:val="00532CA1"/>
    <w:rsid w:val="005338A6"/>
    <w:rsid w:val="00533B5D"/>
    <w:rsid w:val="00536BE2"/>
    <w:rsid w:val="00537143"/>
    <w:rsid w:val="0055033D"/>
    <w:rsid w:val="00550D33"/>
    <w:rsid w:val="005511BF"/>
    <w:rsid w:val="00553137"/>
    <w:rsid w:val="00554EEE"/>
    <w:rsid w:val="00555425"/>
    <w:rsid w:val="00556FEF"/>
    <w:rsid w:val="00561DF2"/>
    <w:rsid w:val="005671BB"/>
    <w:rsid w:val="00567400"/>
    <w:rsid w:val="00573A84"/>
    <w:rsid w:val="00576D7C"/>
    <w:rsid w:val="00577836"/>
    <w:rsid w:val="00580AF0"/>
    <w:rsid w:val="00581DA1"/>
    <w:rsid w:val="0058426E"/>
    <w:rsid w:val="0059078E"/>
    <w:rsid w:val="0059146A"/>
    <w:rsid w:val="0059150F"/>
    <w:rsid w:val="00591ACF"/>
    <w:rsid w:val="00594B18"/>
    <w:rsid w:val="005A23AC"/>
    <w:rsid w:val="005A3E60"/>
    <w:rsid w:val="005A4B33"/>
    <w:rsid w:val="005A5D7C"/>
    <w:rsid w:val="005A654C"/>
    <w:rsid w:val="005B0A22"/>
    <w:rsid w:val="005B1293"/>
    <w:rsid w:val="005B13DD"/>
    <w:rsid w:val="005B1BF4"/>
    <w:rsid w:val="005B4DF5"/>
    <w:rsid w:val="005B5769"/>
    <w:rsid w:val="005B62B1"/>
    <w:rsid w:val="005C017E"/>
    <w:rsid w:val="005C2457"/>
    <w:rsid w:val="005C3089"/>
    <w:rsid w:val="005C45E7"/>
    <w:rsid w:val="005C5277"/>
    <w:rsid w:val="005C6481"/>
    <w:rsid w:val="005C73AD"/>
    <w:rsid w:val="005D26F0"/>
    <w:rsid w:val="005D30C3"/>
    <w:rsid w:val="005D3655"/>
    <w:rsid w:val="005E4481"/>
    <w:rsid w:val="005E4CDD"/>
    <w:rsid w:val="005E593D"/>
    <w:rsid w:val="005E606B"/>
    <w:rsid w:val="005E6D5F"/>
    <w:rsid w:val="005F3C23"/>
    <w:rsid w:val="005F424D"/>
    <w:rsid w:val="005F511B"/>
    <w:rsid w:val="005F5C65"/>
    <w:rsid w:val="0060010A"/>
    <w:rsid w:val="00600479"/>
    <w:rsid w:val="00604E93"/>
    <w:rsid w:val="0060578B"/>
    <w:rsid w:val="00610F8B"/>
    <w:rsid w:val="0061159B"/>
    <w:rsid w:val="006132F8"/>
    <w:rsid w:val="00614217"/>
    <w:rsid w:val="00615669"/>
    <w:rsid w:val="00617EA5"/>
    <w:rsid w:val="006213AA"/>
    <w:rsid w:val="00623283"/>
    <w:rsid w:val="00623BA1"/>
    <w:rsid w:val="006312FC"/>
    <w:rsid w:val="006346BC"/>
    <w:rsid w:val="00636F5B"/>
    <w:rsid w:val="006414B3"/>
    <w:rsid w:val="00642876"/>
    <w:rsid w:val="00643654"/>
    <w:rsid w:val="00645BB7"/>
    <w:rsid w:val="00647AAB"/>
    <w:rsid w:val="00647C0F"/>
    <w:rsid w:val="00650463"/>
    <w:rsid w:val="00650E3A"/>
    <w:rsid w:val="00651C65"/>
    <w:rsid w:val="006564F3"/>
    <w:rsid w:val="00657AEE"/>
    <w:rsid w:val="0066155C"/>
    <w:rsid w:val="00661680"/>
    <w:rsid w:val="00661AFF"/>
    <w:rsid w:val="0066652A"/>
    <w:rsid w:val="00667EB4"/>
    <w:rsid w:val="00673290"/>
    <w:rsid w:val="00673E3A"/>
    <w:rsid w:val="00673E5C"/>
    <w:rsid w:val="006749B7"/>
    <w:rsid w:val="00674BF2"/>
    <w:rsid w:val="00675D14"/>
    <w:rsid w:val="00680522"/>
    <w:rsid w:val="00680678"/>
    <w:rsid w:val="00680AD7"/>
    <w:rsid w:val="00681864"/>
    <w:rsid w:val="00681F08"/>
    <w:rsid w:val="00682167"/>
    <w:rsid w:val="006830A8"/>
    <w:rsid w:val="00685227"/>
    <w:rsid w:val="00686FAE"/>
    <w:rsid w:val="00687400"/>
    <w:rsid w:val="00687FA3"/>
    <w:rsid w:val="006926A1"/>
    <w:rsid w:val="00695861"/>
    <w:rsid w:val="00696C9B"/>
    <w:rsid w:val="006A071B"/>
    <w:rsid w:val="006A2C7B"/>
    <w:rsid w:val="006A3DCD"/>
    <w:rsid w:val="006B0462"/>
    <w:rsid w:val="006B0AB0"/>
    <w:rsid w:val="006B511C"/>
    <w:rsid w:val="006C01AA"/>
    <w:rsid w:val="006C1C12"/>
    <w:rsid w:val="006C34D4"/>
    <w:rsid w:val="006C3D8E"/>
    <w:rsid w:val="006C3E4E"/>
    <w:rsid w:val="006C42AF"/>
    <w:rsid w:val="006C48DD"/>
    <w:rsid w:val="006C4F09"/>
    <w:rsid w:val="006C5053"/>
    <w:rsid w:val="006C6B2F"/>
    <w:rsid w:val="006D10ED"/>
    <w:rsid w:val="006D2ADB"/>
    <w:rsid w:val="006D3BE0"/>
    <w:rsid w:val="006D5479"/>
    <w:rsid w:val="006D76CA"/>
    <w:rsid w:val="006E30E5"/>
    <w:rsid w:val="006E38F0"/>
    <w:rsid w:val="006E5A8A"/>
    <w:rsid w:val="006E656E"/>
    <w:rsid w:val="006E7841"/>
    <w:rsid w:val="006F02C8"/>
    <w:rsid w:val="006F1807"/>
    <w:rsid w:val="006F19EA"/>
    <w:rsid w:val="006F27B1"/>
    <w:rsid w:val="006F32B0"/>
    <w:rsid w:val="006F4B0F"/>
    <w:rsid w:val="006F6978"/>
    <w:rsid w:val="00701707"/>
    <w:rsid w:val="007017E0"/>
    <w:rsid w:val="007047C8"/>
    <w:rsid w:val="00711872"/>
    <w:rsid w:val="00711A72"/>
    <w:rsid w:val="00711CEA"/>
    <w:rsid w:val="00711D8E"/>
    <w:rsid w:val="00712672"/>
    <w:rsid w:val="0071415F"/>
    <w:rsid w:val="007155A5"/>
    <w:rsid w:val="007173BA"/>
    <w:rsid w:val="00717BCB"/>
    <w:rsid w:val="00725C97"/>
    <w:rsid w:val="00727E2F"/>
    <w:rsid w:val="007303C3"/>
    <w:rsid w:val="00731F45"/>
    <w:rsid w:val="0073429F"/>
    <w:rsid w:val="00734E3F"/>
    <w:rsid w:val="00736985"/>
    <w:rsid w:val="0074304D"/>
    <w:rsid w:val="0074359F"/>
    <w:rsid w:val="00743D3A"/>
    <w:rsid w:val="00745DF5"/>
    <w:rsid w:val="00747DB4"/>
    <w:rsid w:val="00751B8F"/>
    <w:rsid w:val="00752C41"/>
    <w:rsid w:val="0075323C"/>
    <w:rsid w:val="00753585"/>
    <w:rsid w:val="00753757"/>
    <w:rsid w:val="007551F7"/>
    <w:rsid w:val="00756E3E"/>
    <w:rsid w:val="0076250F"/>
    <w:rsid w:val="007668DA"/>
    <w:rsid w:val="007669E6"/>
    <w:rsid w:val="00766DC8"/>
    <w:rsid w:val="00771B53"/>
    <w:rsid w:val="00773D55"/>
    <w:rsid w:val="00775586"/>
    <w:rsid w:val="007768DF"/>
    <w:rsid w:val="00783071"/>
    <w:rsid w:val="00783122"/>
    <w:rsid w:val="0078327A"/>
    <w:rsid w:val="007834F0"/>
    <w:rsid w:val="00784031"/>
    <w:rsid w:val="00791F91"/>
    <w:rsid w:val="00794E0E"/>
    <w:rsid w:val="0079739B"/>
    <w:rsid w:val="007A0C8B"/>
    <w:rsid w:val="007A0D67"/>
    <w:rsid w:val="007A4D85"/>
    <w:rsid w:val="007B10BB"/>
    <w:rsid w:val="007B4865"/>
    <w:rsid w:val="007B550D"/>
    <w:rsid w:val="007B6200"/>
    <w:rsid w:val="007B692E"/>
    <w:rsid w:val="007B6C71"/>
    <w:rsid w:val="007C16CE"/>
    <w:rsid w:val="007C2540"/>
    <w:rsid w:val="007C40FC"/>
    <w:rsid w:val="007C4D57"/>
    <w:rsid w:val="007C4F24"/>
    <w:rsid w:val="007C595C"/>
    <w:rsid w:val="007C5C3C"/>
    <w:rsid w:val="007C7418"/>
    <w:rsid w:val="007D0299"/>
    <w:rsid w:val="007D19C2"/>
    <w:rsid w:val="007D2E25"/>
    <w:rsid w:val="007D6CB2"/>
    <w:rsid w:val="007E440E"/>
    <w:rsid w:val="007E5764"/>
    <w:rsid w:val="007F3395"/>
    <w:rsid w:val="007F38D6"/>
    <w:rsid w:val="007F6222"/>
    <w:rsid w:val="007F70D9"/>
    <w:rsid w:val="00801B9F"/>
    <w:rsid w:val="00803032"/>
    <w:rsid w:val="008057FD"/>
    <w:rsid w:val="00810405"/>
    <w:rsid w:val="00810A8E"/>
    <w:rsid w:val="00810BDF"/>
    <w:rsid w:val="0081211F"/>
    <w:rsid w:val="00815E6D"/>
    <w:rsid w:val="00820CA4"/>
    <w:rsid w:val="00821DA0"/>
    <w:rsid w:val="00825784"/>
    <w:rsid w:val="00826340"/>
    <w:rsid w:val="008278CB"/>
    <w:rsid w:val="00830AEC"/>
    <w:rsid w:val="00834B0E"/>
    <w:rsid w:val="00837151"/>
    <w:rsid w:val="00840238"/>
    <w:rsid w:val="00840297"/>
    <w:rsid w:val="008406D0"/>
    <w:rsid w:val="00840D25"/>
    <w:rsid w:val="00846CA0"/>
    <w:rsid w:val="00846DE6"/>
    <w:rsid w:val="008475EF"/>
    <w:rsid w:val="008475F0"/>
    <w:rsid w:val="008518C3"/>
    <w:rsid w:val="008554FF"/>
    <w:rsid w:val="008579B2"/>
    <w:rsid w:val="00860AB6"/>
    <w:rsid w:val="008641CF"/>
    <w:rsid w:val="00864210"/>
    <w:rsid w:val="00864648"/>
    <w:rsid w:val="0086487A"/>
    <w:rsid w:val="00865578"/>
    <w:rsid w:val="00866D4F"/>
    <w:rsid w:val="00871871"/>
    <w:rsid w:val="00872730"/>
    <w:rsid w:val="00876407"/>
    <w:rsid w:val="00880004"/>
    <w:rsid w:val="00880C5F"/>
    <w:rsid w:val="00881F6E"/>
    <w:rsid w:val="0088260E"/>
    <w:rsid w:val="00883450"/>
    <w:rsid w:val="00885A2A"/>
    <w:rsid w:val="00886CB2"/>
    <w:rsid w:val="00886EA9"/>
    <w:rsid w:val="0088773E"/>
    <w:rsid w:val="008911BD"/>
    <w:rsid w:val="00891631"/>
    <w:rsid w:val="00891BAF"/>
    <w:rsid w:val="00893C88"/>
    <w:rsid w:val="00896BA0"/>
    <w:rsid w:val="00896C41"/>
    <w:rsid w:val="008A22D4"/>
    <w:rsid w:val="008A27B1"/>
    <w:rsid w:val="008A3C25"/>
    <w:rsid w:val="008A5AFE"/>
    <w:rsid w:val="008B0A0F"/>
    <w:rsid w:val="008B142B"/>
    <w:rsid w:val="008B2F97"/>
    <w:rsid w:val="008B35A1"/>
    <w:rsid w:val="008B452F"/>
    <w:rsid w:val="008B5DA0"/>
    <w:rsid w:val="008B68D7"/>
    <w:rsid w:val="008B7D42"/>
    <w:rsid w:val="008C0146"/>
    <w:rsid w:val="008C08EA"/>
    <w:rsid w:val="008C1836"/>
    <w:rsid w:val="008C2F58"/>
    <w:rsid w:val="008C3805"/>
    <w:rsid w:val="008C5A0E"/>
    <w:rsid w:val="008C7006"/>
    <w:rsid w:val="008D11DD"/>
    <w:rsid w:val="008D44F6"/>
    <w:rsid w:val="008D705E"/>
    <w:rsid w:val="008E1D62"/>
    <w:rsid w:val="008E4271"/>
    <w:rsid w:val="008E5C15"/>
    <w:rsid w:val="008F0C31"/>
    <w:rsid w:val="008F511F"/>
    <w:rsid w:val="008F5516"/>
    <w:rsid w:val="008F56A8"/>
    <w:rsid w:val="00900837"/>
    <w:rsid w:val="0090322A"/>
    <w:rsid w:val="00905359"/>
    <w:rsid w:val="00906476"/>
    <w:rsid w:val="00910025"/>
    <w:rsid w:val="00911B49"/>
    <w:rsid w:val="00912C49"/>
    <w:rsid w:val="00913E1E"/>
    <w:rsid w:val="00916CA1"/>
    <w:rsid w:val="009208D1"/>
    <w:rsid w:val="00925E0C"/>
    <w:rsid w:val="009265A1"/>
    <w:rsid w:val="00927479"/>
    <w:rsid w:val="009302C1"/>
    <w:rsid w:val="00933018"/>
    <w:rsid w:val="009344EE"/>
    <w:rsid w:val="009349A7"/>
    <w:rsid w:val="00935885"/>
    <w:rsid w:val="0094347E"/>
    <w:rsid w:val="009447EA"/>
    <w:rsid w:val="0094633C"/>
    <w:rsid w:val="00947F6F"/>
    <w:rsid w:val="00950EE9"/>
    <w:rsid w:val="00953C42"/>
    <w:rsid w:val="00953D92"/>
    <w:rsid w:val="00957207"/>
    <w:rsid w:val="00960854"/>
    <w:rsid w:val="00961453"/>
    <w:rsid w:val="00965579"/>
    <w:rsid w:val="009700C6"/>
    <w:rsid w:val="00970924"/>
    <w:rsid w:val="0097337A"/>
    <w:rsid w:val="00974B25"/>
    <w:rsid w:val="0098020C"/>
    <w:rsid w:val="009839E6"/>
    <w:rsid w:val="009903F3"/>
    <w:rsid w:val="00991988"/>
    <w:rsid w:val="00992C76"/>
    <w:rsid w:val="00992C8C"/>
    <w:rsid w:val="009954A9"/>
    <w:rsid w:val="009A0607"/>
    <w:rsid w:val="009A1DFE"/>
    <w:rsid w:val="009A2811"/>
    <w:rsid w:val="009A41CA"/>
    <w:rsid w:val="009A6C9E"/>
    <w:rsid w:val="009A6EB9"/>
    <w:rsid w:val="009B0D82"/>
    <w:rsid w:val="009B1250"/>
    <w:rsid w:val="009B1DBB"/>
    <w:rsid w:val="009B3626"/>
    <w:rsid w:val="009B4D3B"/>
    <w:rsid w:val="009C376C"/>
    <w:rsid w:val="009C6417"/>
    <w:rsid w:val="009C7469"/>
    <w:rsid w:val="009C7880"/>
    <w:rsid w:val="009D048A"/>
    <w:rsid w:val="009D1DEE"/>
    <w:rsid w:val="009D2D26"/>
    <w:rsid w:val="009D3549"/>
    <w:rsid w:val="009D4CDB"/>
    <w:rsid w:val="009D7407"/>
    <w:rsid w:val="009E0866"/>
    <w:rsid w:val="009E3DDE"/>
    <w:rsid w:val="009E4468"/>
    <w:rsid w:val="009E5190"/>
    <w:rsid w:val="009E6887"/>
    <w:rsid w:val="009E7BB8"/>
    <w:rsid w:val="009F1413"/>
    <w:rsid w:val="009F5488"/>
    <w:rsid w:val="009F6423"/>
    <w:rsid w:val="00A025F2"/>
    <w:rsid w:val="00A05EBD"/>
    <w:rsid w:val="00A063B9"/>
    <w:rsid w:val="00A1158F"/>
    <w:rsid w:val="00A1313E"/>
    <w:rsid w:val="00A1594A"/>
    <w:rsid w:val="00A16639"/>
    <w:rsid w:val="00A20FBD"/>
    <w:rsid w:val="00A227ED"/>
    <w:rsid w:val="00A24A62"/>
    <w:rsid w:val="00A24ADE"/>
    <w:rsid w:val="00A256D9"/>
    <w:rsid w:val="00A258EE"/>
    <w:rsid w:val="00A30BCF"/>
    <w:rsid w:val="00A31C9F"/>
    <w:rsid w:val="00A36C29"/>
    <w:rsid w:val="00A4144F"/>
    <w:rsid w:val="00A43846"/>
    <w:rsid w:val="00A51ABD"/>
    <w:rsid w:val="00A51AC5"/>
    <w:rsid w:val="00A52B7C"/>
    <w:rsid w:val="00A53A84"/>
    <w:rsid w:val="00A54034"/>
    <w:rsid w:val="00A5642B"/>
    <w:rsid w:val="00A56F14"/>
    <w:rsid w:val="00A60B97"/>
    <w:rsid w:val="00A62E17"/>
    <w:rsid w:val="00A62E9D"/>
    <w:rsid w:val="00A63FB4"/>
    <w:rsid w:val="00A6491D"/>
    <w:rsid w:val="00A65A1A"/>
    <w:rsid w:val="00A7102B"/>
    <w:rsid w:val="00A756FB"/>
    <w:rsid w:val="00A76041"/>
    <w:rsid w:val="00A80F95"/>
    <w:rsid w:val="00A8197B"/>
    <w:rsid w:val="00A90A60"/>
    <w:rsid w:val="00A90B1E"/>
    <w:rsid w:val="00A93765"/>
    <w:rsid w:val="00A93BFD"/>
    <w:rsid w:val="00A9513A"/>
    <w:rsid w:val="00A954E4"/>
    <w:rsid w:val="00A95CC0"/>
    <w:rsid w:val="00AA108B"/>
    <w:rsid w:val="00AA29AE"/>
    <w:rsid w:val="00AA3D47"/>
    <w:rsid w:val="00AA7BE3"/>
    <w:rsid w:val="00AB02A8"/>
    <w:rsid w:val="00AB3504"/>
    <w:rsid w:val="00AB3B07"/>
    <w:rsid w:val="00AB5E7F"/>
    <w:rsid w:val="00AC164A"/>
    <w:rsid w:val="00AC2F24"/>
    <w:rsid w:val="00AC302F"/>
    <w:rsid w:val="00AC36CE"/>
    <w:rsid w:val="00AC6BEB"/>
    <w:rsid w:val="00AC6C0F"/>
    <w:rsid w:val="00AD001E"/>
    <w:rsid w:val="00AD02A0"/>
    <w:rsid w:val="00AE6A2E"/>
    <w:rsid w:val="00AE756E"/>
    <w:rsid w:val="00AF1B85"/>
    <w:rsid w:val="00AF2050"/>
    <w:rsid w:val="00AF3337"/>
    <w:rsid w:val="00AF4063"/>
    <w:rsid w:val="00B01639"/>
    <w:rsid w:val="00B03CA8"/>
    <w:rsid w:val="00B0415B"/>
    <w:rsid w:val="00B112DA"/>
    <w:rsid w:val="00B11EF6"/>
    <w:rsid w:val="00B15112"/>
    <w:rsid w:val="00B16BC4"/>
    <w:rsid w:val="00B1713F"/>
    <w:rsid w:val="00B175EB"/>
    <w:rsid w:val="00B235D7"/>
    <w:rsid w:val="00B31A9E"/>
    <w:rsid w:val="00B331DC"/>
    <w:rsid w:val="00B33D23"/>
    <w:rsid w:val="00B34970"/>
    <w:rsid w:val="00B357D4"/>
    <w:rsid w:val="00B37C19"/>
    <w:rsid w:val="00B406F5"/>
    <w:rsid w:val="00B4365A"/>
    <w:rsid w:val="00B438D3"/>
    <w:rsid w:val="00B461BD"/>
    <w:rsid w:val="00B47169"/>
    <w:rsid w:val="00B506CB"/>
    <w:rsid w:val="00B53E1E"/>
    <w:rsid w:val="00B54A33"/>
    <w:rsid w:val="00B55E19"/>
    <w:rsid w:val="00B676FE"/>
    <w:rsid w:val="00B73B6B"/>
    <w:rsid w:val="00B75C77"/>
    <w:rsid w:val="00B770A7"/>
    <w:rsid w:val="00B84F5F"/>
    <w:rsid w:val="00BA2494"/>
    <w:rsid w:val="00BA3754"/>
    <w:rsid w:val="00BA4B6D"/>
    <w:rsid w:val="00BA6191"/>
    <w:rsid w:val="00BA62D8"/>
    <w:rsid w:val="00BB0B31"/>
    <w:rsid w:val="00BB2347"/>
    <w:rsid w:val="00BB254C"/>
    <w:rsid w:val="00BB26C5"/>
    <w:rsid w:val="00BB304C"/>
    <w:rsid w:val="00BB5431"/>
    <w:rsid w:val="00BB5603"/>
    <w:rsid w:val="00BB6B7D"/>
    <w:rsid w:val="00BC1707"/>
    <w:rsid w:val="00BC337C"/>
    <w:rsid w:val="00BC446E"/>
    <w:rsid w:val="00BD0B25"/>
    <w:rsid w:val="00BD343A"/>
    <w:rsid w:val="00BD387B"/>
    <w:rsid w:val="00BD4F66"/>
    <w:rsid w:val="00BD6B91"/>
    <w:rsid w:val="00BE346E"/>
    <w:rsid w:val="00BE35E5"/>
    <w:rsid w:val="00BE6C6D"/>
    <w:rsid w:val="00BE737D"/>
    <w:rsid w:val="00BF27DB"/>
    <w:rsid w:val="00BF47BF"/>
    <w:rsid w:val="00BF4DE6"/>
    <w:rsid w:val="00BF5886"/>
    <w:rsid w:val="00BF5C7C"/>
    <w:rsid w:val="00C015D1"/>
    <w:rsid w:val="00C0179B"/>
    <w:rsid w:val="00C044C5"/>
    <w:rsid w:val="00C05414"/>
    <w:rsid w:val="00C06C68"/>
    <w:rsid w:val="00C07B83"/>
    <w:rsid w:val="00C10E46"/>
    <w:rsid w:val="00C155B5"/>
    <w:rsid w:val="00C15CAF"/>
    <w:rsid w:val="00C16272"/>
    <w:rsid w:val="00C20892"/>
    <w:rsid w:val="00C2297A"/>
    <w:rsid w:val="00C23E9F"/>
    <w:rsid w:val="00C26C62"/>
    <w:rsid w:val="00C345D5"/>
    <w:rsid w:val="00C406F0"/>
    <w:rsid w:val="00C42CDE"/>
    <w:rsid w:val="00C439F3"/>
    <w:rsid w:val="00C459D1"/>
    <w:rsid w:val="00C460D3"/>
    <w:rsid w:val="00C46591"/>
    <w:rsid w:val="00C47820"/>
    <w:rsid w:val="00C500D7"/>
    <w:rsid w:val="00C503F9"/>
    <w:rsid w:val="00C50422"/>
    <w:rsid w:val="00C50740"/>
    <w:rsid w:val="00C5182A"/>
    <w:rsid w:val="00C51E6C"/>
    <w:rsid w:val="00C52185"/>
    <w:rsid w:val="00C53E7B"/>
    <w:rsid w:val="00C54E26"/>
    <w:rsid w:val="00C5793C"/>
    <w:rsid w:val="00C60C5F"/>
    <w:rsid w:val="00C6110C"/>
    <w:rsid w:val="00C62652"/>
    <w:rsid w:val="00C63EE9"/>
    <w:rsid w:val="00C6626C"/>
    <w:rsid w:val="00C74270"/>
    <w:rsid w:val="00C75127"/>
    <w:rsid w:val="00C82573"/>
    <w:rsid w:val="00C86C9F"/>
    <w:rsid w:val="00C90AA1"/>
    <w:rsid w:val="00C90AB0"/>
    <w:rsid w:val="00C95CB2"/>
    <w:rsid w:val="00C95EC6"/>
    <w:rsid w:val="00C97EB5"/>
    <w:rsid w:val="00CA2C55"/>
    <w:rsid w:val="00CA37B1"/>
    <w:rsid w:val="00CA3F85"/>
    <w:rsid w:val="00CA58F3"/>
    <w:rsid w:val="00CA660F"/>
    <w:rsid w:val="00CA7DD8"/>
    <w:rsid w:val="00CA7EC9"/>
    <w:rsid w:val="00CB1959"/>
    <w:rsid w:val="00CB4E75"/>
    <w:rsid w:val="00CB7763"/>
    <w:rsid w:val="00CC4098"/>
    <w:rsid w:val="00CC5172"/>
    <w:rsid w:val="00CD0E4B"/>
    <w:rsid w:val="00CD2129"/>
    <w:rsid w:val="00CE0155"/>
    <w:rsid w:val="00CE0406"/>
    <w:rsid w:val="00CE5DF0"/>
    <w:rsid w:val="00CF2ADF"/>
    <w:rsid w:val="00CF2B7D"/>
    <w:rsid w:val="00CF2D26"/>
    <w:rsid w:val="00CF2DCE"/>
    <w:rsid w:val="00CF74BB"/>
    <w:rsid w:val="00CF7CCB"/>
    <w:rsid w:val="00D00802"/>
    <w:rsid w:val="00D01D81"/>
    <w:rsid w:val="00D0296C"/>
    <w:rsid w:val="00D056F2"/>
    <w:rsid w:val="00D05F1C"/>
    <w:rsid w:val="00D12C2A"/>
    <w:rsid w:val="00D1333D"/>
    <w:rsid w:val="00D13811"/>
    <w:rsid w:val="00D146A2"/>
    <w:rsid w:val="00D15A00"/>
    <w:rsid w:val="00D21679"/>
    <w:rsid w:val="00D22101"/>
    <w:rsid w:val="00D23F52"/>
    <w:rsid w:val="00D24CBE"/>
    <w:rsid w:val="00D3077E"/>
    <w:rsid w:val="00D313A7"/>
    <w:rsid w:val="00D3290F"/>
    <w:rsid w:val="00D3315E"/>
    <w:rsid w:val="00D33BF8"/>
    <w:rsid w:val="00D356F9"/>
    <w:rsid w:val="00D35EC8"/>
    <w:rsid w:val="00D40AEB"/>
    <w:rsid w:val="00D4172A"/>
    <w:rsid w:val="00D41A80"/>
    <w:rsid w:val="00D42BD6"/>
    <w:rsid w:val="00D43893"/>
    <w:rsid w:val="00D44ADB"/>
    <w:rsid w:val="00D4524F"/>
    <w:rsid w:val="00D45CC7"/>
    <w:rsid w:val="00D460DC"/>
    <w:rsid w:val="00D50758"/>
    <w:rsid w:val="00D52C69"/>
    <w:rsid w:val="00D533AD"/>
    <w:rsid w:val="00D53525"/>
    <w:rsid w:val="00D5418E"/>
    <w:rsid w:val="00D54C3B"/>
    <w:rsid w:val="00D55248"/>
    <w:rsid w:val="00D5630D"/>
    <w:rsid w:val="00D573D4"/>
    <w:rsid w:val="00D62410"/>
    <w:rsid w:val="00D635F5"/>
    <w:rsid w:val="00D64BD1"/>
    <w:rsid w:val="00D7119E"/>
    <w:rsid w:val="00D72760"/>
    <w:rsid w:val="00D72A85"/>
    <w:rsid w:val="00D738FD"/>
    <w:rsid w:val="00D73EFE"/>
    <w:rsid w:val="00D820FE"/>
    <w:rsid w:val="00D842FA"/>
    <w:rsid w:val="00D86954"/>
    <w:rsid w:val="00D87B0E"/>
    <w:rsid w:val="00D90CEB"/>
    <w:rsid w:val="00D9152E"/>
    <w:rsid w:val="00D934ED"/>
    <w:rsid w:val="00D93A67"/>
    <w:rsid w:val="00D94455"/>
    <w:rsid w:val="00D951B8"/>
    <w:rsid w:val="00D9533F"/>
    <w:rsid w:val="00D95657"/>
    <w:rsid w:val="00D979EE"/>
    <w:rsid w:val="00DA040F"/>
    <w:rsid w:val="00DA04C0"/>
    <w:rsid w:val="00DA2197"/>
    <w:rsid w:val="00DA5FA7"/>
    <w:rsid w:val="00DA620C"/>
    <w:rsid w:val="00DB3A06"/>
    <w:rsid w:val="00DB4A78"/>
    <w:rsid w:val="00DB7F71"/>
    <w:rsid w:val="00DC0D27"/>
    <w:rsid w:val="00DC20E7"/>
    <w:rsid w:val="00DC4AC8"/>
    <w:rsid w:val="00DC4AE7"/>
    <w:rsid w:val="00DC6D94"/>
    <w:rsid w:val="00DC730D"/>
    <w:rsid w:val="00DC758B"/>
    <w:rsid w:val="00DD1986"/>
    <w:rsid w:val="00DD3943"/>
    <w:rsid w:val="00DD3B6F"/>
    <w:rsid w:val="00DD3C26"/>
    <w:rsid w:val="00DD4D68"/>
    <w:rsid w:val="00DD69CE"/>
    <w:rsid w:val="00DE084C"/>
    <w:rsid w:val="00DE1B08"/>
    <w:rsid w:val="00DE523A"/>
    <w:rsid w:val="00DE5714"/>
    <w:rsid w:val="00DE6766"/>
    <w:rsid w:val="00DF05FD"/>
    <w:rsid w:val="00DF209F"/>
    <w:rsid w:val="00DF5A40"/>
    <w:rsid w:val="00DF7554"/>
    <w:rsid w:val="00E03F4A"/>
    <w:rsid w:val="00E05B25"/>
    <w:rsid w:val="00E06AD6"/>
    <w:rsid w:val="00E06FAC"/>
    <w:rsid w:val="00E0719C"/>
    <w:rsid w:val="00E07B71"/>
    <w:rsid w:val="00E13C6F"/>
    <w:rsid w:val="00E1616A"/>
    <w:rsid w:val="00E1732C"/>
    <w:rsid w:val="00E213E9"/>
    <w:rsid w:val="00E245D7"/>
    <w:rsid w:val="00E26565"/>
    <w:rsid w:val="00E26DA4"/>
    <w:rsid w:val="00E27980"/>
    <w:rsid w:val="00E34C28"/>
    <w:rsid w:val="00E34D4A"/>
    <w:rsid w:val="00E357B7"/>
    <w:rsid w:val="00E36F91"/>
    <w:rsid w:val="00E373F2"/>
    <w:rsid w:val="00E40139"/>
    <w:rsid w:val="00E40E3E"/>
    <w:rsid w:val="00E41563"/>
    <w:rsid w:val="00E44C34"/>
    <w:rsid w:val="00E46382"/>
    <w:rsid w:val="00E4696B"/>
    <w:rsid w:val="00E472F4"/>
    <w:rsid w:val="00E476DA"/>
    <w:rsid w:val="00E47CE3"/>
    <w:rsid w:val="00E52DE6"/>
    <w:rsid w:val="00E534EC"/>
    <w:rsid w:val="00E53800"/>
    <w:rsid w:val="00E544FB"/>
    <w:rsid w:val="00E6081F"/>
    <w:rsid w:val="00E60A7E"/>
    <w:rsid w:val="00E6139C"/>
    <w:rsid w:val="00E73042"/>
    <w:rsid w:val="00E74FD0"/>
    <w:rsid w:val="00E871DE"/>
    <w:rsid w:val="00E951DC"/>
    <w:rsid w:val="00EA04B2"/>
    <w:rsid w:val="00EA0FA0"/>
    <w:rsid w:val="00EA20F3"/>
    <w:rsid w:val="00EA4920"/>
    <w:rsid w:val="00EA7A90"/>
    <w:rsid w:val="00EB1C8B"/>
    <w:rsid w:val="00EB296B"/>
    <w:rsid w:val="00EB2D0F"/>
    <w:rsid w:val="00EB34BE"/>
    <w:rsid w:val="00EB5DB3"/>
    <w:rsid w:val="00EB5E09"/>
    <w:rsid w:val="00EB69D6"/>
    <w:rsid w:val="00EB7CE8"/>
    <w:rsid w:val="00EC6DF0"/>
    <w:rsid w:val="00ED2831"/>
    <w:rsid w:val="00ED2F4F"/>
    <w:rsid w:val="00ED351F"/>
    <w:rsid w:val="00ED43D1"/>
    <w:rsid w:val="00ED4AEF"/>
    <w:rsid w:val="00ED683B"/>
    <w:rsid w:val="00EE2420"/>
    <w:rsid w:val="00EE4348"/>
    <w:rsid w:val="00EE4883"/>
    <w:rsid w:val="00EE4EE1"/>
    <w:rsid w:val="00EF1CEB"/>
    <w:rsid w:val="00EF2A6B"/>
    <w:rsid w:val="00EF4574"/>
    <w:rsid w:val="00EF6543"/>
    <w:rsid w:val="00EF7770"/>
    <w:rsid w:val="00EF7DFA"/>
    <w:rsid w:val="00F00AD5"/>
    <w:rsid w:val="00F0116B"/>
    <w:rsid w:val="00F02012"/>
    <w:rsid w:val="00F04E9F"/>
    <w:rsid w:val="00F0569B"/>
    <w:rsid w:val="00F05857"/>
    <w:rsid w:val="00F05EDC"/>
    <w:rsid w:val="00F065E2"/>
    <w:rsid w:val="00F13BFE"/>
    <w:rsid w:val="00F17A7F"/>
    <w:rsid w:val="00F2681A"/>
    <w:rsid w:val="00F2684E"/>
    <w:rsid w:val="00F27D04"/>
    <w:rsid w:val="00F3161A"/>
    <w:rsid w:val="00F35B2B"/>
    <w:rsid w:val="00F35E50"/>
    <w:rsid w:val="00F370AC"/>
    <w:rsid w:val="00F412B3"/>
    <w:rsid w:val="00F42750"/>
    <w:rsid w:val="00F4459F"/>
    <w:rsid w:val="00F47520"/>
    <w:rsid w:val="00F52D21"/>
    <w:rsid w:val="00F53E03"/>
    <w:rsid w:val="00F5404C"/>
    <w:rsid w:val="00F547BF"/>
    <w:rsid w:val="00F5536E"/>
    <w:rsid w:val="00F56889"/>
    <w:rsid w:val="00F5695F"/>
    <w:rsid w:val="00F641ED"/>
    <w:rsid w:val="00F6510A"/>
    <w:rsid w:val="00F65AA1"/>
    <w:rsid w:val="00F66ED0"/>
    <w:rsid w:val="00F729EF"/>
    <w:rsid w:val="00F74389"/>
    <w:rsid w:val="00F7449F"/>
    <w:rsid w:val="00F77CAE"/>
    <w:rsid w:val="00F77ECA"/>
    <w:rsid w:val="00F80C89"/>
    <w:rsid w:val="00F816DA"/>
    <w:rsid w:val="00F82271"/>
    <w:rsid w:val="00F83324"/>
    <w:rsid w:val="00F83428"/>
    <w:rsid w:val="00F86C88"/>
    <w:rsid w:val="00F87839"/>
    <w:rsid w:val="00F90BC3"/>
    <w:rsid w:val="00F916F5"/>
    <w:rsid w:val="00F91CA7"/>
    <w:rsid w:val="00F96BB9"/>
    <w:rsid w:val="00FA4C59"/>
    <w:rsid w:val="00FA5699"/>
    <w:rsid w:val="00FA6FFD"/>
    <w:rsid w:val="00FB2154"/>
    <w:rsid w:val="00FB3AE0"/>
    <w:rsid w:val="00FB4540"/>
    <w:rsid w:val="00FB4DD0"/>
    <w:rsid w:val="00FB53AF"/>
    <w:rsid w:val="00FB5CE6"/>
    <w:rsid w:val="00FB6735"/>
    <w:rsid w:val="00FC2D1C"/>
    <w:rsid w:val="00FC34F9"/>
    <w:rsid w:val="00FC6CEB"/>
    <w:rsid w:val="00FD0CAE"/>
    <w:rsid w:val="00FD5937"/>
    <w:rsid w:val="00FD5D3F"/>
    <w:rsid w:val="00FE16D9"/>
    <w:rsid w:val="00FE4186"/>
    <w:rsid w:val="00FE44F7"/>
    <w:rsid w:val="00FE4769"/>
    <w:rsid w:val="00FE5A30"/>
    <w:rsid w:val="00FE6D51"/>
    <w:rsid w:val="00FE74CD"/>
    <w:rsid w:val="00FF09F3"/>
    <w:rsid w:val="00FF31FF"/>
    <w:rsid w:val="00FF40BF"/>
    <w:rsid w:val="00FF58C2"/>
    <w:rsid w:val="00FF5A35"/>
    <w:rsid w:val="00FF62C0"/>
    <w:rsid w:val="00FF7855"/>
    <w:rsid w:val="00FF7F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38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7"/>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3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9"/>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10"/>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List Paragraph (numbered (a)),Normal 2,Main numbered paragraph"/>
    <w:basedOn w:val="Normal"/>
    <w:link w:val="ListParagraphChar"/>
    <w:uiPriority w:val="34"/>
    <w:qFormat/>
    <w:rsid w:val="00E36F9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List Paragraph (numbered (a)) Char,Normal 2 Char,Main numbered paragraph Char"/>
    <w:basedOn w:val="DefaultParagraphFont"/>
    <w:link w:val="ListParagraph"/>
    <w:uiPriority w:val="34"/>
    <w:locked/>
    <w:rsid w:val="00E36F9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7418"/>
    <w:rPr>
      <w:color w:val="800080" w:themeColor="followedHyperlink"/>
      <w:u w:val="single"/>
    </w:rPr>
  </w:style>
  <w:style w:type="character" w:styleId="CommentReference">
    <w:name w:val="annotation reference"/>
    <w:basedOn w:val="DefaultParagraphFont"/>
    <w:uiPriority w:val="99"/>
    <w:semiHidden/>
    <w:unhideWhenUsed/>
    <w:rsid w:val="000E3E75"/>
    <w:rPr>
      <w:sz w:val="16"/>
      <w:szCs w:val="16"/>
    </w:rPr>
  </w:style>
  <w:style w:type="paragraph" w:styleId="CommentText">
    <w:name w:val="annotation text"/>
    <w:basedOn w:val="Normal"/>
    <w:link w:val="CommentTextChar"/>
    <w:uiPriority w:val="99"/>
    <w:semiHidden/>
    <w:unhideWhenUsed/>
    <w:rsid w:val="000E3E75"/>
    <w:pPr>
      <w:pBdr>
        <w:top w:val="nil"/>
        <w:left w:val="nil"/>
        <w:bottom w:val="nil"/>
        <w:right w:val="nil"/>
        <w:between w:val="nil"/>
        <w:bar w:val="nil"/>
      </w:pBdr>
      <w:suppressAutoHyphens w:val="0"/>
      <w:spacing w:before="0" w:after="0" w:line="240" w:lineRule="auto"/>
    </w:pPr>
    <w:rPr>
      <w:rFonts w:ascii="Times New Roman" w:eastAsia="Arial Unicode MS" w:hAnsi="Times New Roman" w:cs="Times New Roman"/>
      <w:color w:val="auto"/>
      <w:sz w:val="20"/>
      <w:szCs w:val="20"/>
      <w:bdr w:val="nil"/>
      <w:lang w:val="en-US"/>
    </w:rPr>
  </w:style>
  <w:style w:type="character" w:customStyle="1" w:styleId="CommentTextChar">
    <w:name w:val="Comment Text Char"/>
    <w:basedOn w:val="DefaultParagraphFont"/>
    <w:link w:val="CommentText"/>
    <w:uiPriority w:val="99"/>
    <w:semiHidden/>
    <w:rsid w:val="000E3E75"/>
    <w:rPr>
      <w:rFonts w:ascii="Times New Roman" w:eastAsia="Arial Unicode MS" w:hAnsi="Times New Roman" w:cs="Times New Roman"/>
      <w:sz w:val="20"/>
      <w:szCs w:val="20"/>
      <w:bdr w:val="nil"/>
      <w:lang w:val="en-US"/>
    </w:rPr>
  </w:style>
  <w:style w:type="character" w:customStyle="1" w:styleId="NoneA">
    <w:name w:val="None A"/>
    <w:rsid w:val="00756E3E"/>
  </w:style>
  <w:style w:type="paragraph" w:customStyle="1" w:styleId="BodyA">
    <w:name w:val="Body A"/>
    <w:rsid w:val="00756E3E"/>
    <w:pPr>
      <w:pBdr>
        <w:top w:val="nil"/>
        <w:left w:val="nil"/>
        <w:bottom w:val="nil"/>
        <w:right w:val="nil"/>
        <w:between w:val="nil"/>
        <w:bar w:val="nil"/>
      </w:pBdr>
      <w:suppressAutoHyphens/>
      <w:spacing w:before="120" w:after="60" w:line="230" w:lineRule="atLeast"/>
    </w:pPr>
    <w:rPr>
      <w:rFonts w:ascii="Calibri Light" w:eastAsia="Calibri Light" w:hAnsi="Calibri Light" w:cs="Calibri Light"/>
      <w:color w:val="495965"/>
      <w:u w:color="495965"/>
      <w:bdr w:val="nil"/>
      <w:lang w:val="en-US" w:eastAsia="en-AU"/>
    </w:rPr>
  </w:style>
  <w:style w:type="table" w:customStyle="1" w:styleId="APPR1">
    <w:name w:val="APPR1"/>
    <w:basedOn w:val="TableNormal"/>
    <w:uiPriority w:val="99"/>
    <w:rsid w:val="00872730"/>
    <w:pPr>
      <w:spacing w:after="0" w:line="240" w:lineRule="auto"/>
    </w:pPr>
    <w:rPr>
      <w:rFonts w:ascii="Franklin Gothic Book" w:eastAsia="Calibri" w:hAnsi="Franklin Gothic Book" w:cs="Times New Roman"/>
      <w:sz w:val="17"/>
      <w:lang w:eastAsia="en-AU"/>
    </w:rPr>
    <w:tblPr>
      <w:tblStyleRowBandSize w:val="1"/>
      <w:tblCellSpacing w:w="14" w:type="dxa"/>
      <w:tblBorders>
        <w:top w:val="single" w:sz="12" w:space="0" w:color="000000"/>
        <w:bottom w:val="single" w:sz="12" w:space="0" w:color="000000"/>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CommentSubject">
    <w:name w:val="annotation subject"/>
    <w:basedOn w:val="CommentText"/>
    <w:next w:val="CommentText"/>
    <w:link w:val="CommentSubjectChar"/>
    <w:uiPriority w:val="99"/>
    <w:semiHidden/>
    <w:unhideWhenUsed/>
    <w:rsid w:val="00A30BC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60"/>
    </w:pPr>
    <w:rPr>
      <w:rFonts w:asciiTheme="minorHAnsi" w:eastAsiaTheme="minorHAnsi" w:hAnsiTheme="minorHAnsi" w:cstheme="minorBidi"/>
      <w:b/>
      <w:bCs/>
      <w:color w:val="495965" w:themeColor="text2"/>
      <w:bdr w:val="none" w:sz="0" w:space="0" w:color="auto"/>
      <w:lang w:val="en-GB"/>
    </w:rPr>
  </w:style>
  <w:style w:type="character" w:customStyle="1" w:styleId="CommentSubjectChar">
    <w:name w:val="Comment Subject Char"/>
    <w:basedOn w:val="CommentTextChar"/>
    <w:link w:val="CommentSubject"/>
    <w:uiPriority w:val="99"/>
    <w:semiHidden/>
    <w:rsid w:val="00A30BCF"/>
    <w:rPr>
      <w:rFonts w:ascii="Times New Roman" w:eastAsia="Arial Unicode MS" w:hAnsi="Times New Roman" w:cs="Times New Roman"/>
      <w:b/>
      <w:bCs/>
      <w:color w:val="495965" w:themeColor="text2"/>
      <w:sz w:val="20"/>
      <w:szCs w:val="20"/>
      <w:bdr w:val="nil"/>
      <w:lang w:val="en-GB"/>
    </w:rPr>
  </w:style>
  <w:style w:type="paragraph" w:styleId="Revision">
    <w:name w:val="Revision"/>
    <w:hidden/>
    <w:uiPriority w:val="99"/>
    <w:semiHidden/>
    <w:rsid w:val="00913E1E"/>
    <w:pPr>
      <w:spacing w:after="0" w:line="240" w:lineRule="auto"/>
    </w:pPr>
    <w:rPr>
      <w:color w:val="495965" w:themeColor="text2"/>
      <w:lang w:val="en-GB"/>
    </w:rPr>
  </w:style>
  <w:style w:type="paragraph" w:styleId="EndnoteText">
    <w:name w:val="endnote text"/>
    <w:basedOn w:val="Normal"/>
    <w:link w:val="EndnoteTextChar"/>
    <w:uiPriority w:val="99"/>
    <w:semiHidden/>
    <w:unhideWhenUsed/>
    <w:rsid w:val="00C2297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2297A"/>
    <w:rPr>
      <w:color w:val="495965" w:themeColor="text2"/>
      <w:sz w:val="20"/>
      <w:szCs w:val="20"/>
      <w:lang w:val="en-GB"/>
    </w:rPr>
  </w:style>
  <w:style w:type="character" w:styleId="EndnoteReference">
    <w:name w:val="endnote reference"/>
    <w:basedOn w:val="DefaultParagraphFont"/>
    <w:uiPriority w:val="99"/>
    <w:semiHidden/>
    <w:unhideWhenUsed/>
    <w:rsid w:val="00C2297A"/>
    <w:rPr>
      <w:vertAlign w:val="superscript"/>
    </w:rPr>
  </w:style>
  <w:style w:type="paragraph" w:customStyle="1" w:styleId="Default">
    <w:name w:val="Default"/>
    <w:rsid w:val="00F56889"/>
    <w:pPr>
      <w:autoSpaceDE w:val="0"/>
      <w:autoSpaceDN w:val="0"/>
      <w:adjustRightInd w:val="0"/>
      <w:spacing w:after="0" w:line="240" w:lineRule="auto"/>
    </w:pPr>
    <w:rPr>
      <w:rFonts w:ascii="Calibri Light" w:hAnsi="Calibri Light" w:cs="Calibri Light"/>
      <w:color w:val="000000"/>
      <w:sz w:val="24"/>
      <w:szCs w:val="24"/>
    </w:rPr>
  </w:style>
  <w:style w:type="table" w:customStyle="1" w:styleId="APPR2">
    <w:name w:val="APPR2"/>
    <w:basedOn w:val="TableNormal"/>
    <w:uiPriority w:val="99"/>
    <w:rsid w:val="009A6EB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0762">
      <w:bodyDiv w:val="1"/>
      <w:marLeft w:val="0"/>
      <w:marRight w:val="0"/>
      <w:marTop w:val="0"/>
      <w:marBottom w:val="0"/>
      <w:divBdr>
        <w:top w:val="none" w:sz="0" w:space="0" w:color="auto"/>
        <w:left w:val="none" w:sz="0" w:space="0" w:color="auto"/>
        <w:bottom w:val="none" w:sz="0" w:space="0" w:color="auto"/>
        <w:right w:val="none" w:sz="0" w:space="0" w:color="auto"/>
      </w:divBdr>
    </w:div>
    <w:div w:id="57554621">
      <w:bodyDiv w:val="1"/>
      <w:marLeft w:val="0"/>
      <w:marRight w:val="0"/>
      <w:marTop w:val="0"/>
      <w:marBottom w:val="0"/>
      <w:divBdr>
        <w:top w:val="none" w:sz="0" w:space="0" w:color="auto"/>
        <w:left w:val="none" w:sz="0" w:space="0" w:color="auto"/>
        <w:bottom w:val="none" w:sz="0" w:space="0" w:color="auto"/>
        <w:right w:val="none" w:sz="0" w:space="0" w:color="auto"/>
      </w:divBdr>
    </w:div>
    <w:div w:id="60371307">
      <w:bodyDiv w:val="1"/>
      <w:marLeft w:val="0"/>
      <w:marRight w:val="0"/>
      <w:marTop w:val="0"/>
      <w:marBottom w:val="0"/>
      <w:divBdr>
        <w:top w:val="none" w:sz="0" w:space="0" w:color="auto"/>
        <w:left w:val="none" w:sz="0" w:space="0" w:color="auto"/>
        <w:bottom w:val="none" w:sz="0" w:space="0" w:color="auto"/>
        <w:right w:val="none" w:sz="0" w:space="0" w:color="auto"/>
      </w:divBdr>
    </w:div>
    <w:div w:id="60372181">
      <w:bodyDiv w:val="1"/>
      <w:marLeft w:val="0"/>
      <w:marRight w:val="0"/>
      <w:marTop w:val="0"/>
      <w:marBottom w:val="0"/>
      <w:divBdr>
        <w:top w:val="none" w:sz="0" w:space="0" w:color="auto"/>
        <w:left w:val="none" w:sz="0" w:space="0" w:color="auto"/>
        <w:bottom w:val="none" w:sz="0" w:space="0" w:color="auto"/>
        <w:right w:val="none" w:sz="0" w:space="0" w:color="auto"/>
      </w:divBdr>
    </w:div>
    <w:div w:id="185564689">
      <w:bodyDiv w:val="1"/>
      <w:marLeft w:val="0"/>
      <w:marRight w:val="0"/>
      <w:marTop w:val="0"/>
      <w:marBottom w:val="0"/>
      <w:divBdr>
        <w:top w:val="none" w:sz="0" w:space="0" w:color="auto"/>
        <w:left w:val="none" w:sz="0" w:space="0" w:color="auto"/>
        <w:bottom w:val="none" w:sz="0" w:space="0" w:color="auto"/>
        <w:right w:val="none" w:sz="0" w:space="0" w:color="auto"/>
      </w:divBdr>
    </w:div>
    <w:div w:id="392774031">
      <w:bodyDiv w:val="1"/>
      <w:marLeft w:val="0"/>
      <w:marRight w:val="0"/>
      <w:marTop w:val="0"/>
      <w:marBottom w:val="0"/>
      <w:divBdr>
        <w:top w:val="none" w:sz="0" w:space="0" w:color="auto"/>
        <w:left w:val="none" w:sz="0" w:space="0" w:color="auto"/>
        <w:bottom w:val="none" w:sz="0" w:space="0" w:color="auto"/>
        <w:right w:val="none" w:sz="0" w:space="0" w:color="auto"/>
      </w:divBdr>
    </w:div>
    <w:div w:id="745299112">
      <w:bodyDiv w:val="1"/>
      <w:marLeft w:val="0"/>
      <w:marRight w:val="0"/>
      <w:marTop w:val="0"/>
      <w:marBottom w:val="0"/>
      <w:divBdr>
        <w:top w:val="none" w:sz="0" w:space="0" w:color="auto"/>
        <w:left w:val="none" w:sz="0" w:space="0" w:color="auto"/>
        <w:bottom w:val="none" w:sz="0" w:space="0" w:color="auto"/>
        <w:right w:val="none" w:sz="0" w:space="0" w:color="auto"/>
      </w:divBdr>
    </w:div>
    <w:div w:id="803545733">
      <w:bodyDiv w:val="1"/>
      <w:marLeft w:val="0"/>
      <w:marRight w:val="0"/>
      <w:marTop w:val="0"/>
      <w:marBottom w:val="0"/>
      <w:divBdr>
        <w:top w:val="none" w:sz="0" w:space="0" w:color="auto"/>
        <w:left w:val="none" w:sz="0" w:space="0" w:color="auto"/>
        <w:bottom w:val="none" w:sz="0" w:space="0" w:color="auto"/>
        <w:right w:val="none" w:sz="0" w:space="0" w:color="auto"/>
      </w:divBdr>
    </w:div>
    <w:div w:id="843474226">
      <w:bodyDiv w:val="1"/>
      <w:marLeft w:val="0"/>
      <w:marRight w:val="0"/>
      <w:marTop w:val="0"/>
      <w:marBottom w:val="0"/>
      <w:divBdr>
        <w:top w:val="none" w:sz="0" w:space="0" w:color="auto"/>
        <w:left w:val="none" w:sz="0" w:space="0" w:color="auto"/>
        <w:bottom w:val="none" w:sz="0" w:space="0" w:color="auto"/>
        <w:right w:val="none" w:sz="0" w:space="0" w:color="auto"/>
      </w:divBdr>
    </w:div>
    <w:div w:id="918489410">
      <w:bodyDiv w:val="1"/>
      <w:marLeft w:val="0"/>
      <w:marRight w:val="0"/>
      <w:marTop w:val="0"/>
      <w:marBottom w:val="0"/>
      <w:divBdr>
        <w:top w:val="none" w:sz="0" w:space="0" w:color="auto"/>
        <w:left w:val="none" w:sz="0" w:space="0" w:color="auto"/>
        <w:bottom w:val="none" w:sz="0" w:space="0" w:color="auto"/>
        <w:right w:val="none" w:sz="0" w:space="0" w:color="auto"/>
      </w:divBdr>
    </w:div>
    <w:div w:id="966815458">
      <w:bodyDiv w:val="1"/>
      <w:marLeft w:val="0"/>
      <w:marRight w:val="0"/>
      <w:marTop w:val="0"/>
      <w:marBottom w:val="0"/>
      <w:divBdr>
        <w:top w:val="none" w:sz="0" w:space="0" w:color="auto"/>
        <w:left w:val="none" w:sz="0" w:space="0" w:color="auto"/>
        <w:bottom w:val="none" w:sz="0" w:space="0" w:color="auto"/>
        <w:right w:val="none" w:sz="0" w:space="0" w:color="auto"/>
      </w:divBdr>
    </w:div>
    <w:div w:id="977882162">
      <w:bodyDiv w:val="1"/>
      <w:marLeft w:val="0"/>
      <w:marRight w:val="0"/>
      <w:marTop w:val="0"/>
      <w:marBottom w:val="0"/>
      <w:divBdr>
        <w:top w:val="none" w:sz="0" w:space="0" w:color="auto"/>
        <w:left w:val="none" w:sz="0" w:space="0" w:color="auto"/>
        <w:bottom w:val="none" w:sz="0" w:space="0" w:color="auto"/>
        <w:right w:val="none" w:sz="0" w:space="0" w:color="auto"/>
      </w:divBdr>
    </w:div>
    <w:div w:id="991758516">
      <w:bodyDiv w:val="1"/>
      <w:marLeft w:val="0"/>
      <w:marRight w:val="0"/>
      <w:marTop w:val="0"/>
      <w:marBottom w:val="0"/>
      <w:divBdr>
        <w:top w:val="none" w:sz="0" w:space="0" w:color="auto"/>
        <w:left w:val="none" w:sz="0" w:space="0" w:color="auto"/>
        <w:bottom w:val="none" w:sz="0" w:space="0" w:color="auto"/>
        <w:right w:val="none" w:sz="0" w:space="0" w:color="auto"/>
      </w:divBdr>
    </w:div>
    <w:div w:id="1058240243">
      <w:bodyDiv w:val="1"/>
      <w:marLeft w:val="0"/>
      <w:marRight w:val="0"/>
      <w:marTop w:val="0"/>
      <w:marBottom w:val="0"/>
      <w:divBdr>
        <w:top w:val="none" w:sz="0" w:space="0" w:color="auto"/>
        <w:left w:val="none" w:sz="0" w:space="0" w:color="auto"/>
        <w:bottom w:val="none" w:sz="0" w:space="0" w:color="auto"/>
        <w:right w:val="none" w:sz="0" w:space="0" w:color="auto"/>
      </w:divBdr>
    </w:div>
    <w:div w:id="1086463351">
      <w:bodyDiv w:val="1"/>
      <w:marLeft w:val="0"/>
      <w:marRight w:val="0"/>
      <w:marTop w:val="0"/>
      <w:marBottom w:val="0"/>
      <w:divBdr>
        <w:top w:val="none" w:sz="0" w:space="0" w:color="auto"/>
        <w:left w:val="none" w:sz="0" w:space="0" w:color="auto"/>
        <w:bottom w:val="none" w:sz="0" w:space="0" w:color="auto"/>
        <w:right w:val="none" w:sz="0" w:space="0" w:color="auto"/>
      </w:divBdr>
    </w:div>
    <w:div w:id="1227302238">
      <w:bodyDiv w:val="1"/>
      <w:marLeft w:val="0"/>
      <w:marRight w:val="0"/>
      <w:marTop w:val="0"/>
      <w:marBottom w:val="0"/>
      <w:divBdr>
        <w:top w:val="none" w:sz="0" w:space="0" w:color="auto"/>
        <w:left w:val="none" w:sz="0" w:space="0" w:color="auto"/>
        <w:bottom w:val="none" w:sz="0" w:space="0" w:color="auto"/>
        <w:right w:val="none" w:sz="0" w:space="0" w:color="auto"/>
      </w:divBdr>
    </w:div>
    <w:div w:id="1251622696">
      <w:bodyDiv w:val="1"/>
      <w:marLeft w:val="0"/>
      <w:marRight w:val="0"/>
      <w:marTop w:val="0"/>
      <w:marBottom w:val="0"/>
      <w:divBdr>
        <w:top w:val="none" w:sz="0" w:space="0" w:color="auto"/>
        <w:left w:val="none" w:sz="0" w:space="0" w:color="auto"/>
        <w:bottom w:val="none" w:sz="0" w:space="0" w:color="auto"/>
        <w:right w:val="none" w:sz="0" w:space="0" w:color="auto"/>
      </w:divBdr>
    </w:div>
    <w:div w:id="1296107820">
      <w:bodyDiv w:val="1"/>
      <w:marLeft w:val="0"/>
      <w:marRight w:val="0"/>
      <w:marTop w:val="0"/>
      <w:marBottom w:val="0"/>
      <w:divBdr>
        <w:top w:val="none" w:sz="0" w:space="0" w:color="auto"/>
        <w:left w:val="none" w:sz="0" w:space="0" w:color="auto"/>
        <w:bottom w:val="none" w:sz="0" w:space="0" w:color="auto"/>
        <w:right w:val="none" w:sz="0" w:space="0" w:color="auto"/>
      </w:divBdr>
    </w:div>
    <w:div w:id="1304853866">
      <w:bodyDiv w:val="1"/>
      <w:marLeft w:val="0"/>
      <w:marRight w:val="0"/>
      <w:marTop w:val="0"/>
      <w:marBottom w:val="0"/>
      <w:divBdr>
        <w:top w:val="none" w:sz="0" w:space="0" w:color="auto"/>
        <w:left w:val="none" w:sz="0" w:space="0" w:color="auto"/>
        <w:bottom w:val="none" w:sz="0" w:space="0" w:color="auto"/>
        <w:right w:val="none" w:sz="0" w:space="0" w:color="auto"/>
      </w:divBdr>
    </w:div>
    <w:div w:id="1636376326">
      <w:bodyDiv w:val="1"/>
      <w:marLeft w:val="0"/>
      <w:marRight w:val="0"/>
      <w:marTop w:val="0"/>
      <w:marBottom w:val="0"/>
      <w:divBdr>
        <w:top w:val="none" w:sz="0" w:space="0" w:color="auto"/>
        <w:left w:val="none" w:sz="0" w:space="0" w:color="auto"/>
        <w:bottom w:val="none" w:sz="0" w:space="0" w:color="auto"/>
        <w:right w:val="none" w:sz="0" w:space="0" w:color="auto"/>
      </w:divBdr>
    </w:div>
    <w:div w:id="1679577198">
      <w:bodyDiv w:val="1"/>
      <w:marLeft w:val="0"/>
      <w:marRight w:val="0"/>
      <w:marTop w:val="0"/>
      <w:marBottom w:val="0"/>
      <w:divBdr>
        <w:top w:val="none" w:sz="0" w:space="0" w:color="auto"/>
        <w:left w:val="none" w:sz="0" w:space="0" w:color="auto"/>
        <w:bottom w:val="none" w:sz="0" w:space="0" w:color="auto"/>
        <w:right w:val="none" w:sz="0" w:space="0" w:color="auto"/>
      </w:divBdr>
    </w:div>
    <w:div w:id="1711607342">
      <w:bodyDiv w:val="1"/>
      <w:marLeft w:val="0"/>
      <w:marRight w:val="0"/>
      <w:marTop w:val="0"/>
      <w:marBottom w:val="0"/>
      <w:divBdr>
        <w:top w:val="none" w:sz="0" w:space="0" w:color="auto"/>
        <w:left w:val="none" w:sz="0" w:space="0" w:color="auto"/>
        <w:bottom w:val="none" w:sz="0" w:space="0" w:color="auto"/>
        <w:right w:val="none" w:sz="0" w:space="0" w:color="auto"/>
      </w:divBdr>
    </w:div>
    <w:div w:id="1726562620">
      <w:bodyDiv w:val="1"/>
      <w:marLeft w:val="0"/>
      <w:marRight w:val="0"/>
      <w:marTop w:val="0"/>
      <w:marBottom w:val="0"/>
      <w:divBdr>
        <w:top w:val="none" w:sz="0" w:space="0" w:color="auto"/>
        <w:left w:val="none" w:sz="0" w:space="0" w:color="auto"/>
        <w:bottom w:val="none" w:sz="0" w:space="0" w:color="auto"/>
        <w:right w:val="none" w:sz="0" w:space="0" w:color="auto"/>
      </w:divBdr>
    </w:div>
    <w:div w:id="1859923937">
      <w:bodyDiv w:val="1"/>
      <w:marLeft w:val="0"/>
      <w:marRight w:val="0"/>
      <w:marTop w:val="0"/>
      <w:marBottom w:val="0"/>
      <w:divBdr>
        <w:top w:val="none" w:sz="0" w:space="0" w:color="auto"/>
        <w:left w:val="none" w:sz="0" w:space="0" w:color="auto"/>
        <w:bottom w:val="none" w:sz="0" w:space="0" w:color="auto"/>
        <w:right w:val="none" w:sz="0" w:space="0" w:color="auto"/>
      </w:divBdr>
    </w:div>
    <w:div w:id="2016498353">
      <w:bodyDiv w:val="1"/>
      <w:marLeft w:val="0"/>
      <w:marRight w:val="0"/>
      <w:marTop w:val="0"/>
      <w:marBottom w:val="0"/>
      <w:divBdr>
        <w:top w:val="none" w:sz="0" w:space="0" w:color="auto"/>
        <w:left w:val="none" w:sz="0" w:space="0" w:color="auto"/>
        <w:bottom w:val="none" w:sz="0" w:space="0" w:color="auto"/>
        <w:right w:val="none" w:sz="0" w:space="0" w:color="auto"/>
      </w:divBdr>
    </w:div>
    <w:div w:id="213209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3.png"/><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wmf"/><Relationship Id="rId25" Type="http://schemas.openxmlformats.org/officeDocument/2006/relationships/image" Target="media/image12.png"/><Relationship Id="rId33" Type="http://schemas.openxmlformats.org/officeDocument/2006/relationships/header" Target="header7.xml"/><Relationship Id="rId38" Type="http://schemas.openxmlformats.org/officeDocument/2006/relationships/customXml" Target="../customXml/item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image" Target="media/image7.png"/><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footer" Target="footer4.xml"/><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devtracker.dfid.gov.uk/projects/GB-1-114175/documents/" TargetMode="External"/><Relationship Id="rId2" Type="http://schemas.openxmlformats.org/officeDocument/2006/relationships/hyperlink" Target="http://bbs.portal.gov.bd/sites/default/files/files/bbs.portal.gov.bd/page/057b0f3b_a9e8_4fde_b3a6_6daec3853586/GDP_2016_17_Approved.pdf" TargetMode="External"/><Relationship Id="rId1" Type="http://schemas.openxmlformats.org/officeDocument/2006/relationships/hyperlink" Target="https://devtracker.dfid.gov.uk/projects/GB-1-202972/docum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AAB93B-AD08-40A5-B6A5-D943070A151A}"/>
</file>

<file path=customXml/itemProps2.xml><?xml version="1.0" encoding="utf-8"?>
<ds:datastoreItem xmlns:ds="http://schemas.openxmlformats.org/officeDocument/2006/customXml" ds:itemID="{BF78FAD9-4A03-433D-B33F-11F134F4DFE5}"/>
</file>

<file path=customXml/itemProps3.xml><?xml version="1.0" encoding="utf-8"?>
<ds:datastoreItem xmlns:ds="http://schemas.openxmlformats.org/officeDocument/2006/customXml" ds:itemID="{5AF6E91F-DE12-4F54-9955-2AAEF2A0AC55}"/>
</file>

<file path=customXml/itemProps4.xml><?xml version="1.0" encoding="utf-8"?>
<ds:datastoreItem xmlns:ds="http://schemas.openxmlformats.org/officeDocument/2006/customXml" ds:itemID="{3D738CF3-7E2E-4A77-B92D-BFCCBDCBAD76}"/>
</file>

<file path=docProps/app.xml><?xml version="1.0" encoding="utf-8"?>
<Properties xmlns="http://schemas.openxmlformats.org/officeDocument/2006/extended-properties" xmlns:vt="http://schemas.openxmlformats.org/officeDocument/2006/docPropsVTypes">
  <Template>Normal.dotm</Template>
  <TotalTime>0</TotalTime>
  <Pages>31</Pages>
  <Words>11189</Words>
  <Characters>63778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Bangladesh Aid Program Performance Report 2016-17</vt:lpstr>
    </vt:vector>
  </TitlesOfParts>
  <Company/>
  <LinksUpToDate>false</LinksUpToDate>
  <CharactersWithSpaces>74818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Bangladesh Aid Program Performance Report 2016-17</dc:title>
  <dc:creator/>
  <cp:lastModifiedBy/>
  <cp:revision>1</cp:revision>
  <dcterms:created xsi:type="dcterms:W3CDTF">2017-09-21T02:59:00Z</dcterms:created>
  <dcterms:modified xsi:type="dcterms:W3CDTF">2017-09-21T02:59:00Z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f0a3ad4e-dc17-4240-bb5a-c5010064affb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1122800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