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D533E" w14:textId="77777777" w:rsidR="000D733F" w:rsidRDefault="000D733F">
      <w:pPr>
        <w:spacing w:after="200" w:line="276" w:lineRule="auto"/>
      </w:pPr>
    </w:p>
    <w:p w14:paraId="5BFF407F" w14:textId="77777777" w:rsidR="000D733F" w:rsidRDefault="000D733F" w:rsidP="009E79EC"/>
    <w:p w14:paraId="6A5A3335" w14:textId="77777777" w:rsidR="000D733F" w:rsidRDefault="000D733F">
      <w:pPr>
        <w:spacing w:after="200" w:line="276" w:lineRule="auto"/>
      </w:pPr>
    </w:p>
    <w:p w14:paraId="216B67C0" w14:textId="77777777" w:rsidR="000D733F" w:rsidRDefault="000D733F">
      <w:pPr>
        <w:spacing w:after="200" w:line="276" w:lineRule="auto"/>
      </w:pPr>
    </w:p>
    <w:p w14:paraId="3077EF04" w14:textId="77777777" w:rsidR="001227C3" w:rsidRDefault="001227C3" w:rsidP="000D733F">
      <w:pPr>
        <w:pStyle w:val="Title"/>
        <w:ind w:left="2694" w:right="-624"/>
        <w:rPr>
          <w:noProof/>
          <w:color w:val="FFFFFF"/>
          <w:spacing w:val="0"/>
          <w:sz w:val="50"/>
          <w:szCs w:val="50"/>
          <w:lang w:val="en-US" w:eastAsia="en-US"/>
        </w:rPr>
      </w:pPr>
    </w:p>
    <w:p w14:paraId="04194420" w14:textId="77777777" w:rsidR="001227C3" w:rsidRDefault="001227C3" w:rsidP="000D733F">
      <w:pPr>
        <w:pStyle w:val="Title"/>
        <w:ind w:left="2694" w:right="-624"/>
        <w:rPr>
          <w:noProof/>
          <w:color w:val="FFFFFF"/>
          <w:spacing w:val="0"/>
          <w:sz w:val="50"/>
          <w:szCs w:val="50"/>
          <w:lang w:val="en-US" w:eastAsia="en-US"/>
        </w:rPr>
      </w:pPr>
    </w:p>
    <w:p w14:paraId="585720AB" w14:textId="77777777" w:rsidR="001227C3" w:rsidRDefault="001227C3" w:rsidP="000D733F">
      <w:pPr>
        <w:pStyle w:val="Title"/>
        <w:ind w:left="2694" w:right="-624"/>
        <w:rPr>
          <w:noProof/>
          <w:color w:val="FFFFFF"/>
          <w:spacing w:val="0"/>
          <w:sz w:val="50"/>
          <w:szCs w:val="50"/>
          <w:lang w:val="en-US" w:eastAsia="en-US"/>
        </w:rPr>
      </w:pPr>
    </w:p>
    <w:p w14:paraId="218D1DEF" w14:textId="77777777" w:rsidR="001227C3" w:rsidRDefault="001227C3" w:rsidP="000D733F">
      <w:pPr>
        <w:pStyle w:val="Title"/>
        <w:ind w:left="2694" w:right="-624"/>
        <w:rPr>
          <w:noProof/>
          <w:color w:val="FFFFFF"/>
          <w:spacing w:val="0"/>
          <w:sz w:val="50"/>
          <w:szCs w:val="50"/>
          <w:lang w:val="en-US" w:eastAsia="en-US"/>
        </w:rPr>
      </w:pPr>
    </w:p>
    <w:p w14:paraId="3DC21D2F" w14:textId="77777777" w:rsidR="001227C3" w:rsidRDefault="001227C3" w:rsidP="000D733F">
      <w:pPr>
        <w:pStyle w:val="Title"/>
        <w:ind w:left="2694" w:right="-624"/>
        <w:rPr>
          <w:noProof/>
          <w:color w:val="FFFFFF"/>
          <w:spacing w:val="0"/>
          <w:sz w:val="50"/>
          <w:szCs w:val="50"/>
          <w:lang w:val="en-US" w:eastAsia="en-US"/>
        </w:rPr>
      </w:pPr>
    </w:p>
    <w:p w14:paraId="5AE6793A" w14:textId="77777777" w:rsidR="001227C3" w:rsidRDefault="001227C3" w:rsidP="000D733F">
      <w:pPr>
        <w:pStyle w:val="Title"/>
        <w:ind w:left="2694" w:right="-624"/>
        <w:rPr>
          <w:noProof/>
          <w:color w:val="FFFFFF"/>
          <w:spacing w:val="0"/>
          <w:sz w:val="50"/>
          <w:szCs w:val="50"/>
          <w:lang w:val="en-US" w:eastAsia="en-US"/>
        </w:rPr>
      </w:pPr>
    </w:p>
    <w:p w14:paraId="56C58826" w14:textId="77777777" w:rsidR="001227C3" w:rsidRDefault="001227C3" w:rsidP="000D733F">
      <w:pPr>
        <w:pStyle w:val="Title"/>
        <w:ind w:left="2694" w:right="-624"/>
        <w:rPr>
          <w:noProof/>
          <w:color w:val="FFFFFF"/>
          <w:spacing w:val="0"/>
          <w:sz w:val="50"/>
          <w:szCs w:val="50"/>
          <w:lang w:val="en-US" w:eastAsia="en-US"/>
        </w:rPr>
      </w:pPr>
    </w:p>
    <w:p w14:paraId="73051116" w14:textId="77777777" w:rsidR="001227C3" w:rsidRDefault="001227C3" w:rsidP="000D733F">
      <w:pPr>
        <w:pStyle w:val="Title"/>
        <w:ind w:left="2694" w:right="-624"/>
        <w:rPr>
          <w:noProof/>
          <w:color w:val="FFFFFF"/>
          <w:spacing w:val="0"/>
          <w:sz w:val="50"/>
          <w:szCs w:val="50"/>
          <w:lang w:val="en-US" w:eastAsia="en-US"/>
        </w:rPr>
      </w:pPr>
    </w:p>
    <w:p w14:paraId="246D7FCA" w14:textId="77777777" w:rsidR="001227C3" w:rsidRDefault="001227C3" w:rsidP="000D733F">
      <w:pPr>
        <w:pStyle w:val="Title"/>
        <w:ind w:left="2694" w:right="-624"/>
        <w:rPr>
          <w:noProof/>
          <w:color w:val="FFFFFF"/>
          <w:spacing w:val="0"/>
          <w:sz w:val="50"/>
          <w:szCs w:val="50"/>
          <w:lang w:val="en-US" w:eastAsia="en-US"/>
        </w:rPr>
      </w:pPr>
    </w:p>
    <w:p w14:paraId="17CC3988" w14:textId="77777777" w:rsidR="001227C3" w:rsidRDefault="001227C3" w:rsidP="000D733F">
      <w:pPr>
        <w:pStyle w:val="Title"/>
        <w:ind w:left="2694" w:right="-624"/>
        <w:rPr>
          <w:noProof/>
          <w:color w:val="FFFFFF"/>
          <w:spacing w:val="0"/>
          <w:sz w:val="50"/>
          <w:szCs w:val="50"/>
          <w:lang w:val="en-US" w:eastAsia="en-US"/>
        </w:rPr>
      </w:pPr>
    </w:p>
    <w:p w14:paraId="10C7E562" w14:textId="77777777"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Aid</w:t>
      </w:r>
      <w:r w:rsidR="008D280D">
        <w:rPr>
          <w:noProof/>
          <w:color w:val="FFFFFF"/>
          <w:spacing w:val="0"/>
          <w:sz w:val="50"/>
          <w:szCs w:val="50"/>
          <w:lang w:val="en-US" w:eastAsia="en-US"/>
        </w:rPr>
        <w:t xml:space="preserve"> Program Performance Report 2014-15</w:t>
      </w:r>
      <w:r w:rsidRPr="001227C3">
        <w:rPr>
          <w:noProof/>
          <w:color w:val="FFFFFF"/>
          <w:spacing w:val="0"/>
          <w:sz w:val="50"/>
          <w:szCs w:val="50"/>
          <w:lang w:val="en-US" w:eastAsia="en-US"/>
        </w:rPr>
        <w:t xml:space="preserve"> </w:t>
      </w:r>
      <w:bookmarkStart w:id="0" w:name="_GoBack"/>
      <w:r w:rsidRPr="001227C3">
        <w:rPr>
          <w:noProof/>
          <w:color w:val="FFFFFF"/>
          <w:spacing w:val="0"/>
          <w:sz w:val="50"/>
          <w:szCs w:val="50"/>
        </w:rPr>
        <w:drawing>
          <wp:anchor distT="0" distB="0" distL="114300" distR="114300" simplePos="0" relativeHeight="251662336" behindDoc="1" locked="1" layoutInCell="1" allowOverlap="1" wp14:anchorId="0E75C75E" wp14:editId="713BDFCF">
            <wp:simplePos x="0" y="0"/>
            <wp:positionH relativeFrom="page">
              <wp:posOffset>-189230</wp:posOffset>
            </wp:positionH>
            <wp:positionV relativeFrom="page">
              <wp:posOffset>-353060</wp:posOffset>
            </wp:positionV>
            <wp:extent cx="7961630" cy="11262995"/>
            <wp:effectExtent l="0" t="0" r="1270"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961630" cy="112629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5FB7A54F" w14:textId="77777777" w:rsidR="000D733F" w:rsidRDefault="00DE13C9"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Bangladesh</w:t>
      </w:r>
      <w:r w:rsidR="000D733F" w:rsidRPr="001227C3">
        <w:rPr>
          <w:noProof/>
          <w:color w:val="FFFFFF"/>
          <w:spacing w:val="0"/>
          <w:sz w:val="32"/>
          <w:szCs w:val="32"/>
          <w:lang w:val="en-US" w:eastAsia="en-US"/>
        </w:rPr>
        <w:t xml:space="preserve"> </w:t>
      </w:r>
    </w:p>
    <w:p w14:paraId="234DB732" w14:textId="77777777" w:rsidR="00CE1DFB" w:rsidRPr="00CE1DFB" w:rsidRDefault="00CE1DFB" w:rsidP="00CE1DFB">
      <w:pPr>
        <w:pStyle w:val="Date"/>
        <w:spacing w:before="200" w:after="600" w:line="380" w:lineRule="atLeast"/>
        <w:ind w:left="2694" w:right="-624"/>
        <w:rPr>
          <w:rFonts w:ascii="Helvetica" w:eastAsia="Times New Roman" w:hAnsi="Helvetica"/>
          <w:noProof/>
          <w:color w:val="FFFFFF"/>
          <w:kern w:val="28"/>
          <w:sz w:val="24"/>
          <w:lang w:val="en-US" w:eastAsia="en-US"/>
        </w:rPr>
      </w:pPr>
    </w:p>
    <w:p w14:paraId="7779B76D" w14:textId="77777777" w:rsidR="001D6059" w:rsidRPr="00CE1DFB" w:rsidRDefault="00125002" w:rsidP="00CE1DFB">
      <w:pPr>
        <w:pStyle w:val="Date"/>
        <w:spacing w:before="200" w:after="600" w:line="380" w:lineRule="atLeast"/>
        <w:ind w:left="2694" w:right="-624"/>
        <w:rPr>
          <w:rFonts w:ascii="Helvetica" w:eastAsia="Times New Roman" w:hAnsi="Helvetica"/>
          <w:noProof/>
          <w:color w:val="FFFFFF"/>
          <w:kern w:val="28"/>
          <w:sz w:val="24"/>
          <w:lang w:val="en-US" w:eastAsia="en-US"/>
        </w:rPr>
      </w:pPr>
      <w:r>
        <w:rPr>
          <w:rFonts w:ascii="Helvetica" w:eastAsia="Times New Roman" w:hAnsi="Helvetica"/>
          <w:noProof/>
          <w:color w:val="FFFFFF"/>
          <w:kern w:val="28"/>
          <w:sz w:val="24"/>
          <w:lang w:val="en-US" w:eastAsia="en-US"/>
        </w:rPr>
        <w:t>November</w:t>
      </w:r>
      <w:r w:rsidR="000D733F" w:rsidRPr="001227C3">
        <w:rPr>
          <w:rFonts w:ascii="Helvetica" w:eastAsia="Times New Roman" w:hAnsi="Helvetica"/>
          <w:noProof/>
          <w:color w:val="FFFFFF"/>
          <w:kern w:val="28"/>
          <w:sz w:val="24"/>
          <w:lang w:val="en-US" w:eastAsia="en-US"/>
        </w:rPr>
        <w:t xml:space="preserve"> 201</w:t>
      </w:r>
      <w:r>
        <w:rPr>
          <w:rFonts w:ascii="Helvetica" w:eastAsia="Times New Roman" w:hAnsi="Helvetica"/>
          <w:noProof/>
          <w:color w:val="FFFFFF"/>
          <w:kern w:val="28"/>
          <w:sz w:val="24"/>
          <w:lang w:val="en-US" w:eastAsia="en-US"/>
        </w:rPr>
        <w:t>5</w:t>
      </w:r>
    </w:p>
    <w:p w14:paraId="137ECEA1" w14:textId="77777777" w:rsidR="00DE13C9" w:rsidRDefault="000D733F" w:rsidP="00DE13C9">
      <w:pPr>
        <w:pStyle w:val="Heading2"/>
        <w:rPr>
          <w:sz w:val="32"/>
          <w:szCs w:val="32"/>
        </w:rPr>
      </w:pPr>
      <w:bookmarkStart w:id="1" w:name="_Toc373853205"/>
      <w:r w:rsidRPr="002660AA">
        <w:rPr>
          <w:sz w:val="28"/>
        </w:rPr>
        <w:lastRenderedPageBreak/>
        <w:t>Key Messages</w:t>
      </w:r>
      <w:bookmarkEnd w:id="1"/>
      <w:r w:rsidRPr="002660AA">
        <w:rPr>
          <w:sz w:val="28"/>
        </w:rPr>
        <w:tab/>
      </w:r>
      <w:r w:rsidRPr="009E38C1">
        <w:tab/>
      </w:r>
      <w:r>
        <w:rPr>
          <w:sz w:val="32"/>
          <w:szCs w:val="32"/>
        </w:rPr>
        <w:tab/>
      </w:r>
      <w:r>
        <w:rPr>
          <w:sz w:val="32"/>
          <w:szCs w:val="32"/>
        </w:rPr>
        <w:tab/>
      </w:r>
      <w:r>
        <w:rPr>
          <w:sz w:val="32"/>
          <w:szCs w:val="32"/>
        </w:rPr>
        <w:tab/>
      </w:r>
      <w:r>
        <w:rPr>
          <w:sz w:val="32"/>
          <w:szCs w:val="32"/>
        </w:rPr>
        <w:tab/>
      </w:r>
    </w:p>
    <w:p w14:paraId="02C9BE0D" w14:textId="2CF902C2" w:rsidR="00DE13C9" w:rsidRPr="00DE13C9" w:rsidRDefault="00DE13C9" w:rsidP="00E41EB3">
      <w:pPr>
        <w:pStyle w:val="ListBullet"/>
        <w:numPr>
          <w:ilvl w:val="0"/>
          <w:numId w:val="0"/>
        </w:numPr>
        <w:tabs>
          <w:tab w:val="clear" w:pos="284"/>
        </w:tabs>
        <w:jc w:val="both"/>
      </w:pPr>
      <w:r w:rsidRPr="00DE13C9">
        <w:t>This report summarises the progress of Australia’s aid investments in Bangladesh for the period July 2014</w:t>
      </w:r>
      <w:r w:rsidR="009C6B2A">
        <w:t xml:space="preserve"> </w:t>
      </w:r>
      <w:r w:rsidRPr="00DE13C9">
        <w:t>- June 2015 against the Australia</w:t>
      </w:r>
      <w:r w:rsidR="009C6B2A">
        <w:t xml:space="preserve"> </w:t>
      </w:r>
      <w:r w:rsidRPr="00DE13C9">
        <w:t xml:space="preserve">- Bangladesh Aid Program Strategy (2012-16).  Progress is measured using a Performance Assessment Framework (PAF) which includes indicators of </w:t>
      </w:r>
      <w:r w:rsidR="00924080">
        <w:t xml:space="preserve">performance </w:t>
      </w:r>
      <w:r w:rsidRPr="00DE13C9">
        <w:t>under each strategic objective.  Australia’s aid program to Bangladesh works towards the overarching goal of ‘helping to accelerate gains in poverty reduction and human development in support of the country’s vision for sustainable economic and social development’</w:t>
      </w:r>
      <w:r w:rsidR="008846D8">
        <w:rPr>
          <w:rStyle w:val="FootnoteReference"/>
        </w:rPr>
        <w:footnoteReference w:id="1"/>
      </w:r>
      <w:r w:rsidRPr="00DE13C9">
        <w:t>.</w:t>
      </w:r>
    </w:p>
    <w:p w14:paraId="108C97BF" w14:textId="29C89D57" w:rsidR="00DE13C9" w:rsidRPr="0054000C" w:rsidRDefault="00DE13C9" w:rsidP="008C7A69">
      <w:pPr>
        <w:pStyle w:val="ListBullet"/>
        <w:numPr>
          <w:ilvl w:val="0"/>
          <w:numId w:val="0"/>
        </w:numPr>
        <w:tabs>
          <w:tab w:val="clear" w:pos="284"/>
        </w:tabs>
        <w:jc w:val="both"/>
      </w:pPr>
      <w:r w:rsidRPr="0054000C">
        <w:t>The aid program in Bangladesh continue</w:t>
      </w:r>
      <w:r w:rsidR="00F32A1A">
        <w:t xml:space="preserve">d to support the Government of Bangladesh’s development agenda and </w:t>
      </w:r>
      <w:r w:rsidRPr="0054000C">
        <w:t>achieve</w:t>
      </w:r>
      <w:r w:rsidR="000B1079">
        <w:t>d</w:t>
      </w:r>
      <w:r w:rsidRPr="0054000C">
        <w:t xml:space="preserve"> </w:t>
      </w:r>
      <w:r w:rsidR="00F32A1A">
        <w:t>positive development results</w:t>
      </w:r>
      <w:r w:rsidR="00AF0D1F">
        <w:t>. Through its aid investments and policy engagement, Australia:</w:t>
      </w:r>
    </w:p>
    <w:p w14:paraId="0F5F92C6" w14:textId="1AC7C94D" w:rsidR="00AF0D1F" w:rsidRDefault="00AF0D1F" w:rsidP="00AF0D1F">
      <w:pPr>
        <w:pStyle w:val="ListBullet"/>
        <w:tabs>
          <w:tab w:val="clear" w:pos="284"/>
        </w:tabs>
        <w:jc w:val="both"/>
      </w:pPr>
      <w:r>
        <w:t>I</w:t>
      </w:r>
      <w:r w:rsidR="00DE13C9" w:rsidRPr="0049710A">
        <w:t>m</w:t>
      </w:r>
      <w:r w:rsidR="00DE13C9">
        <w:t>prov</w:t>
      </w:r>
      <w:r w:rsidR="00F32A1A">
        <w:t>ed</w:t>
      </w:r>
      <w:r w:rsidR="00DE13C9">
        <w:t xml:space="preserve"> the quality of education</w:t>
      </w:r>
      <w:r w:rsidR="00DE13C9" w:rsidRPr="0049710A">
        <w:t xml:space="preserve"> through institutionalising new forms of teacher training and learning assessments; </w:t>
      </w:r>
    </w:p>
    <w:p w14:paraId="608E619C" w14:textId="53502604" w:rsidR="00AF0D1F" w:rsidRDefault="00AF0D1F" w:rsidP="00AF0D1F">
      <w:pPr>
        <w:pStyle w:val="ListBullet"/>
        <w:tabs>
          <w:tab w:val="clear" w:pos="284"/>
        </w:tabs>
        <w:jc w:val="both"/>
      </w:pPr>
      <w:r>
        <w:t>Promoted</w:t>
      </w:r>
      <w:r w:rsidRPr="0049710A">
        <w:t xml:space="preserve"> </w:t>
      </w:r>
      <w:r w:rsidR="006A4971">
        <w:t>access to quality basic education in areas where government schools were not operating an</w:t>
      </w:r>
      <w:r w:rsidR="00DE13C9" w:rsidRPr="0049710A">
        <w:t xml:space="preserve">d </w:t>
      </w:r>
      <w:r w:rsidR="00D1215C">
        <w:t xml:space="preserve">advocated </w:t>
      </w:r>
      <w:r w:rsidR="00924080">
        <w:t xml:space="preserve">on </w:t>
      </w:r>
      <w:r w:rsidR="00BA3805">
        <w:t xml:space="preserve">gender and </w:t>
      </w:r>
      <w:r w:rsidR="00924080">
        <w:t xml:space="preserve">other </w:t>
      </w:r>
      <w:r w:rsidR="00DE13C9" w:rsidRPr="0049710A">
        <w:t xml:space="preserve">disparity issues </w:t>
      </w:r>
      <w:r w:rsidR="00D1215C">
        <w:t xml:space="preserve">with Government </w:t>
      </w:r>
      <w:r w:rsidR="00DE13C9" w:rsidRPr="0049710A">
        <w:t>including barriers to education among the most marginalised</w:t>
      </w:r>
      <w:r w:rsidR="001E272A">
        <w:t>;</w:t>
      </w:r>
    </w:p>
    <w:p w14:paraId="514399E7" w14:textId="127C1DB2" w:rsidR="00AF0D1F" w:rsidRDefault="00AF0D1F" w:rsidP="00AF0D1F">
      <w:pPr>
        <w:pStyle w:val="ListBullet"/>
        <w:tabs>
          <w:tab w:val="clear" w:pos="284"/>
        </w:tabs>
        <w:jc w:val="both"/>
      </w:pPr>
      <w:r>
        <w:t>Played</w:t>
      </w:r>
      <w:r w:rsidR="00DE13C9" w:rsidRPr="0049710A">
        <w:t xml:space="preserve"> a strong role in strengthening public financial management</w:t>
      </w:r>
      <w:r>
        <w:t xml:space="preserve"> in the Ministry of Primary and Mass Education;</w:t>
      </w:r>
    </w:p>
    <w:p w14:paraId="791626E7" w14:textId="4A2C78B1" w:rsidR="000A4EB4" w:rsidRDefault="000A4EB4" w:rsidP="000A4EB4">
      <w:pPr>
        <w:pStyle w:val="ListBullet"/>
        <w:tabs>
          <w:tab w:val="clear" w:pos="284"/>
        </w:tabs>
        <w:jc w:val="both"/>
      </w:pPr>
      <w:r>
        <w:t xml:space="preserve">Chaired the oversight and coordination consortium for the </w:t>
      </w:r>
      <w:r w:rsidR="008A7D09">
        <w:t xml:space="preserve">Government’s </w:t>
      </w:r>
      <w:r>
        <w:t>primary education program</w:t>
      </w:r>
      <w:r w:rsidR="00D1215C">
        <w:t>,</w:t>
      </w:r>
      <w:r>
        <w:t xml:space="preserve"> </w:t>
      </w:r>
      <w:r w:rsidR="006A4971">
        <w:t xml:space="preserve">helping us to play </w:t>
      </w:r>
      <w:r w:rsidRPr="009036BC">
        <w:t>a lead role in setting policy and management priorities</w:t>
      </w:r>
      <w:r w:rsidR="006A4971">
        <w:t xml:space="preserve"> </w:t>
      </w:r>
      <w:r>
        <w:t>for the sector.</w:t>
      </w:r>
      <w:r w:rsidRPr="009036BC">
        <w:t xml:space="preserve"> Australia </w:t>
      </w:r>
      <w:r>
        <w:t xml:space="preserve">also </w:t>
      </w:r>
      <w:r w:rsidRPr="009036BC">
        <w:t>encouraged collaboration acros</w:t>
      </w:r>
      <w:r>
        <w:t>s the primary education sector between G</w:t>
      </w:r>
      <w:r w:rsidRPr="009036BC">
        <w:t>overnment and N</w:t>
      </w:r>
      <w:r w:rsidR="0015477F">
        <w:t>on-</w:t>
      </w:r>
      <w:r w:rsidRPr="009036BC">
        <w:t>G</w:t>
      </w:r>
      <w:r w:rsidR="0015477F">
        <w:t xml:space="preserve">overnment </w:t>
      </w:r>
      <w:r w:rsidRPr="009036BC">
        <w:t>O</w:t>
      </w:r>
      <w:r w:rsidR="0015477F">
        <w:t>rganisation</w:t>
      </w:r>
      <w:r w:rsidRPr="009036BC">
        <w:t>s</w:t>
      </w:r>
      <w:r w:rsidR="0015477F">
        <w:t xml:space="preserve"> (NGOs)</w:t>
      </w:r>
      <w:r w:rsidR="001E272A">
        <w:t>;</w:t>
      </w:r>
    </w:p>
    <w:p w14:paraId="297412E7" w14:textId="44CF40FE" w:rsidR="00DE13C9" w:rsidRDefault="00124A09" w:rsidP="00E41EB3">
      <w:pPr>
        <w:pStyle w:val="ListBullet"/>
        <w:tabs>
          <w:tab w:val="clear" w:pos="284"/>
        </w:tabs>
        <w:jc w:val="both"/>
      </w:pPr>
      <w:r>
        <w:t>Improved resilience to natural and economic shocks</w:t>
      </w:r>
      <w:r w:rsidR="00DE13C9">
        <w:t xml:space="preserve"> through </w:t>
      </w:r>
      <w:r>
        <w:t>extreme poverty reduction</w:t>
      </w:r>
      <w:r w:rsidR="00DE13C9">
        <w:t xml:space="preserve"> programs </w:t>
      </w:r>
      <w:r w:rsidR="00AF0D1F">
        <w:t xml:space="preserve">that </w:t>
      </w:r>
      <w:r w:rsidR="00DE13C9">
        <w:t>have a strong focus on women</w:t>
      </w:r>
      <w:r w:rsidR="008846D8">
        <w:t xml:space="preserve"> (including </w:t>
      </w:r>
      <w:r w:rsidR="00F81423">
        <w:t>registered and unregistered Rohingya</w:t>
      </w:r>
      <w:r w:rsidR="00CB67DE">
        <w:t xml:space="preserve"> </w:t>
      </w:r>
      <w:r w:rsidR="008846D8">
        <w:t>and host communities in Cox’s Bazar district)</w:t>
      </w:r>
      <w:r w:rsidR="00D1215C">
        <w:t>.</w:t>
      </w:r>
      <w:r w:rsidR="00DE13C9">
        <w:t xml:space="preserve"> </w:t>
      </w:r>
      <w:r w:rsidR="00D1215C">
        <w:t xml:space="preserve">We also demonstrated </w:t>
      </w:r>
      <w:r w:rsidR="008A7D09">
        <w:t>evidence of follow-</w:t>
      </w:r>
      <w:r w:rsidR="00DE13C9">
        <w:t xml:space="preserve">on benefits </w:t>
      </w:r>
      <w:r w:rsidR="00924080">
        <w:t xml:space="preserve">from these programs, </w:t>
      </w:r>
      <w:r w:rsidR="00DE13C9">
        <w:t>including access to health care</w:t>
      </w:r>
      <w:r>
        <w:t xml:space="preserve"> and education services</w:t>
      </w:r>
      <w:r w:rsidR="00DE13C9">
        <w:t>, Government s</w:t>
      </w:r>
      <w:r>
        <w:t>afety net programs</w:t>
      </w:r>
      <w:r w:rsidR="00DE13C9">
        <w:t xml:space="preserve"> and </w:t>
      </w:r>
      <w:r>
        <w:t>livelihoods training</w:t>
      </w:r>
      <w:r w:rsidR="002235DA">
        <w:t>;</w:t>
      </w:r>
    </w:p>
    <w:p w14:paraId="609AE0C3" w14:textId="3999A8BE" w:rsidR="0015477F" w:rsidRDefault="0015477F" w:rsidP="00E41EB3">
      <w:pPr>
        <w:pStyle w:val="ListBullet"/>
        <w:tabs>
          <w:tab w:val="clear" w:pos="284"/>
        </w:tabs>
        <w:jc w:val="both"/>
      </w:pPr>
      <w:r>
        <w:t>Supported over 150 NGOs</w:t>
      </w:r>
      <w:r w:rsidR="00755FAD">
        <w:t xml:space="preserve"> to build their capacity to empower </w:t>
      </w:r>
      <w:r w:rsidR="005411A1">
        <w:t xml:space="preserve">marginalised people (including extremely poor women) to demand rights and </w:t>
      </w:r>
      <w:r w:rsidR="00332E7B">
        <w:t xml:space="preserve">get </w:t>
      </w:r>
      <w:r w:rsidR="005411A1">
        <w:t xml:space="preserve">access </w:t>
      </w:r>
      <w:r w:rsidR="00332E7B">
        <w:t xml:space="preserve">to </w:t>
      </w:r>
      <w:r w:rsidR="005411A1">
        <w:t>basic services;</w:t>
      </w:r>
    </w:p>
    <w:p w14:paraId="30A9B63B" w14:textId="22D2324F" w:rsidR="00741656" w:rsidRDefault="00B7188E" w:rsidP="00E41EB3">
      <w:pPr>
        <w:pStyle w:val="ListBullet"/>
        <w:tabs>
          <w:tab w:val="clear" w:pos="284"/>
        </w:tabs>
        <w:jc w:val="both"/>
      </w:pPr>
      <w:r>
        <w:t>M</w:t>
      </w:r>
      <w:r w:rsidR="00DE13C9" w:rsidRPr="00BB4ED7">
        <w:t>ade good progress towards achieving the pilot performance benchmarks as iden</w:t>
      </w:r>
      <w:r w:rsidR="00DE13C9">
        <w:t>tified in the APPR 2013-14.  Seven</w:t>
      </w:r>
      <w:r w:rsidR="00DE13C9" w:rsidRPr="00BB4ED7">
        <w:t xml:space="preserve"> of the eight benchmarks were achieved during the reporting period</w:t>
      </w:r>
      <w:r>
        <w:t>;</w:t>
      </w:r>
    </w:p>
    <w:p w14:paraId="74E0CD93" w14:textId="77777777" w:rsidR="00741656" w:rsidRDefault="00741656">
      <w:pPr>
        <w:spacing w:after="200" w:line="276" w:lineRule="auto"/>
        <w:rPr>
          <w:rFonts w:ascii="Franklin Gothic Book" w:eastAsia="Times New Roman" w:hAnsi="Franklin Gothic Book"/>
          <w:sz w:val="21"/>
        </w:rPr>
      </w:pPr>
      <w:r>
        <w:br w:type="page"/>
      </w:r>
    </w:p>
    <w:p w14:paraId="79C0BC03" w14:textId="1181377C" w:rsidR="00DE13C9" w:rsidRPr="004C759F" w:rsidRDefault="00B7188E" w:rsidP="00741656">
      <w:pPr>
        <w:pStyle w:val="ListBullet"/>
        <w:tabs>
          <w:tab w:val="clear" w:pos="284"/>
        </w:tabs>
        <w:jc w:val="both"/>
      </w:pPr>
      <w:r>
        <w:lastRenderedPageBreak/>
        <w:t xml:space="preserve">Demonstrated strong results in program </w:t>
      </w:r>
      <w:r w:rsidR="00FE1101">
        <w:t>management</w:t>
      </w:r>
      <w:r w:rsidR="00924080">
        <w:t>,</w:t>
      </w:r>
      <w:r w:rsidR="00FE1101">
        <w:t xml:space="preserve"> including </w:t>
      </w:r>
      <w:r w:rsidR="00924080">
        <w:t xml:space="preserve">through </w:t>
      </w:r>
      <w:r>
        <w:t>consolidation</w:t>
      </w:r>
      <w:r w:rsidR="00924080">
        <w:t xml:space="preserve"> </w:t>
      </w:r>
      <w:r w:rsidR="00332E7B">
        <w:t>of</w:t>
      </w:r>
      <w:r w:rsidR="00DE13C9" w:rsidRPr="00F27BB8">
        <w:t xml:space="preserve"> highly performing investments.  No initiatives were determined to require improvement based on the agreed ratings</w:t>
      </w:r>
      <w:r w:rsidR="00DE13C9">
        <w:t xml:space="preserve"> in the Aid Quality Checks</w:t>
      </w:r>
      <w:r w:rsidR="00BA3805">
        <w:t xml:space="preserve"> (AQC</w:t>
      </w:r>
      <w:r w:rsidR="0084491B">
        <w:t>s</w:t>
      </w:r>
      <w:r w:rsidR="00BA3805">
        <w:t>)</w:t>
      </w:r>
      <w:r>
        <w:t>;</w:t>
      </w:r>
      <w:r w:rsidR="00AB4300">
        <w:t xml:space="preserve"> and</w:t>
      </w:r>
    </w:p>
    <w:p w14:paraId="71F9C356" w14:textId="072831CB" w:rsidR="00DE13C9" w:rsidRDefault="006D58F2" w:rsidP="00E41EB3">
      <w:pPr>
        <w:pStyle w:val="ListBullet"/>
        <w:tabs>
          <w:tab w:val="clear" w:pos="284"/>
        </w:tabs>
        <w:jc w:val="both"/>
      </w:pPr>
      <w:r>
        <w:t>Prepared a</w:t>
      </w:r>
      <w:r w:rsidR="00B7188E">
        <w:t xml:space="preserve"> </w:t>
      </w:r>
      <w:r w:rsidR="00DE13C9">
        <w:t xml:space="preserve">new Aid Investment Plan </w:t>
      </w:r>
      <w:r w:rsidR="00BA3805">
        <w:t xml:space="preserve">(AIP) </w:t>
      </w:r>
      <w:r w:rsidR="00DE13C9">
        <w:t>for Australian aid to Bangladesh</w:t>
      </w:r>
      <w:r>
        <w:t>, finalised</w:t>
      </w:r>
      <w:r w:rsidR="00DE13C9">
        <w:t xml:space="preserve"> in September 2015.  Australia will </w:t>
      </w:r>
      <w:r w:rsidR="000B1079">
        <w:t xml:space="preserve">continue to </w:t>
      </w:r>
      <w:r w:rsidR="00924080">
        <w:t xml:space="preserve">consolidate </w:t>
      </w:r>
      <w:r w:rsidR="00B7188E">
        <w:t xml:space="preserve">the program </w:t>
      </w:r>
      <w:r w:rsidR="00924080">
        <w:t>to optimise efficiency and effectiveness.</w:t>
      </w:r>
    </w:p>
    <w:p w14:paraId="27F853CE" w14:textId="77777777" w:rsidR="000D733F" w:rsidRPr="0059783E" w:rsidRDefault="000D733F" w:rsidP="000D733F">
      <w:pPr>
        <w:pStyle w:val="Heading2"/>
        <w:rPr>
          <w:rStyle w:val="BodyTextChar"/>
          <w:color w:val="auto"/>
        </w:rPr>
      </w:pPr>
      <w:r w:rsidRPr="009E38C1">
        <w:rPr>
          <w:sz w:val="28"/>
        </w:rPr>
        <w:t xml:space="preserve">Context </w:t>
      </w:r>
      <w:r w:rsidRPr="009E38C1">
        <w:rPr>
          <w:sz w:val="28"/>
        </w:rPr>
        <w:tab/>
      </w:r>
      <w:r>
        <w:rPr>
          <w:sz w:val="32"/>
          <w:szCs w:val="32"/>
        </w:rPr>
        <w:tab/>
      </w:r>
      <w:r>
        <w:rPr>
          <w:rStyle w:val="BodyTextChar"/>
        </w:rPr>
        <w:tab/>
      </w:r>
      <w:r>
        <w:rPr>
          <w:rStyle w:val="BodyTextChar"/>
        </w:rPr>
        <w:tab/>
      </w:r>
      <w:r>
        <w:rPr>
          <w:rStyle w:val="BodyTextChar"/>
        </w:rPr>
        <w:tab/>
      </w:r>
      <w:r>
        <w:rPr>
          <w:rStyle w:val="BodyTextChar"/>
        </w:rPr>
        <w:tab/>
      </w:r>
      <w:r>
        <w:rPr>
          <w:rStyle w:val="BodyTextChar"/>
        </w:rPr>
        <w:tab/>
      </w:r>
    </w:p>
    <w:p w14:paraId="498BC18B" w14:textId="593ACE16" w:rsidR="00AB62CB" w:rsidRPr="00F81423" w:rsidRDefault="00AB62CB" w:rsidP="00AB62CB">
      <w:pPr>
        <w:pStyle w:val="BodyText"/>
        <w:jc w:val="both"/>
        <w:rPr>
          <w:szCs w:val="21"/>
        </w:rPr>
      </w:pPr>
      <w:r>
        <w:rPr>
          <w:szCs w:val="21"/>
          <w:lang w:eastAsia="zh-CN"/>
        </w:rPr>
        <w:t>Banglade</w:t>
      </w:r>
      <w:r w:rsidR="00332E7B">
        <w:rPr>
          <w:szCs w:val="21"/>
          <w:lang w:eastAsia="zh-CN"/>
        </w:rPr>
        <w:t>sh continued to experience</w:t>
      </w:r>
      <w:r w:rsidR="00924080">
        <w:rPr>
          <w:szCs w:val="21"/>
          <w:lang w:eastAsia="zh-CN"/>
        </w:rPr>
        <w:t xml:space="preserve"> solid</w:t>
      </w:r>
      <w:r>
        <w:rPr>
          <w:szCs w:val="21"/>
          <w:lang w:eastAsia="zh-CN"/>
        </w:rPr>
        <w:t xml:space="preserve"> economic growth in 2014-15</w:t>
      </w:r>
      <w:r w:rsidR="00924080">
        <w:rPr>
          <w:szCs w:val="21"/>
          <w:lang w:eastAsia="zh-CN"/>
        </w:rPr>
        <w:t>,</w:t>
      </w:r>
      <w:r>
        <w:rPr>
          <w:szCs w:val="21"/>
          <w:lang w:eastAsia="zh-CN"/>
        </w:rPr>
        <w:t xml:space="preserve"> </w:t>
      </w:r>
      <w:r w:rsidR="00924080">
        <w:rPr>
          <w:szCs w:val="21"/>
          <w:lang w:eastAsia="zh-CN"/>
        </w:rPr>
        <w:t>underpinned by</w:t>
      </w:r>
      <w:r>
        <w:rPr>
          <w:szCs w:val="21"/>
          <w:lang w:eastAsia="zh-CN"/>
        </w:rPr>
        <w:t xml:space="preserve"> macroeconomic stability and strong domestic demand. </w:t>
      </w:r>
      <w:r w:rsidR="006554EE">
        <w:rPr>
          <w:szCs w:val="21"/>
          <w:lang w:eastAsia="zh-CN"/>
        </w:rPr>
        <w:t xml:space="preserve"> </w:t>
      </w:r>
      <w:r w:rsidR="00F26B28">
        <w:rPr>
          <w:szCs w:val="21"/>
          <w:lang w:eastAsia="zh-CN"/>
        </w:rPr>
        <w:t>Based on</w:t>
      </w:r>
      <w:r>
        <w:rPr>
          <w:szCs w:val="21"/>
          <w:lang w:eastAsia="zh-CN"/>
        </w:rPr>
        <w:t xml:space="preserve"> continued growth in G</w:t>
      </w:r>
      <w:r w:rsidR="0084491B">
        <w:rPr>
          <w:szCs w:val="21"/>
          <w:lang w:eastAsia="zh-CN"/>
        </w:rPr>
        <w:t xml:space="preserve">ross </w:t>
      </w:r>
      <w:r>
        <w:rPr>
          <w:szCs w:val="21"/>
          <w:lang w:eastAsia="zh-CN"/>
        </w:rPr>
        <w:t>D</w:t>
      </w:r>
      <w:r w:rsidR="0084491B">
        <w:rPr>
          <w:szCs w:val="21"/>
          <w:lang w:eastAsia="zh-CN"/>
        </w:rPr>
        <w:t xml:space="preserve">omestic </w:t>
      </w:r>
      <w:r>
        <w:rPr>
          <w:szCs w:val="21"/>
          <w:lang w:eastAsia="zh-CN"/>
        </w:rPr>
        <w:t>P</w:t>
      </w:r>
      <w:r w:rsidR="0084491B">
        <w:rPr>
          <w:szCs w:val="21"/>
          <w:lang w:eastAsia="zh-CN"/>
        </w:rPr>
        <w:t>roduct (GDP)</w:t>
      </w:r>
      <w:r w:rsidR="00F30B3E">
        <w:rPr>
          <w:szCs w:val="21"/>
          <w:lang w:eastAsia="zh-CN"/>
        </w:rPr>
        <w:t xml:space="preserve"> (averaging 6 per cent)</w:t>
      </w:r>
      <w:r>
        <w:rPr>
          <w:szCs w:val="21"/>
          <w:lang w:eastAsia="zh-CN"/>
        </w:rPr>
        <w:t xml:space="preserve">, agriculture </w:t>
      </w:r>
      <w:r w:rsidR="00F30B3E">
        <w:rPr>
          <w:szCs w:val="21"/>
          <w:lang w:eastAsia="zh-CN"/>
        </w:rPr>
        <w:t>(</w:t>
      </w:r>
      <w:r w:rsidR="00227B01">
        <w:rPr>
          <w:szCs w:val="21"/>
          <w:lang w:eastAsia="zh-CN"/>
        </w:rPr>
        <w:t xml:space="preserve">growth of </w:t>
      </w:r>
      <w:r w:rsidR="00F30B3E">
        <w:rPr>
          <w:szCs w:val="21"/>
          <w:lang w:eastAsia="zh-CN"/>
        </w:rPr>
        <w:t xml:space="preserve">3.3 per cent) </w:t>
      </w:r>
      <w:r>
        <w:rPr>
          <w:szCs w:val="21"/>
          <w:lang w:eastAsia="zh-CN"/>
        </w:rPr>
        <w:t xml:space="preserve">and remittances </w:t>
      </w:r>
      <w:r w:rsidR="00227B01">
        <w:rPr>
          <w:szCs w:val="21"/>
          <w:lang w:eastAsia="zh-CN"/>
        </w:rPr>
        <w:t xml:space="preserve">(averaging </w:t>
      </w:r>
      <w:r w:rsidR="00F30B3E">
        <w:rPr>
          <w:szCs w:val="21"/>
          <w:lang w:eastAsia="zh-CN"/>
        </w:rPr>
        <w:t xml:space="preserve">6.7 per cent) </w:t>
      </w:r>
      <w:r w:rsidR="00332E7B">
        <w:rPr>
          <w:szCs w:val="21"/>
          <w:lang w:eastAsia="zh-CN"/>
        </w:rPr>
        <w:t>Bangladesh’s</w:t>
      </w:r>
      <w:r w:rsidR="00BF2CA1">
        <w:rPr>
          <w:szCs w:val="21"/>
          <w:lang w:eastAsia="zh-CN"/>
        </w:rPr>
        <w:t xml:space="preserve"> Planning Commission </w:t>
      </w:r>
      <w:r w:rsidR="00F30B3E">
        <w:rPr>
          <w:szCs w:val="21"/>
          <w:lang w:eastAsia="zh-CN"/>
        </w:rPr>
        <w:t>project</w:t>
      </w:r>
      <w:r w:rsidR="00F26B28">
        <w:rPr>
          <w:szCs w:val="21"/>
          <w:lang w:eastAsia="zh-CN"/>
        </w:rPr>
        <w:t>s</w:t>
      </w:r>
      <w:r w:rsidR="00F30B3E">
        <w:rPr>
          <w:szCs w:val="21"/>
          <w:lang w:eastAsia="zh-CN"/>
        </w:rPr>
        <w:t xml:space="preserve"> </w:t>
      </w:r>
      <w:r>
        <w:rPr>
          <w:szCs w:val="21"/>
          <w:lang w:eastAsia="zh-CN"/>
        </w:rPr>
        <w:t>a decline in poverty incidence to 24.4 per cent</w:t>
      </w:r>
      <w:r w:rsidR="00687C15" w:rsidRPr="00687C15">
        <w:rPr>
          <w:szCs w:val="21"/>
          <w:lang w:eastAsia="zh-CN"/>
        </w:rPr>
        <w:t xml:space="preserve"> </w:t>
      </w:r>
      <w:r w:rsidR="00687C15">
        <w:rPr>
          <w:szCs w:val="21"/>
          <w:lang w:eastAsia="zh-CN"/>
        </w:rPr>
        <w:t>in 2014</w:t>
      </w:r>
      <w:r w:rsidR="00973E90">
        <w:rPr>
          <w:szCs w:val="21"/>
          <w:lang w:eastAsia="zh-CN"/>
        </w:rPr>
        <w:t xml:space="preserve"> from 31.5 per cent in 2010</w:t>
      </w:r>
      <w:r>
        <w:rPr>
          <w:szCs w:val="21"/>
          <w:lang w:eastAsia="zh-CN"/>
        </w:rPr>
        <w:t>, based on</w:t>
      </w:r>
      <w:r w:rsidR="00D1215C">
        <w:rPr>
          <w:szCs w:val="21"/>
          <w:lang w:eastAsia="zh-CN"/>
        </w:rPr>
        <w:t xml:space="preserve"> the national poverty line of USD2 per day</w:t>
      </w:r>
      <w:r w:rsidR="0063480E">
        <w:rPr>
          <w:rStyle w:val="FootnoteReference"/>
          <w:lang w:eastAsia="zh-CN"/>
        </w:rPr>
        <w:footnoteReference w:id="2"/>
      </w:r>
      <w:r>
        <w:rPr>
          <w:szCs w:val="21"/>
          <w:lang w:eastAsia="zh-CN"/>
        </w:rPr>
        <w:t xml:space="preserve">.  </w:t>
      </w:r>
      <w:r w:rsidRPr="00702F78">
        <w:rPr>
          <w:szCs w:val="21"/>
          <w:lang w:eastAsia="zh-CN"/>
        </w:rPr>
        <w:t xml:space="preserve">Bangladesh’s per capita gross national income (GNI) in 2014 rose to USD1,080 which represents a doubling of GNI since 2007.  </w:t>
      </w:r>
      <w:r>
        <w:rPr>
          <w:szCs w:val="21"/>
          <w:lang w:eastAsia="zh-CN"/>
        </w:rPr>
        <w:t>In July 2015 Bangladesh ‘graduated’ from low to lower middle income country status</w:t>
      </w:r>
      <w:r>
        <w:rPr>
          <w:rStyle w:val="FootnoteReference"/>
          <w:lang w:eastAsia="zh-CN"/>
        </w:rPr>
        <w:footnoteReference w:id="3"/>
      </w:r>
      <w:r w:rsidRPr="00702F78">
        <w:rPr>
          <w:szCs w:val="21"/>
          <w:lang w:eastAsia="zh-CN"/>
        </w:rPr>
        <w:t xml:space="preserve">. </w:t>
      </w:r>
      <w:r w:rsidR="00942B47">
        <w:rPr>
          <w:szCs w:val="21"/>
          <w:lang w:eastAsia="zh-CN"/>
        </w:rPr>
        <w:t xml:space="preserve"> </w:t>
      </w:r>
      <w:r w:rsidR="00942B47" w:rsidRPr="0059783E">
        <w:rPr>
          <w:rFonts w:cs="Helvetica"/>
          <w:bCs/>
          <w:szCs w:val="21"/>
          <w:lang w:val="en"/>
        </w:rPr>
        <w:t>Bangladesh aspires to be a middle-income country (MIC) by 2021.</w:t>
      </w:r>
      <w:r w:rsidR="00942B47" w:rsidRPr="0059783E">
        <w:rPr>
          <w:rFonts w:cs="Helvetica"/>
          <w:szCs w:val="21"/>
          <w:lang w:val="en"/>
        </w:rPr>
        <w:t xml:space="preserve"> This will require increasing GDP growth to 7.5 to 8 per</w:t>
      </w:r>
      <w:r w:rsidR="0084491B" w:rsidRPr="0059783E">
        <w:rPr>
          <w:rFonts w:cs="Helvetica"/>
          <w:szCs w:val="21"/>
          <w:lang w:val="en"/>
        </w:rPr>
        <w:t xml:space="preserve"> </w:t>
      </w:r>
      <w:r w:rsidR="00942B47" w:rsidRPr="0059783E">
        <w:rPr>
          <w:rFonts w:cs="Helvetica"/>
          <w:szCs w:val="21"/>
          <w:lang w:val="en"/>
        </w:rPr>
        <w:t xml:space="preserve">cent per year </w:t>
      </w:r>
      <w:r w:rsidR="00F26B28">
        <w:rPr>
          <w:rFonts w:cs="Helvetica"/>
          <w:szCs w:val="21"/>
          <w:lang w:val="en"/>
        </w:rPr>
        <w:t>driven by</w:t>
      </w:r>
      <w:r w:rsidR="00942B47" w:rsidRPr="0059783E">
        <w:rPr>
          <w:rFonts w:cs="Helvetica"/>
          <w:szCs w:val="21"/>
          <w:lang w:val="en"/>
        </w:rPr>
        <w:t xml:space="preserve"> accelerated export and remittance growth</w:t>
      </w:r>
      <w:r w:rsidR="00942B47" w:rsidRPr="0059783E">
        <w:rPr>
          <w:rStyle w:val="FootnoteReference"/>
          <w:rFonts w:cs="Helvetica"/>
          <w:lang w:val="en"/>
        </w:rPr>
        <w:footnoteReference w:id="4"/>
      </w:r>
      <w:r w:rsidR="00942B47" w:rsidRPr="0059783E">
        <w:rPr>
          <w:rFonts w:cs="Helvetica"/>
          <w:szCs w:val="21"/>
          <w:lang w:val="en"/>
        </w:rPr>
        <w:t>. Both public and private investment will also need to increase.</w:t>
      </w:r>
    </w:p>
    <w:p w14:paraId="454F8637" w14:textId="75716F26" w:rsidR="00F30B3E" w:rsidRDefault="00AF7869" w:rsidP="00F15F35">
      <w:pPr>
        <w:pStyle w:val="BodyText"/>
        <w:jc w:val="both"/>
        <w:rPr>
          <w:szCs w:val="21"/>
        </w:rPr>
      </w:pPr>
      <w:r w:rsidRPr="00636C03">
        <w:rPr>
          <w:szCs w:val="21"/>
        </w:rPr>
        <w:t xml:space="preserve">Bangladesh’s progress against key human development indicators </w:t>
      </w:r>
      <w:r>
        <w:rPr>
          <w:szCs w:val="21"/>
        </w:rPr>
        <w:t xml:space="preserve">continued </w:t>
      </w:r>
      <w:r w:rsidR="00F26B28">
        <w:rPr>
          <w:szCs w:val="21"/>
        </w:rPr>
        <w:t>to improve,</w:t>
      </w:r>
      <w:r>
        <w:rPr>
          <w:szCs w:val="21"/>
        </w:rPr>
        <w:t xml:space="preserve"> and </w:t>
      </w:r>
      <w:r w:rsidR="00F26B28">
        <w:rPr>
          <w:szCs w:val="21"/>
        </w:rPr>
        <w:t xml:space="preserve">it </w:t>
      </w:r>
      <w:r>
        <w:rPr>
          <w:szCs w:val="21"/>
        </w:rPr>
        <w:t>is now among the best performing in South Asia with high</w:t>
      </w:r>
      <w:r w:rsidR="00672E61">
        <w:rPr>
          <w:szCs w:val="21"/>
        </w:rPr>
        <w:t>er</w:t>
      </w:r>
      <w:r>
        <w:rPr>
          <w:szCs w:val="21"/>
        </w:rPr>
        <w:t xml:space="preserve"> life expectancy, low</w:t>
      </w:r>
      <w:r w:rsidR="00672E61">
        <w:rPr>
          <w:szCs w:val="21"/>
        </w:rPr>
        <w:t>er</w:t>
      </w:r>
      <w:r>
        <w:rPr>
          <w:szCs w:val="21"/>
        </w:rPr>
        <w:t xml:space="preserve"> fertility rates and low</w:t>
      </w:r>
      <w:r w:rsidR="00672E61">
        <w:rPr>
          <w:szCs w:val="21"/>
        </w:rPr>
        <w:t>er</w:t>
      </w:r>
      <w:r>
        <w:rPr>
          <w:szCs w:val="21"/>
        </w:rPr>
        <w:t xml:space="preserve"> infant mortality</w:t>
      </w:r>
      <w:r w:rsidR="00852CAE">
        <w:rPr>
          <w:rStyle w:val="FootnoteReference"/>
        </w:rPr>
        <w:footnoteReference w:id="5"/>
      </w:r>
      <w:r>
        <w:rPr>
          <w:szCs w:val="21"/>
        </w:rPr>
        <w:t>.  Bangladesh remains on track to meet some of the Millennium Development Goals (MDG</w:t>
      </w:r>
      <w:r w:rsidR="00BC5DDE">
        <w:rPr>
          <w:szCs w:val="21"/>
        </w:rPr>
        <w:t>s</w:t>
      </w:r>
      <w:r>
        <w:rPr>
          <w:szCs w:val="21"/>
        </w:rPr>
        <w:t>)</w:t>
      </w:r>
      <w:r w:rsidR="00F26B28">
        <w:rPr>
          <w:szCs w:val="21"/>
        </w:rPr>
        <w:t>,</w:t>
      </w:r>
      <w:r>
        <w:rPr>
          <w:szCs w:val="21"/>
        </w:rPr>
        <w:t xml:space="preserve"> including MDG 4 (reduce child mortality), MDG 5 (improve maternal health), </w:t>
      </w:r>
      <w:r w:rsidR="00DB06E8">
        <w:rPr>
          <w:szCs w:val="21"/>
        </w:rPr>
        <w:t>MDG 2 (access to primary education)</w:t>
      </w:r>
      <w:r w:rsidR="00F26B28">
        <w:rPr>
          <w:szCs w:val="21"/>
        </w:rPr>
        <w:t xml:space="preserve">.  Bangladesh has also achieved gender parity </w:t>
      </w:r>
      <w:r>
        <w:rPr>
          <w:szCs w:val="21"/>
        </w:rPr>
        <w:t xml:space="preserve">in school enrolment under MDG3 (promote gender equality and empower women) having improved </w:t>
      </w:r>
      <w:r w:rsidR="00F26B28">
        <w:rPr>
          <w:szCs w:val="21"/>
        </w:rPr>
        <w:t xml:space="preserve">on this measure </w:t>
      </w:r>
      <w:r>
        <w:rPr>
          <w:szCs w:val="21"/>
        </w:rPr>
        <w:t>more rapidly than most other L</w:t>
      </w:r>
      <w:r w:rsidR="000C41E8">
        <w:rPr>
          <w:szCs w:val="21"/>
        </w:rPr>
        <w:t xml:space="preserve">east </w:t>
      </w:r>
      <w:r>
        <w:rPr>
          <w:szCs w:val="21"/>
        </w:rPr>
        <w:t>D</w:t>
      </w:r>
      <w:r w:rsidR="000C41E8">
        <w:rPr>
          <w:szCs w:val="21"/>
        </w:rPr>
        <w:t xml:space="preserve">eveloped </w:t>
      </w:r>
      <w:r>
        <w:rPr>
          <w:szCs w:val="21"/>
        </w:rPr>
        <w:t>C</w:t>
      </w:r>
      <w:r w:rsidR="000C41E8">
        <w:rPr>
          <w:szCs w:val="21"/>
        </w:rPr>
        <w:t>ountrie</w:t>
      </w:r>
      <w:r>
        <w:rPr>
          <w:szCs w:val="21"/>
        </w:rPr>
        <w:t>s</w:t>
      </w:r>
      <w:r w:rsidR="000C41E8">
        <w:rPr>
          <w:szCs w:val="21"/>
        </w:rPr>
        <w:t xml:space="preserve"> (LDCs)</w:t>
      </w:r>
      <w:r>
        <w:rPr>
          <w:szCs w:val="21"/>
        </w:rPr>
        <w:t xml:space="preserve">.  </w:t>
      </w:r>
      <w:r w:rsidR="00B549A6">
        <w:rPr>
          <w:szCs w:val="21"/>
        </w:rPr>
        <w:t xml:space="preserve">Bangladesh has made progress in respect of MDG 1 (eradicate extreme poverty and hunger) based on </w:t>
      </w:r>
      <w:r w:rsidR="009C074F">
        <w:rPr>
          <w:szCs w:val="21"/>
        </w:rPr>
        <w:t xml:space="preserve">the decline in poverty incidence. </w:t>
      </w:r>
    </w:p>
    <w:p w14:paraId="3958F4D3" w14:textId="32B92578" w:rsidR="00F26B28" w:rsidRDefault="00F15F35" w:rsidP="00F15F35">
      <w:pPr>
        <w:pStyle w:val="BodyText"/>
        <w:jc w:val="both"/>
        <w:rPr>
          <w:szCs w:val="21"/>
          <w:lang w:eastAsia="zh-CN"/>
        </w:rPr>
      </w:pPr>
      <w:r w:rsidRPr="00022AD4">
        <w:rPr>
          <w:szCs w:val="21"/>
          <w:lang w:eastAsia="zh-CN"/>
        </w:rPr>
        <w:t>The resilience of the Bangladesh economy continue</w:t>
      </w:r>
      <w:r w:rsidR="00FE1440">
        <w:rPr>
          <w:szCs w:val="21"/>
          <w:lang w:eastAsia="zh-CN"/>
        </w:rPr>
        <w:t>d</w:t>
      </w:r>
      <w:r w:rsidR="00F26B28">
        <w:rPr>
          <w:szCs w:val="21"/>
          <w:lang w:eastAsia="zh-CN"/>
        </w:rPr>
        <w:t xml:space="preserve"> to be tested by ongoing </w:t>
      </w:r>
      <w:r w:rsidRPr="00022AD4">
        <w:rPr>
          <w:szCs w:val="21"/>
          <w:lang w:eastAsia="zh-CN"/>
        </w:rPr>
        <w:t>political instability, weak global markets and structural constraints</w:t>
      </w:r>
      <w:r w:rsidRPr="0054000C">
        <w:rPr>
          <w:b/>
          <w:szCs w:val="21"/>
          <w:lang w:eastAsia="zh-CN"/>
        </w:rPr>
        <w:t>.</w:t>
      </w:r>
      <w:r w:rsidRPr="0054000C">
        <w:rPr>
          <w:szCs w:val="21"/>
          <w:lang w:eastAsia="zh-CN"/>
        </w:rPr>
        <w:t xml:space="preserve">  T</w:t>
      </w:r>
      <w:r w:rsidR="00332E7B">
        <w:rPr>
          <w:szCs w:val="21"/>
          <w:lang w:eastAsia="zh-CN"/>
        </w:rPr>
        <w:t>he most recent political unrest</w:t>
      </w:r>
      <w:r w:rsidRPr="0054000C">
        <w:rPr>
          <w:szCs w:val="21"/>
          <w:lang w:eastAsia="zh-CN"/>
        </w:rPr>
        <w:t xml:space="preserve"> in early January 2015, which included prolonged nation-wide strikes (</w:t>
      </w:r>
      <w:r w:rsidRPr="00793700">
        <w:rPr>
          <w:i/>
          <w:szCs w:val="21"/>
          <w:lang w:eastAsia="zh-CN"/>
        </w:rPr>
        <w:t>hartals</w:t>
      </w:r>
      <w:r w:rsidRPr="0054000C">
        <w:rPr>
          <w:szCs w:val="21"/>
          <w:lang w:eastAsia="zh-CN"/>
        </w:rPr>
        <w:t>), resulted in over 120 deaths and hundreds of injuries.</w:t>
      </w:r>
      <w:r w:rsidR="00F26B28">
        <w:rPr>
          <w:szCs w:val="21"/>
          <w:lang w:eastAsia="zh-CN"/>
        </w:rPr>
        <w:t xml:space="preserve"> </w:t>
      </w:r>
      <w:r w:rsidRPr="0054000C">
        <w:rPr>
          <w:szCs w:val="21"/>
          <w:lang w:eastAsia="zh-CN"/>
        </w:rPr>
        <w:t xml:space="preserve"> This </w:t>
      </w:r>
      <w:r w:rsidR="00F26B28">
        <w:rPr>
          <w:szCs w:val="21"/>
          <w:lang w:eastAsia="zh-CN"/>
        </w:rPr>
        <w:t xml:space="preserve">adversely </w:t>
      </w:r>
      <w:r w:rsidRPr="0054000C">
        <w:rPr>
          <w:szCs w:val="21"/>
          <w:lang w:eastAsia="zh-CN"/>
        </w:rPr>
        <w:t>impacted on economic activity</w:t>
      </w:r>
      <w:r w:rsidR="00F26B28">
        <w:rPr>
          <w:szCs w:val="21"/>
          <w:lang w:eastAsia="zh-CN"/>
        </w:rPr>
        <w:t>,</w:t>
      </w:r>
      <w:r w:rsidRPr="0054000C">
        <w:rPr>
          <w:szCs w:val="21"/>
          <w:lang w:eastAsia="zh-CN"/>
        </w:rPr>
        <w:t xml:space="preserve"> including </w:t>
      </w:r>
      <w:r w:rsidR="00F26B28">
        <w:rPr>
          <w:szCs w:val="21"/>
          <w:lang w:eastAsia="zh-CN"/>
        </w:rPr>
        <w:t xml:space="preserve">by dampening </w:t>
      </w:r>
      <w:r w:rsidRPr="0054000C">
        <w:rPr>
          <w:szCs w:val="21"/>
          <w:lang w:eastAsia="zh-CN"/>
        </w:rPr>
        <w:t xml:space="preserve">private sector investment.  Domestic industries including apparel, tourism, retail, </w:t>
      </w:r>
    </w:p>
    <w:p w14:paraId="5388BA24" w14:textId="77777777" w:rsidR="00F26B28" w:rsidRDefault="00F26B28">
      <w:pPr>
        <w:spacing w:after="200" w:line="276" w:lineRule="auto"/>
        <w:rPr>
          <w:rFonts w:ascii="Franklin Gothic Book" w:eastAsia="Times New Roman" w:hAnsi="Franklin Gothic Book"/>
          <w:sz w:val="21"/>
          <w:szCs w:val="21"/>
          <w:lang w:eastAsia="zh-CN"/>
        </w:rPr>
      </w:pPr>
      <w:r>
        <w:rPr>
          <w:szCs w:val="21"/>
          <w:lang w:eastAsia="zh-CN"/>
        </w:rPr>
        <w:br w:type="page"/>
      </w:r>
    </w:p>
    <w:p w14:paraId="1F76FEE0" w14:textId="6F9C21D5" w:rsidR="00F15F35" w:rsidRDefault="00F15F35" w:rsidP="00F15F35">
      <w:pPr>
        <w:pStyle w:val="BodyText"/>
        <w:jc w:val="both"/>
        <w:rPr>
          <w:szCs w:val="21"/>
          <w:lang w:eastAsia="zh-CN"/>
        </w:rPr>
      </w:pPr>
      <w:r w:rsidRPr="0054000C">
        <w:rPr>
          <w:szCs w:val="21"/>
          <w:lang w:eastAsia="zh-CN"/>
        </w:rPr>
        <w:lastRenderedPageBreak/>
        <w:t>poultry and agriculture were hardest hit</w:t>
      </w:r>
      <w:r w:rsidR="001D3ACF">
        <w:rPr>
          <w:szCs w:val="21"/>
          <w:lang w:eastAsia="zh-CN"/>
        </w:rPr>
        <w:t>,</w:t>
      </w:r>
      <w:r w:rsidRPr="0054000C">
        <w:rPr>
          <w:szCs w:val="21"/>
          <w:lang w:eastAsia="zh-CN"/>
        </w:rPr>
        <w:t xml:space="preserve"> recording sector wide losses from January to mid-March 2015</w:t>
      </w:r>
      <w:r>
        <w:rPr>
          <w:szCs w:val="21"/>
          <w:lang w:eastAsia="zh-CN"/>
        </w:rPr>
        <w:t xml:space="preserve">. </w:t>
      </w:r>
      <w:r w:rsidRPr="0054000C">
        <w:rPr>
          <w:szCs w:val="21"/>
          <w:lang w:eastAsia="zh-CN"/>
        </w:rPr>
        <w:t>Conservative estimates indicate that the political unrest in 2015 result</w:t>
      </w:r>
      <w:r>
        <w:rPr>
          <w:szCs w:val="21"/>
          <w:lang w:eastAsia="zh-CN"/>
        </w:rPr>
        <w:t>ed</w:t>
      </w:r>
      <w:r w:rsidRPr="0054000C">
        <w:rPr>
          <w:szCs w:val="21"/>
          <w:lang w:eastAsia="zh-CN"/>
        </w:rPr>
        <w:t xml:space="preserve"> in direct production lo</w:t>
      </w:r>
      <w:r>
        <w:rPr>
          <w:szCs w:val="21"/>
          <w:lang w:eastAsia="zh-CN"/>
        </w:rPr>
        <w:t>s</w:t>
      </w:r>
      <w:r w:rsidRPr="0054000C">
        <w:rPr>
          <w:szCs w:val="21"/>
          <w:lang w:eastAsia="zh-CN"/>
        </w:rPr>
        <w:t xml:space="preserve">ses between 0.55 </w:t>
      </w:r>
      <w:r>
        <w:rPr>
          <w:szCs w:val="21"/>
          <w:lang w:eastAsia="zh-CN"/>
        </w:rPr>
        <w:t>and</w:t>
      </w:r>
      <w:r w:rsidRPr="0054000C">
        <w:rPr>
          <w:szCs w:val="21"/>
          <w:lang w:eastAsia="zh-CN"/>
        </w:rPr>
        <w:t xml:space="preserve"> 1.0 per</w:t>
      </w:r>
      <w:r>
        <w:rPr>
          <w:szCs w:val="21"/>
          <w:lang w:eastAsia="zh-CN"/>
        </w:rPr>
        <w:t xml:space="preserve"> </w:t>
      </w:r>
      <w:r w:rsidRPr="0054000C">
        <w:rPr>
          <w:szCs w:val="21"/>
          <w:lang w:eastAsia="zh-CN"/>
        </w:rPr>
        <w:t>cent of GDP</w:t>
      </w:r>
      <w:r>
        <w:rPr>
          <w:rStyle w:val="FootnoteReference"/>
          <w:lang w:eastAsia="zh-CN"/>
        </w:rPr>
        <w:footnoteReference w:id="6"/>
      </w:r>
      <w:r w:rsidRPr="0054000C">
        <w:rPr>
          <w:szCs w:val="21"/>
          <w:lang w:eastAsia="zh-CN"/>
        </w:rPr>
        <w:t xml:space="preserve">. </w:t>
      </w:r>
      <w:r w:rsidRPr="00702F78">
        <w:rPr>
          <w:szCs w:val="21"/>
          <w:lang w:eastAsia="zh-CN"/>
        </w:rPr>
        <w:t xml:space="preserve"> </w:t>
      </w:r>
      <w:r>
        <w:rPr>
          <w:szCs w:val="21"/>
          <w:lang w:eastAsia="zh-CN"/>
        </w:rPr>
        <w:t xml:space="preserve">The projected </w:t>
      </w:r>
      <w:r w:rsidR="00F26B28">
        <w:rPr>
          <w:szCs w:val="21"/>
          <w:lang w:eastAsia="zh-CN"/>
        </w:rPr>
        <w:t xml:space="preserve">GDP </w:t>
      </w:r>
      <w:r>
        <w:rPr>
          <w:szCs w:val="21"/>
          <w:lang w:eastAsia="zh-CN"/>
        </w:rPr>
        <w:t>growth rate was revised down from 6.4 per cent to 6.1 per cent</w:t>
      </w:r>
      <w:r w:rsidRPr="0054000C">
        <w:rPr>
          <w:szCs w:val="21"/>
          <w:lang w:eastAsia="zh-CN"/>
        </w:rPr>
        <w:t xml:space="preserve">.  </w:t>
      </w:r>
      <w:r w:rsidR="001D3ACF">
        <w:rPr>
          <w:szCs w:val="21"/>
          <w:lang w:eastAsia="zh-CN"/>
        </w:rPr>
        <w:t>E</w:t>
      </w:r>
      <w:r w:rsidRPr="0054000C">
        <w:rPr>
          <w:szCs w:val="21"/>
          <w:lang w:eastAsia="zh-CN"/>
        </w:rPr>
        <w:t>xports los</w:t>
      </w:r>
      <w:r w:rsidR="00850D14">
        <w:rPr>
          <w:szCs w:val="21"/>
          <w:lang w:eastAsia="zh-CN"/>
        </w:rPr>
        <w:t>t</w:t>
      </w:r>
      <w:r w:rsidRPr="0054000C">
        <w:rPr>
          <w:szCs w:val="21"/>
          <w:lang w:eastAsia="zh-CN"/>
        </w:rPr>
        <w:t xml:space="preserve"> momentum</w:t>
      </w:r>
      <w:r w:rsidR="00332E7B">
        <w:rPr>
          <w:szCs w:val="21"/>
          <w:lang w:eastAsia="zh-CN"/>
        </w:rPr>
        <w:t xml:space="preserve"> because of</w:t>
      </w:r>
      <w:r w:rsidR="00F26B28">
        <w:rPr>
          <w:szCs w:val="21"/>
          <w:lang w:eastAsia="zh-CN"/>
        </w:rPr>
        <w:t xml:space="preserve"> weaker global demand</w:t>
      </w:r>
      <w:r w:rsidR="002108E8">
        <w:rPr>
          <w:szCs w:val="21"/>
          <w:lang w:eastAsia="zh-CN"/>
        </w:rPr>
        <w:t>.  T</w:t>
      </w:r>
      <w:r w:rsidRPr="0054000C">
        <w:rPr>
          <w:szCs w:val="21"/>
          <w:lang w:eastAsia="zh-CN"/>
        </w:rPr>
        <w:t xml:space="preserve">he growing infrastructure deficit and onerous regulatory regime in Bangladesh </w:t>
      </w:r>
      <w:r>
        <w:rPr>
          <w:szCs w:val="21"/>
          <w:lang w:eastAsia="zh-CN"/>
        </w:rPr>
        <w:t>continue</w:t>
      </w:r>
      <w:r w:rsidR="00850D14">
        <w:rPr>
          <w:szCs w:val="21"/>
          <w:lang w:eastAsia="zh-CN"/>
        </w:rPr>
        <w:t>d</w:t>
      </w:r>
      <w:r>
        <w:rPr>
          <w:szCs w:val="21"/>
          <w:lang w:eastAsia="zh-CN"/>
        </w:rPr>
        <w:t xml:space="preserve"> to</w:t>
      </w:r>
      <w:r w:rsidRPr="0054000C">
        <w:rPr>
          <w:szCs w:val="21"/>
          <w:lang w:eastAsia="zh-CN"/>
        </w:rPr>
        <w:t xml:space="preserve"> </w:t>
      </w:r>
      <w:r w:rsidR="002108E8">
        <w:rPr>
          <w:szCs w:val="21"/>
          <w:lang w:eastAsia="zh-CN"/>
        </w:rPr>
        <w:t>impact</w:t>
      </w:r>
      <w:r w:rsidRPr="0054000C">
        <w:rPr>
          <w:szCs w:val="21"/>
          <w:lang w:eastAsia="zh-CN"/>
        </w:rPr>
        <w:t xml:space="preserve"> </w:t>
      </w:r>
      <w:r w:rsidR="00332E7B">
        <w:rPr>
          <w:szCs w:val="21"/>
          <w:lang w:eastAsia="zh-CN"/>
        </w:rPr>
        <w:t xml:space="preserve">on </w:t>
      </w:r>
      <w:r w:rsidRPr="0054000C">
        <w:rPr>
          <w:szCs w:val="21"/>
          <w:lang w:eastAsia="zh-CN"/>
        </w:rPr>
        <w:t>investment</w:t>
      </w:r>
      <w:r>
        <w:rPr>
          <w:rStyle w:val="FootnoteReference"/>
          <w:lang w:eastAsia="zh-CN"/>
        </w:rPr>
        <w:footnoteReference w:id="7"/>
      </w:r>
      <w:r>
        <w:rPr>
          <w:szCs w:val="21"/>
          <w:lang w:eastAsia="zh-CN"/>
        </w:rPr>
        <w:t>.</w:t>
      </w:r>
    </w:p>
    <w:p w14:paraId="2EC43123" w14:textId="01543A05" w:rsidR="00BC5DDE" w:rsidRDefault="00672E61" w:rsidP="00AA7D67">
      <w:pPr>
        <w:pStyle w:val="BodyText"/>
        <w:jc w:val="both"/>
        <w:rPr>
          <w:szCs w:val="21"/>
        </w:rPr>
      </w:pPr>
      <w:r>
        <w:rPr>
          <w:szCs w:val="21"/>
        </w:rPr>
        <w:t xml:space="preserve">Challenges remain </w:t>
      </w:r>
      <w:r w:rsidR="008C6B8E">
        <w:rPr>
          <w:szCs w:val="21"/>
        </w:rPr>
        <w:t xml:space="preserve">in the </w:t>
      </w:r>
      <w:r w:rsidR="002108E8">
        <w:rPr>
          <w:szCs w:val="21"/>
        </w:rPr>
        <w:t>recognition and enforcement of</w:t>
      </w:r>
      <w:r w:rsidR="008C6B8E">
        <w:rPr>
          <w:szCs w:val="21"/>
        </w:rPr>
        <w:t xml:space="preserve"> legal rights, violence against women and girls, child </w:t>
      </w:r>
      <w:r w:rsidR="00332E7B">
        <w:rPr>
          <w:szCs w:val="21"/>
        </w:rPr>
        <w:t>and early forced marriage</w:t>
      </w:r>
      <w:r w:rsidR="008C6B8E">
        <w:rPr>
          <w:szCs w:val="21"/>
        </w:rPr>
        <w:t>,</w:t>
      </w:r>
      <w:r w:rsidR="008C6B8E" w:rsidRPr="002A6C75">
        <w:rPr>
          <w:szCs w:val="21"/>
        </w:rPr>
        <w:t xml:space="preserve"> </w:t>
      </w:r>
      <w:r w:rsidR="002108E8">
        <w:rPr>
          <w:szCs w:val="21"/>
        </w:rPr>
        <w:t xml:space="preserve">women’s </w:t>
      </w:r>
      <w:r w:rsidR="008C6B8E" w:rsidRPr="009036BC">
        <w:rPr>
          <w:szCs w:val="21"/>
        </w:rPr>
        <w:t>representation in decision making, and economic empowe</w:t>
      </w:r>
      <w:r w:rsidR="008C6B8E">
        <w:rPr>
          <w:szCs w:val="21"/>
        </w:rPr>
        <w:t>rment, each of which is</w:t>
      </w:r>
      <w:r w:rsidR="008C6B8E" w:rsidRPr="009036BC">
        <w:rPr>
          <w:szCs w:val="21"/>
        </w:rPr>
        <w:t xml:space="preserve"> related </w:t>
      </w:r>
      <w:r w:rsidR="00332E7B">
        <w:rPr>
          <w:szCs w:val="21"/>
        </w:rPr>
        <w:t xml:space="preserve">to </w:t>
      </w:r>
      <w:r w:rsidR="008C6B8E" w:rsidRPr="009036BC">
        <w:rPr>
          <w:szCs w:val="21"/>
        </w:rPr>
        <w:t xml:space="preserve">and impacts </w:t>
      </w:r>
      <w:r w:rsidR="00332E7B">
        <w:rPr>
          <w:szCs w:val="21"/>
        </w:rPr>
        <w:t xml:space="preserve">on </w:t>
      </w:r>
      <w:r w:rsidR="008C6B8E" w:rsidRPr="009036BC">
        <w:rPr>
          <w:szCs w:val="21"/>
        </w:rPr>
        <w:t xml:space="preserve">a broad range of sectors.  </w:t>
      </w:r>
      <w:r w:rsidR="002108E8">
        <w:rPr>
          <w:szCs w:val="21"/>
        </w:rPr>
        <w:t>Amendments to the Child Marriage A</w:t>
      </w:r>
      <w:r w:rsidR="00DB06E8">
        <w:rPr>
          <w:szCs w:val="21"/>
        </w:rPr>
        <w:t>ct were proposed dur</w:t>
      </w:r>
      <w:r w:rsidR="007B5EE2">
        <w:rPr>
          <w:szCs w:val="21"/>
        </w:rPr>
        <w:t>ing the reporting period.  While</w:t>
      </w:r>
      <w:r w:rsidR="00DB06E8">
        <w:rPr>
          <w:szCs w:val="21"/>
        </w:rPr>
        <w:t xml:space="preserve"> </w:t>
      </w:r>
      <w:r w:rsidR="007B5EE2">
        <w:rPr>
          <w:szCs w:val="21"/>
        </w:rPr>
        <w:t>this included provisions to strengthen</w:t>
      </w:r>
      <w:r w:rsidR="00DB06E8">
        <w:rPr>
          <w:szCs w:val="21"/>
        </w:rPr>
        <w:t xml:space="preserve"> the legal framework to prevent child marriage, </w:t>
      </w:r>
      <w:r w:rsidR="007B5EE2">
        <w:rPr>
          <w:szCs w:val="21"/>
        </w:rPr>
        <w:t>an exemption</w:t>
      </w:r>
      <w:r w:rsidR="00BC5DDE">
        <w:rPr>
          <w:szCs w:val="21"/>
        </w:rPr>
        <w:t xml:space="preserve"> allowing marriage for girls at 16 </w:t>
      </w:r>
      <w:r w:rsidR="007B5EE2">
        <w:rPr>
          <w:szCs w:val="21"/>
        </w:rPr>
        <w:t xml:space="preserve">is concerning as it </w:t>
      </w:r>
      <w:r w:rsidR="00BC5DDE">
        <w:rPr>
          <w:szCs w:val="21"/>
        </w:rPr>
        <w:t>may allow significant numbers of child marriages to continue.</w:t>
      </w:r>
    </w:p>
    <w:p w14:paraId="38EF3C96" w14:textId="47396793" w:rsidR="0015477F" w:rsidRDefault="007B5EE2" w:rsidP="00AA7D67">
      <w:pPr>
        <w:pStyle w:val="BodyText"/>
        <w:jc w:val="both"/>
        <w:rPr>
          <w:szCs w:val="21"/>
        </w:rPr>
      </w:pPr>
      <w:r>
        <w:rPr>
          <w:szCs w:val="21"/>
        </w:rPr>
        <w:t>While</w:t>
      </w:r>
      <w:r w:rsidR="008C6B8E" w:rsidRPr="009036BC">
        <w:rPr>
          <w:szCs w:val="21"/>
        </w:rPr>
        <w:t xml:space="preserve"> gains in primary education enrolment </w:t>
      </w:r>
      <w:r>
        <w:rPr>
          <w:szCs w:val="21"/>
        </w:rPr>
        <w:t xml:space="preserve">were made, </w:t>
      </w:r>
      <w:r w:rsidR="008C6B8E" w:rsidRPr="009036BC">
        <w:rPr>
          <w:szCs w:val="21"/>
        </w:rPr>
        <w:t>challenges</w:t>
      </w:r>
      <w:r>
        <w:rPr>
          <w:szCs w:val="21"/>
        </w:rPr>
        <w:t xml:space="preserve"> remain</w:t>
      </w:r>
      <w:r w:rsidR="008C6B8E" w:rsidRPr="009036BC">
        <w:rPr>
          <w:szCs w:val="21"/>
        </w:rPr>
        <w:t xml:space="preserve">: how to </w:t>
      </w:r>
      <w:r w:rsidR="008C6B8E">
        <w:rPr>
          <w:szCs w:val="21"/>
        </w:rPr>
        <w:t xml:space="preserve">improve the quality of education, </w:t>
      </w:r>
      <w:r w:rsidR="008C6B8E" w:rsidRPr="009036BC">
        <w:rPr>
          <w:szCs w:val="21"/>
        </w:rPr>
        <w:t>facilitate successful completion of primary education</w:t>
      </w:r>
      <w:r w:rsidR="008C6B8E">
        <w:rPr>
          <w:szCs w:val="21"/>
        </w:rPr>
        <w:t xml:space="preserve"> (particularly for girls)</w:t>
      </w:r>
      <w:r w:rsidR="008C6B8E" w:rsidRPr="009036BC">
        <w:rPr>
          <w:szCs w:val="21"/>
        </w:rPr>
        <w:t xml:space="preserve">, </w:t>
      </w:r>
      <w:r>
        <w:rPr>
          <w:szCs w:val="21"/>
        </w:rPr>
        <w:t xml:space="preserve">support </w:t>
      </w:r>
      <w:r w:rsidR="008C6B8E" w:rsidRPr="009036BC">
        <w:rPr>
          <w:szCs w:val="21"/>
        </w:rPr>
        <w:t xml:space="preserve">the transition to secondary education and/or vocational training, and </w:t>
      </w:r>
      <w:r>
        <w:rPr>
          <w:szCs w:val="21"/>
        </w:rPr>
        <w:t xml:space="preserve">improve </w:t>
      </w:r>
      <w:r w:rsidR="008C6B8E" w:rsidRPr="009036BC">
        <w:rPr>
          <w:szCs w:val="21"/>
        </w:rPr>
        <w:t xml:space="preserve">access to decent jobs or sustainable self-employment. </w:t>
      </w:r>
      <w:r w:rsidR="006554EE">
        <w:rPr>
          <w:szCs w:val="21"/>
        </w:rPr>
        <w:t xml:space="preserve"> The sustained elimination of </w:t>
      </w:r>
      <w:r w:rsidR="00551A58">
        <w:rPr>
          <w:szCs w:val="21"/>
        </w:rPr>
        <w:t xml:space="preserve">absolute extreme poverty (including helping those who are vulnerable to falling back into poverty through natural and man-made shocks) remains a critical issue for Bangladesh.  </w:t>
      </w:r>
      <w:r w:rsidR="00551A58" w:rsidRPr="00CD296C">
        <w:rPr>
          <w:szCs w:val="21"/>
        </w:rPr>
        <w:t>Social protection</w:t>
      </w:r>
      <w:r w:rsidR="00DB06E8">
        <w:rPr>
          <w:szCs w:val="21"/>
        </w:rPr>
        <w:t>, including more effective tax transfer systems</w:t>
      </w:r>
      <w:r w:rsidR="00DB06E8" w:rsidRPr="00CD296C">
        <w:rPr>
          <w:szCs w:val="21"/>
        </w:rPr>
        <w:t xml:space="preserve"> </w:t>
      </w:r>
      <w:r w:rsidR="00551A58" w:rsidRPr="00CD296C">
        <w:rPr>
          <w:szCs w:val="21"/>
        </w:rPr>
        <w:t xml:space="preserve">and </w:t>
      </w:r>
      <w:r>
        <w:rPr>
          <w:szCs w:val="21"/>
        </w:rPr>
        <w:t xml:space="preserve">increased </w:t>
      </w:r>
      <w:r w:rsidR="00551A58" w:rsidRPr="00CD296C">
        <w:rPr>
          <w:szCs w:val="21"/>
        </w:rPr>
        <w:t>public spending on human development</w:t>
      </w:r>
      <w:r w:rsidR="00BC5DDE">
        <w:rPr>
          <w:szCs w:val="21"/>
        </w:rPr>
        <w:t>,</w:t>
      </w:r>
      <w:r w:rsidR="00551A58" w:rsidRPr="00CD296C">
        <w:rPr>
          <w:szCs w:val="21"/>
        </w:rPr>
        <w:t xml:space="preserve"> are key</w:t>
      </w:r>
      <w:r>
        <w:rPr>
          <w:szCs w:val="21"/>
        </w:rPr>
        <w:t xml:space="preserve"> mechanisms for achieving inclusive growth</w:t>
      </w:r>
      <w:r w:rsidR="00551A58">
        <w:rPr>
          <w:szCs w:val="21"/>
        </w:rPr>
        <w:t>.</w:t>
      </w:r>
    </w:p>
    <w:p w14:paraId="7966E90B" w14:textId="2CED78E3" w:rsidR="008C7A69" w:rsidRPr="008C7A69" w:rsidRDefault="00F15F35" w:rsidP="00F15F35">
      <w:pPr>
        <w:pStyle w:val="BodyText"/>
        <w:jc w:val="both"/>
      </w:pPr>
      <w:r w:rsidRPr="009C6B2A">
        <w:rPr>
          <w:szCs w:val="21"/>
        </w:rPr>
        <w:t>Overall Bangladesh is on a positive development trajectory</w:t>
      </w:r>
      <w:r>
        <w:rPr>
          <w:b/>
          <w:szCs w:val="21"/>
        </w:rPr>
        <w:t xml:space="preserve">. </w:t>
      </w:r>
      <w:r>
        <w:rPr>
          <w:szCs w:val="21"/>
        </w:rPr>
        <w:t xml:space="preserve">Graduation to </w:t>
      </w:r>
      <w:r w:rsidR="001D3ACF">
        <w:rPr>
          <w:szCs w:val="21"/>
        </w:rPr>
        <w:t xml:space="preserve">lower </w:t>
      </w:r>
      <w:r>
        <w:rPr>
          <w:szCs w:val="21"/>
          <w:lang w:eastAsia="zh-CN"/>
        </w:rPr>
        <w:t>MIC status does not</w:t>
      </w:r>
      <w:r w:rsidR="007B5EE2">
        <w:rPr>
          <w:szCs w:val="21"/>
          <w:lang w:eastAsia="zh-CN"/>
        </w:rPr>
        <w:t>,</w:t>
      </w:r>
      <w:r>
        <w:rPr>
          <w:szCs w:val="21"/>
          <w:lang w:eastAsia="zh-CN"/>
        </w:rPr>
        <w:t xml:space="preserve"> however, equate to an exit from poverty.  While dependence on traditional </w:t>
      </w:r>
      <w:r w:rsidR="00AB50E6">
        <w:rPr>
          <w:szCs w:val="21"/>
          <w:lang w:eastAsia="zh-CN"/>
        </w:rPr>
        <w:t>Official Development Assistance (</w:t>
      </w:r>
      <w:r>
        <w:rPr>
          <w:szCs w:val="21"/>
          <w:lang w:eastAsia="zh-CN"/>
        </w:rPr>
        <w:t>ODA</w:t>
      </w:r>
      <w:r w:rsidR="00AB50E6">
        <w:rPr>
          <w:szCs w:val="21"/>
          <w:lang w:eastAsia="zh-CN"/>
        </w:rPr>
        <w:t>)</w:t>
      </w:r>
      <w:r>
        <w:rPr>
          <w:szCs w:val="21"/>
          <w:lang w:eastAsia="zh-CN"/>
        </w:rPr>
        <w:t xml:space="preserve"> will decrease, new regional players such as India and China will increase their investments in </w:t>
      </w:r>
      <w:r w:rsidR="00755707">
        <w:rPr>
          <w:szCs w:val="21"/>
          <w:lang w:eastAsia="zh-CN"/>
        </w:rPr>
        <w:t xml:space="preserve">the </w:t>
      </w:r>
      <w:r>
        <w:rPr>
          <w:szCs w:val="21"/>
          <w:lang w:eastAsia="zh-CN"/>
        </w:rPr>
        <w:t>Bangladesh</w:t>
      </w:r>
      <w:r w:rsidR="00755707">
        <w:rPr>
          <w:szCs w:val="21"/>
          <w:lang w:eastAsia="zh-CN"/>
        </w:rPr>
        <w:t xml:space="preserve"> economy</w:t>
      </w:r>
      <w:r>
        <w:rPr>
          <w:szCs w:val="21"/>
          <w:lang w:eastAsia="zh-CN"/>
        </w:rPr>
        <w:t>.  Bangladesh became a founding member of the new Asia Infrastructure and Investment Bank (AIIB) in June 2015</w:t>
      </w:r>
      <w:r w:rsidR="007B5EE2">
        <w:rPr>
          <w:szCs w:val="21"/>
          <w:lang w:eastAsia="zh-CN"/>
        </w:rPr>
        <w:t>, which in time may open up new opportunities for project finance and technical assistance</w:t>
      </w:r>
      <w:r>
        <w:rPr>
          <w:szCs w:val="21"/>
          <w:lang w:eastAsia="zh-CN"/>
        </w:rPr>
        <w:t xml:space="preserve">.  Bangladesh needs </w:t>
      </w:r>
      <w:r w:rsidR="002C70A6">
        <w:rPr>
          <w:szCs w:val="21"/>
          <w:lang w:eastAsia="zh-CN"/>
        </w:rPr>
        <w:t xml:space="preserve">ongoing </w:t>
      </w:r>
      <w:r>
        <w:rPr>
          <w:szCs w:val="21"/>
          <w:lang w:eastAsia="zh-CN"/>
        </w:rPr>
        <w:t xml:space="preserve">support to make the economic and institutional shifts </w:t>
      </w:r>
      <w:r w:rsidR="002C70A6">
        <w:rPr>
          <w:szCs w:val="21"/>
          <w:lang w:eastAsia="zh-CN"/>
        </w:rPr>
        <w:t xml:space="preserve">to achieve </w:t>
      </w:r>
      <w:r>
        <w:rPr>
          <w:szCs w:val="21"/>
          <w:lang w:eastAsia="zh-CN"/>
        </w:rPr>
        <w:t xml:space="preserve">MIC status through sustainable, inclusive growth. </w:t>
      </w:r>
      <w:r w:rsidRPr="00190082">
        <w:rPr>
          <w:szCs w:val="21"/>
        </w:rPr>
        <w:t xml:space="preserve"> Australia’s value</w:t>
      </w:r>
      <w:r>
        <w:rPr>
          <w:szCs w:val="21"/>
        </w:rPr>
        <w:t>-</w:t>
      </w:r>
      <w:r w:rsidRPr="00190082">
        <w:rPr>
          <w:szCs w:val="21"/>
        </w:rPr>
        <w:t>add will be</w:t>
      </w:r>
      <w:r w:rsidR="008F30C1">
        <w:rPr>
          <w:szCs w:val="21"/>
        </w:rPr>
        <w:t>:</w:t>
      </w:r>
      <w:r w:rsidRPr="00190082">
        <w:rPr>
          <w:szCs w:val="21"/>
        </w:rPr>
        <w:t xml:space="preserve"> </w:t>
      </w:r>
      <w:r>
        <w:rPr>
          <w:szCs w:val="21"/>
        </w:rPr>
        <w:t xml:space="preserve">building </w:t>
      </w:r>
      <w:r w:rsidR="008F30C1">
        <w:rPr>
          <w:szCs w:val="21"/>
        </w:rPr>
        <w:t xml:space="preserve">Bangladesh’s </w:t>
      </w:r>
      <w:r>
        <w:rPr>
          <w:szCs w:val="21"/>
        </w:rPr>
        <w:t xml:space="preserve">capacity to use </w:t>
      </w:r>
      <w:r w:rsidR="008F30C1">
        <w:rPr>
          <w:szCs w:val="21"/>
        </w:rPr>
        <w:t>its</w:t>
      </w:r>
      <w:r>
        <w:rPr>
          <w:szCs w:val="21"/>
        </w:rPr>
        <w:t xml:space="preserve"> own resources more effectively and efficiently</w:t>
      </w:r>
      <w:r w:rsidR="008F30C1">
        <w:rPr>
          <w:szCs w:val="21"/>
        </w:rPr>
        <w:t>;</w:t>
      </w:r>
      <w:r>
        <w:rPr>
          <w:szCs w:val="21"/>
        </w:rPr>
        <w:t xml:space="preserve"> </w:t>
      </w:r>
      <w:r w:rsidR="000D32CF">
        <w:rPr>
          <w:szCs w:val="21"/>
        </w:rPr>
        <w:t xml:space="preserve">piloting </w:t>
      </w:r>
      <w:r w:rsidR="008F30C1">
        <w:rPr>
          <w:szCs w:val="21"/>
        </w:rPr>
        <w:t>innovative programs and shar</w:t>
      </w:r>
      <w:r w:rsidR="000D32CF">
        <w:rPr>
          <w:szCs w:val="21"/>
        </w:rPr>
        <w:t>ing evidence of effective p</w:t>
      </w:r>
      <w:r w:rsidR="008F30C1">
        <w:rPr>
          <w:szCs w:val="21"/>
        </w:rPr>
        <w:t xml:space="preserve">olicy and program interventions; </w:t>
      </w:r>
      <w:r>
        <w:rPr>
          <w:szCs w:val="21"/>
        </w:rPr>
        <w:t>and developing people-to-people and institutional linkages</w:t>
      </w:r>
      <w:r w:rsidRPr="00190082">
        <w:rPr>
          <w:szCs w:val="21"/>
        </w:rPr>
        <w:t>.</w:t>
      </w:r>
    </w:p>
    <w:p w14:paraId="25F1CCA6" w14:textId="77777777" w:rsidR="00741656" w:rsidRDefault="00741656">
      <w:pPr>
        <w:spacing w:after="200" w:line="276" w:lineRule="auto"/>
        <w:rPr>
          <w:rFonts w:ascii="Helvetica" w:eastAsia="Times New Roman" w:hAnsi="Helvetica" w:cs="Arial"/>
          <w:b/>
          <w:color w:val="114486"/>
          <w:kern w:val="28"/>
          <w:sz w:val="22"/>
          <w:szCs w:val="22"/>
          <w:lang w:eastAsia="zh-CN"/>
        </w:rPr>
      </w:pPr>
      <w:r>
        <w:br w:type="page"/>
      </w:r>
    </w:p>
    <w:p w14:paraId="26D7E71C" w14:textId="61524ABB" w:rsidR="00190082" w:rsidRPr="003D00FF" w:rsidRDefault="001101DD" w:rsidP="003D00FF">
      <w:pPr>
        <w:pStyle w:val="Heading3"/>
      </w:pPr>
      <w:r>
        <w:lastRenderedPageBreak/>
        <w:t>The Aid Program</w:t>
      </w:r>
      <w:r w:rsidR="00190082" w:rsidRPr="003D00FF">
        <w:t xml:space="preserve"> in Bangladesh</w:t>
      </w:r>
    </w:p>
    <w:p w14:paraId="355B282B" w14:textId="70AF37C4" w:rsidR="00DE13C9" w:rsidRPr="00190082" w:rsidRDefault="00190082" w:rsidP="00190082">
      <w:pPr>
        <w:pStyle w:val="BodyText"/>
        <w:jc w:val="both"/>
        <w:rPr>
          <w:szCs w:val="21"/>
        </w:rPr>
      </w:pPr>
      <w:r w:rsidRPr="001D3496">
        <w:rPr>
          <w:szCs w:val="21"/>
        </w:rPr>
        <w:t>In 2</w:t>
      </w:r>
      <w:r w:rsidR="00793700">
        <w:rPr>
          <w:szCs w:val="21"/>
        </w:rPr>
        <w:t xml:space="preserve">014-15 </w:t>
      </w:r>
      <w:r w:rsidR="008F30C1">
        <w:rPr>
          <w:szCs w:val="21"/>
        </w:rPr>
        <w:t xml:space="preserve">total </w:t>
      </w:r>
      <w:r w:rsidR="00793700">
        <w:rPr>
          <w:szCs w:val="21"/>
        </w:rPr>
        <w:t>aid to Bangladesh constituted</w:t>
      </w:r>
      <w:r w:rsidRPr="001D3496">
        <w:rPr>
          <w:szCs w:val="21"/>
        </w:rPr>
        <w:t xml:space="preserve"> approximately 1.</w:t>
      </w:r>
      <w:r w:rsidR="008C6F56" w:rsidRPr="001D3496">
        <w:rPr>
          <w:szCs w:val="21"/>
        </w:rPr>
        <w:t>8</w:t>
      </w:r>
      <w:r w:rsidRPr="001D3496">
        <w:rPr>
          <w:szCs w:val="21"/>
        </w:rPr>
        <w:t xml:space="preserve"> per cent of </w:t>
      </w:r>
      <w:r w:rsidR="008F30C1">
        <w:rPr>
          <w:szCs w:val="21"/>
        </w:rPr>
        <w:t xml:space="preserve">its </w:t>
      </w:r>
      <w:r w:rsidRPr="001D3496">
        <w:rPr>
          <w:szCs w:val="21"/>
        </w:rPr>
        <w:t xml:space="preserve">GDP, of which Australia’s contribution </w:t>
      </w:r>
      <w:r w:rsidR="008F30C1">
        <w:rPr>
          <w:szCs w:val="21"/>
        </w:rPr>
        <w:t xml:space="preserve">of $93.2 million </w:t>
      </w:r>
      <w:r w:rsidRPr="001D3496">
        <w:rPr>
          <w:szCs w:val="21"/>
        </w:rPr>
        <w:t xml:space="preserve">represented approximately </w:t>
      </w:r>
      <w:r w:rsidR="0084491B">
        <w:rPr>
          <w:szCs w:val="21"/>
        </w:rPr>
        <w:t>2.7</w:t>
      </w:r>
      <w:r w:rsidR="00793700">
        <w:rPr>
          <w:szCs w:val="21"/>
        </w:rPr>
        <w:t xml:space="preserve"> </w:t>
      </w:r>
      <w:r w:rsidRPr="001D3496">
        <w:rPr>
          <w:szCs w:val="21"/>
        </w:rPr>
        <w:t xml:space="preserve">per cent.  </w:t>
      </w:r>
      <w:r w:rsidRPr="00BE4493">
        <w:rPr>
          <w:szCs w:val="21"/>
        </w:rPr>
        <w:t xml:space="preserve">The overarching goal of Australian aid to Bangladesh is to </w:t>
      </w:r>
      <w:r>
        <w:rPr>
          <w:szCs w:val="21"/>
        </w:rPr>
        <w:t>‘</w:t>
      </w:r>
      <w:r w:rsidRPr="00BE4493">
        <w:rPr>
          <w:i/>
          <w:szCs w:val="21"/>
        </w:rPr>
        <w:t>help accelerate gains in poverty reduction and human development in support of the country’s vision for equitable economic and social development</w:t>
      </w:r>
      <w:r>
        <w:rPr>
          <w:szCs w:val="21"/>
        </w:rPr>
        <w:t>’</w:t>
      </w:r>
      <w:r w:rsidRPr="00BE4493">
        <w:rPr>
          <w:szCs w:val="21"/>
        </w:rPr>
        <w:t xml:space="preserve">. Three objectives have </w:t>
      </w:r>
      <w:r w:rsidR="00332E7B">
        <w:rPr>
          <w:szCs w:val="21"/>
        </w:rPr>
        <w:t>been identified to achieve this:</w:t>
      </w:r>
    </w:p>
    <w:p w14:paraId="1509F77A" w14:textId="19E24EBA" w:rsidR="00190082" w:rsidRPr="00943371" w:rsidRDefault="00190082" w:rsidP="00611C67">
      <w:pPr>
        <w:pStyle w:val="ListBullet"/>
        <w:tabs>
          <w:tab w:val="clear" w:pos="284"/>
        </w:tabs>
        <w:jc w:val="both"/>
      </w:pPr>
      <w:r w:rsidRPr="00943371">
        <w:rPr>
          <w:b/>
        </w:rPr>
        <w:t>Increased equity of access to, and improved outcomes from, health and education services</w:t>
      </w:r>
      <w:r w:rsidRPr="00190082">
        <w:t xml:space="preserve">.  Australia is working with the Government and </w:t>
      </w:r>
      <w:r w:rsidR="00611C67">
        <w:t xml:space="preserve">nine </w:t>
      </w:r>
      <w:r w:rsidRPr="00190082">
        <w:t xml:space="preserve">other donor partners on a </w:t>
      </w:r>
      <w:r w:rsidR="00C62716">
        <w:t xml:space="preserve">large-scale </w:t>
      </w:r>
      <w:r w:rsidRPr="00190082">
        <w:t>program that reaches 100,000 schools and 20</w:t>
      </w:r>
      <w:r w:rsidR="0084491B">
        <w:t xml:space="preserve"> million</w:t>
      </w:r>
      <w:r w:rsidRPr="00190082">
        <w:t xml:space="preserve"> students.  The Primary Education Development Program Phase III (PEDP3) is a Sector Wide Approach (SWAp) which focuses on </w:t>
      </w:r>
      <w:r w:rsidR="008F30C1">
        <w:t xml:space="preserve">improving </w:t>
      </w:r>
      <w:r w:rsidRPr="00190082">
        <w:t>the quality of education through better</w:t>
      </w:r>
      <w:r w:rsidR="00C62716">
        <w:t>-</w:t>
      </w:r>
      <w:r w:rsidRPr="00190082">
        <w:t>trained teachers and competency based education.  Australia also partners with BRAC and DFID through the</w:t>
      </w:r>
      <w:r w:rsidR="001C1D7C">
        <w:t xml:space="preserve"> Strategic Partnership Arrangement</w:t>
      </w:r>
      <w:r w:rsidRPr="00190082">
        <w:t xml:space="preserve"> (SPA) </w:t>
      </w:r>
      <w:r w:rsidR="00943371">
        <w:t>that</w:t>
      </w:r>
      <w:r w:rsidR="00330982">
        <w:t xml:space="preserve"> provides</w:t>
      </w:r>
      <w:r w:rsidRPr="00190082">
        <w:t xml:space="preserve"> quality </w:t>
      </w:r>
      <w:r w:rsidR="00950DE1">
        <w:t xml:space="preserve">primary </w:t>
      </w:r>
      <w:r w:rsidRPr="00190082">
        <w:t>education</w:t>
      </w:r>
      <w:r w:rsidR="00C62716">
        <w:t>,</w:t>
      </w:r>
      <w:r w:rsidRPr="00190082">
        <w:t xml:space="preserve"> including in places where Government programs do not reach.</w:t>
      </w:r>
    </w:p>
    <w:p w14:paraId="5732097A" w14:textId="0B9692E0" w:rsidR="00190082" w:rsidRPr="00190082" w:rsidRDefault="00190082" w:rsidP="00E41EB3">
      <w:pPr>
        <w:pStyle w:val="ListBullet"/>
        <w:tabs>
          <w:tab w:val="clear" w:pos="284"/>
        </w:tabs>
        <w:jc w:val="both"/>
      </w:pPr>
      <w:r w:rsidRPr="00190082">
        <w:rPr>
          <w:b/>
        </w:rPr>
        <w:t>Fewer women and men living in extreme poverty and vulnerable to economic and natural shocks</w:t>
      </w:r>
      <w:r w:rsidRPr="00190082">
        <w:t xml:space="preserve">.  Australia is working with the Government, BRAC, DFID and the World Food Programme (WFP) to strengthen social protection systems and </w:t>
      </w:r>
      <w:r w:rsidR="00C57EB2">
        <w:t xml:space="preserve">livelihoods </w:t>
      </w:r>
      <w:r w:rsidRPr="00190082">
        <w:t xml:space="preserve">programs.  The Strengthening Government Social Protection Program (SGSP) is assisting the Ministry of Finance to entrench a </w:t>
      </w:r>
      <w:r w:rsidR="00330982">
        <w:t>N</w:t>
      </w:r>
      <w:r w:rsidRPr="00190082">
        <w:t xml:space="preserve">ational </w:t>
      </w:r>
      <w:r w:rsidR="00330982">
        <w:t>S</w:t>
      </w:r>
      <w:r w:rsidRPr="00190082">
        <w:t xml:space="preserve">ocial </w:t>
      </w:r>
      <w:r w:rsidR="00330982">
        <w:t>Security S</w:t>
      </w:r>
      <w:r w:rsidRPr="00190082">
        <w:t>trategy.  The Challenging the Frontiers of Poverty Reduction</w:t>
      </w:r>
      <w:r w:rsidR="009E7701">
        <w:t>-</w:t>
      </w:r>
      <w:r w:rsidRPr="00190082">
        <w:t xml:space="preserve"> </w:t>
      </w:r>
      <w:r w:rsidR="009E7701">
        <w:t xml:space="preserve">Targeting the Ultra Poor </w:t>
      </w:r>
      <w:r w:rsidRPr="00190082">
        <w:t>(CFPR</w:t>
      </w:r>
      <w:r w:rsidR="00FE1101">
        <w:t>-TUP</w:t>
      </w:r>
      <w:r w:rsidRPr="00190082">
        <w:t xml:space="preserve">) program with BRAC is supporting extremely poor households in 42 districts by providing cash transfers, productive assets, training and access to free health services.  Assistance to WFP </w:t>
      </w:r>
      <w:r w:rsidR="00943371">
        <w:t>delivers</w:t>
      </w:r>
      <w:r w:rsidRPr="00190082">
        <w:t xml:space="preserve"> nutrition, food distribution and income generating activities to communities in Cox’s Bazar</w:t>
      </w:r>
      <w:r w:rsidR="00943371">
        <w:t>,</w:t>
      </w:r>
      <w:r w:rsidR="008A7D09">
        <w:t xml:space="preserve"> which are host to </w:t>
      </w:r>
      <w:r w:rsidR="00032CAC">
        <w:t xml:space="preserve">registered and unregistered </w:t>
      </w:r>
      <w:r w:rsidR="008A7D09">
        <w:t>Rohingya</w:t>
      </w:r>
      <w:r w:rsidR="00032CAC">
        <w:t>.</w:t>
      </w:r>
    </w:p>
    <w:p w14:paraId="35A27E2A" w14:textId="0CFB41AF" w:rsidR="000D733F" w:rsidRDefault="00190082" w:rsidP="00E41EB3">
      <w:pPr>
        <w:pStyle w:val="ListBullet"/>
        <w:tabs>
          <w:tab w:val="clear" w:pos="284"/>
        </w:tabs>
        <w:jc w:val="both"/>
      </w:pPr>
      <w:r w:rsidRPr="00190082">
        <w:rPr>
          <w:b/>
        </w:rPr>
        <w:t>Women and marginalised groups better able to demand and obtain services and assert their rights</w:t>
      </w:r>
      <w:r w:rsidRPr="00190082">
        <w:t xml:space="preserve">.  The two biggest contributors to this objective are the Manusher Jono Foundation (MJF) and BRAC.  Australia’s support to MJF is supporting over 150 NGOs such as the Acid Survivors Foundation (ASF) to build their capacity </w:t>
      </w:r>
      <w:r w:rsidR="00330982">
        <w:t xml:space="preserve">to help marginalised groups </w:t>
      </w:r>
      <w:r w:rsidRPr="00190082">
        <w:t xml:space="preserve">demand rights and </w:t>
      </w:r>
      <w:r w:rsidR="00332E7B">
        <w:t xml:space="preserve">get </w:t>
      </w:r>
      <w:r w:rsidRPr="00190082">
        <w:t xml:space="preserve">access to basic services.  </w:t>
      </w:r>
      <w:r w:rsidR="00C62716">
        <w:t>BRAC’s</w:t>
      </w:r>
      <w:r w:rsidR="00C62716" w:rsidRPr="00190082">
        <w:t xml:space="preserve"> </w:t>
      </w:r>
      <w:r w:rsidRPr="00190082">
        <w:t>Community Empowerment Program (CEP) is focused on achieving socio-political empowerment of the rural poor, particularly women.</w:t>
      </w:r>
    </w:p>
    <w:p w14:paraId="35CED9DD" w14:textId="77777777" w:rsidR="00687B2F" w:rsidRPr="0071214F" w:rsidRDefault="000D733F" w:rsidP="0071214F">
      <w:pPr>
        <w:pStyle w:val="Heading2"/>
        <w:rPr>
          <w:sz w:val="28"/>
        </w:rPr>
      </w:pPr>
      <w:r w:rsidRPr="009E38C1">
        <w:rPr>
          <w:sz w:val="28"/>
        </w:rPr>
        <w:lastRenderedPageBreak/>
        <w:t>Expenditure</w:t>
      </w:r>
      <w:bookmarkStart w:id="2" w:name="_Toc373853206"/>
    </w:p>
    <w:p w14:paraId="5B88CD7F" w14:textId="77777777" w:rsidR="000D733F" w:rsidRDefault="000D733F" w:rsidP="00687B2F">
      <w:pPr>
        <w:pStyle w:val="Caption"/>
        <w:keepLines/>
      </w:pPr>
      <w:r w:rsidRPr="005901D2">
        <w:t xml:space="preserve">Table </w:t>
      </w:r>
      <w:fldSimple w:instr=" SEQ Table \* ARABIC ">
        <w:r w:rsidR="00AC028E">
          <w:rPr>
            <w:noProof/>
          </w:rPr>
          <w:t>1</w:t>
        </w:r>
      </w:fldSimple>
      <w:r w:rsidRPr="005901D2">
        <w:t xml:space="preserve"> </w:t>
      </w:r>
      <w:r w:rsidR="00687B2F">
        <w:t>Total ODA Expenditure in FY 2014-15</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992"/>
        <w:gridCol w:w="1525"/>
      </w:tblGrid>
      <w:tr w:rsidR="00687B2F" w:rsidRPr="00687B2F" w14:paraId="3AAFDAAB" w14:textId="77777777" w:rsidTr="002C5722">
        <w:tc>
          <w:tcPr>
            <w:tcW w:w="6204" w:type="dxa"/>
          </w:tcPr>
          <w:p w14:paraId="2A4075A7" w14:textId="77777777" w:rsidR="00687B2F" w:rsidRPr="00687B2F" w:rsidRDefault="00687B2F" w:rsidP="00687B2F">
            <w:pPr>
              <w:pStyle w:val="BodyText"/>
              <w:keepNext/>
              <w:rPr>
                <w:b/>
                <w:sz w:val="17"/>
                <w:szCs w:val="17"/>
              </w:rPr>
            </w:pPr>
            <w:r w:rsidRPr="00687B2F">
              <w:rPr>
                <w:b/>
                <w:sz w:val="17"/>
                <w:szCs w:val="17"/>
              </w:rPr>
              <w:t>Objective</w:t>
            </w:r>
          </w:p>
        </w:tc>
        <w:tc>
          <w:tcPr>
            <w:tcW w:w="992" w:type="dxa"/>
          </w:tcPr>
          <w:p w14:paraId="05EE4C75" w14:textId="77777777" w:rsidR="00687B2F" w:rsidRPr="00687B2F" w:rsidRDefault="00687B2F" w:rsidP="00687B2F">
            <w:pPr>
              <w:pStyle w:val="BodyText"/>
              <w:keepNext/>
              <w:rPr>
                <w:sz w:val="17"/>
                <w:szCs w:val="17"/>
              </w:rPr>
            </w:pPr>
            <w:r w:rsidRPr="00687B2F">
              <w:rPr>
                <w:b/>
                <w:sz w:val="17"/>
                <w:szCs w:val="17"/>
              </w:rPr>
              <w:t>A$ million</w:t>
            </w:r>
          </w:p>
        </w:tc>
        <w:tc>
          <w:tcPr>
            <w:tcW w:w="1525" w:type="dxa"/>
          </w:tcPr>
          <w:p w14:paraId="21F7CE3E" w14:textId="77777777" w:rsidR="00687B2F" w:rsidRPr="00687B2F" w:rsidRDefault="00687B2F" w:rsidP="00687B2F">
            <w:pPr>
              <w:pStyle w:val="BodyText"/>
              <w:keepNext/>
              <w:rPr>
                <w:sz w:val="17"/>
                <w:szCs w:val="17"/>
              </w:rPr>
            </w:pPr>
            <w:r w:rsidRPr="00687B2F">
              <w:rPr>
                <w:b/>
                <w:sz w:val="17"/>
                <w:szCs w:val="17"/>
              </w:rPr>
              <w:t>% of total ODA</w:t>
            </w:r>
          </w:p>
        </w:tc>
      </w:tr>
      <w:tr w:rsidR="00687B2F" w:rsidRPr="00687B2F" w14:paraId="5DCAFC6E" w14:textId="77777777" w:rsidTr="002C5722">
        <w:tc>
          <w:tcPr>
            <w:tcW w:w="6204" w:type="dxa"/>
          </w:tcPr>
          <w:p w14:paraId="15607BAE" w14:textId="4E049E69" w:rsidR="00687B2F" w:rsidRPr="00687B2F" w:rsidRDefault="00190082" w:rsidP="002C5722">
            <w:pPr>
              <w:pStyle w:val="BodyText"/>
              <w:keepNext/>
              <w:spacing w:before="40" w:after="40"/>
              <w:rPr>
                <w:sz w:val="17"/>
                <w:szCs w:val="17"/>
              </w:rPr>
            </w:pPr>
            <w:r w:rsidRPr="00190082">
              <w:rPr>
                <w:sz w:val="17"/>
                <w:szCs w:val="17"/>
              </w:rPr>
              <w:t>Objective 1</w:t>
            </w:r>
            <w:r w:rsidR="00C62716">
              <w:rPr>
                <w:sz w:val="17"/>
                <w:szCs w:val="17"/>
              </w:rPr>
              <w:t>:</w:t>
            </w:r>
            <w:r w:rsidRPr="00190082">
              <w:rPr>
                <w:sz w:val="17"/>
                <w:szCs w:val="17"/>
              </w:rPr>
              <w:t xml:space="preserve">  </w:t>
            </w:r>
            <w:r w:rsidR="00C62716">
              <w:rPr>
                <w:sz w:val="17"/>
                <w:szCs w:val="17"/>
              </w:rPr>
              <w:t>I</w:t>
            </w:r>
            <w:r w:rsidRPr="00190082">
              <w:rPr>
                <w:sz w:val="17"/>
                <w:szCs w:val="17"/>
              </w:rPr>
              <w:t>ncreased equity of access to, and improved outcomes from, health and education services</w:t>
            </w:r>
          </w:p>
        </w:tc>
        <w:tc>
          <w:tcPr>
            <w:tcW w:w="992" w:type="dxa"/>
          </w:tcPr>
          <w:p w14:paraId="317589FE" w14:textId="77777777" w:rsidR="00687B2F" w:rsidRPr="00687B2F" w:rsidRDefault="00E41EB3" w:rsidP="002C5722">
            <w:pPr>
              <w:pStyle w:val="BodyText"/>
              <w:keepNext/>
              <w:spacing w:before="40" w:after="40"/>
              <w:rPr>
                <w:sz w:val="17"/>
                <w:szCs w:val="17"/>
              </w:rPr>
            </w:pPr>
            <w:r>
              <w:rPr>
                <w:sz w:val="17"/>
                <w:szCs w:val="17"/>
              </w:rPr>
              <w:t>51.6</w:t>
            </w:r>
          </w:p>
        </w:tc>
        <w:tc>
          <w:tcPr>
            <w:tcW w:w="1525" w:type="dxa"/>
          </w:tcPr>
          <w:p w14:paraId="053BAF91" w14:textId="77777777" w:rsidR="00687B2F" w:rsidRPr="00687B2F" w:rsidRDefault="00E41EB3" w:rsidP="002C5722">
            <w:pPr>
              <w:pStyle w:val="BodyText"/>
              <w:keepNext/>
              <w:spacing w:before="40" w:after="40"/>
              <w:rPr>
                <w:sz w:val="17"/>
                <w:szCs w:val="17"/>
              </w:rPr>
            </w:pPr>
            <w:r>
              <w:rPr>
                <w:sz w:val="17"/>
                <w:szCs w:val="17"/>
              </w:rPr>
              <w:t>55.4</w:t>
            </w:r>
          </w:p>
        </w:tc>
      </w:tr>
      <w:tr w:rsidR="00687B2F" w:rsidRPr="00687B2F" w14:paraId="1F51F04B" w14:textId="77777777" w:rsidTr="002C5722">
        <w:tc>
          <w:tcPr>
            <w:tcW w:w="6204" w:type="dxa"/>
          </w:tcPr>
          <w:p w14:paraId="4F42EEFD" w14:textId="7EF5D999" w:rsidR="00687B2F" w:rsidRPr="00687B2F" w:rsidRDefault="00687B2F" w:rsidP="00C62716">
            <w:pPr>
              <w:pStyle w:val="BodyText"/>
              <w:keepNext/>
              <w:spacing w:before="40" w:after="40"/>
              <w:rPr>
                <w:sz w:val="17"/>
                <w:szCs w:val="17"/>
              </w:rPr>
            </w:pPr>
            <w:r w:rsidRPr="00687B2F">
              <w:rPr>
                <w:sz w:val="17"/>
                <w:szCs w:val="17"/>
              </w:rPr>
              <w:t>Objective 2</w:t>
            </w:r>
            <w:r w:rsidR="00C62716">
              <w:rPr>
                <w:sz w:val="17"/>
                <w:szCs w:val="17"/>
              </w:rPr>
              <w:t>:</w:t>
            </w:r>
            <w:r w:rsidR="00190082">
              <w:rPr>
                <w:sz w:val="17"/>
                <w:szCs w:val="17"/>
              </w:rPr>
              <w:t xml:space="preserve"> </w:t>
            </w:r>
            <w:r w:rsidR="00327D90">
              <w:rPr>
                <w:sz w:val="17"/>
                <w:szCs w:val="17"/>
              </w:rPr>
              <w:t xml:space="preserve"> </w:t>
            </w:r>
            <w:r w:rsidR="00C62716">
              <w:rPr>
                <w:sz w:val="17"/>
                <w:szCs w:val="17"/>
              </w:rPr>
              <w:t>F</w:t>
            </w:r>
            <w:r w:rsidR="00190082" w:rsidRPr="00190082">
              <w:rPr>
                <w:sz w:val="17"/>
                <w:szCs w:val="17"/>
              </w:rPr>
              <w:t>ewer women and men living in extreme poverty and vulnerable to economic and natural shocks</w:t>
            </w:r>
          </w:p>
        </w:tc>
        <w:tc>
          <w:tcPr>
            <w:tcW w:w="992" w:type="dxa"/>
          </w:tcPr>
          <w:p w14:paraId="55D73062" w14:textId="77777777" w:rsidR="00687B2F" w:rsidRPr="00687B2F" w:rsidRDefault="00E41EB3" w:rsidP="002C5722">
            <w:pPr>
              <w:pStyle w:val="BodyText"/>
              <w:keepNext/>
              <w:spacing w:before="40" w:after="40"/>
              <w:rPr>
                <w:sz w:val="17"/>
                <w:szCs w:val="17"/>
              </w:rPr>
            </w:pPr>
            <w:r>
              <w:rPr>
                <w:sz w:val="17"/>
                <w:szCs w:val="17"/>
              </w:rPr>
              <w:t>18.8</w:t>
            </w:r>
          </w:p>
        </w:tc>
        <w:tc>
          <w:tcPr>
            <w:tcW w:w="1525" w:type="dxa"/>
          </w:tcPr>
          <w:p w14:paraId="3B67FC97" w14:textId="77777777" w:rsidR="00687B2F" w:rsidRPr="00687B2F" w:rsidRDefault="00E41EB3" w:rsidP="002C5722">
            <w:pPr>
              <w:pStyle w:val="BodyText"/>
              <w:keepNext/>
              <w:spacing w:before="40" w:after="40"/>
              <w:rPr>
                <w:sz w:val="17"/>
                <w:szCs w:val="17"/>
              </w:rPr>
            </w:pPr>
            <w:r>
              <w:rPr>
                <w:sz w:val="17"/>
                <w:szCs w:val="17"/>
              </w:rPr>
              <w:t>20.2</w:t>
            </w:r>
          </w:p>
        </w:tc>
      </w:tr>
      <w:tr w:rsidR="00687B2F" w:rsidRPr="00687B2F" w14:paraId="5461D8B0" w14:textId="77777777" w:rsidTr="002C5722">
        <w:tc>
          <w:tcPr>
            <w:tcW w:w="6204" w:type="dxa"/>
          </w:tcPr>
          <w:p w14:paraId="257C3302" w14:textId="38A9AFE7" w:rsidR="00687B2F" w:rsidRPr="00687B2F" w:rsidRDefault="00687B2F" w:rsidP="00C62716">
            <w:pPr>
              <w:pStyle w:val="BodyText"/>
              <w:keepNext/>
              <w:spacing w:before="40" w:after="40"/>
              <w:rPr>
                <w:sz w:val="17"/>
                <w:szCs w:val="17"/>
              </w:rPr>
            </w:pPr>
            <w:r w:rsidRPr="00687B2F">
              <w:rPr>
                <w:sz w:val="17"/>
                <w:szCs w:val="17"/>
              </w:rPr>
              <w:t xml:space="preserve">Objective </w:t>
            </w:r>
            <w:r w:rsidR="00190082">
              <w:rPr>
                <w:sz w:val="17"/>
                <w:szCs w:val="17"/>
              </w:rPr>
              <w:t>3</w:t>
            </w:r>
            <w:r w:rsidR="00C62716">
              <w:rPr>
                <w:sz w:val="17"/>
                <w:szCs w:val="17"/>
              </w:rPr>
              <w:t xml:space="preserve">: </w:t>
            </w:r>
            <w:r w:rsidR="00327D90">
              <w:rPr>
                <w:sz w:val="17"/>
                <w:szCs w:val="17"/>
              </w:rPr>
              <w:t xml:space="preserve"> </w:t>
            </w:r>
            <w:r w:rsidR="00C62716">
              <w:rPr>
                <w:sz w:val="17"/>
                <w:szCs w:val="17"/>
              </w:rPr>
              <w:t>W</w:t>
            </w:r>
            <w:r w:rsidR="00E41EB3" w:rsidRPr="00E41EB3">
              <w:rPr>
                <w:sz w:val="17"/>
                <w:szCs w:val="17"/>
              </w:rPr>
              <w:t>omen and marginalised groups better able to demand and obtain services and assert rights</w:t>
            </w:r>
          </w:p>
        </w:tc>
        <w:tc>
          <w:tcPr>
            <w:tcW w:w="992" w:type="dxa"/>
          </w:tcPr>
          <w:p w14:paraId="28BD8B53" w14:textId="56FD725C" w:rsidR="00687B2F" w:rsidRPr="00687B2F" w:rsidRDefault="00470C08" w:rsidP="002C5722">
            <w:pPr>
              <w:pStyle w:val="BodyText"/>
              <w:keepNext/>
              <w:spacing w:before="40" w:after="40"/>
              <w:rPr>
                <w:sz w:val="17"/>
                <w:szCs w:val="17"/>
              </w:rPr>
            </w:pPr>
            <w:r>
              <w:rPr>
                <w:sz w:val="17"/>
                <w:szCs w:val="17"/>
              </w:rPr>
              <w:t xml:space="preserve">   </w:t>
            </w:r>
            <w:r w:rsidR="00E41EB3">
              <w:rPr>
                <w:sz w:val="17"/>
                <w:szCs w:val="17"/>
              </w:rPr>
              <w:t>1.7</w:t>
            </w:r>
          </w:p>
        </w:tc>
        <w:tc>
          <w:tcPr>
            <w:tcW w:w="1525" w:type="dxa"/>
          </w:tcPr>
          <w:p w14:paraId="0A96C074" w14:textId="54190CBC" w:rsidR="00687B2F" w:rsidRPr="00687B2F" w:rsidRDefault="00470C08" w:rsidP="002C5722">
            <w:pPr>
              <w:pStyle w:val="BodyText"/>
              <w:keepNext/>
              <w:spacing w:before="40" w:after="40"/>
              <w:rPr>
                <w:sz w:val="17"/>
                <w:szCs w:val="17"/>
              </w:rPr>
            </w:pPr>
            <w:r>
              <w:rPr>
                <w:sz w:val="17"/>
                <w:szCs w:val="17"/>
              </w:rPr>
              <w:t xml:space="preserve">   </w:t>
            </w:r>
            <w:r w:rsidR="00E41EB3">
              <w:rPr>
                <w:sz w:val="17"/>
                <w:szCs w:val="17"/>
              </w:rPr>
              <w:t>1.8</w:t>
            </w:r>
          </w:p>
        </w:tc>
      </w:tr>
      <w:tr w:rsidR="00687B2F" w:rsidRPr="00687B2F" w14:paraId="43A8C4E5" w14:textId="77777777" w:rsidTr="002C5722">
        <w:tc>
          <w:tcPr>
            <w:tcW w:w="6204" w:type="dxa"/>
          </w:tcPr>
          <w:p w14:paraId="48C2BAC5" w14:textId="77777777" w:rsidR="00687B2F" w:rsidRPr="00687B2F" w:rsidRDefault="00687B2F" w:rsidP="00687B2F">
            <w:pPr>
              <w:pStyle w:val="BodyText"/>
              <w:keepNext/>
              <w:rPr>
                <w:b/>
                <w:sz w:val="17"/>
                <w:szCs w:val="17"/>
              </w:rPr>
            </w:pPr>
            <w:r w:rsidRPr="00687B2F">
              <w:rPr>
                <w:b/>
                <w:sz w:val="17"/>
                <w:szCs w:val="17"/>
              </w:rPr>
              <w:t>Sub-Total Bilateral</w:t>
            </w:r>
          </w:p>
        </w:tc>
        <w:tc>
          <w:tcPr>
            <w:tcW w:w="992" w:type="dxa"/>
          </w:tcPr>
          <w:p w14:paraId="7183E171" w14:textId="77777777" w:rsidR="00687B2F" w:rsidRPr="00E41EB3" w:rsidRDefault="00E41EB3" w:rsidP="00687B2F">
            <w:pPr>
              <w:pStyle w:val="BodyText"/>
              <w:keepNext/>
              <w:rPr>
                <w:b/>
                <w:sz w:val="17"/>
                <w:szCs w:val="17"/>
              </w:rPr>
            </w:pPr>
            <w:r w:rsidRPr="00E41EB3">
              <w:rPr>
                <w:b/>
                <w:sz w:val="17"/>
                <w:szCs w:val="17"/>
              </w:rPr>
              <w:t>72.1</w:t>
            </w:r>
          </w:p>
        </w:tc>
        <w:tc>
          <w:tcPr>
            <w:tcW w:w="1525" w:type="dxa"/>
          </w:tcPr>
          <w:p w14:paraId="6B6CAFFF" w14:textId="77777777" w:rsidR="00687B2F" w:rsidRPr="00E41EB3" w:rsidRDefault="00E41EB3" w:rsidP="00687B2F">
            <w:pPr>
              <w:pStyle w:val="BodyText"/>
              <w:keepNext/>
              <w:rPr>
                <w:b/>
                <w:sz w:val="17"/>
                <w:szCs w:val="17"/>
              </w:rPr>
            </w:pPr>
            <w:r w:rsidRPr="00E41EB3">
              <w:rPr>
                <w:b/>
                <w:sz w:val="17"/>
                <w:szCs w:val="17"/>
              </w:rPr>
              <w:t>77.4</w:t>
            </w:r>
          </w:p>
        </w:tc>
      </w:tr>
      <w:tr w:rsidR="00687B2F" w:rsidRPr="00687B2F" w14:paraId="628B6226" w14:textId="77777777" w:rsidTr="002C5722">
        <w:tc>
          <w:tcPr>
            <w:tcW w:w="6204" w:type="dxa"/>
          </w:tcPr>
          <w:p w14:paraId="3C965763" w14:textId="77777777" w:rsidR="00687B2F" w:rsidRPr="00687B2F" w:rsidRDefault="00687B2F" w:rsidP="002C5722">
            <w:pPr>
              <w:pStyle w:val="BodyText"/>
              <w:keepNext/>
              <w:spacing w:before="40" w:after="40"/>
              <w:rPr>
                <w:sz w:val="17"/>
                <w:szCs w:val="17"/>
              </w:rPr>
            </w:pPr>
            <w:r w:rsidRPr="00687B2F">
              <w:rPr>
                <w:sz w:val="17"/>
                <w:szCs w:val="17"/>
              </w:rPr>
              <w:t>Regional and Global</w:t>
            </w:r>
          </w:p>
        </w:tc>
        <w:tc>
          <w:tcPr>
            <w:tcW w:w="992" w:type="dxa"/>
          </w:tcPr>
          <w:p w14:paraId="6EA354C4" w14:textId="77777777" w:rsidR="00687B2F" w:rsidRPr="00687B2F" w:rsidRDefault="00E41EB3" w:rsidP="002C5722">
            <w:pPr>
              <w:pStyle w:val="BodyText"/>
              <w:keepNext/>
              <w:spacing w:before="40" w:after="40"/>
              <w:rPr>
                <w:sz w:val="17"/>
                <w:szCs w:val="17"/>
              </w:rPr>
            </w:pPr>
            <w:r>
              <w:rPr>
                <w:sz w:val="17"/>
                <w:szCs w:val="17"/>
              </w:rPr>
              <w:t>17.4</w:t>
            </w:r>
          </w:p>
        </w:tc>
        <w:tc>
          <w:tcPr>
            <w:tcW w:w="1525" w:type="dxa"/>
          </w:tcPr>
          <w:p w14:paraId="0AF7E150" w14:textId="77777777" w:rsidR="00687B2F" w:rsidRPr="00687B2F" w:rsidRDefault="00E41EB3" w:rsidP="002C5722">
            <w:pPr>
              <w:pStyle w:val="BodyText"/>
              <w:keepNext/>
              <w:spacing w:before="40" w:after="40"/>
              <w:rPr>
                <w:sz w:val="17"/>
                <w:szCs w:val="17"/>
              </w:rPr>
            </w:pPr>
            <w:r>
              <w:rPr>
                <w:sz w:val="17"/>
                <w:szCs w:val="17"/>
              </w:rPr>
              <w:t>18.6</w:t>
            </w:r>
          </w:p>
        </w:tc>
      </w:tr>
      <w:tr w:rsidR="00687B2F" w:rsidRPr="00687B2F" w14:paraId="23FB6247" w14:textId="77777777" w:rsidTr="002C5722">
        <w:tc>
          <w:tcPr>
            <w:tcW w:w="6204" w:type="dxa"/>
          </w:tcPr>
          <w:p w14:paraId="18412C77" w14:textId="77777777" w:rsidR="00687B2F" w:rsidRPr="00687B2F" w:rsidRDefault="00687B2F" w:rsidP="002C5722">
            <w:pPr>
              <w:pStyle w:val="BodyText"/>
              <w:keepNext/>
              <w:spacing w:before="40" w:after="40"/>
              <w:rPr>
                <w:sz w:val="17"/>
                <w:szCs w:val="17"/>
              </w:rPr>
            </w:pPr>
            <w:r w:rsidRPr="00687B2F">
              <w:rPr>
                <w:sz w:val="17"/>
                <w:szCs w:val="17"/>
              </w:rPr>
              <w:t>Other Government Departments</w:t>
            </w:r>
          </w:p>
        </w:tc>
        <w:tc>
          <w:tcPr>
            <w:tcW w:w="992" w:type="dxa"/>
          </w:tcPr>
          <w:p w14:paraId="175390D9" w14:textId="3F87C781" w:rsidR="00687B2F" w:rsidRPr="00687B2F" w:rsidRDefault="00470C08" w:rsidP="002C5722">
            <w:pPr>
              <w:pStyle w:val="BodyText"/>
              <w:keepNext/>
              <w:spacing w:before="40" w:after="40"/>
              <w:rPr>
                <w:sz w:val="17"/>
                <w:szCs w:val="17"/>
              </w:rPr>
            </w:pPr>
            <w:r>
              <w:rPr>
                <w:sz w:val="17"/>
                <w:szCs w:val="17"/>
              </w:rPr>
              <w:t xml:space="preserve">   </w:t>
            </w:r>
            <w:r w:rsidR="00E41EB3">
              <w:rPr>
                <w:sz w:val="17"/>
                <w:szCs w:val="17"/>
              </w:rPr>
              <w:t>3.7</w:t>
            </w:r>
          </w:p>
        </w:tc>
        <w:tc>
          <w:tcPr>
            <w:tcW w:w="1525" w:type="dxa"/>
          </w:tcPr>
          <w:p w14:paraId="7BE89079" w14:textId="5B2A9CCA" w:rsidR="00687B2F" w:rsidRPr="00687B2F" w:rsidRDefault="00237AB5" w:rsidP="002C5722">
            <w:pPr>
              <w:pStyle w:val="BodyText"/>
              <w:keepNext/>
              <w:spacing w:before="40" w:after="40"/>
              <w:rPr>
                <w:sz w:val="17"/>
                <w:szCs w:val="17"/>
              </w:rPr>
            </w:pPr>
            <w:r>
              <w:rPr>
                <w:sz w:val="17"/>
                <w:szCs w:val="17"/>
              </w:rPr>
              <w:t xml:space="preserve">   </w:t>
            </w:r>
            <w:r w:rsidR="00E41EB3">
              <w:rPr>
                <w:sz w:val="17"/>
                <w:szCs w:val="17"/>
              </w:rPr>
              <w:t>4.0</w:t>
            </w:r>
          </w:p>
        </w:tc>
      </w:tr>
      <w:tr w:rsidR="00687B2F" w:rsidRPr="00687B2F" w14:paraId="634AB6E3" w14:textId="77777777" w:rsidTr="002C5722">
        <w:tc>
          <w:tcPr>
            <w:tcW w:w="6204" w:type="dxa"/>
          </w:tcPr>
          <w:p w14:paraId="7DF5FC0E" w14:textId="77777777" w:rsidR="00687B2F" w:rsidRPr="00687B2F" w:rsidRDefault="00687B2F" w:rsidP="00687B2F">
            <w:pPr>
              <w:pStyle w:val="BodyText"/>
              <w:keepNext/>
              <w:rPr>
                <w:b/>
                <w:sz w:val="17"/>
                <w:szCs w:val="17"/>
              </w:rPr>
            </w:pPr>
            <w:r w:rsidRPr="00687B2F">
              <w:rPr>
                <w:b/>
                <w:sz w:val="17"/>
                <w:szCs w:val="17"/>
              </w:rPr>
              <w:t>Total</w:t>
            </w:r>
            <w:r w:rsidR="002C5722">
              <w:rPr>
                <w:b/>
                <w:sz w:val="17"/>
                <w:szCs w:val="17"/>
              </w:rPr>
              <w:t xml:space="preserve"> ODA Expenditure</w:t>
            </w:r>
          </w:p>
        </w:tc>
        <w:tc>
          <w:tcPr>
            <w:tcW w:w="992" w:type="dxa"/>
          </w:tcPr>
          <w:p w14:paraId="60D3A31D" w14:textId="77777777" w:rsidR="00687B2F" w:rsidRPr="00E41EB3" w:rsidRDefault="00E41EB3" w:rsidP="00687B2F">
            <w:pPr>
              <w:pStyle w:val="BodyText"/>
              <w:keepNext/>
              <w:rPr>
                <w:b/>
                <w:sz w:val="17"/>
                <w:szCs w:val="17"/>
              </w:rPr>
            </w:pPr>
            <w:r w:rsidRPr="00E41EB3">
              <w:rPr>
                <w:b/>
                <w:sz w:val="17"/>
                <w:szCs w:val="17"/>
              </w:rPr>
              <w:t>93.2</w:t>
            </w:r>
          </w:p>
        </w:tc>
        <w:tc>
          <w:tcPr>
            <w:tcW w:w="1525" w:type="dxa"/>
          </w:tcPr>
          <w:p w14:paraId="32257D75" w14:textId="77777777" w:rsidR="00687B2F" w:rsidRPr="00687B2F" w:rsidRDefault="00E41EB3" w:rsidP="00687B2F">
            <w:pPr>
              <w:pStyle w:val="BodyText"/>
              <w:keepNext/>
              <w:rPr>
                <w:sz w:val="17"/>
                <w:szCs w:val="17"/>
              </w:rPr>
            </w:pPr>
            <w:r>
              <w:rPr>
                <w:sz w:val="17"/>
                <w:szCs w:val="17"/>
              </w:rPr>
              <w:t>100.0</w:t>
            </w:r>
          </w:p>
        </w:tc>
      </w:tr>
    </w:tbl>
    <w:p w14:paraId="476F05D6" w14:textId="274982B6" w:rsidR="00470C08" w:rsidRDefault="00470C08" w:rsidP="003D00FF">
      <w:pPr>
        <w:pStyle w:val="ListBullet"/>
        <w:numPr>
          <w:ilvl w:val="0"/>
          <w:numId w:val="0"/>
        </w:numPr>
        <w:tabs>
          <w:tab w:val="clear" w:pos="284"/>
        </w:tabs>
        <w:jc w:val="both"/>
      </w:pPr>
    </w:p>
    <w:p w14:paraId="3029F8B5" w14:textId="69546392" w:rsidR="00B03AEA" w:rsidRPr="00F30B3E" w:rsidRDefault="00E41EB3" w:rsidP="003D00FF">
      <w:pPr>
        <w:pStyle w:val="ListBullet"/>
        <w:numPr>
          <w:ilvl w:val="0"/>
          <w:numId w:val="0"/>
        </w:numPr>
        <w:tabs>
          <w:tab w:val="clear" w:pos="284"/>
        </w:tabs>
        <w:jc w:val="both"/>
      </w:pPr>
      <w:r w:rsidRPr="00E41EB3">
        <w:t>Australia’s total ODA to Bangladesh in 2014-15 was $93.2 million.  The bilateral program account</w:t>
      </w:r>
      <w:r w:rsidR="00C62716">
        <w:t>ed</w:t>
      </w:r>
      <w:r w:rsidRPr="00E41EB3">
        <w:t xml:space="preserve"> for $72.1 million or 77.4 per cent of total </w:t>
      </w:r>
      <w:r w:rsidR="00C62716">
        <w:t xml:space="preserve">Australian </w:t>
      </w:r>
      <w:r w:rsidRPr="00E41EB3">
        <w:t>ODA</w:t>
      </w:r>
      <w:r w:rsidR="00E4445A">
        <w:t xml:space="preserve"> to Bangladesh</w:t>
      </w:r>
      <w:r w:rsidRPr="00E41EB3">
        <w:t xml:space="preserve">.  </w:t>
      </w:r>
      <w:r w:rsidR="007A2F01">
        <w:rPr>
          <w:szCs w:val="21"/>
        </w:rPr>
        <w:t xml:space="preserve">The </w:t>
      </w:r>
      <w:r w:rsidR="008F6125">
        <w:rPr>
          <w:szCs w:val="21"/>
        </w:rPr>
        <w:t>Bangladesh Aid Program Strategy (</w:t>
      </w:r>
      <w:r w:rsidR="005B4657">
        <w:rPr>
          <w:szCs w:val="21"/>
        </w:rPr>
        <w:t>2012-2016</w:t>
      </w:r>
      <w:r w:rsidR="008F6125">
        <w:rPr>
          <w:szCs w:val="21"/>
        </w:rPr>
        <w:t>)</w:t>
      </w:r>
      <w:r w:rsidR="007A2F01">
        <w:rPr>
          <w:szCs w:val="21"/>
        </w:rPr>
        <w:t xml:space="preserve"> was premised on growth of the aid program, which has </w:t>
      </w:r>
      <w:r w:rsidR="00245755">
        <w:rPr>
          <w:szCs w:val="21"/>
        </w:rPr>
        <w:t xml:space="preserve">since </w:t>
      </w:r>
      <w:r w:rsidR="007A2F01">
        <w:rPr>
          <w:szCs w:val="21"/>
        </w:rPr>
        <w:t>been reviewed</w:t>
      </w:r>
      <w:r w:rsidR="00245755">
        <w:rPr>
          <w:szCs w:val="21"/>
        </w:rPr>
        <w:t xml:space="preserve"> to achiev</w:t>
      </w:r>
      <w:r w:rsidR="00487376">
        <w:rPr>
          <w:szCs w:val="21"/>
        </w:rPr>
        <w:t>e</w:t>
      </w:r>
      <w:r w:rsidR="00245755">
        <w:rPr>
          <w:szCs w:val="21"/>
        </w:rPr>
        <w:t xml:space="preserve"> a more affordable and sustainable </w:t>
      </w:r>
      <w:r w:rsidR="000A3573">
        <w:rPr>
          <w:szCs w:val="21"/>
        </w:rPr>
        <w:t xml:space="preserve">global </w:t>
      </w:r>
      <w:r w:rsidR="00245755">
        <w:rPr>
          <w:szCs w:val="21"/>
        </w:rPr>
        <w:t>aid program</w:t>
      </w:r>
      <w:r w:rsidR="007A2F01">
        <w:rPr>
          <w:szCs w:val="21"/>
        </w:rPr>
        <w:t xml:space="preserve">.  </w:t>
      </w:r>
      <w:r w:rsidR="00487376">
        <w:rPr>
          <w:szCs w:val="21"/>
        </w:rPr>
        <w:t>S</w:t>
      </w:r>
      <w:r w:rsidR="007A2F01">
        <w:rPr>
          <w:szCs w:val="21"/>
        </w:rPr>
        <w:t xml:space="preserve">uccessive in-year budget </w:t>
      </w:r>
      <w:r w:rsidR="00245755">
        <w:rPr>
          <w:szCs w:val="21"/>
        </w:rPr>
        <w:t>adjustments i</w:t>
      </w:r>
      <w:r w:rsidR="007A2F01">
        <w:rPr>
          <w:szCs w:val="21"/>
        </w:rPr>
        <w:t xml:space="preserve">n </w:t>
      </w:r>
      <w:r w:rsidR="008F6125">
        <w:rPr>
          <w:szCs w:val="21"/>
        </w:rPr>
        <w:t>20</w:t>
      </w:r>
      <w:r w:rsidR="007A2F01">
        <w:rPr>
          <w:szCs w:val="21"/>
        </w:rPr>
        <w:t xml:space="preserve">12-13 and </w:t>
      </w:r>
      <w:r w:rsidR="008F6125">
        <w:rPr>
          <w:szCs w:val="21"/>
        </w:rPr>
        <w:t>20</w:t>
      </w:r>
      <w:r w:rsidR="007A2F01">
        <w:rPr>
          <w:szCs w:val="21"/>
        </w:rPr>
        <w:t xml:space="preserve">13-14 </w:t>
      </w:r>
      <w:r w:rsidR="00487376">
        <w:rPr>
          <w:szCs w:val="21"/>
        </w:rPr>
        <w:t>also</w:t>
      </w:r>
      <w:r w:rsidR="007A2F01">
        <w:rPr>
          <w:szCs w:val="21"/>
        </w:rPr>
        <w:t xml:space="preserve"> required significant </w:t>
      </w:r>
      <w:r w:rsidR="00731F65">
        <w:rPr>
          <w:szCs w:val="21"/>
        </w:rPr>
        <w:t>amendments</w:t>
      </w:r>
      <w:r w:rsidR="007A2F01">
        <w:rPr>
          <w:szCs w:val="21"/>
        </w:rPr>
        <w:t xml:space="preserve"> to planned and existing investments. </w:t>
      </w:r>
      <w:r w:rsidR="008F6125">
        <w:t xml:space="preserve"> </w:t>
      </w:r>
      <w:r w:rsidR="00E42E1B">
        <w:t>The Bangladesh aid program has been progressively consolidated towards a smaller number of larger investments</w:t>
      </w:r>
      <w:r w:rsidR="00A76444">
        <w:t xml:space="preserve">. </w:t>
      </w:r>
      <w:r w:rsidR="001B0020">
        <w:t xml:space="preserve"> </w:t>
      </w:r>
      <w:r w:rsidR="00245755">
        <w:t xml:space="preserve">During the reporting period Australia </w:t>
      </w:r>
      <w:r w:rsidR="00D20673">
        <w:t>completed its exit from the health sector</w:t>
      </w:r>
      <w:r w:rsidR="00E42E1B">
        <w:t xml:space="preserve"> and</w:t>
      </w:r>
      <w:r w:rsidR="00B03AEA">
        <w:t xml:space="preserve"> </w:t>
      </w:r>
      <w:r w:rsidR="00B03AEA" w:rsidRPr="007D63A5">
        <w:t xml:space="preserve">began phasing out </w:t>
      </w:r>
      <w:r w:rsidR="000A3573">
        <w:t>of climate change and emergency response programs.</w:t>
      </w:r>
    </w:p>
    <w:p w14:paraId="5A2DD7F6" w14:textId="77777777" w:rsidR="005901D2" w:rsidRPr="001343F7" w:rsidRDefault="00511A0F" w:rsidP="001343F7">
      <w:pPr>
        <w:pStyle w:val="Heading2"/>
        <w:rPr>
          <w:sz w:val="28"/>
        </w:rPr>
      </w:pPr>
      <w:r>
        <w:rPr>
          <w:sz w:val="28"/>
        </w:rPr>
        <w:t xml:space="preserve">Progress </w:t>
      </w:r>
      <w:r w:rsidR="00E15678">
        <w:rPr>
          <w:sz w:val="28"/>
        </w:rPr>
        <w:t>towards</w:t>
      </w:r>
      <w:r>
        <w:rPr>
          <w:sz w:val="28"/>
        </w:rPr>
        <w:t xml:space="preserve"> O</w:t>
      </w:r>
      <w:r w:rsidR="000D733F" w:rsidRPr="00511A0F">
        <w:rPr>
          <w:sz w:val="28"/>
        </w:rPr>
        <w:t>bjectives</w:t>
      </w:r>
      <w:r w:rsidR="000D733F" w:rsidRPr="00511A0F">
        <w:rPr>
          <w:sz w:val="28"/>
        </w:rPr>
        <w:tab/>
      </w:r>
    </w:p>
    <w:p w14:paraId="2BC2D0DC" w14:textId="77777777" w:rsidR="000D733F" w:rsidRDefault="000D733F" w:rsidP="005901D2">
      <w:pPr>
        <w:pStyle w:val="Caption"/>
      </w:pPr>
      <w:r>
        <w:t xml:space="preserve">Table </w:t>
      </w:r>
      <w:fldSimple w:instr=" SEQ Table \* ARABIC ">
        <w:r w:rsidR="00AC028E">
          <w:rPr>
            <w:noProof/>
          </w:rPr>
          <w:t>2</w:t>
        </w:r>
      </w:fldSimple>
      <w:r w:rsidR="00582C22">
        <w:t xml:space="preserve"> Rating of the Program's P</w:t>
      </w:r>
      <w:r>
        <w:t xml:space="preserve">rogress towards Australia’s </w:t>
      </w:r>
      <w:r w:rsidR="00582C22">
        <w:t>A</w:t>
      </w:r>
      <w:r w:rsidR="00D206B3">
        <w:t xml:space="preserve">id </w:t>
      </w:r>
      <w:r w:rsidR="00582C22">
        <w:t>O</w:t>
      </w:r>
      <w:r>
        <w:t>bjectives</w:t>
      </w:r>
    </w:p>
    <w:tbl>
      <w:tblPr>
        <w:tblStyle w:val="APPR"/>
        <w:tblW w:w="5000" w:type="pct"/>
        <w:tblLook w:val="0000" w:firstRow="0" w:lastRow="0" w:firstColumn="0" w:lastColumn="0" w:noHBand="0" w:noVBand="0"/>
      </w:tblPr>
      <w:tblGrid>
        <w:gridCol w:w="6234"/>
        <w:gridCol w:w="1026"/>
        <w:gridCol w:w="426"/>
        <w:gridCol w:w="1091"/>
      </w:tblGrid>
      <w:tr w:rsidR="000D733F" w:rsidRPr="0019341B" w14:paraId="1F3331A6" w14:textId="77777777" w:rsidTr="000D733F">
        <w:trPr>
          <w:cnfStyle w:val="000000010000" w:firstRow="0" w:lastRow="0" w:firstColumn="0" w:lastColumn="0" w:oddVBand="0" w:evenVBand="0" w:oddHBand="0" w:evenHBand="1" w:firstRowFirstColumn="0" w:firstRowLastColumn="0" w:lastRowFirstColumn="0" w:lastRowLastColumn="0"/>
          <w:trHeight w:val="651"/>
        </w:trPr>
        <w:tc>
          <w:tcPr>
            <w:tcW w:w="6029" w:type="dxa"/>
          </w:tcPr>
          <w:p w14:paraId="6BD34F40" w14:textId="77777777" w:rsidR="000D733F" w:rsidRPr="0019341B" w:rsidRDefault="000D733F" w:rsidP="000D733F">
            <w:pPr>
              <w:pStyle w:val="TableTextColumnHeading"/>
            </w:pPr>
            <w:r w:rsidRPr="0019341B">
              <w:rPr>
                <w:noProof/>
                <w:lang w:eastAsia="en-AU"/>
              </w:rPr>
              <w:drawing>
                <wp:anchor distT="0" distB="0" distL="114300" distR="114300" simplePos="0" relativeHeight="251663360" behindDoc="0" locked="0" layoutInCell="1" allowOverlap="1" wp14:anchorId="386A09A6" wp14:editId="5700E43E">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72" w:type="dxa"/>
          </w:tcPr>
          <w:p w14:paraId="24944775" w14:textId="77777777" w:rsidR="000D733F" w:rsidRPr="0019341B" w:rsidRDefault="004F4630" w:rsidP="000D733F">
            <w:pPr>
              <w:pStyle w:val="TableTextColumnHeading"/>
            </w:pPr>
            <w:r>
              <w:t>Previous Rating</w:t>
            </w:r>
          </w:p>
        </w:tc>
        <w:tc>
          <w:tcPr>
            <w:tcW w:w="388" w:type="dxa"/>
          </w:tcPr>
          <w:p w14:paraId="67861B0F" w14:textId="77777777" w:rsidR="000D733F" w:rsidRDefault="000D733F" w:rsidP="000D733F">
            <w:pPr>
              <w:pStyle w:val="TableTextColumnHeading"/>
            </w:pPr>
          </w:p>
        </w:tc>
        <w:tc>
          <w:tcPr>
            <w:tcW w:w="1021" w:type="dxa"/>
          </w:tcPr>
          <w:p w14:paraId="1EC8FA33" w14:textId="77777777" w:rsidR="000D733F" w:rsidRPr="0019341B" w:rsidRDefault="004F4630" w:rsidP="000D733F">
            <w:pPr>
              <w:pStyle w:val="TableTextColumnHeading"/>
            </w:pPr>
            <w:r>
              <w:t>Current Rating</w:t>
            </w:r>
          </w:p>
        </w:tc>
      </w:tr>
      <w:tr w:rsidR="000D733F" w:rsidRPr="009D53C4" w14:paraId="78FF3C62" w14:textId="77777777" w:rsidTr="001343F7">
        <w:trPr>
          <w:cnfStyle w:val="000000010000" w:firstRow="0" w:lastRow="0" w:firstColumn="0" w:lastColumn="0" w:oddVBand="0" w:evenVBand="0" w:oddHBand="0" w:evenHBand="1" w:firstRowFirstColumn="0" w:firstRowLastColumn="0" w:lastRowFirstColumn="0" w:lastRowLastColumn="0"/>
        </w:trPr>
        <w:tc>
          <w:tcPr>
            <w:tcW w:w="6029" w:type="dxa"/>
          </w:tcPr>
          <w:p w14:paraId="0A046CD9" w14:textId="0F74AC3A" w:rsidR="000D733F" w:rsidRPr="0019341B" w:rsidRDefault="000D733F" w:rsidP="00C62716">
            <w:pPr>
              <w:pStyle w:val="TableTextEntries"/>
            </w:pPr>
            <w:r>
              <w:t>Objective 1</w:t>
            </w:r>
            <w:r w:rsidR="00C62716">
              <w:t>:</w:t>
            </w:r>
            <w:r w:rsidR="001343F7">
              <w:t xml:space="preserve"> </w:t>
            </w:r>
            <w:r w:rsidR="00C62716">
              <w:t>I</w:t>
            </w:r>
            <w:r w:rsidR="00C62716" w:rsidRPr="001343F7">
              <w:t xml:space="preserve">ncreased </w:t>
            </w:r>
            <w:r w:rsidR="001343F7" w:rsidRPr="001343F7">
              <w:t>equity of access to, and improved outcomes from, health and education services</w:t>
            </w:r>
          </w:p>
        </w:tc>
        <w:tc>
          <w:tcPr>
            <w:tcW w:w="972" w:type="dxa"/>
            <w:shd w:val="clear" w:color="auto" w:fill="92D050"/>
            <w:noWrap/>
          </w:tcPr>
          <w:p w14:paraId="66D07581" w14:textId="77777777" w:rsidR="000D733F" w:rsidRPr="00443639" w:rsidRDefault="000D733F" w:rsidP="000D733F">
            <w:pPr>
              <w:pStyle w:val="TableTextEntries"/>
              <w:jc w:val="center"/>
              <w:rPr>
                <w:color w:val="FFFFFF" w:themeColor="background1"/>
              </w:rPr>
            </w:pPr>
            <w:r w:rsidRPr="00443639">
              <w:rPr>
                <w:color w:val="FFFFFF" w:themeColor="background1"/>
              </w:rPr>
              <w:t>Green</w:t>
            </w:r>
          </w:p>
        </w:tc>
        <w:tc>
          <w:tcPr>
            <w:tcW w:w="388" w:type="dxa"/>
          </w:tcPr>
          <w:p w14:paraId="6638CA4D" w14:textId="77777777" w:rsidR="000D733F" w:rsidRPr="00443639" w:rsidRDefault="000D733F" w:rsidP="000D733F">
            <w:pPr>
              <w:pStyle w:val="TableTextEntries"/>
              <w:jc w:val="center"/>
              <w:rPr>
                <w:color w:val="FFFFFF" w:themeColor="background1"/>
              </w:rPr>
            </w:pPr>
          </w:p>
        </w:tc>
        <w:tc>
          <w:tcPr>
            <w:tcW w:w="1021" w:type="dxa"/>
            <w:shd w:val="clear" w:color="auto" w:fill="92D050"/>
            <w:noWrap/>
          </w:tcPr>
          <w:p w14:paraId="2BB5D027" w14:textId="77777777" w:rsidR="000D733F" w:rsidRPr="00443639" w:rsidRDefault="001343F7" w:rsidP="000D733F">
            <w:pPr>
              <w:pStyle w:val="TableTextEntries"/>
              <w:jc w:val="center"/>
              <w:rPr>
                <w:color w:val="FFFFFF" w:themeColor="background1"/>
              </w:rPr>
            </w:pPr>
            <w:r>
              <w:rPr>
                <w:color w:val="FFFFFF" w:themeColor="background1"/>
              </w:rPr>
              <w:t>Green</w:t>
            </w:r>
          </w:p>
        </w:tc>
      </w:tr>
      <w:tr w:rsidR="000D733F" w:rsidRPr="009D53C4" w14:paraId="711EA8F7" w14:textId="77777777" w:rsidTr="001343F7">
        <w:trPr>
          <w:cnfStyle w:val="000000010000" w:firstRow="0" w:lastRow="0" w:firstColumn="0" w:lastColumn="0" w:oddVBand="0" w:evenVBand="0" w:oddHBand="0" w:evenHBand="1" w:firstRowFirstColumn="0" w:firstRowLastColumn="0" w:lastRowFirstColumn="0" w:lastRowLastColumn="0"/>
        </w:trPr>
        <w:tc>
          <w:tcPr>
            <w:tcW w:w="6029" w:type="dxa"/>
          </w:tcPr>
          <w:p w14:paraId="72BC8218" w14:textId="6493A6D9" w:rsidR="000D733F" w:rsidRPr="0019341B" w:rsidRDefault="000D733F" w:rsidP="000D733F">
            <w:pPr>
              <w:pStyle w:val="TableTextEntries"/>
            </w:pPr>
            <w:r>
              <w:t>Objective 2</w:t>
            </w:r>
            <w:r w:rsidR="00C62716">
              <w:t>: F</w:t>
            </w:r>
            <w:r w:rsidR="001343F7" w:rsidRPr="001343F7">
              <w:t>ewer women and men living in extreme poverty and vulnerable to economic and natural shocks</w:t>
            </w:r>
          </w:p>
        </w:tc>
        <w:tc>
          <w:tcPr>
            <w:tcW w:w="972" w:type="dxa"/>
            <w:shd w:val="clear" w:color="auto" w:fill="92D050"/>
            <w:noWrap/>
          </w:tcPr>
          <w:p w14:paraId="44D7D4B8" w14:textId="77777777" w:rsidR="000D733F" w:rsidRPr="00443639" w:rsidRDefault="001343F7" w:rsidP="000D733F">
            <w:pPr>
              <w:pStyle w:val="TableTextEntries"/>
              <w:jc w:val="center"/>
              <w:rPr>
                <w:color w:val="FFFFFF" w:themeColor="background1"/>
              </w:rPr>
            </w:pPr>
            <w:r>
              <w:rPr>
                <w:color w:val="FFFFFF" w:themeColor="background1"/>
              </w:rPr>
              <w:t>Green</w:t>
            </w:r>
          </w:p>
        </w:tc>
        <w:tc>
          <w:tcPr>
            <w:tcW w:w="388" w:type="dxa"/>
          </w:tcPr>
          <w:p w14:paraId="27087661" w14:textId="77777777" w:rsidR="000D733F" w:rsidRPr="00443639" w:rsidRDefault="000D733F" w:rsidP="000D733F">
            <w:pPr>
              <w:pStyle w:val="TableTextEntries"/>
              <w:jc w:val="center"/>
              <w:rPr>
                <w:color w:val="FFFFFF" w:themeColor="background1"/>
              </w:rPr>
            </w:pPr>
          </w:p>
        </w:tc>
        <w:tc>
          <w:tcPr>
            <w:tcW w:w="1021" w:type="dxa"/>
            <w:shd w:val="clear" w:color="auto" w:fill="92D050"/>
            <w:noWrap/>
          </w:tcPr>
          <w:p w14:paraId="0AB2316C" w14:textId="77777777" w:rsidR="000D733F" w:rsidRPr="00443639" w:rsidRDefault="000D733F" w:rsidP="000D733F">
            <w:pPr>
              <w:pStyle w:val="TableTextEntries"/>
              <w:jc w:val="center"/>
              <w:rPr>
                <w:color w:val="FFFFFF" w:themeColor="background1"/>
              </w:rPr>
            </w:pPr>
            <w:r w:rsidRPr="00443639">
              <w:rPr>
                <w:color w:val="FFFFFF" w:themeColor="background1"/>
              </w:rPr>
              <w:t>Green</w:t>
            </w:r>
          </w:p>
        </w:tc>
      </w:tr>
      <w:tr w:rsidR="000D733F" w:rsidRPr="009D53C4" w14:paraId="4F8EC2EB" w14:textId="77777777" w:rsidTr="001343F7">
        <w:trPr>
          <w:cnfStyle w:val="000000010000" w:firstRow="0" w:lastRow="0" w:firstColumn="0" w:lastColumn="0" w:oddVBand="0" w:evenVBand="0" w:oddHBand="0" w:evenHBand="1" w:firstRowFirstColumn="0" w:firstRowLastColumn="0" w:lastRowFirstColumn="0" w:lastRowLastColumn="0"/>
        </w:trPr>
        <w:tc>
          <w:tcPr>
            <w:tcW w:w="6029" w:type="dxa"/>
          </w:tcPr>
          <w:p w14:paraId="4044F66E" w14:textId="3698A094" w:rsidR="000D733F" w:rsidRDefault="000D733F" w:rsidP="00C62716">
            <w:pPr>
              <w:pStyle w:val="TableTextEntries"/>
            </w:pPr>
            <w:r>
              <w:t>Objective 3</w:t>
            </w:r>
            <w:r w:rsidR="00C62716">
              <w:t>: W</w:t>
            </w:r>
            <w:r w:rsidR="001343F7" w:rsidRPr="001343F7">
              <w:t>omen and marginalised groups better able to demand and obtain services and assert rights</w:t>
            </w:r>
          </w:p>
        </w:tc>
        <w:tc>
          <w:tcPr>
            <w:tcW w:w="972" w:type="dxa"/>
            <w:shd w:val="clear" w:color="auto" w:fill="92D050"/>
            <w:noWrap/>
          </w:tcPr>
          <w:p w14:paraId="30AEA69D" w14:textId="77777777" w:rsidR="000D733F" w:rsidRPr="00443639" w:rsidRDefault="001343F7" w:rsidP="000D733F">
            <w:pPr>
              <w:pStyle w:val="TableTextEntries"/>
              <w:jc w:val="center"/>
              <w:rPr>
                <w:color w:val="FFFFFF" w:themeColor="background1"/>
              </w:rPr>
            </w:pPr>
            <w:r>
              <w:rPr>
                <w:color w:val="FFFFFF" w:themeColor="background1"/>
              </w:rPr>
              <w:t>Green</w:t>
            </w:r>
          </w:p>
        </w:tc>
        <w:tc>
          <w:tcPr>
            <w:tcW w:w="388" w:type="dxa"/>
          </w:tcPr>
          <w:p w14:paraId="373AA7E8" w14:textId="77777777" w:rsidR="000D733F" w:rsidRPr="00443639" w:rsidRDefault="000D733F" w:rsidP="000D733F">
            <w:pPr>
              <w:pStyle w:val="TableTextEntries"/>
              <w:jc w:val="center"/>
              <w:rPr>
                <w:color w:val="FFFFFF" w:themeColor="background1"/>
              </w:rPr>
            </w:pPr>
          </w:p>
        </w:tc>
        <w:tc>
          <w:tcPr>
            <w:tcW w:w="1021" w:type="dxa"/>
            <w:shd w:val="clear" w:color="auto" w:fill="92D050"/>
            <w:noWrap/>
          </w:tcPr>
          <w:p w14:paraId="60484513" w14:textId="77777777" w:rsidR="000D733F" w:rsidRPr="00443639" w:rsidRDefault="001343F7" w:rsidP="000D733F">
            <w:pPr>
              <w:pStyle w:val="TableTextEntries"/>
              <w:jc w:val="center"/>
              <w:rPr>
                <w:color w:val="FFFFFF" w:themeColor="background1"/>
              </w:rPr>
            </w:pPr>
            <w:r>
              <w:rPr>
                <w:color w:val="FFFFFF" w:themeColor="background1"/>
              </w:rPr>
              <w:t>Green</w:t>
            </w:r>
          </w:p>
        </w:tc>
      </w:tr>
    </w:tbl>
    <w:p w14:paraId="32D8831E" w14:textId="77777777" w:rsidR="000D733F" w:rsidRPr="00180B19" w:rsidRDefault="000D733F" w:rsidP="00582C22">
      <w:pPr>
        <w:pStyle w:val="Note"/>
      </w:pPr>
      <w:r w:rsidRPr="00180B19">
        <w:t xml:space="preserve">Note: </w:t>
      </w:r>
    </w:p>
    <w:p w14:paraId="372AF642" w14:textId="77777777" w:rsidR="000D733F" w:rsidRPr="00267839" w:rsidRDefault="000D733F" w:rsidP="00582C22">
      <w:pPr>
        <w:pStyle w:val="Note"/>
        <w:rPr>
          <w:b w:val="0"/>
        </w:rPr>
      </w:pPr>
      <w:r w:rsidRPr="00E74404">
        <w:rPr>
          <w:color w:val="72AF2F"/>
        </w:rPr>
        <w:sym w:font="Webdings" w:char="F067"/>
      </w:r>
      <w:r w:rsidRPr="00180B19">
        <w:t> </w:t>
      </w:r>
      <w:r w:rsidRPr="00180B19">
        <w:t xml:space="preserve"> </w:t>
      </w:r>
      <w:r>
        <w:t xml:space="preserve">Green. </w:t>
      </w:r>
      <w:r w:rsidRPr="00267839">
        <w:rPr>
          <w:b w:val="0"/>
        </w:rPr>
        <w:t xml:space="preserve">Progress is as expected </w:t>
      </w:r>
      <w:r w:rsidR="00581979" w:rsidRPr="00267839">
        <w:rPr>
          <w:b w:val="0"/>
        </w:rPr>
        <w:t xml:space="preserve">at this stage of implementation </w:t>
      </w:r>
      <w:r w:rsidRPr="00267839">
        <w:rPr>
          <w:b w:val="0"/>
        </w:rPr>
        <w:t>and it is likely that the objective will be achieved. Standard program management practices are sufficient.</w:t>
      </w:r>
    </w:p>
    <w:p w14:paraId="06360C16" w14:textId="77777777" w:rsidR="000D733F" w:rsidRPr="00267839" w:rsidRDefault="000D733F" w:rsidP="00582C22">
      <w:pPr>
        <w:pStyle w:val="Note"/>
        <w:rPr>
          <w:b w:val="0"/>
        </w:rPr>
      </w:pPr>
      <w:r w:rsidRPr="00E74404">
        <w:rPr>
          <w:color w:val="E36C0A"/>
        </w:rPr>
        <w:sym w:font="Webdings" w:char="F067"/>
      </w:r>
      <w:r w:rsidRPr="00180B19">
        <w:t> </w:t>
      </w:r>
      <w:r w:rsidRPr="00180B19">
        <w:t xml:space="preserve"> </w:t>
      </w:r>
      <w:r>
        <w:t xml:space="preserve">Amber. </w:t>
      </w:r>
      <w:r w:rsidRPr="00267839">
        <w:rPr>
          <w:b w:val="0"/>
        </w:rPr>
        <w:t xml:space="preserve">Progress is somewhat less than expected </w:t>
      </w:r>
      <w:r w:rsidR="00581979" w:rsidRPr="00267839">
        <w:rPr>
          <w:b w:val="0"/>
        </w:rPr>
        <w:t xml:space="preserve">at this stage of implementation </w:t>
      </w:r>
      <w:r w:rsidRPr="00267839">
        <w:rPr>
          <w:b w:val="0"/>
        </w:rPr>
        <w:t>and restorative action will be necessary if the objective is to be achieved. Close performance monitoring is recommended.</w:t>
      </w:r>
    </w:p>
    <w:p w14:paraId="627A4DC1" w14:textId="77777777" w:rsidR="000D733F" w:rsidRPr="00267839" w:rsidRDefault="000D733F" w:rsidP="00582C22">
      <w:pPr>
        <w:pStyle w:val="Note"/>
        <w:rPr>
          <w:b w:val="0"/>
        </w:rPr>
      </w:pPr>
      <w:r w:rsidRPr="004C4A3E">
        <w:rPr>
          <w:color w:val="FF0000"/>
        </w:rPr>
        <w:sym w:font="Webdings" w:char="F067"/>
      </w:r>
      <w:r w:rsidRPr="00180B19">
        <w:t> </w:t>
      </w:r>
      <w:r w:rsidRPr="00180B19">
        <w:t xml:space="preserve"> </w:t>
      </w:r>
      <w:r>
        <w:t xml:space="preserve">Red. </w:t>
      </w:r>
      <w:r w:rsidRPr="00267839">
        <w:rPr>
          <w:b w:val="0"/>
        </w:rPr>
        <w:t xml:space="preserve">Progress is significantly less than expected </w:t>
      </w:r>
      <w:r w:rsidR="00581979" w:rsidRPr="00267839">
        <w:rPr>
          <w:b w:val="0"/>
        </w:rPr>
        <w:t xml:space="preserve">at this stage of implementation </w:t>
      </w:r>
      <w:r w:rsidRPr="00267839">
        <w:rPr>
          <w:b w:val="0"/>
        </w:rPr>
        <w:t>and the objective is not likely to be met given available resources and priorities. Recasting the objective may be required.</w:t>
      </w:r>
    </w:p>
    <w:p w14:paraId="0905D3F0" w14:textId="77777777" w:rsidR="000D733F" w:rsidRPr="00267839" w:rsidRDefault="000D733F" w:rsidP="00582C22">
      <w:pPr>
        <w:pStyle w:val="Note"/>
        <w:rPr>
          <w:b w:val="0"/>
        </w:rPr>
      </w:pPr>
      <w:r w:rsidRPr="00267839">
        <w:rPr>
          <w:b w:val="0"/>
        </w:rPr>
        <w:t xml:space="preserve">Reporting period:  </w:t>
      </w:r>
    </w:p>
    <w:p w14:paraId="3FA0441A" w14:textId="77777777" w:rsidR="000D733F" w:rsidRPr="00267839" w:rsidRDefault="000D733F">
      <w:pPr>
        <w:rPr>
          <w:rFonts w:ascii="Helvetica" w:hAnsi="Helvetica" w:cs="Arial"/>
          <w:kern w:val="28"/>
          <w:szCs w:val="28"/>
        </w:rPr>
      </w:pPr>
    </w:p>
    <w:p w14:paraId="02616FD7" w14:textId="657CD817" w:rsidR="000D733F" w:rsidRPr="001343F7" w:rsidRDefault="000D733F" w:rsidP="003D00FF">
      <w:pPr>
        <w:pStyle w:val="Heading3"/>
      </w:pPr>
      <w:r w:rsidRPr="003D00FF">
        <w:rPr>
          <w:color w:val="124486"/>
        </w:rPr>
        <w:lastRenderedPageBreak/>
        <w:t xml:space="preserve">Objective </w:t>
      </w:r>
      <w:r w:rsidR="001343F7" w:rsidRPr="003D00FF">
        <w:rPr>
          <w:color w:val="124486"/>
        </w:rPr>
        <w:t>1</w:t>
      </w:r>
      <w:r w:rsidR="00E42E1B">
        <w:rPr>
          <w:color w:val="124486"/>
        </w:rPr>
        <w:t>:</w:t>
      </w:r>
      <w:r w:rsidR="001343F7">
        <w:t xml:space="preserve"> </w:t>
      </w:r>
      <w:r w:rsidR="001343F7" w:rsidRPr="003D00FF">
        <w:t>increased equity of access to, and improved outcomes from, health and education services</w:t>
      </w:r>
    </w:p>
    <w:p w14:paraId="6F0C4F23" w14:textId="77777777" w:rsidR="001343F7" w:rsidRDefault="001343F7" w:rsidP="001343F7">
      <w:pPr>
        <w:pStyle w:val="BodyText"/>
        <w:rPr>
          <w:lang w:eastAsia="zh-CN"/>
        </w:rPr>
      </w:pPr>
      <w:r w:rsidRPr="00237CCA">
        <w:rPr>
          <w:i/>
          <w:szCs w:val="21"/>
        </w:rPr>
        <w:t>Rating: Green</w:t>
      </w:r>
    </w:p>
    <w:p w14:paraId="4644EF39" w14:textId="4D81A27C" w:rsidR="001343F7" w:rsidRPr="006F773D" w:rsidRDefault="001343F7" w:rsidP="001343F7">
      <w:pPr>
        <w:pStyle w:val="BodyText"/>
        <w:jc w:val="both"/>
        <w:rPr>
          <w:i/>
          <w:szCs w:val="21"/>
        </w:rPr>
      </w:pPr>
      <w:r w:rsidRPr="006F773D">
        <w:rPr>
          <w:i/>
          <w:szCs w:val="21"/>
        </w:rPr>
        <w:t xml:space="preserve">The rating is based on continuing progress on the national primary education program, supported by Australia and other development partners, and </w:t>
      </w:r>
      <w:r w:rsidR="00B724DC">
        <w:rPr>
          <w:i/>
          <w:szCs w:val="21"/>
        </w:rPr>
        <w:t>because</w:t>
      </w:r>
      <w:r w:rsidRPr="006F773D">
        <w:rPr>
          <w:i/>
          <w:szCs w:val="21"/>
        </w:rPr>
        <w:t xml:space="preserve"> BRAC </w:t>
      </w:r>
      <w:r w:rsidR="00B724DC">
        <w:rPr>
          <w:i/>
          <w:szCs w:val="21"/>
        </w:rPr>
        <w:t xml:space="preserve">has achieved </w:t>
      </w:r>
      <w:r w:rsidRPr="006F773D">
        <w:rPr>
          <w:i/>
          <w:szCs w:val="21"/>
        </w:rPr>
        <w:t>its targets for providing education for children of poor families</w:t>
      </w:r>
      <w:r w:rsidR="00C57EB2">
        <w:rPr>
          <w:i/>
          <w:szCs w:val="21"/>
        </w:rPr>
        <w:t xml:space="preserve"> who are unable to </w:t>
      </w:r>
      <w:r w:rsidR="00332E7B">
        <w:rPr>
          <w:i/>
          <w:szCs w:val="21"/>
        </w:rPr>
        <w:t xml:space="preserve">get </w:t>
      </w:r>
      <w:r w:rsidR="00C57EB2">
        <w:rPr>
          <w:i/>
          <w:szCs w:val="21"/>
        </w:rPr>
        <w:t xml:space="preserve">access </w:t>
      </w:r>
      <w:r w:rsidR="00065B6C">
        <w:rPr>
          <w:i/>
          <w:szCs w:val="21"/>
        </w:rPr>
        <w:t xml:space="preserve">to </w:t>
      </w:r>
      <w:r w:rsidR="00C57EB2">
        <w:rPr>
          <w:i/>
          <w:szCs w:val="21"/>
        </w:rPr>
        <w:t xml:space="preserve">Government </w:t>
      </w:r>
      <w:r w:rsidR="00B724DC">
        <w:rPr>
          <w:i/>
          <w:szCs w:val="21"/>
        </w:rPr>
        <w:t xml:space="preserve">education </w:t>
      </w:r>
      <w:r w:rsidR="00C57EB2">
        <w:rPr>
          <w:i/>
          <w:szCs w:val="21"/>
        </w:rPr>
        <w:t>services</w:t>
      </w:r>
      <w:r w:rsidRPr="006F773D">
        <w:rPr>
          <w:i/>
          <w:szCs w:val="21"/>
        </w:rPr>
        <w:t xml:space="preserve">.  </w:t>
      </w:r>
      <w:r w:rsidR="00B724DC">
        <w:rPr>
          <w:i/>
          <w:szCs w:val="21"/>
        </w:rPr>
        <w:t>Australian-supported e</w:t>
      </w:r>
      <w:r w:rsidRPr="006F773D">
        <w:rPr>
          <w:i/>
          <w:szCs w:val="21"/>
        </w:rPr>
        <w:t xml:space="preserve">ducation reforms have </w:t>
      </w:r>
      <w:r w:rsidR="00B724DC">
        <w:rPr>
          <w:i/>
          <w:szCs w:val="21"/>
        </w:rPr>
        <w:t xml:space="preserve">also </w:t>
      </w:r>
      <w:r w:rsidRPr="006F773D">
        <w:rPr>
          <w:i/>
          <w:szCs w:val="21"/>
        </w:rPr>
        <w:t xml:space="preserve">continued despite a </w:t>
      </w:r>
      <w:r w:rsidR="00934EBE">
        <w:rPr>
          <w:i/>
          <w:szCs w:val="21"/>
        </w:rPr>
        <w:t>difficult security</w:t>
      </w:r>
      <w:r w:rsidRPr="006F773D">
        <w:rPr>
          <w:i/>
          <w:szCs w:val="21"/>
        </w:rPr>
        <w:t xml:space="preserve"> </w:t>
      </w:r>
      <w:r w:rsidR="00934EBE">
        <w:rPr>
          <w:i/>
          <w:szCs w:val="21"/>
        </w:rPr>
        <w:t>environment</w:t>
      </w:r>
      <w:r w:rsidRPr="006F773D">
        <w:rPr>
          <w:i/>
          <w:szCs w:val="21"/>
        </w:rPr>
        <w:t xml:space="preserve">.  </w:t>
      </w:r>
      <w:r w:rsidR="00B724DC">
        <w:rPr>
          <w:i/>
          <w:szCs w:val="21"/>
        </w:rPr>
        <w:t>Our</w:t>
      </w:r>
      <w:r w:rsidR="00487376">
        <w:rPr>
          <w:i/>
          <w:szCs w:val="21"/>
        </w:rPr>
        <w:t xml:space="preserve"> efforts in health </w:t>
      </w:r>
      <w:r w:rsidR="00B724DC">
        <w:rPr>
          <w:i/>
          <w:szCs w:val="21"/>
        </w:rPr>
        <w:t>ensured</w:t>
      </w:r>
      <w:r w:rsidR="00487376">
        <w:rPr>
          <w:i/>
          <w:szCs w:val="21"/>
        </w:rPr>
        <w:t xml:space="preserve"> a smooth transition out of the sector.</w:t>
      </w:r>
    </w:p>
    <w:p w14:paraId="5D9A31B3" w14:textId="752EAB61" w:rsidR="001343F7" w:rsidRPr="001343F7" w:rsidRDefault="001343F7" w:rsidP="001343F7">
      <w:pPr>
        <w:pStyle w:val="BodyText"/>
        <w:jc w:val="both"/>
        <w:rPr>
          <w:szCs w:val="21"/>
        </w:rPr>
      </w:pPr>
      <w:r w:rsidRPr="00A17361">
        <w:rPr>
          <w:szCs w:val="21"/>
        </w:rPr>
        <w:t xml:space="preserve">Education is the foundation of Australia’s aid program to Bangladesh </w:t>
      </w:r>
      <w:r w:rsidR="00487376">
        <w:rPr>
          <w:szCs w:val="21"/>
        </w:rPr>
        <w:t xml:space="preserve">with </w:t>
      </w:r>
      <w:r w:rsidR="00B6755E">
        <w:rPr>
          <w:szCs w:val="21"/>
        </w:rPr>
        <w:t xml:space="preserve">approximately </w:t>
      </w:r>
      <w:r w:rsidRPr="00A17361">
        <w:rPr>
          <w:szCs w:val="21"/>
        </w:rPr>
        <w:t xml:space="preserve">half of our </w:t>
      </w:r>
      <w:r w:rsidR="00B724DC">
        <w:rPr>
          <w:szCs w:val="21"/>
        </w:rPr>
        <w:t>budget</w:t>
      </w:r>
      <w:r w:rsidRPr="00A17361">
        <w:rPr>
          <w:szCs w:val="21"/>
        </w:rPr>
        <w:t xml:space="preserve"> </w:t>
      </w:r>
      <w:r w:rsidR="00B724DC">
        <w:rPr>
          <w:szCs w:val="21"/>
        </w:rPr>
        <w:t>spent</w:t>
      </w:r>
      <w:r w:rsidR="00487376">
        <w:rPr>
          <w:szCs w:val="21"/>
        </w:rPr>
        <w:t xml:space="preserve"> on </w:t>
      </w:r>
      <w:r w:rsidRPr="00A17361">
        <w:rPr>
          <w:szCs w:val="21"/>
        </w:rPr>
        <w:t>education initiatives</w:t>
      </w:r>
      <w:r w:rsidRPr="001343F7">
        <w:rPr>
          <w:szCs w:val="21"/>
        </w:rPr>
        <w:t xml:space="preserve">.  </w:t>
      </w:r>
      <w:r w:rsidR="000D32CF">
        <w:rPr>
          <w:szCs w:val="21"/>
        </w:rPr>
        <w:t xml:space="preserve">While Bangladesh has made good progress on </w:t>
      </w:r>
      <w:r w:rsidR="00B724DC">
        <w:rPr>
          <w:szCs w:val="21"/>
        </w:rPr>
        <w:t xml:space="preserve">improving </w:t>
      </w:r>
      <w:r w:rsidR="000D32CF">
        <w:rPr>
          <w:szCs w:val="21"/>
        </w:rPr>
        <w:t xml:space="preserve">access to primary education, </w:t>
      </w:r>
      <w:r w:rsidR="00487376">
        <w:rPr>
          <w:szCs w:val="21"/>
        </w:rPr>
        <w:t xml:space="preserve">improving </w:t>
      </w:r>
      <w:r w:rsidR="000D32CF">
        <w:rPr>
          <w:szCs w:val="21"/>
        </w:rPr>
        <w:t xml:space="preserve">quality </w:t>
      </w:r>
      <w:r w:rsidR="00BA3805">
        <w:rPr>
          <w:szCs w:val="21"/>
        </w:rPr>
        <w:t xml:space="preserve">remains </w:t>
      </w:r>
      <w:r w:rsidR="00731F65">
        <w:rPr>
          <w:szCs w:val="21"/>
        </w:rPr>
        <w:t xml:space="preserve">a </w:t>
      </w:r>
      <w:r w:rsidR="000D32CF">
        <w:rPr>
          <w:szCs w:val="21"/>
        </w:rPr>
        <w:t xml:space="preserve">challenge. </w:t>
      </w:r>
      <w:r w:rsidR="000D32CF" w:rsidRPr="001343F7">
        <w:rPr>
          <w:szCs w:val="21"/>
        </w:rPr>
        <w:t xml:space="preserve"> </w:t>
      </w:r>
      <w:r w:rsidRPr="001343F7">
        <w:rPr>
          <w:szCs w:val="21"/>
        </w:rPr>
        <w:t xml:space="preserve">As a funding partner with other donors, Australia focused on improving the quality of </w:t>
      </w:r>
      <w:r w:rsidR="00E90C6E">
        <w:rPr>
          <w:szCs w:val="21"/>
        </w:rPr>
        <w:t xml:space="preserve">primary </w:t>
      </w:r>
      <w:r w:rsidRPr="001343F7">
        <w:rPr>
          <w:szCs w:val="21"/>
        </w:rPr>
        <w:t xml:space="preserve">education through institutionalising new forms of teacher training and learning assessments, promoting </w:t>
      </w:r>
      <w:r w:rsidR="00330982">
        <w:rPr>
          <w:szCs w:val="21"/>
        </w:rPr>
        <w:t xml:space="preserve">discussion of issues beyond gender parity in enrolment </w:t>
      </w:r>
      <w:r w:rsidRPr="001343F7">
        <w:rPr>
          <w:szCs w:val="21"/>
        </w:rPr>
        <w:t>and playing a stronger role in strengthening public financial management</w:t>
      </w:r>
      <w:r w:rsidR="00FC1F38">
        <w:rPr>
          <w:szCs w:val="21"/>
        </w:rPr>
        <w:t xml:space="preserve"> (PFM)</w:t>
      </w:r>
      <w:r w:rsidRPr="001343F7">
        <w:rPr>
          <w:szCs w:val="21"/>
        </w:rPr>
        <w:t>.</w:t>
      </w:r>
      <w:r w:rsidR="00B724DC">
        <w:rPr>
          <w:szCs w:val="21"/>
        </w:rPr>
        <w:t xml:space="preserve">  We have strategically deploy</w:t>
      </w:r>
      <w:r w:rsidRPr="001343F7">
        <w:rPr>
          <w:szCs w:val="21"/>
        </w:rPr>
        <w:t xml:space="preserve">ed our limited resources to focus on key areas which </w:t>
      </w:r>
      <w:r w:rsidR="00B724DC">
        <w:rPr>
          <w:szCs w:val="21"/>
        </w:rPr>
        <w:t>align</w:t>
      </w:r>
      <w:r w:rsidRPr="001343F7">
        <w:rPr>
          <w:szCs w:val="21"/>
        </w:rPr>
        <w:t xml:space="preserve"> with the Government’s </w:t>
      </w:r>
      <w:r w:rsidR="004C0954">
        <w:rPr>
          <w:szCs w:val="21"/>
        </w:rPr>
        <w:t>S</w:t>
      </w:r>
      <w:r w:rsidR="006A4971">
        <w:rPr>
          <w:szCs w:val="21"/>
        </w:rPr>
        <w:t>ixth</w:t>
      </w:r>
      <w:r w:rsidR="006A4971" w:rsidRPr="001343F7">
        <w:rPr>
          <w:szCs w:val="21"/>
        </w:rPr>
        <w:t xml:space="preserve"> </w:t>
      </w:r>
      <w:r w:rsidRPr="001343F7">
        <w:rPr>
          <w:szCs w:val="21"/>
        </w:rPr>
        <w:t xml:space="preserve">Five Year Plan, Australia’s aid policy and our new country program goal of </w:t>
      </w:r>
      <w:r w:rsidR="00FC1F38">
        <w:rPr>
          <w:szCs w:val="21"/>
        </w:rPr>
        <w:t>‘</w:t>
      </w:r>
      <w:r w:rsidR="000A3573">
        <w:rPr>
          <w:szCs w:val="21"/>
        </w:rPr>
        <w:t>investing in human development, skills and productivity</w:t>
      </w:r>
      <w:r w:rsidR="00FC1F38">
        <w:rPr>
          <w:szCs w:val="21"/>
        </w:rPr>
        <w:t>’</w:t>
      </w:r>
      <w:r w:rsidRPr="001343F7">
        <w:rPr>
          <w:szCs w:val="21"/>
        </w:rPr>
        <w:t>.</w:t>
      </w:r>
    </w:p>
    <w:p w14:paraId="375AC5BF" w14:textId="68F01865" w:rsidR="008D444D" w:rsidRDefault="001343F7" w:rsidP="00237AB5">
      <w:pPr>
        <w:pStyle w:val="BodyText"/>
        <w:jc w:val="both"/>
      </w:pPr>
      <w:r w:rsidRPr="00A17361">
        <w:rPr>
          <w:szCs w:val="21"/>
        </w:rPr>
        <w:t xml:space="preserve">Progress under the primary education </w:t>
      </w:r>
      <w:r w:rsidR="000E027D" w:rsidRPr="00A17361">
        <w:rPr>
          <w:szCs w:val="21"/>
        </w:rPr>
        <w:t>program</w:t>
      </w:r>
      <w:r w:rsidRPr="00A17361">
        <w:rPr>
          <w:szCs w:val="21"/>
        </w:rPr>
        <w:t xml:space="preserve"> has continued to justify Australian investment and policy contribution</w:t>
      </w:r>
      <w:r w:rsidRPr="001343F7">
        <w:rPr>
          <w:szCs w:val="21"/>
        </w:rPr>
        <w:t xml:space="preserve">.  A commitment </w:t>
      </w:r>
      <w:r w:rsidR="00943961">
        <w:rPr>
          <w:szCs w:val="21"/>
        </w:rPr>
        <w:t>by</w:t>
      </w:r>
      <w:r w:rsidR="00B22615">
        <w:rPr>
          <w:szCs w:val="21"/>
        </w:rPr>
        <w:t xml:space="preserve"> the Bangladesh Government</w:t>
      </w:r>
      <w:r w:rsidR="00943961">
        <w:rPr>
          <w:szCs w:val="21"/>
        </w:rPr>
        <w:t xml:space="preserve"> </w:t>
      </w:r>
      <w:r w:rsidRPr="001343F7">
        <w:rPr>
          <w:szCs w:val="21"/>
        </w:rPr>
        <w:t>to ambitious reforms covering 100,000 schools and 20</w:t>
      </w:r>
      <w:r w:rsidR="00862786">
        <w:rPr>
          <w:szCs w:val="21"/>
        </w:rPr>
        <w:t xml:space="preserve"> million</w:t>
      </w:r>
      <w:r w:rsidRPr="001343F7">
        <w:rPr>
          <w:szCs w:val="21"/>
        </w:rPr>
        <w:t xml:space="preserve"> students has been maintained.  </w:t>
      </w:r>
      <w:r w:rsidR="005404A4">
        <w:t xml:space="preserve">Six of nine disbursement linked indicators (DLIs) </w:t>
      </w:r>
      <w:r w:rsidR="00237AB5">
        <w:t>connect</w:t>
      </w:r>
      <w:r w:rsidR="008D444D">
        <w:t xml:space="preserve">ed to policy reforms </w:t>
      </w:r>
      <w:r w:rsidR="005404A4">
        <w:t>were met during the reporting period</w:t>
      </w:r>
      <w:r w:rsidR="00237AB5">
        <w:t xml:space="preserve">. </w:t>
      </w:r>
      <w:r w:rsidR="00CD7949">
        <w:t xml:space="preserve"> </w:t>
      </w:r>
      <w:r w:rsidR="0059783E">
        <w:t xml:space="preserve">Indicators </w:t>
      </w:r>
      <w:r w:rsidR="00E4445A">
        <w:t>not yet met are needs-</w:t>
      </w:r>
      <w:r w:rsidR="0059783E">
        <w:t xml:space="preserve">based infrastructure development; decentralised school management and governance; and teacher recruitment and deployment.  </w:t>
      </w:r>
      <w:r w:rsidR="003B6F2C">
        <w:t>U</w:t>
      </w:r>
      <w:r w:rsidR="008D444D">
        <w:t xml:space="preserve">nmet indicators </w:t>
      </w:r>
      <w:r w:rsidR="000A3573">
        <w:t xml:space="preserve">will </w:t>
      </w:r>
      <w:r w:rsidR="008D444D">
        <w:t>be reviewed again in October 2015</w:t>
      </w:r>
      <w:r w:rsidR="000A3573">
        <w:t>.</w:t>
      </w:r>
      <w:r w:rsidR="0059783E">
        <w:t xml:space="preserve"> </w:t>
      </w:r>
      <w:r w:rsidR="000A3573">
        <w:t xml:space="preserve"> The</w:t>
      </w:r>
      <w:r w:rsidR="0059783E">
        <w:t>se indicators</w:t>
      </w:r>
      <w:r w:rsidR="008D444D">
        <w:t xml:space="preserve"> are expected to be achieved in line with program timeframes.  </w:t>
      </w:r>
      <w:r w:rsidR="000A3573">
        <w:t>Additional</w:t>
      </w:r>
      <w:r w:rsidR="008D444D">
        <w:t xml:space="preserve"> funds </w:t>
      </w:r>
      <w:r w:rsidR="000A3573">
        <w:t>were</w:t>
      </w:r>
      <w:r w:rsidR="00B22615">
        <w:t xml:space="preserve"> </w:t>
      </w:r>
      <w:r w:rsidR="008D444D">
        <w:t xml:space="preserve">disbursed </w:t>
      </w:r>
      <w:r w:rsidR="003B6F2C">
        <w:t xml:space="preserve">upon </w:t>
      </w:r>
      <w:r w:rsidR="008D444D">
        <w:t xml:space="preserve">meeting annual audit requirements and budget reports, </w:t>
      </w:r>
      <w:r w:rsidR="003B6F2C">
        <w:t xml:space="preserve">which were </w:t>
      </w:r>
      <w:r w:rsidR="008D444D">
        <w:t xml:space="preserve">reviewed </w:t>
      </w:r>
      <w:r w:rsidR="00B22615">
        <w:t>jointly by government and</w:t>
      </w:r>
      <w:r w:rsidR="008D444D">
        <w:t xml:space="preserve"> development partners during the </w:t>
      </w:r>
      <w:r w:rsidR="000A3573">
        <w:t>reporting period</w:t>
      </w:r>
      <w:r w:rsidR="008D444D">
        <w:t>.</w:t>
      </w:r>
    </w:p>
    <w:p w14:paraId="7F71919D" w14:textId="32E2111F" w:rsidR="001343F7" w:rsidRDefault="001343F7" w:rsidP="001343F7">
      <w:pPr>
        <w:pStyle w:val="BodyText"/>
        <w:jc w:val="both"/>
        <w:rPr>
          <w:szCs w:val="21"/>
        </w:rPr>
      </w:pPr>
      <w:r w:rsidRPr="001343F7">
        <w:rPr>
          <w:szCs w:val="21"/>
        </w:rPr>
        <w:t>Australia’s support in 2014-15 has resulted in 213,642 teachers (</w:t>
      </w:r>
      <w:r w:rsidR="00545C5F">
        <w:rPr>
          <w:szCs w:val="21"/>
        </w:rPr>
        <w:t xml:space="preserve">more than 50 per cent </w:t>
      </w:r>
      <w:r w:rsidRPr="001343F7">
        <w:rPr>
          <w:szCs w:val="21"/>
        </w:rPr>
        <w:t>women) being trained in order to improve learning outcomes</w:t>
      </w:r>
      <w:r w:rsidR="00C57EB2">
        <w:rPr>
          <w:szCs w:val="21"/>
        </w:rPr>
        <w:t>.  The number of children enrolled in pre-primary school (1.83 million) has doubled since 2010</w:t>
      </w:r>
      <w:r>
        <w:rPr>
          <w:rStyle w:val="FootnoteReference"/>
        </w:rPr>
        <w:footnoteReference w:id="8"/>
      </w:r>
      <w:r w:rsidRPr="001343F7">
        <w:rPr>
          <w:szCs w:val="21"/>
        </w:rPr>
        <w:t xml:space="preserve">.  Other achievements linked directly to Australia’s contribution to the government </w:t>
      </w:r>
      <w:r w:rsidR="00943961">
        <w:rPr>
          <w:szCs w:val="21"/>
        </w:rPr>
        <w:t xml:space="preserve">primary </w:t>
      </w:r>
      <w:r w:rsidRPr="001343F7">
        <w:rPr>
          <w:szCs w:val="21"/>
        </w:rPr>
        <w:t>education program include;</w:t>
      </w:r>
    </w:p>
    <w:p w14:paraId="42EC4253" w14:textId="71C8EC8B" w:rsidR="001343F7" w:rsidRPr="001343F7" w:rsidRDefault="00AB4300" w:rsidP="007567EB">
      <w:pPr>
        <w:pStyle w:val="ListBullet"/>
        <w:tabs>
          <w:tab w:val="clear" w:pos="284"/>
        </w:tabs>
        <w:jc w:val="both"/>
        <w:rPr>
          <w:szCs w:val="21"/>
          <w:lang w:eastAsia="zh-CN"/>
        </w:rPr>
      </w:pPr>
      <w:r>
        <w:rPr>
          <w:szCs w:val="21"/>
          <w:lang w:eastAsia="zh-CN"/>
        </w:rPr>
        <w:t>T</w:t>
      </w:r>
      <w:r w:rsidR="001343F7" w:rsidRPr="001343F7">
        <w:rPr>
          <w:szCs w:val="21"/>
          <w:lang w:eastAsia="zh-CN"/>
        </w:rPr>
        <w:t>extbook revisions to government curriculum from grades 1-3 completed with grades 4-5 on-going;</w:t>
      </w:r>
    </w:p>
    <w:p w14:paraId="7CB94197" w14:textId="77ECD7AD" w:rsidR="00741656" w:rsidRDefault="00AB4300" w:rsidP="007567EB">
      <w:pPr>
        <w:pStyle w:val="ListBullet"/>
        <w:tabs>
          <w:tab w:val="clear" w:pos="284"/>
        </w:tabs>
        <w:jc w:val="both"/>
        <w:rPr>
          <w:szCs w:val="21"/>
          <w:lang w:eastAsia="zh-CN"/>
        </w:rPr>
      </w:pPr>
      <w:r>
        <w:rPr>
          <w:szCs w:val="21"/>
          <w:lang w:eastAsia="zh-CN"/>
        </w:rPr>
        <w:t>A</w:t>
      </w:r>
      <w:r w:rsidR="001343F7" w:rsidRPr="001343F7">
        <w:rPr>
          <w:szCs w:val="21"/>
          <w:lang w:eastAsia="zh-CN"/>
        </w:rPr>
        <w:t>n increased proportion of competency based questions (25 per cent) in grade 5 exams with an additional 25 per cent piloted;</w:t>
      </w:r>
    </w:p>
    <w:p w14:paraId="6A163D15" w14:textId="50F9E6F8" w:rsidR="001343F7" w:rsidRPr="00741656" w:rsidRDefault="00AB4300" w:rsidP="00741656">
      <w:pPr>
        <w:pStyle w:val="ListBullet"/>
        <w:tabs>
          <w:tab w:val="clear" w:pos="284"/>
        </w:tabs>
        <w:jc w:val="both"/>
        <w:rPr>
          <w:szCs w:val="21"/>
          <w:lang w:eastAsia="zh-CN"/>
        </w:rPr>
      </w:pPr>
      <w:r w:rsidRPr="00741656">
        <w:rPr>
          <w:szCs w:val="21"/>
          <w:lang w:eastAsia="zh-CN"/>
        </w:rPr>
        <w:lastRenderedPageBreak/>
        <w:t>T</w:t>
      </w:r>
      <w:r w:rsidR="001343F7" w:rsidRPr="00741656">
        <w:rPr>
          <w:szCs w:val="21"/>
          <w:lang w:eastAsia="zh-CN"/>
        </w:rPr>
        <w:t xml:space="preserve">he every child learns (ECL) initiative which responds to the individual </w:t>
      </w:r>
      <w:r w:rsidR="00EB7A1F" w:rsidRPr="00741656">
        <w:rPr>
          <w:szCs w:val="21"/>
          <w:lang w:eastAsia="zh-CN"/>
        </w:rPr>
        <w:t xml:space="preserve">learning </w:t>
      </w:r>
      <w:r w:rsidR="001343F7" w:rsidRPr="00741656">
        <w:rPr>
          <w:szCs w:val="21"/>
          <w:lang w:eastAsia="zh-CN"/>
        </w:rPr>
        <w:t>needs of the student, expanded from 700 to 980 primary schools in 2014-15;</w:t>
      </w:r>
    </w:p>
    <w:p w14:paraId="723238F3" w14:textId="27770B26" w:rsidR="001343F7" w:rsidRPr="001343F7" w:rsidRDefault="00AB4300" w:rsidP="007567EB">
      <w:pPr>
        <w:pStyle w:val="ListBullet"/>
        <w:tabs>
          <w:tab w:val="clear" w:pos="284"/>
        </w:tabs>
        <w:jc w:val="both"/>
        <w:rPr>
          <w:szCs w:val="21"/>
          <w:lang w:eastAsia="zh-CN"/>
        </w:rPr>
      </w:pPr>
      <w:r>
        <w:rPr>
          <w:szCs w:val="21"/>
          <w:lang w:eastAsia="zh-CN"/>
        </w:rPr>
        <w:t>T</w:t>
      </w:r>
      <w:r w:rsidR="001343F7" w:rsidRPr="001343F7">
        <w:rPr>
          <w:szCs w:val="21"/>
          <w:lang w:eastAsia="zh-CN"/>
        </w:rPr>
        <w:t>echnical support provided to interim financial reports (IFR) and annual fiduciary reviews (AFR); and</w:t>
      </w:r>
    </w:p>
    <w:p w14:paraId="0BBFB8D1" w14:textId="2129CBA7" w:rsidR="001343F7" w:rsidRPr="001343F7" w:rsidRDefault="00AB4300" w:rsidP="007567EB">
      <w:pPr>
        <w:pStyle w:val="ListBullet"/>
        <w:tabs>
          <w:tab w:val="clear" w:pos="284"/>
        </w:tabs>
        <w:jc w:val="both"/>
        <w:rPr>
          <w:szCs w:val="21"/>
          <w:lang w:eastAsia="zh-CN"/>
        </w:rPr>
      </w:pPr>
      <w:r>
        <w:rPr>
          <w:szCs w:val="21"/>
          <w:lang w:eastAsia="zh-CN"/>
        </w:rPr>
        <w:t>K</w:t>
      </w:r>
      <w:r w:rsidR="001343F7" w:rsidRPr="001343F7">
        <w:rPr>
          <w:szCs w:val="21"/>
          <w:lang w:eastAsia="zh-CN"/>
        </w:rPr>
        <w:t xml:space="preserve">ey policy and management priorities promoted through policy dialogue including the Joint Annual Review Mission (JARM) and the </w:t>
      </w:r>
      <w:r w:rsidR="00017DAF">
        <w:rPr>
          <w:szCs w:val="21"/>
          <w:lang w:eastAsia="zh-CN"/>
        </w:rPr>
        <w:t xml:space="preserve">PEDP3 </w:t>
      </w:r>
      <w:r w:rsidR="001343F7" w:rsidRPr="001343F7">
        <w:rPr>
          <w:szCs w:val="21"/>
          <w:lang w:eastAsia="zh-CN"/>
        </w:rPr>
        <w:t>mid-term review (MTR)</w:t>
      </w:r>
      <w:r w:rsidR="007746A3">
        <w:rPr>
          <w:rStyle w:val="FootnoteReference"/>
          <w:lang w:eastAsia="zh-CN"/>
        </w:rPr>
        <w:footnoteReference w:id="9"/>
      </w:r>
      <w:r w:rsidR="001343F7" w:rsidRPr="001343F7">
        <w:rPr>
          <w:szCs w:val="21"/>
          <w:lang w:eastAsia="zh-CN"/>
        </w:rPr>
        <w:t>;</w:t>
      </w:r>
    </w:p>
    <w:p w14:paraId="5521EB30" w14:textId="417D7676" w:rsidR="006F773D" w:rsidRPr="006F773D" w:rsidRDefault="006F773D" w:rsidP="006F773D">
      <w:pPr>
        <w:pStyle w:val="BodyText"/>
        <w:jc w:val="both"/>
        <w:rPr>
          <w:szCs w:val="21"/>
        </w:rPr>
      </w:pPr>
      <w:r w:rsidRPr="00A17361">
        <w:rPr>
          <w:szCs w:val="21"/>
        </w:rPr>
        <w:t>As chair of the</w:t>
      </w:r>
      <w:r w:rsidR="004E3C74">
        <w:rPr>
          <w:szCs w:val="21"/>
        </w:rPr>
        <w:t xml:space="preserve"> oversight and coordination</w:t>
      </w:r>
      <w:r w:rsidRPr="00A17361">
        <w:rPr>
          <w:szCs w:val="21"/>
        </w:rPr>
        <w:t xml:space="preserve"> consortium </w:t>
      </w:r>
      <w:r w:rsidR="00D44306" w:rsidRPr="00A17361">
        <w:t>(including ADB, Canada, the UK, the EU, Japan, Sweden, UNICEF</w:t>
      </w:r>
      <w:r w:rsidR="00EB7A1F">
        <w:t xml:space="preserve"> and </w:t>
      </w:r>
      <w:r w:rsidR="00D44306" w:rsidRPr="00A17361">
        <w:t xml:space="preserve">the World Bank) </w:t>
      </w:r>
      <w:r w:rsidRPr="00A17361">
        <w:rPr>
          <w:szCs w:val="21"/>
        </w:rPr>
        <w:t>Aust</w:t>
      </w:r>
      <w:r w:rsidR="003B6F2C">
        <w:rPr>
          <w:szCs w:val="21"/>
        </w:rPr>
        <w:t>ralia played a lead role in influenc</w:t>
      </w:r>
      <w:r w:rsidRPr="00A17361">
        <w:rPr>
          <w:szCs w:val="21"/>
        </w:rPr>
        <w:t>ing the policy and management</w:t>
      </w:r>
      <w:r w:rsidR="00A17361" w:rsidRPr="00A17361">
        <w:rPr>
          <w:szCs w:val="21"/>
        </w:rPr>
        <w:t xml:space="preserve"> priorities </w:t>
      </w:r>
      <w:r w:rsidR="00067532" w:rsidRPr="00A17361">
        <w:rPr>
          <w:szCs w:val="21"/>
        </w:rPr>
        <w:t xml:space="preserve">for primary </w:t>
      </w:r>
      <w:r w:rsidR="00077E2A" w:rsidRPr="00A17361">
        <w:rPr>
          <w:szCs w:val="21"/>
        </w:rPr>
        <w:t xml:space="preserve">education </w:t>
      </w:r>
      <w:r w:rsidR="00067532" w:rsidRPr="00A17361">
        <w:rPr>
          <w:szCs w:val="21"/>
        </w:rPr>
        <w:t xml:space="preserve">sector reform </w:t>
      </w:r>
      <w:r w:rsidRPr="00A17361">
        <w:rPr>
          <w:szCs w:val="21"/>
        </w:rPr>
        <w:t>in 2014-15</w:t>
      </w:r>
      <w:r w:rsidRPr="006F773D">
        <w:rPr>
          <w:szCs w:val="21"/>
        </w:rPr>
        <w:t xml:space="preserve">.  Australia encouraged collaboration across the </w:t>
      </w:r>
      <w:r w:rsidR="00067532">
        <w:rPr>
          <w:szCs w:val="21"/>
        </w:rPr>
        <w:t xml:space="preserve">primary </w:t>
      </w:r>
      <w:r w:rsidRPr="006F773D">
        <w:rPr>
          <w:szCs w:val="21"/>
        </w:rPr>
        <w:t>education sector between government</w:t>
      </w:r>
      <w:r w:rsidR="00D2022A">
        <w:rPr>
          <w:szCs w:val="21"/>
        </w:rPr>
        <w:t xml:space="preserve"> and </w:t>
      </w:r>
      <w:r w:rsidR="004E3C74">
        <w:rPr>
          <w:szCs w:val="21"/>
        </w:rPr>
        <w:t>donor partners</w:t>
      </w:r>
      <w:r w:rsidR="003B6F2C">
        <w:rPr>
          <w:szCs w:val="21"/>
        </w:rPr>
        <w:t>,</w:t>
      </w:r>
      <w:r w:rsidR="004E3C74">
        <w:rPr>
          <w:szCs w:val="21"/>
        </w:rPr>
        <w:t xml:space="preserve"> </w:t>
      </w:r>
      <w:r w:rsidRPr="006F773D">
        <w:rPr>
          <w:szCs w:val="21"/>
        </w:rPr>
        <w:t xml:space="preserve">including </w:t>
      </w:r>
      <w:r w:rsidR="003B6F2C">
        <w:rPr>
          <w:szCs w:val="21"/>
        </w:rPr>
        <w:t xml:space="preserve">by </w:t>
      </w:r>
      <w:r w:rsidR="00911606">
        <w:rPr>
          <w:szCs w:val="21"/>
        </w:rPr>
        <w:t xml:space="preserve">taking a lead role in </w:t>
      </w:r>
      <w:r w:rsidRPr="006F773D">
        <w:rPr>
          <w:szCs w:val="21"/>
        </w:rPr>
        <w:t>a study tour</w:t>
      </w:r>
      <w:r w:rsidR="00911606">
        <w:rPr>
          <w:szCs w:val="21"/>
        </w:rPr>
        <w:t xml:space="preserve"> </w:t>
      </w:r>
      <w:r w:rsidR="00D2022A">
        <w:rPr>
          <w:szCs w:val="21"/>
        </w:rPr>
        <w:t>to Tamil</w:t>
      </w:r>
      <w:r w:rsidRPr="006F773D">
        <w:rPr>
          <w:szCs w:val="21"/>
        </w:rPr>
        <w:t xml:space="preserve"> Nadu in India</w:t>
      </w:r>
      <w:r w:rsidR="00077E2A">
        <w:rPr>
          <w:szCs w:val="21"/>
        </w:rPr>
        <w:t xml:space="preserve"> to study inclusive techniques </w:t>
      </w:r>
      <w:r w:rsidR="00D2022A">
        <w:rPr>
          <w:szCs w:val="21"/>
        </w:rPr>
        <w:t xml:space="preserve">for </w:t>
      </w:r>
      <w:r w:rsidR="00911606">
        <w:rPr>
          <w:szCs w:val="21"/>
        </w:rPr>
        <w:t>quality teaching</w:t>
      </w:r>
      <w:r w:rsidR="002C2721">
        <w:rPr>
          <w:szCs w:val="21"/>
        </w:rPr>
        <w:t>.</w:t>
      </w:r>
      <w:r w:rsidRPr="006F773D">
        <w:rPr>
          <w:szCs w:val="21"/>
        </w:rPr>
        <w:t xml:space="preserve">  </w:t>
      </w:r>
      <w:r w:rsidR="00D2022A" w:rsidRPr="002C2721">
        <w:t xml:space="preserve">Long running efforts to improve teacher quality took a significant step forward with the Government signing and beginning to implement the updated Diploma in Education. </w:t>
      </w:r>
      <w:r w:rsidR="002C2721">
        <w:t xml:space="preserve"> </w:t>
      </w:r>
      <w:r w:rsidR="00D2022A" w:rsidRPr="002C2721">
        <w:t>There was further progress to incr</w:t>
      </w:r>
      <w:r w:rsidR="003B6F2C">
        <w:t>ease the level of competency-</w:t>
      </w:r>
      <w:r w:rsidR="00D2022A" w:rsidRPr="002C2721">
        <w:t xml:space="preserve">based questions used in grade five exams. Australia also worked to refocus attention on gender within the PEDP3 group, presenting analysis at the </w:t>
      </w:r>
      <w:r w:rsidR="00FC1F38">
        <w:t xml:space="preserve">JARM </w:t>
      </w:r>
      <w:r w:rsidR="00D2022A" w:rsidRPr="002C2721">
        <w:t>to highlight that</w:t>
      </w:r>
      <w:r w:rsidR="003B6F2C">
        <w:t>,</w:t>
      </w:r>
      <w:r w:rsidR="00D2022A" w:rsidRPr="002C2721">
        <w:t xml:space="preserve"> while enrolment parity has been achieved in primary school, girls still face many barriers to their education (including child marriage and harassment)</w:t>
      </w:r>
      <w:r w:rsidR="00D2022A" w:rsidRPr="00D2022A">
        <w:rPr>
          <w:szCs w:val="21"/>
        </w:rPr>
        <w:t>.</w:t>
      </w:r>
      <w:r w:rsidR="000234F0">
        <w:rPr>
          <w:szCs w:val="21"/>
        </w:rPr>
        <w:t xml:space="preserve"> </w:t>
      </w:r>
    </w:p>
    <w:p w14:paraId="1148724C" w14:textId="7CA897D3" w:rsidR="006F773D" w:rsidRPr="009036BC" w:rsidRDefault="006F773D" w:rsidP="006F773D">
      <w:pPr>
        <w:pStyle w:val="BodyText"/>
        <w:jc w:val="both"/>
        <w:rPr>
          <w:szCs w:val="21"/>
        </w:rPr>
      </w:pPr>
      <w:r w:rsidRPr="002C2721">
        <w:rPr>
          <w:szCs w:val="21"/>
        </w:rPr>
        <w:t>Australia</w:t>
      </w:r>
      <w:r w:rsidR="0082631D" w:rsidRPr="002C2721">
        <w:rPr>
          <w:szCs w:val="21"/>
        </w:rPr>
        <w:t xml:space="preserve">’s influence </w:t>
      </w:r>
      <w:r w:rsidR="00AC538A">
        <w:rPr>
          <w:szCs w:val="21"/>
        </w:rPr>
        <w:t xml:space="preserve">and convening power </w:t>
      </w:r>
      <w:r w:rsidR="0082631D" w:rsidRPr="002C2721">
        <w:rPr>
          <w:szCs w:val="21"/>
        </w:rPr>
        <w:t>in primary education was assisted by its</w:t>
      </w:r>
      <w:r w:rsidR="00D2022A" w:rsidRPr="002C2721">
        <w:rPr>
          <w:szCs w:val="21"/>
        </w:rPr>
        <w:t xml:space="preserve"> </w:t>
      </w:r>
      <w:r w:rsidRPr="002C2721">
        <w:rPr>
          <w:szCs w:val="21"/>
        </w:rPr>
        <w:t>high quality technical assistance and professional credibility on the ground</w:t>
      </w:r>
      <w:r w:rsidRPr="006F773D">
        <w:rPr>
          <w:szCs w:val="21"/>
        </w:rPr>
        <w:t xml:space="preserve">. </w:t>
      </w:r>
      <w:r w:rsidR="002C2721">
        <w:rPr>
          <w:szCs w:val="21"/>
        </w:rPr>
        <w:t xml:space="preserve"> </w:t>
      </w:r>
      <w:r w:rsidR="00AC538A">
        <w:rPr>
          <w:szCs w:val="21"/>
        </w:rPr>
        <w:t xml:space="preserve">Our strong technical engagement is a cost-effective way of working with </w:t>
      </w:r>
      <w:r w:rsidR="003B6F2C">
        <w:rPr>
          <w:szCs w:val="21"/>
        </w:rPr>
        <w:t xml:space="preserve">the Bangladesh </w:t>
      </w:r>
      <w:r w:rsidR="00AC538A">
        <w:rPr>
          <w:szCs w:val="21"/>
        </w:rPr>
        <w:t xml:space="preserve">government to improve the efficiency and effectiveness of its systems </w:t>
      </w:r>
      <w:r w:rsidR="00862786">
        <w:rPr>
          <w:szCs w:val="21"/>
        </w:rPr>
        <w:t>in</w:t>
      </w:r>
      <w:r w:rsidR="00AC538A">
        <w:rPr>
          <w:szCs w:val="21"/>
        </w:rPr>
        <w:t xml:space="preserve"> a national program where donors contribute less than 15 per</w:t>
      </w:r>
      <w:r w:rsidR="00237AB5">
        <w:rPr>
          <w:szCs w:val="21"/>
        </w:rPr>
        <w:t xml:space="preserve"> </w:t>
      </w:r>
      <w:r w:rsidR="00AC538A">
        <w:rPr>
          <w:szCs w:val="21"/>
        </w:rPr>
        <w:t xml:space="preserve">cent of the total costs and where the government </w:t>
      </w:r>
      <w:r w:rsidR="00862786">
        <w:rPr>
          <w:szCs w:val="21"/>
        </w:rPr>
        <w:t xml:space="preserve">is implementing </w:t>
      </w:r>
      <w:r w:rsidR="00AC538A">
        <w:rPr>
          <w:szCs w:val="21"/>
        </w:rPr>
        <w:t xml:space="preserve">a significant reform agenda. </w:t>
      </w:r>
      <w:r w:rsidR="00237AB5">
        <w:rPr>
          <w:szCs w:val="21"/>
        </w:rPr>
        <w:t xml:space="preserve"> </w:t>
      </w:r>
      <w:r w:rsidR="003B6F2C">
        <w:rPr>
          <w:szCs w:val="21"/>
        </w:rPr>
        <w:t xml:space="preserve">Strengthening </w:t>
      </w:r>
      <w:r w:rsidRPr="006F773D">
        <w:rPr>
          <w:szCs w:val="21"/>
        </w:rPr>
        <w:t xml:space="preserve">PFM is one of the success stories specifically recognised in the </w:t>
      </w:r>
      <w:r w:rsidR="00017DAF">
        <w:rPr>
          <w:szCs w:val="21"/>
        </w:rPr>
        <w:t>PEDP3</w:t>
      </w:r>
      <w:r w:rsidR="0081530F">
        <w:rPr>
          <w:szCs w:val="21"/>
        </w:rPr>
        <w:t xml:space="preserve"> </w:t>
      </w:r>
      <w:r w:rsidRPr="006F773D">
        <w:rPr>
          <w:szCs w:val="21"/>
        </w:rPr>
        <w:t xml:space="preserve">MTR.  </w:t>
      </w:r>
      <w:r w:rsidR="0082631D">
        <w:rPr>
          <w:szCs w:val="21"/>
        </w:rPr>
        <w:t>Australian fund</w:t>
      </w:r>
      <w:r w:rsidR="00553892">
        <w:rPr>
          <w:szCs w:val="21"/>
        </w:rPr>
        <w:t>ed</w:t>
      </w:r>
      <w:r w:rsidR="0082631D">
        <w:rPr>
          <w:szCs w:val="21"/>
        </w:rPr>
        <w:t xml:space="preserve"> technical assistance through the World Bank supported </w:t>
      </w:r>
      <w:r w:rsidRPr="006F773D">
        <w:rPr>
          <w:szCs w:val="21"/>
        </w:rPr>
        <w:t>development and</w:t>
      </w:r>
      <w:r>
        <w:rPr>
          <w:szCs w:val="21"/>
        </w:rPr>
        <w:t xml:space="preserve"> </w:t>
      </w:r>
      <w:r w:rsidRPr="009036BC">
        <w:rPr>
          <w:szCs w:val="21"/>
        </w:rPr>
        <w:t xml:space="preserve">implementation of reforms </w:t>
      </w:r>
      <w:r w:rsidR="0082631D">
        <w:rPr>
          <w:szCs w:val="21"/>
        </w:rPr>
        <w:t>to</w:t>
      </w:r>
      <w:r w:rsidRPr="009036BC">
        <w:rPr>
          <w:szCs w:val="21"/>
        </w:rPr>
        <w:t xml:space="preserve"> strengthen</w:t>
      </w:r>
      <w:r w:rsidR="0082631D">
        <w:rPr>
          <w:szCs w:val="21"/>
        </w:rPr>
        <w:t xml:space="preserve"> PEDP3’s</w:t>
      </w:r>
      <w:r w:rsidRPr="009036BC">
        <w:rPr>
          <w:szCs w:val="21"/>
        </w:rPr>
        <w:t xml:space="preserve"> audit functions, online business and activity statements (iBAS) and procurement.  Australia’s technical assistance also helped with the development of online software which is being used to provide updated ‘live’ record keeping of textbook delivery.  There has been less progress with inclusive and non-formal education, which </w:t>
      </w:r>
      <w:r w:rsidR="00B64DB8" w:rsidRPr="009036BC">
        <w:rPr>
          <w:szCs w:val="21"/>
        </w:rPr>
        <w:t>remains</w:t>
      </w:r>
      <w:r w:rsidRPr="009036BC">
        <w:rPr>
          <w:szCs w:val="21"/>
        </w:rPr>
        <w:t xml:space="preserve"> </w:t>
      </w:r>
      <w:r w:rsidR="00B64DB8">
        <w:rPr>
          <w:szCs w:val="21"/>
        </w:rPr>
        <w:t xml:space="preserve">the </w:t>
      </w:r>
      <w:r w:rsidRPr="009036BC">
        <w:rPr>
          <w:szCs w:val="21"/>
        </w:rPr>
        <w:t xml:space="preserve">subject of sustained dialogue with Government and with UNICEF, the technical lead in these areas. </w:t>
      </w:r>
    </w:p>
    <w:p w14:paraId="12CCC725" w14:textId="307120A4" w:rsidR="00741656" w:rsidRDefault="006F773D" w:rsidP="006F773D">
      <w:pPr>
        <w:pStyle w:val="BodyText"/>
        <w:jc w:val="both"/>
        <w:rPr>
          <w:szCs w:val="21"/>
        </w:rPr>
      </w:pPr>
      <w:r w:rsidRPr="002C2721">
        <w:rPr>
          <w:szCs w:val="21"/>
        </w:rPr>
        <w:t xml:space="preserve">Australia’s partnership with </w:t>
      </w:r>
      <w:r w:rsidR="003D15F8" w:rsidRPr="002C2721">
        <w:rPr>
          <w:szCs w:val="21"/>
        </w:rPr>
        <w:t xml:space="preserve">BRAC and DFID </w:t>
      </w:r>
      <w:r w:rsidR="00343F99" w:rsidRPr="002C2721">
        <w:rPr>
          <w:szCs w:val="21"/>
        </w:rPr>
        <w:t>achieved</w:t>
      </w:r>
      <w:r w:rsidR="00BE1159" w:rsidRPr="002C2721">
        <w:rPr>
          <w:szCs w:val="21"/>
        </w:rPr>
        <w:t xml:space="preserve"> </w:t>
      </w:r>
      <w:r w:rsidRPr="002C2721">
        <w:rPr>
          <w:szCs w:val="21"/>
        </w:rPr>
        <w:t xml:space="preserve">strong primary education results </w:t>
      </w:r>
      <w:r w:rsidR="00D2022A" w:rsidRPr="002C2721">
        <w:rPr>
          <w:szCs w:val="21"/>
        </w:rPr>
        <w:t>for children who are unable to access government services</w:t>
      </w:r>
      <w:r w:rsidRPr="006F773D">
        <w:rPr>
          <w:szCs w:val="21"/>
        </w:rPr>
        <w:t xml:space="preserve">.  During the reporting period Australia’s assistance resulted in 369,494 children (61.5 per cent girls) </w:t>
      </w:r>
      <w:r w:rsidR="00E4445A">
        <w:rPr>
          <w:szCs w:val="21"/>
        </w:rPr>
        <w:t xml:space="preserve">being </w:t>
      </w:r>
      <w:r w:rsidRPr="006F773D">
        <w:rPr>
          <w:szCs w:val="21"/>
        </w:rPr>
        <w:t>enrolled in primary and pre-pr</w:t>
      </w:r>
      <w:r>
        <w:rPr>
          <w:szCs w:val="21"/>
        </w:rPr>
        <w:t>imary education in BRAC schools</w:t>
      </w:r>
      <w:r>
        <w:rPr>
          <w:rStyle w:val="FootnoteReference"/>
        </w:rPr>
        <w:footnoteReference w:id="10"/>
      </w:r>
      <w:r w:rsidRPr="006F773D">
        <w:rPr>
          <w:szCs w:val="21"/>
        </w:rPr>
        <w:t>.  An additional 12,670 teachers were also trained in</w:t>
      </w:r>
      <w:r w:rsidR="00816C86">
        <w:rPr>
          <w:szCs w:val="21"/>
        </w:rPr>
        <w:t xml:space="preserve"> better teaching techniques</w:t>
      </w:r>
      <w:r w:rsidRPr="006F773D">
        <w:rPr>
          <w:szCs w:val="21"/>
        </w:rPr>
        <w:t>, again in both primary and pre-primary education</w:t>
      </w:r>
      <w:r w:rsidR="00BD5F26">
        <w:rPr>
          <w:rStyle w:val="FootnoteReference"/>
        </w:rPr>
        <w:footnoteReference w:id="11"/>
      </w:r>
      <w:r w:rsidRPr="006F773D">
        <w:rPr>
          <w:szCs w:val="21"/>
        </w:rPr>
        <w:t xml:space="preserve">.  Learning assessments </w:t>
      </w:r>
    </w:p>
    <w:p w14:paraId="60F4A361" w14:textId="3EE3FF5D" w:rsidR="00CD7949" w:rsidRDefault="00816C86" w:rsidP="006F773D">
      <w:pPr>
        <w:pStyle w:val="BodyText"/>
        <w:jc w:val="both"/>
        <w:rPr>
          <w:color w:val="1F497D"/>
        </w:rPr>
      </w:pPr>
      <w:r>
        <w:rPr>
          <w:szCs w:val="21"/>
        </w:rPr>
        <w:lastRenderedPageBreak/>
        <w:t xml:space="preserve">of BRAC school students </w:t>
      </w:r>
      <w:r w:rsidR="00EC0DCF">
        <w:rPr>
          <w:szCs w:val="21"/>
        </w:rPr>
        <w:t xml:space="preserve">resulted in </w:t>
      </w:r>
      <w:r w:rsidR="006F773D" w:rsidRPr="006F773D">
        <w:rPr>
          <w:szCs w:val="21"/>
        </w:rPr>
        <w:t>43,843 students (61.17 per cent girls) taking the primary school certificate exam and 99.97</w:t>
      </w:r>
      <w:r w:rsidR="006F773D">
        <w:rPr>
          <w:rStyle w:val="FootnoteReference"/>
        </w:rPr>
        <w:footnoteReference w:id="12"/>
      </w:r>
      <w:r w:rsidR="006F773D">
        <w:rPr>
          <w:szCs w:val="21"/>
        </w:rPr>
        <w:t xml:space="preserve"> </w:t>
      </w:r>
      <w:r w:rsidR="006F773D" w:rsidRPr="006F773D">
        <w:rPr>
          <w:szCs w:val="21"/>
        </w:rPr>
        <w:t>per</w:t>
      </w:r>
      <w:r w:rsidR="00307C70">
        <w:rPr>
          <w:szCs w:val="21"/>
        </w:rPr>
        <w:t xml:space="preserve"> </w:t>
      </w:r>
      <w:r w:rsidR="006F773D" w:rsidRPr="006F773D">
        <w:rPr>
          <w:szCs w:val="21"/>
        </w:rPr>
        <w:t>cent passing</w:t>
      </w:r>
      <w:r w:rsidR="004A71D7">
        <w:rPr>
          <w:rStyle w:val="FootnoteReference"/>
        </w:rPr>
        <w:footnoteReference w:id="13"/>
      </w:r>
      <w:r w:rsidR="006F773D" w:rsidRPr="006F773D">
        <w:rPr>
          <w:szCs w:val="21"/>
        </w:rPr>
        <w:t xml:space="preserve">.  BRAC has also worked collaboratively with local NGOs on financing arrangements to share </w:t>
      </w:r>
      <w:r w:rsidR="00EC0DCF">
        <w:rPr>
          <w:szCs w:val="21"/>
        </w:rPr>
        <w:t xml:space="preserve">program </w:t>
      </w:r>
      <w:r w:rsidR="006F773D" w:rsidRPr="006F773D">
        <w:rPr>
          <w:szCs w:val="21"/>
        </w:rPr>
        <w:t xml:space="preserve">implementation costs in certain districts. </w:t>
      </w:r>
      <w:r w:rsidR="00741656">
        <w:rPr>
          <w:szCs w:val="21"/>
        </w:rPr>
        <w:t xml:space="preserve"> </w:t>
      </w:r>
      <w:r w:rsidR="0064779F">
        <w:rPr>
          <w:szCs w:val="21"/>
        </w:rPr>
        <w:t xml:space="preserve">In </w:t>
      </w:r>
      <w:r w:rsidR="0064779F" w:rsidRPr="0005194E">
        <w:rPr>
          <w:szCs w:val="21"/>
        </w:rPr>
        <w:t xml:space="preserve">2014 </w:t>
      </w:r>
      <w:r w:rsidR="0064779F" w:rsidRPr="0005194E">
        <w:t>o</w:t>
      </w:r>
      <w:r w:rsidR="008E717A" w:rsidRPr="0005194E">
        <w:t>ver 30,000 children with a disability (</w:t>
      </w:r>
      <w:r w:rsidR="00CD7949" w:rsidRPr="0005194E">
        <w:t>g</w:t>
      </w:r>
      <w:r w:rsidR="008E717A" w:rsidRPr="0005194E">
        <w:t>irls: 52.61 per cent) had access to BRAC pre-primary (11,000) and primary (19,039) education</w:t>
      </w:r>
      <w:r w:rsidR="008E717A">
        <w:rPr>
          <w:rStyle w:val="FootnoteReference"/>
          <w:color w:val="1F497D"/>
        </w:rPr>
        <w:footnoteReference w:id="14"/>
      </w:r>
      <w:r w:rsidR="008E717A">
        <w:rPr>
          <w:color w:val="1F497D"/>
        </w:rPr>
        <w:t xml:space="preserve">.  </w:t>
      </w:r>
    </w:p>
    <w:p w14:paraId="235589A1" w14:textId="630BE818" w:rsidR="001343F7" w:rsidRDefault="00AC538A" w:rsidP="006F773D">
      <w:pPr>
        <w:pStyle w:val="BodyText"/>
        <w:jc w:val="both"/>
        <w:rPr>
          <w:szCs w:val="21"/>
        </w:rPr>
      </w:pPr>
      <w:r>
        <w:rPr>
          <w:szCs w:val="21"/>
        </w:rPr>
        <w:t xml:space="preserve">The </w:t>
      </w:r>
      <w:r w:rsidR="006B4511">
        <w:rPr>
          <w:szCs w:val="21"/>
        </w:rPr>
        <w:t>non-ear</w:t>
      </w:r>
      <w:r>
        <w:rPr>
          <w:szCs w:val="21"/>
        </w:rPr>
        <w:t xml:space="preserve">-marked core funding model of the </w:t>
      </w:r>
      <w:r w:rsidR="00EC0DCF">
        <w:rPr>
          <w:szCs w:val="21"/>
        </w:rPr>
        <w:t xml:space="preserve">strategic partnership with BRAC </w:t>
      </w:r>
      <w:r>
        <w:rPr>
          <w:szCs w:val="21"/>
        </w:rPr>
        <w:t xml:space="preserve">allows </w:t>
      </w:r>
      <w:r w:rsidR="00EC0DCF">
        <w:rPr>
          <w:szCs w:val="21"/>
        </w:rPr>
        <w:t xml:space="preserve">it </w:t>
      </w:r>
      <w:r w:rsidR="00332E7B">
        <w:rPr>
          <w:szCs w:val="21"/>
        </w:rPr>
        <w:t>to be more innovative and</w:t>
      </w:r>
      <w:r>
        <w:rPr>
          <w:szCs w:val="21"/>
        </w:rPr>
        <w:t xml:space="preserve"> means the NGO can more flexibly allocate seed funding to experimental programs that other donors are not yet ready to support.</w:t>
      </w:r>
      <w:r w:rsidR="00470C08">
        <w:rPr>
          <w:szCs w:val="21"/>
        </w:rPr>
        <w:t xml:space="preserve">  </w:t>
      </w:r>
      <w:r>
        <w:rPr>
          <w:szCs w:val="21"/>
        </w:rPr>
        <w:t>Through this approach, BRAC has developed floating latrines, boat schools and clinics to improve school attendance in parts of the country where government services do not operate.</w:t>
      </w:r>
    </w:p>
    <w:p w14:paraId="417551B4" w14:textId="0762F0C6" w:rsidR="000D32CF" w:rsidRDefault="000D32CF" w:rsidP="000D32CF">
      <w:pPr>
        <w:pStyle w:val="BodyText"/>
        <w:jc w:val="both"/>
        <w:rPr>
          <w:szCs w:val="21"/>
        </w:rPr>
      </w:pPr>
      <w:r>
        <w:rPr>
          <w:szCs w:val="21"/>
        </w:rPr>
        <w:t>Independent research</w:t>
      </w:r>
      <w:r w:rsidR="00862786">
        <w:rPr>
          <w:szCs w:val="21"/>
        </w:rPr>
        <w:t xml:space="preserve"> conducted in 2014-15</w:t>
      </w:r>
      <w:r>
        <w:rPr>
          <w:szCs w:val="21"/>
        </w:rPr>
        <w:t xml:space="preserve"> into the strategic partnership with BRAC highlighted the scope to ‘</w:t>
      </w:r>
      <w:r w:rsidRPr="00FC1F38">
        <w:rPr>
          <w:i/>
          <w:szCs w:val="21"/>
        </w:rPr>
        <w:t>go beyond results</w:t>
      </w:r>
      <w:r>
        <w:rPr>
          <w:szCs w:val="21"/>
        </w:rPr>
        <w:t>’ to build a knowledge partnership based on research and</w:t>
      </w:r>
      <w:r w:rsidR="00EC0DCF">
        <w:rPr>
          <w:szCs w:val="21"/>
        </w:rPr>
        <w:t xml:space="preserve"> promoting</w:t>
      </w:r>
      <w:r>
        <w:rPr>
          <w:szCs w:val="21"/>
        </w:rPr>
        <w:t xml:space="preserve"> local and international advocacy on </w:t>
      </w:r>
      <w:r w:rsidR="00CD7949">
        <w:rPr>
          <w:szCs w:val="21"/>
        </w:rPr>
        <w:t xml:space="preserve">development </w:t>
      </w:r>
      <w:r>
        <w:rPr>
          <w:szCs w:val="21"/>
        </w:rPr>
        <w:t>themes of shared interest to the three partners.  While the original intent of the partnership was primarily to</w:t>
      </w:r>
      <w:r w:rsidR="00EC0DCF">
        <w:rPr>
          <w:szCs w:val="21"/>
        </w:rPr>
        <w:t xml:space="preserve"> provide</w:t>
      </w:r>
      <w:r>
        <w:rPr>
          <w:szCs w:val="21"/>
        </w:rPr>
        <w:t xml:space="preserve"> an efficient and effective means to deliver results, the</w:t>
      </w:r>
      <w:r w:rsidR="00EC0DCF">
        <w:rPr>
          <w:szCs w:val="21"/>
        </w:rPr>
        <w:t>re is now the</w:t>
      </w:r>
      <w:r>
        <w:rPr>
          <w:szCs w:val="21"/>
        </w:rPr>
        <w:t xml:space="preserve"> opportunity to move the relationship into one that aligns with the post-MDG agenda on north-south cooperation and Banglades</w:t>
      </w:r>
      <w:r w:rsidR="00EC0DCF">
        <w:rPr>
          <w:szCs w:val="21"/>
        </w:rPr>
        <w:t>h’s changing assistance needs</w:t>
      </w:r>
      <w:r>
        <w:rPr>
          <w:szCs w:val="21"/>
        </w:rPr>
        <w:t>.  To realise it, all partners will need to dedicate senior level resources to making the institutional shifts from program management to partnership management.</w:t>
      </w:r>
    </w:p>
    <w:p w14:paraId="3C3FBF13" w14:textId="5CAF2B78" w:rsidR="00553892" w:rsidRDefault="00553892" w:rsidP="00553892">
      <w:pPr>
        <w:pStyle w:val="BodyText"/>
        <w:jc w:val="both"/>
        <w:rPr>
          <w:szCs w:val="21"/>
        </w:rPr>
      </w:pPr>
      <w:r>
        <w:rPr>
          <w:szCs w:val="21"/>
        </w:rPr>
        <w:t xml:space="preserve">Political instability and resulting security issues have had an ongoing impact on our ability to monitor programs, but also underscore that our choice of partners has been appropriate – the grass-roots operations of BRAC and the national program </w:t>
      </w:r>
      <w:r w:rsidR="00862786">
        <w:rPr>
          <w:szCs w:val="21"/>
        </w:rPr>
        <w:t>in</w:t>
      </w:r>
      <w:r>
        <w:rPr>
          <w:szCs w:val="21"/>
        </w:rPr>
        <w:t xml:space="preserve"> primary education were able to continue to deliver services and their own systems monitored and gathered evidence for results.</w:t>
      </w:r>
    </w:p>
    <w:p w14:paraId="117273BA" w14:textId="00291937" w:rsidR="006F773D" w:rsidRPr="003D00FF" w:rsidRDefault="005B4657" w:rsidP="003D00FF">
      <w:pPr>
        <w:pStyle w:val="BodyText"/>
        <w:jc w:val="both"/>
        <w:rPr>
          <w:szCs w:val="21"/>
        </w:rPr>
      </w:pPr>
      <w:r>
        <w:rPr>
          <w:szCs w:val="21"/>
        </w:rPr>
        <w:t>The resources allocated to the</w:t>
      </w:r>
      <w:r w:rsidR="006F773D" w:rsidRPr="002C2721">
        <w:rPr>
          <w:szCs w:val="21"/>
        </w:rPr>
        <w:t xml:space="preserve"> health sector </w:t>
      </w:r>
      <w:r>
        <w:rPr>
          <w:szCs w:val="21"/>
        </w:rPr>
        <w:t xml:space="preserve">were limited, </w:t>
      </w:r>
      <w:r w:rsidR="006F773D" w:rsidRPr="002C2721">
        <w:rPr>
          <w:szCs w:val="21"/>
        </w:rPr>
        <w:t xml:space="preserve">based on Australia’s </w:t>
      </w:r>
      <w:r>
        <w:rPr>
          <w:szCs w:val="21"/>
        </w:rPr>
        <w:t xml:space="preserve">decision to exit from this sector as part of </w:t>
      </w:r>
      <w:r w:rsidR="00EC0DCF">
        <w:rPr>
          <w:szCs w:val="21"/>
        </w:rPr>
        <w:t xml:space="preserve">our program of </w:t>
      </w:r>
      <w:r>
        <w:rPr>
          <w:szCs w:val="21"/>
        </w:rPr>
        <w:t>consolidation</w:t>
      </w:r>
      <w:r w:rsidR="00ED1AE9">
        <w:rPr>
          <w:rStyle w:val="FootnoteReference"/>
        </w:rPr>
        <w:footnoteReference w:id="15"/>
      </w:r>
      <w:r w:rsidR="006F773D" w:rsidRPr="006F773D">
        <w:rPr>
          <w:szCs w:val="21"/>
        </w:rPr>
        <w:t xml:space="preserve">.  </w:t>
      </w:r>
      <w:r w:rsidR="000176D8">
        <w:rPr>
          <w:szCs w:val="21"/>
        </w:rPr>
        <w:t>A</w:t>
      </w:r>
      <w:r w:rsidR="000176D8" w:rsidRPr="006F773D">
        <w:rPr>
          <w:szCs w:val="21"/>
        </w:rPr>
        <w:t xml:space="preserve">lthough health remains </w:t>
      </w:r>
      <w:r w:rsidR="000176D8">
        <w:rPr>
          <w:szCs w:val="21"/>
        </w:rPr>
        <w:t xml:space="preserve">an </w:t>
      </w:r>
      <w:r w:rsidR="000176D8" w:rsidRPr="006F773D">
        <w:rPr>
          <w:szCs w:val="21"/>
        </w:rPr>
        <w:t xml:space="preserve">important </w:t>
      </w:r>
      <w:r w:rsidR="000176D8">
        <w:rPr>
          <w:szCs w:val="21"/>
        </w:rPr>
        <w:t xml:space="preserve">development issue </w:t>
      </w:r>
      <w:r w:rsidR="000176D8" w:rsidRPr="006F773D">
        <w:rPr>
          <w:szCs w:val="21"/>
        </w:rPr>
        <w:t xml:space="preserve">in Bangladesh, other donors are better placed to work with </w:t>
      </w:r>
      <w:r w:rsidR="00EC0DCF">
        <w:rPr>
          <w:szCs w:val="21"/>
        </w:rPr>
        <w:t xml:space="preserve">the Bangladesh </w:t>
      </w:r>
      <w:r w:rsidR="000176D8" w:rsidRPr="006F773D">
        <w:rPr>
          <w:szCs w:val="21"/>
        </w:rPr>
        <w:t xml:space="preserve">Government to tackle </w:t>
      </w:r>
      <w:r w:rsidR="00934EBE">
        <w:rPr>
          <w:szCs w:val="21"/>
        </w:rPr>
        <w:t xml:space="preserve">remaining </w:t>
      </w:r>
      <w:r w:rsidR="008B3F21" w:rsidRPr="006F773D">
        <w:rPr>
          <w:szCs w:val="21"/>
        </w:rPr>
        <w:t>challenges</w:t>
      </w:r>
      <w:r w:rsidR="008B3F21">
        <w:rPr>
          <w:szCs w:val="21"/>
        </w:rPr>
        <w:t>.</w:t>
      </w:r>
      <w:r w:rsidR="008B3F21" w:rsidRPr="009D0613">
        <w:t xml:space="preserve"> The</w:t>
      </w:r>
      <w:r w:rsidR="001A4980" w:rsidRPr="009D0613">
        <w:t xml:space="preserve"> </w:t>
      </w:r>
      <w:r w:rsidR="001A4980">
        <w:t xml:space="preserve">shift </w:t>
      </w:r>
      <w:r w:rsidR="001A4980" w:rsidRPr="009D0613">
        <w:t>out of t</w:t>
      </w:r>
      <w:r w:rsidR="001A4980">
        <w:t>he health</w:t>
      </w:r>
      <w:r w:rsidR="001A4980" w:rsidRPr="009D0613">
        <w:t xml:space="preserve"> sector </w:t>
      </w:r>
      <w:r w:rsidR="001A4980">
        <w:t>was</w:t>
      </w:r>
      <w:r w:rsidR="001A4980" w:rsidRPr="009D0613">
        <w:t xml:space="preserve"> gradual </w:t>
      </w:r>
      <w:r w:rsidR="001A4980">
        <w:t xml:space="preserve">and included transitional </w:t>
      </w:r>
      <w:r w:rsidR="001A4980" w:rsidRPr="009D0613">
        <w:t>supp</w:t>
      </w:r>
      <w:r w:rsidR="001A4980">
        <w:t xml:space="preserve">ort to affected partners.  </w:t>
      </w:r>
      <w:r w:rsidR="001A4980" w:rsidRPr="009D0613">
        <w:t xml:space="preserve">Former partner organisations </w:t>
      </w:r>
      <w:r w:rsidR="001A4980">
        <w:t>remain</w:t>
      </w:r>
      <w:r w:rsidR="001A4980" w:rsidRPr="009D0613">
        <w:t xml:space="preserve"> eligible for Australia Aw</w:t>
      </w:r>
      <w:r w:rsidR="001A4980">
        <w:t xml:space="preserve">ards and volunteer placements.  </w:t>
      </w:r>
      <w:r w:rsidR="00D2022A">
        <w:rPr>
          <w:szCs w:val="21"/>
        </w:rPr>
        <w:t xml:space="preserve">As part of the transition, the </w:t>
      </w:r>
      <w:r w:rsidR="00EC0DCF">
        <w:rPr>
          <w:szCs w:val="21"/>
        </w:rPr>
        <w:t xml:space="preserve">2014-15 </w:t>
      </w:r>
      <w:r w:rsidR="00D2022A">
        <w:rPr>
          <w:szCs w:val="21"/>
        </w:rPr>
        <w:t xml:space="preserve">reporting period includes results from </w:t>
      </w:r>
      <w:r w:rsidR="000176D8">
        <w:rPr>
          <w:szCs w:val="21"/>
        </w:rPr>
        <w:t xml:space="preserve">Australian support </w:t>
      </w:r>
      <w:r w:rsidR="00D2022A">
        <w:rPr>
          <w:szCs w:val="21"/>
        </w:rPr>
        <w:t xml:space="preserve">for </w:t>
      </w:r>
      <w:r w:rsidR="000176D8">
        <w:rPr>
          <w:szCs w:val="21"/>
        </w:rPr>
        <w:t xml:space="preserve">BRAC’s </w:t>
      </w:r>
      <w:r w:rsidR="006F773D" w:rsidRPr="006F773D">
        <w:rPr>
          <w:szCs w:val="21"/>
        </w:rPr>
        <w:t>Health, Nutrition and Population Programme (HNPP)</w:t>
      </w:r>
      <w:r w:rsidR="00D2022A">
        <w:rPr>
          <w:szCs w:val="21"/>
        </w:rPr>
        <w:t>.</w:t>
      </w:r>
      <w:r w:rsidR="006F773D" w:rsidRPr="006F773D">
        <w:rPr>
          <w:szCs w:val="21"/>
        </w:rPr>
        <w:t xml:space="preserve">  </w:t>
      </w:r>
      <w:r w:rsidR="00067532">
        <w:rPr>
          <w:szCs w:val="21"/>
        </w:rPr>
        <w:t>Complementing government services</w:t>
      </w:r>
      <w:r w:rsidR="00EC0DCF">
        <w:rPr>
          <w:szCs w:val="21"/>
        </w:rPr>
        <w:t>,</w:t>
      </w:r>
      <w:r w:rsidR="005D431C">
        <w:rPr>
          <w:szCs w:val="21"/>
        </w:rPr>
        <w:t xml:space="preserve"> </w:t>
      </w:r>
      <w:r w:rsidR="006F773D" w:rsidRPr="006F773D">
        <w:rPr>
          <w:szCs w:val="21"/>
        </w:rPr>
        <w:t>HNPP provides community based basic preventative and curative healthcare</w:t>
      </w:r>
      <w:r w:rsidR="00067532">
        <w:rPr>
          <w:szCs w:val="21"/>
        </w:rPr>
        <w:t xml:space="preserve"> for the poor, especially women and children</w:t>
      </w:r>
      <w:r w:rsidR="006F773D" w:rsidRPr="006F773D">
        <w:rPr>
          <w:szCs w:val="21"/>
        </w:rPr>
        <w:t xml:space="preserve">.  The HNPP assisted over 60 million people in 47 districts in Bangladesh.  </w:t>
      </w:r>
      <w:r w:rsidR="00067532" w:rsidRPr="006F773D">
        <w:rPr>
          <w:szCs w:val="21"/>
        </w:rPr>
        <w:t>Australia’s funding through BRAC ensured over 249,000</w:t>
      </w:r>
      <w:r w:rsidR="00067532">
        <w:rPr>
          <w:rStyle w:val="FootnoteReference"/>
        </w:rPr>
        <w:footnoteReference w:id="16"/>
      </w:r>
      <w:r w:rsidR="00067532">
        <w:rPr>
          <w:szCs w:val="21"/>
        </w:rPr>
        <w:t xml:space="preserve"> </w:t>
      </w:r>
      <w:r w:rsidR="00067532" w:rsidRPr="006F773D">
        <w:rPr>
          <w:szCs w:val="21"/>
        </w:rPr>
        <w:t>additional births were attended by a skilled birth attendant.</w:t>
      </w:r>
    </w:p>
    <w:p w14:paraId="6ECE69B4" w14:textId="3961C897" w:rsidR="006F773D" w:rsidRPr="003D00FF" w:rsidRDefault="006F773D" w:rsidP="003D00FF">
      <w:pPr>
        <w:pStyle w:val="Heading3"/>
        <w:rPr>
          <w:color w:val="124486"/>
        </w:rPr>
      </w:pPr>
      <w:r w:rsidRPr="003D00FF">
        <w:rPr>
          <w:color w:val="124486"/>
        </w:rPr>
        <w:lastRenderedPageBreak/>
        <w:t>Objective 2 fewer women and men living in extreme poverty and vulnerable to economic and natural shocks</w:t>
      </w:r>
    </w:p>
    <w:p w14:paraId="7FBA1500" w14:textId="77777777" w:rsidR="006F773D" w:rsidRPr="006F773D" w:rsidRDefault="006F773D" w:rsidP="006F773D">
      <w:pPr>
        <w:jc w:val="both"/>
        <w:rPr>
          <w:rFonts w:ascii="Franklin Gothic Book" w:hAnsi="Franklin Gothic Book"/>
          <w:i/>
          <w:sz w:val="21"/>
          <w:szCs w:val="21"/>
        </w:rPr>
      </w:pPr>
    </w:p>
    <w:p w14:paraId="20C48F85" w14:textId="77777777" w:rsidR="006F773D" w:rsidRPr="006F773D" w:rsidRDefault="006F773D" w:rsidP="006F773D">
      <w:pPr>
        <w:jc w:val="both"/>
        <w:rPr>
          <w:rFonts w:ascii="Franklin Gothic Book" w:hAnsi="Franklin Gothic Book"/>
          <w:i/>
          <w:sz w:val="21"/>
          <w:szCs w:val="21"/>
        </w:rPr>
      </w:pPr>
      <w:r w:rsidRPr="006F773D">
        <w:rPr>
          <w:rFonts w:ascii="Franklin Gothic Book" w:hAnsi="Franklin Gothic Book"/>
          <w:i/>
          <w:sz w:val="21"/>
          <w:szCs w:val="21"/>
        </w:rPr>
        <w:t xml:space="preserve">Rating: Green. </w:t>
      </w:r>
    </w:p>
    <w:p w14:paraId="2FC2B829" w14:textId="77777777" w:rsidR="006F773D" w:rsidRPr="006F773D" w:rsidRDefault="006F773D" w:rsidP="006F773D">
      <w:pPr>
        <w:jc w:val="both"/>
        <w:rPr>
          <w:rFonts w:ascii="Franklin Gothic Book" w:hAnsi="Franklin Gothic Book"/>
          <w:i/>
          <w:sz w:val="21"/>
          <w:szCs w:val="21"/>
        </w:rPr>
      </w:pPr>
    </w:p>
    <w:p w14:paraId="5C1FC460" w14:textId="3EDC54C2" w:rsidR="006F773D" w:rsidRDefault="008A6E74" w:rsidP="006F773D">
      <w:pPr>
        <w:pStyle w:val="BodyText"/>
        <w:jc w:val="both"/>
        <w:rPr>
          <w:i/>
          <w:szCs w:val="21"/>
        </w:rPr>
      </w:pPr>
      <w:r>
        <w:rPr>
          <w:i/>
          <w:szCs w:val="21"/>
        </w:rPr>
        <w:t>D</w:t>
      </w:r>
      <w:r w:rsidR="00A92021">
        <w:rPr>
          <w:i/>
          <w:szCs w:val="21"/>
        </w:rPr>
        <w:t xml:space="preserve">ecisions to transition out of </w:t>
      </w:r>
      <w:r w:rsidR="00EB7A1F">
        <w:rPr>
          <w:i/>
          <w:szCs w:val="21"/>
        </w:rPr>
        <w:t xml:space="preserve">programs on </w:t>
      </w:r>
      <w:r w:rsidR="006F773D" w:rsidRPr="006F773D">
        <w:rPr>
          <w:i/>
          <w:szCs w:val="21"/>
        </w:rPr>
        <w:t>climate change</w:t>
      </w:r>
      <w:r w:rsidR="00067532">
        <w:rPr>
          <w:i/>
          <w:szCs w:val="21"/>
        </w:rPr>
        <w:t xml:space="preserve">, </w:t>
      </w:r>
      <w:r w:rsidR="006F773D" w:rsidRPr="006F773D">
        <w:rPr>
          <w:i/>
          <w:szCs w:val="21"/>
        </w:rPr>
        <w:t xml:space="preserve">disaster risk reduction </w:t>
      </w:r>
      <w:r w:rsidR="00067532">
        <w:rPr>
          <w:i/>
          <w:szCs w:val="21"/>
        </w:rPr>
        <w:t xml:space="preserve">and emergency response </w:t>
      </w:r>
      <w:r w:rsidR="006F773D" w:rsidRPr="006F773D">
        <w:rPr>
          <w:i/>
          <w:szCs w:val="21"/>
        </w:rPr>
        <w:t xml:space="preserve">as a result of </w:t>
      </w:r>
      <w:r w:rsidR="00934EBE">
        <w:rPr>
          <w:i/>
          <w:szCs w:val="21"/>
        </w:rPr>
        <w:t xml:space="preserve">program consolidation </w:t>
      </w:r>
      <w:r w:rsidR="006F773D" w:rsidRPr="006F773D">
        <w:rPr>
          <w:i/>
          <w:szCs w:val="21"/>
        </w:rPr>
        <w:t>me</w:t>
      </w:r>
      <w:r w:rsidR="00A92021">
        <w:rPr>
          <w:i/>
          <w:szCs w:val="21"/>
        </w:rPr>
        <w:t>ant</w:t>
      </w:r>
      <w:r w:rsidR="006F773D" w:rsidRPr="006F773D">
        <w:rPr>
          <w:i/>
          <w:szCs w:val="21"/>
        </w:rPr>
        <w:t xml:space="preserve"> that the </w:t>
      </w:r>
      <w:r w:rsidR="003D15F8">
        <w:rPr>
          <w:i/>
          <w:szCs w:val="21"/>
        </w:rPr>
        <w:t>scope</w:t>
      </w:r>
      <w:r w:rsidR="006F773D" w:rsidRPr="006F773D">
        <w:rPr>
          <w:i/>
          <w:szCs w:val="21"/>
        </w:rPr>
        <w:t xml:space="preserve"> of this objective has </w:t>
      </w:r>
      <w:r w:rsidR="00862786">
        <w:rPr>
          <w:i/>
          <w:szCs w:val="21"/>
        </w:rPr>
        <w:t>changed</w:t>
      </w:r>
      <w:r w:rsidR="006F773D" w:rsidRPr="006F773D">
        <w:rPr>
          <w:i/>
          <w:szCs w:val="21"/>
        </w:rPr>
        <w:t xml:space="preserve"> over the strategy period.  Australia’s partnerships with DFID, BRAC and WFP enabled us to make a direct and significant difference to the lives of poor people and, albeit at a slow pace, to promote long</w:t>
      </w:r>
      <w:r w:rsidR="00C62716">
        <w:rPr>
          <w:i/>
          <w:szCs w:val="21"/>
        </w:rPr>
        <w:t>-</w:t>
      </w:r>
      <w:r w:rsidR="006F773D" w:rsidRPr="006F773D">
        <w:rPr>
          <w:i/>
          <w:szCs w:val="21"/>
        </w:rPr>
        <w:t>term dialogue with Government</w:t>
      </w:r>
      <w:r w:rsidR="009920C9">
        <w:rPr>
          <w:i/>
          <w:szCs w:val="21"/>
        </w:rPr>
        <w:t xml:space="preserve"> of Bangladesh</w:t>
      </w:r>
      <w:r w:rsidR="006F773D" w:rsidRPr="006F773D">
        <w:rPr>
          <w:i/>
          <w:szCs w:val="21"/>
        </w:rPr>
        <w:t xml:space="preserve"> </w:t>
      </w:r>
      <w:r w:rsidR="00EB7A1F">
        <w:rPr>
          <w:i/>
          <w:szCs w:val="21"/>
        </w:rPr>
        <w:t>about improvements to</w:t>
      </w:r>
      <w:r w:rsidR="00EB7A1F" w:rsidRPr="006F773D">
        <w:rPr>
          <w:i/>
          <w:szCs w:val="21"/>
        </w:rPr>
        <w:t xml:space="preserve"> </w:t>
      </w:r>
      <w:r w:rsidR="006F773D" w:rsidRPr="006F773D">
        <w:rPr>
          <w:i/>
          <w:szCs w:val="21"/>
        </w:rPr>
        <w:t xml:space="preserve">social protection policy. </w:t>
      </w:r>
    </w:p>
    <w:p w14:paraId="23B46F4B" w14:textId="1C5569A2" w:rsidR="00155BFC" w:rsidRDefault="00FB1470" w:rsidP="00FB1470">
      <w:pPr>
        <w:pStyle w:val="BodyText"/>
        <w:jc w:val="both"/>
        <w:rPr>
          <w:szCs w:val="21"/>
        </w:rPr>
      </w:pPr>
      <w:r w:rsidRPr="002C2721">
        <w:rPr>
          <w:szCs w:val="21"/>
        </w:rPr>
        <w:t>Australia has invested in well-tested models of poverty reduction through asset transfer</w:t>
      </w:r>
      <w:r w:rsidR="004E7AF7" w:rsidRPr="002C2721">
        <w:rPr>
          <w:szCs w:val="21"/>
        </w:rPr>
        <w:t xml:space="preserve"> programs</w:t>
      </w:r>
      <w:r w:rsidRPr="002C2721">
        <w:rPr>
          <w:szCs w:val="21"/>
        </w:rPr>
        <w:t xml:space="preserve"> that have delivered on their targets</w:t>
      </w:r>
      <w:r w:rsidRPr="00FB1470">
        <w:rPr>
          <w:szCs w:val="21"/>
        </w:rPr>
        <w:t xml:space="preserve">.  BRAC’s </w:t>
      </w:r>
      <w:r w:rsidR="00067532">
        <w:rPr>
          <w:szCs w:val="21"/>
        </w:rPr>
        <w:t>CFPR-</w:t>
      </w:r>
      <w:r w:rsidRPr="00FB1470">
        <w:rPr>
          <w:szCs w:val="21"/>
        </w:rPr>
        <w:t xml:space="preserve">TUP </w:t>
      </w:r>
      <w:r w:rsidR="00FC1F38">
        <w:rPr>
          <w:szCs w:val="21"/>
        </w:rPr>
        <w:t>p</w:t>
      </w:r>
      <w:r w:rsidRPr="00FB1470">
        <w:rPr>
          <w:szCs w:val="21"/>
        </w:rPr>
        <w:t>rogram, supported through Australia’s strategic partnership with BRAC and DFID, achieved its end-2014 target of helping 280,000</w:t>
      </w:r>
      <w:r w:rsidR="004A71D7">
        <w:rPr>
          <w:rStyle w:val="FootnoteReference"/>
        </w:rPr>
        <w:footnoteReference w:id="17"/>
      </w:r>
      <w:r w:rsidRPr="00FB1470">
        <w:rPr>
          <w:szCs w:val="21"/>
        </w:rPr>
        <w:t xml:space="preserve"> women and their </w:t>
      </w:r>
      <w:r>
        <w:rPr>
          <w:szCs w:val="21"/>
        </w:rPr>
        <w:t>families</w:t>
      </w:r>
      <w:r w:rsidR="00816C86">
        <w:rPr>
          <w:szCs w:val="21"/>
        </w:rPr>
        <w:t xml:space="preserve"> onto a pathway out of poverty</w:t>
      </w:r>
      <w:r>
        <w:rPr>
          <w:rStyle w:val="FootnoteReference"/>
        </w:rPr>
        <w:footnoteReference w:id="18"/>
      </w:r>
      <w:r w:rsidRPr="00FB1470">
        <w:rPr>
          <w:szCs w:val="21"/>
        </w:rPr>
        <w:t>.  The methodology developed by BRAC, part funded by Australia for the last eight years, is now used globally to assist extremely poor families</w:t>
      </w:r>
      <w:r w:rsidR="00EB7A1F">
        <w:rPr>
          <w:szCs w:val="21"/>
        </w:rPr>
        <w:t xml:space="preserve"> combat the effects of poverty</w:t>
      </w:r>
      <w:r w:rsidRPr="009D054C">
        <w:rPr>
          <w:szCs w:val="21"/>
        </w:rPr>
        <w:t xml:space="preserve">. </w:t>
      </w:r>
      <w:r w:rsidR="009D054C" w:rsidRPr="009D054C">
        <w:rPr>
          <w:szCs w:val="21"/>
        </w:rPr>
        <w:t xml:space="preserve"> </w:t>
      </w:r>
      <w:r w:rsidR="009D054C" w:rsidRPr="0005194E">
        <w:rPr>
          <w:rFonts w:cs="Lucida Grande"/>
          <w:szCs w:val="21"/>
          <w:lang w:val="en"/>
        </w:rPr>
        <w:t>The approach combines the transfer of a productive asset with consumption support, training, and coaching plus savings encouragement and health education and/or services.</w:t>
      </w:r>
      <w:r w:rsidR="009D054C" w:rsidRPr="0005194E">
        <w:rPr>
          <w:rFonts w:cs="Lucida Grande"/>
          <w:sz w:val="19"/>
          <w:szCs w:val="19"/>
          <w:lang w:val="en"/>
        </w:rPr>
        <w:t xml:space="preserve"> </w:t>
      </w:r>
      <w:r w:rsidRPr="007368FD">
        <w:rPr>
          <w:szCs w:val="21"/>
        </w:rPr>
        <w:t xml:space="preserve"> It has </w:t>
      </w:r>
      <w:r w:rsidRPr="00FB1470">
        <w:rPr>
          <w:szCs w:val="21"/>
        </w:rPr>
        <w:t>been shown to be a highly effective interve</w:t>
      </w:r>
      <w:r>
        <w:rPr>
          <w:szCs w:val="21"/>
        </w:rPr>
        <w:t>ntion in other country contexts</w:t>
      </w:r>
      <w:r>
        <w:rPr>
          <w:rStyle w:val="FootnoteReference"/>
        </w:rPr>
        <w:footnoteReference w:id="19"/>
      </w:r>
      <w:r w:rsidRPr="00FB1470">
        <w:rPr>
          <w:szCs w:val="21"/>
        </w:rPr>
        <w:t xml:space="preserve"> as well as in Bangladesh.  </w:t>
      </w:r>
      <w:r w:rsidR="00BE1159">
        <w:rPr>
          <w:szCs w:val="21"/>
        </w:rPr>
        <w:t>DFAT’s contributions to social protection initiatives in Bangladesh, Indonesia and the Philippines were highlighted in the documentary ‘Leaving No One Behind’</w:t>
      </w:r>
      <w:r w:rsidR="00C01BD1">
        <w:rPr>
          <w:rStyle w:val="FootnoteReference"/>
        </w:rPr>
        <w:footnoteReference w:id="20"/>
      </w:r>
      <w:r w:rsidR="00BE1159">
        <w:rPr>
          <w:szCs w:val="21"/>
        </w:rPr>
        <w:t xml:space="preserve">, launched in Bangladesh by </w:t>
      </w:r>
      <w:r w:rsidR="00816C86">
        <w:rPr>
          <w:szCs w:val="21"/>
        </w:rPr>
        <w:t>Australia’s</w:t>
      </w:r>
      <w:r w:rsidR="00BE1159">
        <w:rPr>
          <w:szCs w:val="21"/>
        </w:rPr>
        <w:t xml:space="preserve"> High Commissioner and eliciting favourable media coverage. </w:t>
      </w:r>
    </w:p>
    <w:p w14:paraId="584A7EBB" w14:textId="3C9384F2" w:rsidR="00EA22C7" w:rsidRPr="0005194E" w:rsidRDefault="00FB1470" w:rsidP="0005194E">
      <w:pPr>
        <w:pStyle w:val="BodyText"/>
        <w:jc w:val="both"/>
        <w:rPr>
          <w:szCs w:val="21"/>
        </w:rPr>
      </w:pPr>
      <w:r w:rsidRPr="00FB1470">
        <w:rPr>
          <w:szCs w:val="21"/>
        </w:rPr>
        <w:t>In partnership with DFID</w:t>
      </w:r>
      <w:r w:rsidR="009920C9">
        <w:rPr>
          <w:szCs w:val="21"/>
        </w:rPr>
        <w:t>,</w:t>
      </w:r>
      <w:r w:rsidRPr="00FB1470">
        <w:rPr>
          <w:szCs w:val="21"/>
        </w:rPr>
        <w:t xml:space="preserve"> Australia continued to fund the Chars (river islands) Livelihoods Program (CLP) under which 23,000 households met the criteria for graduation from intensive support (nearly meeting the 2014 target)</w:t>
      </w:r>
      <w:r w:rsidR="00E4445A">
        <w:rPr>
          <w:rStyle w:val="FootnoteReference"/>
        </w:rPr>
        <w:footnoteReference w:id="21"/>
      </w:r>
      <w:r w:rsidRPr="00FB1470">
        <w:rPr>
          <w:szCs w:val="21"/>
        </w:rPr>
        <w:t xml:space="preserve">.  Both the </w:t>
      </w:r>
      <w:r w:rsidR="008D14E2">
        <w:rPr>
          <w:szCs w:val="21"/>
        </w:rPr>
        <w:t>CFPR-</w:t>
      </w:r>
      <w:r w:rsidRPr="00FB1470">
        <w:rPr>
          <w:szCs w:val="21"/>
        </w:rPr>
        <w:t>TUP and CLP have a strong focus on women and provide important and well documented follow on benefits</w:t>
      </w:r>
      <w:r w:rsidR="00715F87">
        <w:rPr>
          <w:szCs w:val="21"/>
        </w:rPr>
        <w:t>,</w:t>
      </w:r>
      <w:r w:rsidRPr="00FB1470">
        <w:rPr>
          <w:szCs w:val="21"/>
        </w:rPr>
        <w:t xml:space="preserve"> including access to health care</w:t>
      </w:r>
      <w:r w:rsidR="004E7AF7">
        <w:rPr>
          <w:szCs w:val="21"/>
        </w:rPr>
        <w:t xml:space="preserve"> and education services</w:t>
      </w:r>
      <w:r w:rsidR="00E4445A">
        <w:rPr>
          <w:szCs w:val="21"/>
        </w:rPr>
        <w:t>, g</w:t>
      </w:r>
      <w:r w:rsidRPr="00FB1470">
        <w:rPr>
          <w:szCs w:val="21"/>
        </w:rPr>
        <w:t xml:space="preserve">overnment </w:t>
      </w:r>
      <w:r w:rsidR="004E7AF7">
        <w:rPr>
          <w:szCs w:val="21"/>
        </w:rPr>
        <w:t>safety nets</w:t>
      </w:r>
      <w:r w:rsidRPr="00FB1470">
        <w:rPr>
          <w:szCs w:val="21"/>
        </w:rPr>
        <w:t xml:space="preserve"> and social networks.  A separate Australian funded program </w:t>
      </w:r>
      <w:r w:rsidR="00715F87">
        <w:rPr>
          <w:szCs w:val="21"/>
        </w:rPr>
        <w:t xml:space="preserve">operates </w:t>
      </w:r>
      <w:r w:rsidRPr="00FB1470">
        <w:rPr>
          <w:szCs w:val="21"/>
        </w:rPr>
        <w:t xml:space="preserve">in partnership with WFP in Cox’s Bazar </w:t>
      </w:r>
      <w:r w:rsidR="00D765AC">
        <w:rPr>
          <w:szCs w:val="21"/>
        </w:rPr>
        <w:t xml:space="preserve">(which is host to significant numbers of </w:t>
      </w:r>
      <w:r w:rsidR="007368FD">
        <w:rPr>
          <w:szCs w:val="21"/>
        </w:rPr>
        <w:t xml:space="preserve">registered and unregistered </w:t>
      </w:r>
      <w:r w:rsidR="00D765AC">
        <w:rPr>
          <w:szCs w:val="21"/>
        </w:rPr>
        <w:t>Rohingya)</w:t>
      </w:r>
      <w:r w:rsidR="00715F87">
        <w:rPr>
          <w:szCs w:val="21"/>
        </w:rPr>
        <w:t>.  It</w:t>
      </w:r>
      <w:r w:rsidR="00D765AC" w:rsidRPr="00FB1470">
        <w:rPr>
          <w:szCs w:val="21"/>
        </w:rPr>
        <w:t xml:space="preserve"> </w:t>
      </w:r>
      <w:r w:rsidR="00715F87">
        <w:rPr>
          <w:szCs w:val="21"/>
        </w:rPr>
        <w:t>aims to improve</w:t>
      </w:r>
      <w:r w:rsidRPr="00FB1470">
        <w:rPr>
          <w:szCs w:val="21"/>
        </w:rPr>
        <w:t xml:space="preserve"> ultra-poor women’s livelihoods and early childhood nutrition, and </w:t>
      </w:r>
      <w:r w:rsidR="00715F87">
        <w:rPr>
          <w:szCs w:val="21"/>
        </w:rPr>
        <w:t>to provide</w:t>
      </w:r>
      <w:r w:rsidRPr="00FB1470">
        <w:rPr>
          <w:szCs w:val="21"/>
        </w:rPr>
        <w:t xml:space="preserve"> school feeding</w:t>
      </w:r>
      <w:r w:rsidR="00FC1F38">
        <w:rPr>
          <w:szCs w:val="21"/>
        </w:rPr>
        <w:t xml:space="preserve"> programs</w:t>
      </w:r>
      <w:r w:rsidRPr="00FB1470">
        <w:rPr>
          <w:szCs w:val="21"/>
        </w:rPr>
        <w:t xml:space="preserve">.  This builds on a previous phase </w:t>
      </w:r>
      <w:r w:rsidR="00715F87">
        <w:rPr>
          <w:szCs w:val="21"/>
        </w:rPr>
        <w:t xml:space="preserve">of this program </w:t>
      </w:r>
      <w:r w:rsidR="006D6292">
        <w:rPr>
          <w:szCs w:val="21"/>
        </w:rPr>
        <w:t xml:space="preserve">and is supporting improvements </w:t>
      </w:r>
      <w:r w:rsidRPr="00FB1470">
        <w:rPr>
          <w:szCs w:val="21"/>
        </w:rPr>
        <w:t xml:space="preserve">in </w:t>
      </w:r>
      <w:r w:rsidR="00FC1F38">
        <w:rPr>
          <w:szCs w:val="21"/>
        </w:rPr>
        <w:t xml:space="preserve">the </w:t>
      </w:r>
      <w:r w:rsidRPr="00FB1470">
        <w:rPr>
          <w:szCs w:val="21"/>
        </w:rPr>
        <w:t>nutritional status of women and children and improved school attendance.  Flexible Australian support since 2011 has enabled WFP to navigate the political sensitivities in t</w:t>
      </w:r>
      <w:r w:rsidR="00FC1F38">
        <w:rPr>
          <w:szCs w:val="21"/>
        </w:rPr>
        <w:t>his</w:t>
      </w:r>
      <w:r w:rsidRPr="00FB1470">
        <w:rPr>
          <w:szCs w:val="21"/>
        </w:rPr>
        <w:t xml:space="preserve"> area and to shape its interventions in accordance with </w:t>
      </w:r>
      <w:r w:rsidR="009920C9">
        <w:rPr>
          <w:szCs w:val="21"/>
        </w:rPr>
        <w:t xml:space="preserve">Government of Bangladesh’s </w:t>
      </w:r>
      <w:r w:rsidR="00EA22C7" w:rsidRPr="0005194E">
        <w:rPr>
          <w:szCs w:val="21"/>
        </w:rPr>
        <w:t>National Strategy Paper on Myanmar Refugees and Undocumented Myanmar Nationals in Bangladesh</w:t>
      </w:r>
      <w:r w:rsidR="0005194E">
        <w:rPr>
          <w:szCs w:val="21"/>
        </w:rPr>
        <w:t>.</w:t>
      </w:r>
    </w:p>
    <w:p w14:paraId="053D9B46" w14:textId="03D85DD7" w:rsidR="00FB1470" w:rsidRDefault="00FB1470" w:rsidP="00832941">
      <w:pPr>
        <w:pStyle w:val="BodyText"/>
        <w:jc w:val="both"/>
        <w:rPr>
          <w:szCs w:val="21"/>
        </w:rPr>
      </w:pPr>
      <w:r w:rsidRPr="00CE60AE">
        <w:rPr>
          <w:szCs w:val="21"/>
        </w:rPr>
        <w:lastRenderedPageBreak/>
        <w:t>A</w:t>
      </w:r>
      <w:r w:rsidR="006D6292">
        <w:rPr>
          <w:szCs w:val="21"/>
        </w:rPr>
        <w:t xml:space="preserve"> mixed commitment to </w:t>
      </w:r>
      <w:r w:rsidRPr="00CE60AE">
        <w:rPr>
          <w:szCs w:val="21"/>
        </w:rPr>
        <w:t>reform, as well as the complex multi-stakeholder policy environment, has meant slow progress on</w:t>
      </w:r>
      <w:r w:rsidR="006D6292">
        <w:rPr>
          <w:szCs w:val="21"/>
        </w:rPr>
        <w:t xml:space="preserve"> reforms to</w:t>
      </w:r>
      <w:r w:rsidR="00C5641D">
        <w:rPr>
          <w:szCs w:val="21"/>
        </w:rPr>
        <w:t xml:space="preserve"> the</w:t>
      </w:r>
      <w:r w:rsidR="006D6292">
        <w:rPr>
          <w:szCs w:val="21"/>
        </w:rPr>
        <w:t xml:space="preserve"> </w:t>
      </w:r>
      <w:r w:rsidRPr="00CE60AE">
        <w:rPr>
          <w:szCs w:val="21"/>
        </w:rPr>
        <w:t>national social protection system</w:t>
      </w:r>
      <w:r w:rsidRPr="00FB1470">
        <w:rPr>
          <w:szCs w:val="21"/>
        </w:rPr>
        <w:t>.  Bangladesh spends 2.2</w:t>
      </w:r>
      <w:r w:rsidR="009920C9">
        <w:rPr>
          <w:szCs w:val="21"/>
        </w:rPr>
        <w:t xml:space="preserve"> per cent</w:t>
      </w:r>
      <w:r w:rsidRPr="00FB1470">
        <w:rPr>
          <w:szCs w:val="21"/>
        </w:rPr>
        <w:t xml:space="preserve"> of GDP on social protection systems, but there is strong evidence to suggest that this could be more effectively targeted and managed</w:t>
      </w:r>
      <w:r w:rsidR="00E2556F">
        <w:rPr>
          <w:rStyle w:val="FootnoteReference"/>
        </w:rPr>
        <w:footnoteReference w:id="22"/>
      </w:r>
      <w:r w:rsidRPr="00FB1470">
        <w:rPr>
          <w:szCs w:val="21"/>
        </w:rPr>
        <w:t>.  DFID is the lead partner in an initiative part funded by Australia, and supported with inputs from the DFAT Social Protection Hub, to assist the Ministry of Finance to</w:t>
      </w:r>
      <w:r w:rsidR="00C5641D">
        <w:rPr>
          <w:szCs w:val="21"/>
        </w:rPr>
        <w:t xml:space="preserve"> engage in reforms of Bangladesh’s social protection </w:t>
      </w:r>
      <w:r w:rsidR="00254436">
        <w:rPr>
          <w:szCs w:val="21"/>
        </w:rPr>
        <w:t>programs.</w:t>
      </w:r>
      <w:r w:rsidRPr="00FB1470">
        <w:rPr>
          <w:szCs w:val="21"/>
        </w:rPr>
        <w:t xml:space="preserve">  Progress in creating a wider support base for policies that draw on earlier Australian analytical input has been slow, underlining the need for long-term development partner commitment to this reform.  </w:t>
      </w:r>
      <w:r w:rsidR="004E7AF7">
        <w:rPr>
          <w:szCs w:val="21"/>
        </w:rPr>
        <w:t>A</w:t>
      </w:r>
      <w:r w:rsidR="00A92021">
        <w:rPr>
          <w:szCs w:val="21"/>
        </w:rPr>
        <w:t xml:space="preserve"> significant step forward was the approval of the</w:t>
      </w:r>
      <w:r w:rsidRPr="00FB1470">
        <w:rPr>
          <w:szCs w:val="21"/>
        </w:rPr>
        <w:t xml:space="preserve"> National Social Security Strategy by Cabinet in April 2015.  </w:t>
      </w:r>
      <w:r w:rsidR="00D765AC">
        <w:rPr>
          <w:szCs w:val="21"/>
        </w:rPr>
        <w:t xml:space="preserve">Should the momentum on social protection </w:t>
      </w:r>
      <w:r w:rsidR="00862786">
        <w:rPr>
          <w:szCs w:val="21"/>
        </w:rPr>
        <w:t>gradually</w:t>
      </w:r>
      <w:r w:rsidR="00D765AC">
        <w:rPr>
          <w:szCs w:val="21"/>
        </w:rPr>
        <w:t xml:space="preserve"> being generated not be </w:t>
      </w:r>
      <w:r w:rsidR="00862786">
        <w:rPr>
          <w:szCs w:val="21"/>
        </w:rPr>
        <w:t xml:space="preserve">fully </w:t>
      </w:r>
      <w:r w:rsidR="00D765AC">
        <w:rPr>
          <w:szCs w:val="21"/>
        </w:rPr>
        <w:t xml:space="preserve">realised, we may need to review our rating </w:t>
      </w:r>
      <w:r w:rsidR="00FC1F38">
        <w:rPr>
          <w:szCs w:val="21"/>
        </w:rPr>
        <w:t xml:space="preserve">for this objective </w:t>
      </w:r>
      <w:r w:rsidR="00D765AC">
        <w:rPr>
          <w:szCs w:val="21"/>
        </w:rPr>
        <w:t xml:space="preserve">next year.  </w:t>
      </w:r>
      <w:r w:rsidR="00A92021">
        <w:rPr>
          <w:szCs w:val="21"/>
        </w:rPr>
        <w:t>While</w:t>
      </w:r>
      <w:r w:rsidRPr="00FB1470">
        <w:rPr>
          <w:szCs w:val="21"/>
        </w:rPr>
        <w:t xml:space="preserve"> CLP </w:t>
      </w:r>
      <w:r w:rsidR="00A92021">
        <w:rPr>
          <w:szCs w:val="21"/>
        </w:rPr>
        <w:t xml:space="preserve">and </w:t>
      </w:r>
      <w:r w:rsidR="00A50CFC">
        <w:rPr>
          <w:szCs w:val="21"/>
        </w:rPr>
        <w:t>CFPR-</w:t>
      </w:r>
      <w:r w:rsidR="00A92021">
        <w:rPr>
          <w:szCs w:val="21"/>
        </w:rPr>
        <w:t>TUP have had an immediate impact</w:t>
      </w:r>
      <w:r w:rsidR="00C5641D">
        <w:rPr>
          <w:szCs w:val="21"/>
        </w:rPr>
        <w:t xml:space="preserve"> on the lives of many extremely poor Bangladeshis</w:t>
      </w:r>
      <w:r w:rsidR="00A92021">
        <w:rPr>
          <w:szCs w:val="21"/>
        </w:rPr>
        <w:t xml:space="preserve">, they have been less successful in </w:t>
      </w:r>
      <w:r w:rsidR="00C5641D">
        <w:rPr>
          <w:szCs w:val="21"/>
        </w:rPr>
        <w:t>influencing</w:t>
      </w:r>
      <w:r w:rsidR="00A92021">
        <w:rPr>
          <w:szCs w:val="21"/>
        </w:rPr>
        <w:t xml:space="preserve"> </w:t>
      </w:r>
      <w:r w:rsidRPr="00FB1470">
        <w:rPr>
          <w:szCs w:val="21"/>
        </w:rPr>
        <w:t xml:space="preserve">Government </w:t>
      </w:r>
      <w:r w:rsidR="00A92021">
        <w:rPr>
          <w:szCs w:val="21"/>
        </w:rPr>
        <w:t>social protection service delivery.</w:t>
      </w:r>
      <w:r w:rsidRPr="00FB1470">
        <w:rPr>
          <w:szCs w:val="21"/>
        </w:rPr>
        <w:t xml:space="preserve">  However there are some signs of interest</w:t>
      </w:r>
      <w:r w:rsidR="00C5641D">
        <w:rPr>
          <w:szCs w:val="21"/>
        </w:rPr>
        <w:t xml:space="preserve"> </w:t>
      </w:r>
      <w:r w:rsidRPr="00FB1470">
        <w:rPr>
          <w:szCs w:val="21"/>
        </w:rPr>
        <w:t xml:space="preserve">in scaling up asset transfer models as an anti-poverty measure nationwide, </w:t>
      </w:r>
      <w:r w:rsidR="00C5641D">
        <w:rPr>
          <w:szCs w:val="21"/>
        </w:rPr>
        <w:t xml:space="preserve">with the </w:t>
      </w:r>
      <w:r w:rsidR="00FC1F38">
        <w:rPr>
          <w:szCs w:val="21"/>
        </w:rPr>
        <w:t xml:space="preserve">Government </w:t>
      </w:r>
      <w:r w:rsidR="00715F87">
        <w:rPr>
          <w:szCs w:val="21"/>
        </w:rPr>
        <w:t>commissioned</w:t>
      </w:r>
      <w:r w:rsidR="00C5641D">
        <w:rPr>
          <w:szCs w:val="21"/>
        </w:rPr>
        <w:t xml:space="preserve"> analysis for the 7</w:t>
      </w:r>
      <w:r w:rsidR="00C5641D" w:rsidRPr="00F93549">
        <w:rPr>
          <w:szCs w:val="21"/>
          <w:vertAlign w:val="superscript"/>
        </w:rPr>
        <w:t>th</w:t>
      </w:r>
      <w:r w:rsidR="00C5641D">
        <w:rPr>
          <w:szCs w:val="21"/>
        </w:rPr>
        <w:t xml:space="preserve"> five year plan recommending consideration of approaches such as </w:t>
      </w:r>
      <w:r w:rsidR="00F93549">
        <w:rPr>
          <w:szCs w:val="21"/>
        </w:rPr>
        <w:t xml:space="preserve">those </w:t>
      </w:r>
      <w:r w:rsidR="00C5641D">
        <w:rPr>
          <w:szCs w:val="21"/>
        </w:rPr>
        <w:t>used in CFPR-TUP and CLP</w:t>
      </w:r>
      <w:r w:rsidRPr="00FB1470">
        <w:rPr>
          <w:szCs w:val="21"/>
        </w:rPr>
        <w:t>.</w:t>
      </w:r>
    </w:p>
    <w:p w14:paraId="238FF87C" w14:textId="7476D326" w:rsidR="00B64DB8" w:rsidRDefault="008A6E74" w:rsidP="0005194E">
      <w:pPr>
        <w:pStyle w:val="ListBullet"/>
        <w:numPr>
          <w:ilvl w:val="0"/>
          <w:numId w:val="0"/>
        </w:numPr>
        <w:tabs>
          <w:tab w:val="clear" w:pos="284"/>
        </w:tabs>
        <w:jc w:val="both"/>
        <w:rPr>
          <w:szCs w:val="21"/>
        </w:rPr>
      </w:pPr>
      <w:r>
        <w:rPr>
          <w:szCs w:val="21"/>
        </w:rPr>
        <w:t>Bangladesh</w:t>
      </w:r>
      <w:r w:rsidR="0075387D">
        <w:rPr>
          <w:szCs w:val="21"/>
        </w:rPr>
        <w:t xml:space="preserve"> remains vulnerable to natural disasters</w:t>
      </w:r>
      <w:r w:rsidR="00715F87">
        <w:rPr>
          <w:szCs w:val="21"/>
        </w:rPr>
        <w:t>,</w:t>
      </w:r>
      <w:r w:rsidR="0075387D">
        <w:rPr>
          <w:szCs w:val="21"/>
        </w:rPr>
        <w:t xml:space="preserve"> including sei</w:t>
      </w:r>
      <w:r w:rsidR="00715F87">
        <w:rPr>
          <w:szCs w:val="21"/>
        </w:rPr>
        <w:t xml:space="preserve">smic and weather related shocks. </w:t>
      </w:r>
      <w:r w:rsidR="0075387D">
        <w:rPr>
          <w:szCs w:val="21"/>
        </w:rPr>
        <w:t xml:space="preserve"> </w:t>
      </w:r>
      <w:r w:rsidR="00715F87">
        <w:rPr>
          <w:szCs w:val="21"/>
        </w:rPr>
        <w:t>O</w:t>
      </w:r>
      <w:r>
        <w:rPr>
          <w:szCs w:val="21"/>
        </w:rPr>
        <w:t xml:space="preserve">ur assessment is that </w:t>
      </w:r>
      <w:r w:rsidR="0075387D">
        <w:rPr>
          <w:szCs w:val="21"/>
        </w:rPr>
        <w:t xml:space="preserve">Government has capacity </w:t>
      </w:r>
      <w:r w:rsidR="00715F87">
        <w:rPr>
          <w:szCs w:val="21"/>
        </w:rPr>
        <w:t>to manage</w:t>
      </w:r>
      <w:r w:rsidR="0075387D">
        <w:rPr>
          <w:szCs w:val="21"/>
        </w:rPr>
        <w:t xml:space="preserve"> all but the most severe events and that </w:t>
      </w:r>
      <w:r w:rsidRPr="006F773D">
        <w:rPr>
          <w:szCs w:val="21"/>
        </w:rPr>
        <w:t>other donors are better p</w:t>
      </w:r>
      <w:r w:rsidR="0075387D">
        <w:rPr>
          <w:szCs w:val="21"/>
        </w:rPr>
        <w:t xml:space="preserve">ositioned </w:t>
      </w:r>
      <w:r w:rsidRPr="006F773D">
        <w:rPr>
          <w:szCs w:val="21"/>
        </w:rPr>
        <w:t xml:space="preserve">to work </w:t>
      </w:r>
      <w:r w:rsidR="00332E7B">
        <w:rPr>
          <w:szCs w:val="21"/>
        </w:rPr>
        <w:t>in this area</w:t>
      </w:r>
      <w:r w:rsidR="0075387D">
        <w:rPr>
          <w:szCs w:val="21"/>
        </w:rPr>
        <w:t xml:space="preserve">. </w:t>
      </w:r>
      <w:r>
        <w:rPr>
          <w:szCs w:val="21"/>
        </w:rPr>
        <w:t xml:space="preserve"> Australia </w:t>
      </w:r>
      <w:r w:rsidR="0075387D">
        <w:rPr>
          <w:szCs w:val="21"/>
        </w:rPr>
        <w:t xml:space="preserve">began </w:t>
      </w:r>
      <w:r>
        <w:rPr>
          <w:szCs w:val="21"/>
        </w:rPr>
        <w:t>phas</w:t>
      </w:r>
      <w:r w:rsidR="0075387D">
        <w:rPr>
          <w:szCs w:val="21"/>
        </w:rPr>
        <w:t>ing</w:t>
      </w:r>
      <w:r w:rsidR="00715F87">
        <w:rPr>
          <w:szCs w:val="21"/>
        </w:rPr>
        <w:t xml:space="preserve"> out </w:t>
      </w:r>
      <w:r>
        <w:rPr>
          <w:szCs w:val="21"/>
        </w:rPr>
        <w:t xml:space="preserve">support </w:t>
      </w:r>
      <w:r w:rsidR="0075387D">
        <w:rPr>
          <w:szCs w:val="21"/>
        </w:rPr>
        <w:t xml:space="preserve">to the </w:t>
      </w:r>
      <w:r w:rsidR="000A3573" w:rsidRPr="007D63A5">
        <w:t>Comprehensive Disaster Management Program (CDMP), the Bangladesh Climate Change Resilience Fund (BCCRF) and the Early Recov</w:t>
      </w:r>
      <w:r w:rsidR="009C5A7E">
        <w:t>ery Facility (ERF) in 2014-15</w:t>
      </w:r>
      <w:r w:rsidR="00FF1021">
        <w:rPr>
          <w:rStyle w:val="FootnoteReference"/>
        </w:rPr>
        <w:footnoteReference w:id="23"/>
      </w:r>
      <w:r w:rsidR="0075387D">
        <w:rPr>
          <w:szCs w:val="21"/>
        </w:rPr>
        <w:t xml:space="preserve">.  Our continued </w:t>
      </w:r>
      <w:r w:rsidR="009B3194">
        <w:rPr>
          <w:szCs w:val="21"/>
        </w:rPr>
        <w:t>focus on social protection will</w:t>
      </w:r>
      <w:r w:rsidR="0075387D">
        <w:rPr>
          <w:lang w:eastAsia="zh-CN"/>
        </w:rPr>
        <w:t xml:space="preserve"> support t</w:t>
      </w:r>
      <w:r w:rsidR="0075387D" w:rsidRPr="00432121">
        <w:rPr>
          <w:lang w:eastAsia="zh-CN"/>
        </w:rPr>
        <w:t xml:space="preserve">he ability of the poor to return to school or employment following </w:t>
      </w:r>
      <w:r w:rsidR="0075387D">
        <w:rPr>
          <w:lang w:eastAsia="zh-CN"/>
        </w:rPr>
        <w:t>natural and man-made shocks</w:t>
      </w:r>
      <w:r w:rsidR="009B3194">
        <w:rPr>
          <w:lang w:eastAsia="zh-CN"/>
        </w:rPr>
        <w:t>.</w:t>
      </w:r>
    </w:p>
    <w:p w14:paraId="6E71C8F9" w14:textId="1940586F" w:rsidR="00FB1470" w:rsidRPr="003D00FF" w:rsidRDefault="00FB1470" w:rsidP="003D00FF">
      <w:pPr>
        <w:pStyle w:val="Heading3"/>
        <w:rPr>
          <w:color w:val="124486"/>
        </w:rPr>
      </w:pPr>
      <w:r w:rsidRPr="003D00FF">
        <w:rPr>
          <w:color w:val="124486"/>
        </w:rPr>
        <w:t>Objective 3</w:t>
      </w:r>
      <w:r w:rsidR="00715F87">
        <w:rPr>
          <w:color w:val="124486"/>
        </w:rPr>
        <w:t>:</w:t>
      </w:r>
      <w:r w:rsidRPr="003D00FF">
        <w:rPr>
          <w:color w:val="124486"/>
        </w:rPr>
        <w:t xml:space="preserve"> </w:t>
      </w:r>
      <w:r w:rsidR="006937D8" w:rsidRPr="003D00FF">
        <w:rPr>
          <w:color w:val="124486"/>
        </w:rPr>
        <w:t>women and marginalised groups better able to demand services and assert rights</w:t>
      </w:r>
    </w:p>
    <w:p w14:paraId="1E37DAC4" w14:textId="77777777" w:rsidR="006937D8" w:rsidRDefault="006937D8" w:rsidP="006937D8">
      <w:pPr>
        <w:jc w:val="both"/>
        <w:rPr>
          <w:i/>
          <w:szCs w:val="21"/>
        </w:rPr>
      </w:pPr>
    </w:p>
    <w:p w14:paraId="5FD050AA" w14:textId="77777777" w:rsidR="006937D8" w:rsidRPr="00A06A7C" w:rsidRDefault="006937D8" w:rsidP="006937D8">
      <w:pPr>
        <w:pStyle w:val="BodyText"/>
        <w:rPr>
          <w:lang w:eastAsia="zh-CN"/>
        </w:rPr>
      </w:pPr>
      <w:r w:rsidRPr="00237CCA">
        <w:rPr>
          <w:i/>
          <w:szCs w:val="21"/>
        </w:rPr>
        <w:t>Rating: Green</w:t>
      </w:r>
    </w:p>
    <w:p w14:paraId="55B38431" w14:textId="2F37A2B2" w:rsidR="006937D8" w:rsidRPr="000A460F" w:rsidRDefault="008A6E74" w:rsidP="000A460F">
      <w:pPr>
        <w:spacing w:after="160" w:line="280" w:lineRule="exact"/>
        <w:jc w:val="both"/>
        <w:rPr>
          <w:rFonts w:ascii="Franklin Gothic Book" w:hAnsi="Franklin Gothic Book"/>
          <w:i/>
          <w:sz w:val="21"/>
          <w:szCs w:val="21"/>
        </w:rPr>
      </w:pPr>
      <w:r w:rsidRPr="000A460F">
        <w:rPr>
          <w:rFonts w:ascii="Franklin Gothic Book" w:hAnsi="Franklin Gothic Book"/>
          <w:i/>
          <w:sz w:val="21"/>
          <w:szCs w:val="21"/>
        </w:rPr>
        <w:t>D</w:t>
      </w:r>
      <w:r w:rsidR="004E7AF7" w:rsidRPr="000A460F">
        <w:rPr>
          <w:rFonts w:ascii="Franklin Gothic Book" w:hAnsi="Franklin Gothic Book"/>
          <w:i/>
          <w:sz w:val="21"/>
          <w:szCs w:val="21"/>
        </w:rPr>
        <w:t xml:space="preserve">ecisions to consolidate the program meant that the scope of this objective has reduced over the strategy period. </w:t>
      </w:r>
      <w:r w:rsidR="006937D8" w:rsidRPr="000A460F">
        <w:rPr>
          <w:rFonts w:ascii="Franklin Gothic Book" w:hAnsi="Franklin Gothic Book"/>
          <w:i/>
          <w:sz w:val="21"/>
          <w:szCs w:val="21"/>
        </w:rPr>
        <w:t xml:space="preserve"> The rating reflects good performance by the</w:t>
      </w:r>
      <w:r w:rsidR="004E7AF7" w:rsidRPr="000A460F">
        <w:rPr>
          <w:rFonts w:ascii="Franklin Gothic Book" w:hAnsi="Franklin Gothic Book"/>
          <w:i/>
          <w:sz w:val="21"/>
          <w:szCs w:val="21"/>
        </w:rPr>
        <w:t xml:space="preserve"> two remaining</w:t>
      </w:r>
      <w:r w:rsidR="006937D8" w:rsidRPr="000A460F">
        <w:rPr>
          <w:rFonts w:ascii="Franklin Gothic Book" w:hAnsi="Franklin Gothic Book"/>
          <w:i/>
          <w:sz w:val="21"/>
          <w:szCs w:val="21"/>
        </w:rPr>
        <w:t xml:space="preserve"> partners</w:t>
      </w:r>
      <w:r w:rsidR="004E7AF7" w:rsidRPr="000A460F">
        <w:rPr>
          <w:rFonts w:ascii="Franklin Gothic Book" w:hAnsi="Franklin Gothic Book"/>
          <w:i/>
          <w:sz w:val="21"/>
          <w:szCs w:val="21"/>
        </w:rPr>
        <w:t xml:space="preserve"> (BRAC and</w:t>
      </w:r>
      <w:r w:rsidR="00FF1021" w:rsidRPr="000A460F">
        <w:rPr>
          <w:rFonts w:ascii="Franklin Gothic Book" w:hAnsi="Franklin Gothic Book"/>
          <w:i/>
          <w:sz w:val="21"/>
          <w:szCs w:val="21"/>
        </w:rPr>
        <w:t xml:space="preserve"> MJF</w:t>
      </w:r>
      <w:r w:rsidR="004E7AF7" w:rsidRPr="000A460F">
        <w:rPr>
          <w:rFonts w:ascii="Franklin Gothic Book" w:hAnsi="Franklin Gothic Book"/>
          <w:i/>
          <w:sz w:val="21"/>
          <w:szCs w:val="21"/>
        </w:rPr>
        <w:t>).</w:t>
      </w:r>
      <w:r w:rsidR="006937D8" w:rsidRPr="000A460F">
        <w:rPr>
          <w:rFonts w:ascii="Franklin Gothic Book" w:hAnsi="Franklin Gothic Book"/>
          <w:i/>
          <w:sz w:val="21"/>
          <w:szCs w:val="21"/>
        </w:rPr>
        <w:t xml:space="preserve"> </w:t>
      </w:r>
      <w:r w:rsidR="00B25007" w:rsidRPr="000A460F">
        <w:rPr>
          <w:rFonts w:ascii="Franklin Gothic Book" w:hAnsi="Franklin Gothic Book"/>
          <w:i/>
          <w:sz w:val="21"/>
          <w:szCs w:val="21"/>
        </w:rPr>
        <w:t xml:space="preserve"> </w:t>
      </w:r>
      <w:r w:rsidR="009740E6" w:rsidRPr="000A460F">
        <w:rPr>
          <w:rFonts w:ascii="Franklin Gothic Book" w:hAnsi="Franklin Gothic Book"/>
          <w:i/>
          <w:sz w:val="21"/>
          <w:szCs w:val="21"/>
        </w:rPr>
        <w:t>S</w:t>
      </w:r>
      <w:r w:rsidR="006937D8" w:rsidRPr="000A460F">
        <w:rPr>
          <w:rFonts w:ascii="Franklin Gothic Book" w:hAnsi="Franklin Gothic Book"/>
          <w:i/>
          <w:sz w:val="21"/>
          <w:szCs w:val="21"/>
        </w:rPr>
        <w:t xml:space="preserve">upport </w:t>
      </w:r>
      <w:r w:rsidR="009740E6" w:rsidRPr="000A460F">
        <w:rPr>
          <w:rFonts w:ascii="Franklin Gothic Book" w:hAnsi="Franklin Gothic Book"/>
          <w:i/>
          <w:sz w:val="21"/>
          <w:szCs w:val="21"/>
        </w:rPr>
        <w:t xml:space="preserve">for </w:t>
      </w:r>
      <w:r w:rsidR="006937D8" w:rsidRPr="000A460F">
        <w:rPr>
          <w:rFonts w:ascii="Franklin Gothic Book" w:hAnsi="Franklin Gothic Book"/>
          <w:i/>
          <w:sz w:val="21"/>
          <w:szCs w:val="21"/>
        </w:rPr>
        <w:t>civil society as a key con</w:t>
      </w:r>
      <w:r w:rsidR="00715F87">
        <w:rPr>
          <w:rFonts w:ascii="Franklin Gothic Book" w:hAnsi="Franklin Gothic Book"/>
          <w:i/>
          <w:sz w:val="21"/>
          <w:szCs w:val="21"/>
        </w:rPr>
        <w:t>tributor to voice and rights,</w:t>
      </w:r>
      <w:r w:rsidR="006937D8" w:rsidRPr="000A460F">
        <w:rPr>
          <w:rFonts w:ascii="Franklin Gothic Book" w:hAnsi="Franklin Gothic Book"/>
          <w:i/>
          <w:sz w:val="21"/>
          <w:szCs w:val="21"/>
        </w:rPr>
        <w:t xml:space="preserve"> </w:t>
      </w:r>
      <w:r w:rsidR="009740E6" w:rsidRPr="000A460F">
        <w:rPr>
          <w:rFonts w:ascii="Franklin Gothic Book" w:hAnsi="Franklin Gothic Book"/>
          <w:i/>
          <w:sz w:val="21"/>
          <w:szCs w:val="21"/>
        </w:rPr>
        <w:t>and a commitment to the empowerment of women and girls in all our programs</w:t>
      </w:r>
      <w:r w:rsidR="00E3011F">
        <w:rPr>
          <w:rFonts w:ascii="Franklin Gothic Book" w:hAnsi="Franklin Gothic Book"/>
          <w:i/>
          <w:sz w:val="21"/>
          <w:szCs w:val="21"/>
        </w:rPr>
        <w:t>,</w:t>
      </w:r>
      <w:r w:rsidR="009740E6" w:rsidRPr="000A460F">
        <w:rPr>
          <w:rFonts w:ascii="Franklin Gothic Book" w:hAnsi="Franklin Gothic Book"/>
          <w:i/>
          <w:sz w:val="21"/>
          <w:szCs w:val="21"/>
        </w:rPr>
        <w:t xml:space="preserve"> </w:t>
      </w:r>
      <w:r w:rsidR="006937D8" w:rsidRPr="000A460F">
        <w:rPr>
          <w:rFonts w:ascii="Franklin Gothic Book" w:hAnsi="Franklin Gothic Book"/>
          <w:i/>
          <w:sz w:val="21"/>
          <w:szCs w:val="21"/>
        </w:rPr>
        <w:t xml:space="preserve">will be integrated </w:t>
      </w:r>
      <w:r w:rsidR="00CE60AE" w:rsidRPr="000A460F">
        <w:rPr>
          <w:rFonts w:ascii="Franklin Gothic Book" w:hAnsi="Franklin Gothic Book"/>
          <w:i/>
          <w:sz w:val="21"/>
          <w:szCs w:val="21"/>
        </w:rPr>
        <w:t>across</w:t>
      </w:r>
      <w:r w:rsidR="006937D8" w:rsidRPr="000A460F">
        <w:rPr>
          <w:rFonts w:ascii="Franklin Gothic Book" w:hAnsi="Franklin Gothic Book"/>
          <w:i/>
          <w:sz w:val="21"/>
          <w:szCs w:val="21"/>
        </w:rPr>
        <w:t xml:space="preserve"> the two themes of the new Bangladesh</w:t>
      </w:r>
      <w:r w:rsidR="00B25007" w:rsidRPr="000A460F">
        <w:rPr>
          <w:rFonts w:ascii="Franklin Gothic Book" w:hAnsi="Franklin Gothic Book"/>
          <w:i/>
          <w:sz w:val="21"/>
          <w:szCs w:val="21"/>
        </w:rPr>
        <w:t xml:space="preserve"> AIP</w:t>
      </w:r>
      <w:r w:rsidR="006937D8" w:rsidRPr="000A460F">
        <w:rPr>
          <w:rFonts w:ascii="Franklin Gothic Book" w:hAnsi="Franklin Gothic Book"/>
          <w:i/>
          <w:sz w:val="21"/>
          <w:szCs w:val="21"/>
        </w:rPr>
        <w:t>.</w:t>
      </w:r>
    </w:p>
    <w:p w14:paraId="61AB58FC" w14:textId="0D8F4681" w:rsidR="00507234" w:rsidRDefault="00832941" w:rsidP="000A460F">
      <w:pPr>
        <w:spacing w:after="160" w:line="280" w:lineRule="exact"/>
        <w:jc w:val="both"/>
        <w:rPr>
          <w:rFonts w:ascii="Franklin Gothic Book" w:hAnsi="Franklin Gothic Book"/>
          <w:sz w:val="21"/>
          <w:szCs w:val="21"/>
        </w:rPr>
      </w:pPr>
      <w:r w:rsidRPr="00CE60AE">
        <w:rPr>
          <w:rFonts w:ascii="Franklin Gothic Book" w:hAnsi="Franklin Gothic Book"/>
          <w:sz w:val="21"/>
          <w:szCs w:val="21"/>
        </w:rPr>
        <w:t xml:space="preserve">Australian funding helped civil society to achieve some important </w:t>
      </w:r>
      <w:r w:rsidR="009C5A7E">
        <w:rPr>
          <w:rFonts w:ascii="Franklin Gothic Book" w:hAnsi="Franklin Gothic Book"/>
          <w:sz w:val="21"/>
          <w:szCs w:val="21"/>
        </w:rPr>
        <w:t>outcomes</w:t>
      </w:r>
      <w:r w:rsidR="00C5641D" w:rsidRPr="00CE60AE">
        <w:rPr>
          <w:rFonts w:ascii="Franklin Gothic Book" w:hAnsi="Franklin Gothic Book"/>
          <w:sz w:val="21"/>
          <w:szCs w:val="21"/>
        </w:rPr>
        <w:t xml:space="preserve"> </w:t>
      </w:r>
      <w:r w:rsidRPr="00CE60AE">
        <w:rPr>
          <w:rFonts w:ascii="Franklin Gothic Book" w:hAnsi="Franklin Gothic Book"/>
          <w:sz w:val="21"/>
          <w:szCs w:val="21"/>
        </w:rPr>
        <w:t xml:space="preserve">for marginalised groups. </w:t>
      </w:r>
      <w:r w:rsidR="00FF1021">
        <w:rPr>
          <w:rFonts w:ascii="Franklin Gothic Book" w:hAnsi="Franklin Gothic Book"/>
          <w:sz w:val="21"/>
          <w:szCs w:val="21"/>
        </w:rPr>
        <w:t xml:space="preserve"> </w:t>
      </w:r>
      <w:r w:rsidRPr="00CE60AE">
        <w:rPr>
          <w:rFonts w:ascii="Franklin Gothic Book" w:hAnsi="Franklin Gothic Book"/>
          <w:sz w:val="21"/>
          <w:szCs w:val="21"/>
        </w:rPr>
        <w:t xml:space="preserve">MJF used the core funding it received to support over 150 NGOs to build their capacity </w:t>
      </w:r>
      <w:r w:rsidR="00C5641D">
        <w:rPr>
          <w:rFonts w:ascii="Franklin Gothic Book" w:hAnsi="Franklin Gothic Book"/>
          <w:sz w:val="21"/>
          <w:szCs w:val="21"/>
        </w:rPr>
        <w:t xml:space="preserve">to empower marginalised people (including extremely poor women) to </w:t>
      </w:r>
      <w:r w:rsidRPr="00CE60AE">
        <w:rPr>
          <w:rFonts w:ascii="Franklin Gothic Book" w:hAnsi="Franklin Gothic Book"/>
          <w:sz w:val="21"/>
          <w:szCs w:val="21"/>
        </w:rPr>
        <w:t>demand rights and access basic services</w:t>
      </w:r>
      <w:r w:rsidRPr="00832941">
        <w:rPr>
          <w:rFonts w:ascii="Franklin Gothic Book" w:hAnsi="Franklin Gothic Book"/>
          <w:sz w:val="21"/>
          <w:szCs w:val="21"/>
        </w:rPr>
        <w:t xml:space="preserve">.  </w:t>
      </w:r>
      <w:r w:rsidR="00D765AC">
        <w:rPr>
          <w:rFonts w:ascii="Franklin Gothic Book" w:hAnsi="Franklin Gothic Book"/>
          <w:sz w:val="21"/>
          <w:szCs w:val="21"/>
        </w:rPr>
        <w:t>K</w:t>
      </w:r>
      <w:r w:rsidRPr="00832941">
        <w:rPr>
          <w:rFonts w:ascii="Franklin Gothic Book" w:hAnsi="Franklin Gothic Book"/>
          <w:sz w:val="21"/>
          <w:szCs w:val="21"/>
        </w:rPr>
        <w:t xml:space="preserve">ey results </w:t>
      </w:r>
      <w:r w:rsidR="00D765AC">
        <w:rPr>
          <w:rFonts w:ascii="Franklin Gothic Book" w:hAnsi="Franklin Gothic Book"/>
          <w:sz w:val="21"/>
          <w:szCs w:val="21"/>
        </w:rPr>
        <w:t xml:space="preserve">directly linked to our support </w:t>
      </w:r>
      <w:r w:rsidR="00E3011F">
        <w:rPr>
          <w:rFonts w:ascii="Franklin Gothic Book" w:hAnsi="Franklin Gothic Book"/>
          <w:sz w:val="21"/>
          <w:szCs w:val="21"/>
        </w:rPr>
        <w:t>include</w:t>
      </w:r>
      <w:r w:rsidR="00332E7B">
        <w:rPr>
          <w:rFonts w:ascii="Franklin Gothic Book" w:hAnsi="Franklin Gothic Book"/>
          <w:sz w:val="21"/>
          <w:szCs w:val="21"/>
        </w:rPr>
        <w:t>d</w:t>
      </w:r>
      <w:r w:rsidR="00E3011F">
        <w:rPr>
          <w:rFonts w:ascii="Franklin Gothic Book" w:hAnsi="Franklin Gothic Book"/>
          <w:sz w:val="21"/>
          <w:szCs w:val="21"/>
        </w:rPr>
        <w:t>:</w:t>
      </w:r>
      <w:r w:rsidRPr="00832941">
        <w:rPr>
          <w:rFonts w:ascii="Franklin Gothic Book" w:hAnsi="Franklin Gothic Book"/>
          <w:sz w:val="21"/>
          <w:szCs w:val="21"/>
        </w:rPr>
        <w:t xml:space="preserve"> 5,379 violence survivors received medical and legal support</w:t>
      </w:r>
      <w:r w:rsidR="00E3011F">
        <w:rPr>
          <w:rFonts w:ascii="Franklin Gothic Book" w:hAnsi="Franklin Gothic Book"/>
          <w:sz w:val="21"/>
          <w:szCs w:val="21"/>
        </w:rPr>
        <w:t>,</w:t>
      </w:r>
      <w:r w:rsidRPr="00832941">
        <w:rPr>
          <w:rFonts w:ascii="Franklin Gothic Book" w:hAnsi="Franklin Gothic Book"/>
          <w:sz w:val="21"/>
          <w:szCs w:val="21"/>
        </w:rPr>
        <w:t xml:space="preserve"> and 304 acid survivors received medical </w:t>
      </w:r>
      <w:r w:rsidRPr="00832941">
        <w:rPr>
          <w:rFonts w:ascii="Franklin Gothic Book" w:hAnsi="Franklin Gothic Book"/>
          <w:sz w:val="21"/>
          <w:szCs w:val="21"/>
        </w:rPr>
        <w:lastRenderedPageBreak/>
        <w:t>treatment, shelter, support an</w:t>
      </w:r>
      <w:r>
        <w:rPr>
          <w:rFonts w:ascii="Franklin Gothic Book" w:hAnsi="Franklin Gothic Book"/>
          <w:sz w:val="21"/>
          <w:szCs w:val="21"/>
        </w:rPr>
        <w:t>d counselling services</w:t>
      </w:r>
      <w:r>
        <w:rPr>
          <w:rStyle w:val="FootnoteReference"/>
        </w:rPr>
        <w:footnoteReference w:id="24"/>
      </w:r>
      <w:r w:rsidRPr="00832941">
        <w:rPr>
          <w:rFonts w:ascii="Franklin Gothic Book" w:hAnsi="Franklin Gothic Book"/>
          <w:sz w:val="21"/>
          <w:szCs w:val="21"/>
        </w:rPr>
        <w:t>. BRAC’s CEP focused on achieving socio-political empowerment of the rural poor, particularly women.  Some key resul</w:t>
      </w:r>
      <w:r>
        <w:rPr>
          <w:rFonts w:ascii="Franklin Gothic Book" w:hAnsi="Franklin Gothic Book"/>
          <w:sz w:val="21"/>
          <w:szCs w:val="21"/>
        </w:rPr>
        <w:t xml:space="preserve">ts include; 16,390 </w:t>
      </w:r>
      <w:r w:rsidRPr="00E4445A">
        <w:rPr>
          <w:rFonts w:ascii="Franklin Gothic Book" w:hAnsi="Franklin Gothic Book"/>
          <w:sz w:val="21"/>
          <w:szCs w:val="21"/>
        </w:rPr>
        <w:t>polli shomaj</w:t>
      </w:r>
      <w:r>
        <w:rPr>
          <w:rStyle w:val="FootnoteReference"/>
        </w:rPr>
        <w:footnoteReference w:id="25"/>
      </w:r>
      <w:r w:rsidRPr="00832941">
        <w:rPr>
          <w:rFonts w:ascii="Franklin Gothic Book" w:hAnsi="Franklin Gothic Book"/>
          <w:sz w:val="21"/>
          <w:szCs w:val="21"/>
        </w:rPr>
        <w:t xml:space="preserve"> members participated in the rural power structure as members</w:t>
      </w:r>
      <w:r>
        <w:rPr>
          <w:rFonts w:ascii="Franklin Gothic Book" w:hAnsi="Franklin Gothic Book"/>
          <w:sz w:val="21"/>
          <w:szCs w:val="21"/>
        </w:rPr>
        <w:t xml:space="preserve">/ leaders and 4,745 </w:t>
      </w:r>
      <w:r w:rsidRPr="00E3011F">
        <w:rPr>
          <w:rFonts w:ascii="Franklin Gothic Book" w:hAnsi="Franklin Gothic Book"/>
          <w:sz w:val="21"/>
          <w:szCs w:val="21"/>
        </w:rPr>
        <w:t>ward</w:t>
      </w:r>
      <w:r w:rsidR="0061710F" w:rsidRPr="00E3011F">
        <w:rPr>
          <w:rFonts w:ascii="Franklin Gothic Book" w:hAnsi="Franklin Gothic Book"/>
          <w:sz w:val="21"/>
          <w:szCs w:val="21"/>
        </w:rPr>
        <w:t xml:space="preserve"> meetings</w:t>
      </w:r>
      <w:r w:rsidR="0061710F">
        <w:rPr>
          <w:rFonts w:ascii="Franklin Gothic Book" w:hAnsi="Franklin Gothic Book"/>
          <w:i/>
          <w:sz w:val="21"/>
          <w:szCs w:val="21"/>
        </w:rPr>
        <w:t xml:space="preserve"> </w:t>
      </w:r>
      <w:r w:rsidRPr="00832941">
        <w:rPr>
          <w:rFonts w:ascii="Franklin Gothic Book" w:hAnsi="Franklin Gothic Book"/>
          <w:sz w:val="21"/>
          <w:szCs w:val="21"/>
        </w:rPr>
        <w:t>were cond</w:t>
      </w:r>
      <w:r>
        <w:rPr>
          <w:rFonts w:ascii="Franklin Gothic Book" w:hAnsi="Franklin Gothic Book"/>
          <w:sz w:val="21"/>
          <w:szCs w:val="21"/>
        </w:rPr>
        <w:t xml:space="preserve">ucted by trained </w:t>
      </w:r>
      <w:r w:rsidRPr="00E4445A">
        <w:rPr>
          <w:rFonts w:ascii="Franklin Gothic Book" w:hAnsi="Franklin Gothic Book"/>
          <w:sz w:val="21"/>
          <w:szCs w:val="21"/>
        </w:rPr>
        <w:t>union parishad</w:t>
      </w:r>
      <w:r>
        <w:rPr>
          <w:rStyle w:val="FootnoteReference"/>
        </w:rPr>
        <w:footnoteReference w:id="26"/>
      </w:r>
      <w:r>
        <w:rPr>
          <w:rFonts w:ascii="Franklin Gothic Book" w:hAnsi="Franklin Gothic Book"/>
          <w:sz w:val="21"/>
          <w:szCs w:val="21"/>
        </w:rPr>
        <w:t xml:space="preserve"> representatives</w:t>
      </w:r>
      <w:r w:rsidR="00FA077E">
        <w:rPr>
          <w:rStyle w:val="FootnoteReference"/>
        </w:rPr>
        <w:footnoteReference w:id="27"/>
      </w:r>
      <w:r w:rsidRPr="00832941">
        <w:rPr>
          <w:rFonts w:ascii="Franklin Gothic Book" w:hAnsi="Franklin Gothic Book"/>
          <w:sz w:val="21"/>
          <w:szCs w:val="21"/>
        </w:rPr>
        <w:t xml:space="preserve">. </w:t>
      </w:r>
    </w:p>
    <w:p w14:paraId="6E601733" w14:textId="0D8F78BF" w:rsidR="009740E6" w:rsidRPr="005B143A" w:rsidRDefault="00775276" w:rsidP="005B143A">
      <w:pPr>
        <w:spacing w:after="160" w:line="280" w:lineRule="exact"/>
        <w:jc w:val="both"/>
        <w:rPr>
          <w:rFonts w:ascii="Franklin Gothic Book" w:hAnsi="Franklin Gothic Book"/>
          <w:sz w:val="21"/>
          <w:szCs w:val="21"/>
        </w:rPr>
      </w:pPr>
      <w:r>
        <w:rPr>
          <w:rFonts w:ascii="Franklin Gothic Book" w:hAnsi="Franklin Gothic Book"/>
          <w:sz w:val="21"/>
          <w:szCs w:val="21"/>
        </w:rPr>
        <w:t>Australia funded a UNDP study o</w:t>
      </w:r>
      <w:r w:rsidR="00155BFC">
        <w:rPr>
          <w:rFonts w:ascii="Franklin Gothic Book" w:hAnsi="Franklin Gothic Book"/>
          <w:sz w:val="21"/>
          <w:szCs w:val="21"/>
        </w:rPr>
        <w:t>n</w:t>
      </w:r>
      <w:r>
        <w:rPr>
          <w:rFonts w:ascii="Franklin Gothic Book" w:hAnsi="Franklin Gothic Book"/>
          <w:sz w:val="21"/>
          <w:szCs w:val="21"/>
        </w:rPr>
        <w:t xml:space="preserve"> </w:t>
      </w:r>
      <w:r w:rsidR="00155BFC">
        <w:rPr>
          <w:rFonts w:ascii="Franklin Gothic Book" w:hAnsi="Franklin Gothic Book"/>
          <w:sz w:val="21"/>
          <w:szCs w:val="21"/>
        </w:rPr>
        <w:t>‘</w:t>
      </w:r>
      <w:r w:rsidRPr="004B26E1">
        <w:rPr>
          <w:rFonts w:ascii="Franklin Gothic Book" w:hAnsi="Franklin Gothic Book"/>
          <w:sz w:val="21"/>
          <w:szCs w:val="21"/>
        </w:rPr>
        <w:t>Determinants of Women Voter’s Choice and Facilitating Women’s Participation in Elected Offices</w:t>
      </w:r>
      <w:r w:rsidR="00155BFC">
        <w:rPr>
          <w:rFonts w:ascii="Franklin Gothic Book" w:hAnsi="Franklin Gothic Book"/>
          <w:sz w:val="21"/>
          <w:szCs w:val="21"/>
        </w:rPr>
        <w:t>’</w:t>
      </w:r>
      <w:r w:rsidRPr="004B26E1">
        <w:rPr>
          <w:rFonts w:ascii="Franklin Gothic Book" w:hAnsi="Franklin Gothic Book"/>
          <w:sz w:val="21"/>
          <w:szCs w:val="21"/>
        </w:rPr>
        <w:t xml:space="preserve"> to </w:t>
      </w:r>
      <w:r>
        <w:rPr>
          <w:rFonts w:ascii="Franklin Gothic Book" w:hAnsi="Franklin Gothic Book"/>
          <w:sz w:val="21"/>
          <w:szCs w:val="21"/>
        </w:rPr>
        <w:t xml:space="preserve">analyse and propose recommendations on </w:t>
      </w:r>
      <w:r w:rsidRPr="004B26E1">
        <w:rPr>
          <w:rFonts w:ascii="Franklin Gothic Book" w:hAnsi="Franklin Gothic Book"/>
          <w:sz w:val="21"/>
          <w:szCs w:val="21"/>
        </w:rPr>
        <w:t xml:space="preserve">gender </w:t>
      </w:r>
      <w:r w:rsidR="00E3011F">
        <w:rPr>
          <w:rFonts w:ascii="Franklin Gothic Book" w:hAnsi="Franklin Gothic Book"/>
          <w:sz w:val="21"/>
          <w:szCs w:val="21"/>
        </w:rPr>
        <w:t>issue</w:t>
      </w:r>
      <w:r>
        <w:rPr>
          <w:rFonts w:ascii="Franklin Gothic Book" w:hAnsi="Franklin Gothic Book"/>
          <w:sz w:val="21"/>
          <w:szCs w:val="21"/>
        </w:rPr>
        <w:t>s</w:t>
      </w:r>
      <w:r w:rsidRPr="004B26E1">
        <w:rPr>
          <w:rFonts w:ascii="Franklin Gothic Book" w:hAnsi="Franklin Gothic Book"/>
          <w:sz w:val="21"/>
          <w:szCs w:val="21"/>
        </w:rPr>
        <w:t xml:space="preserve"> </w:t>
      </w:r>
      <w:r w:rsidR="000D4CC0">
        <w:rPr>
          <w:rFonts w:ascii="Franklin Gothic Book" w:hAnsi="Franklin Gothic Book"/>
          <w:sz w:val="21"/>
          <w:szCs w:val="21"/>
        </w:rPr>
        <w:t>in elections</w:t>
      </w:r>
      <w:r w:rsidR="00E2556F">
        <w:rPr>
          <w:rStyle w:val="FootnoteReference"/>
        </w:rPr>
        <w:footnoteReference w:id="28"/>
      </w:r>
      <w:r w:rsidRPr="004B26E1">
        <w:rPr>
          <w:rFonts w:ascii="Franklin Gothic Book" w:hAnsi="Franklin Gothic Book"/>
          <w:sz w:val="21"/>
          <w:szCs w:val="21"/>
        </w:rPr>
        <w:t>.</w:t>
      </w:r>
      <w:r w:rsidR="00507234">
        <w:rPr>
          <w:rFonts w:ascii="Franklin Gothic Book" w:hAnsi="Franklin Gothic Book"/>
          <w:sz w:val="21"/>
          <w:szCs w:val="21"/>
        </w:rPr>
        <w:t xml:space="preserve">  </w:t>
      </w:r>
      <w:r w:rsidR="00D765AC">
        <w:rPr>
          <w:rFonts w:ascii="Franklin Gothic Book" w:hAnsi="Franklin Gothic Book"/>
          <w:sz w:val="21"/>
          <w:szCs w:val="21"/>
        </w:rPr>
        <w:t xml:space="preserve">One of the findings of the report was that education was an important factor in women’s electoral participation as voters and candidates, underscoring the relevance of </w:t>
      </w:r>
      <w:r w:rsidR="00E3011F">
        <w:rPr>
          <w:rFonts w:ascii="Franklin Gothic Book" w:hAnsi="Franklin Gothic Book"/>
          <w:sz w:val="21"/>
          <w:szCs w:val="21"/>
        </w:rPr>
        <w:t xml:space="preserve">Australia’s focus on education </w:t>
      </w:r>
      <w:r w:rsidR="00D765AC">
        <w:rPr>
          <w:rFonts w:ascii="Franklin Gothic Book" w:hAnsi="Franklin Gothic Book"/>
          <w:sz w:val="21"/>
          <w:szCs w:val="21"/>
        </w:rPr>
        <w:t>in our new AIP</w:t>
      </w:r>
      <w:r w:rsidR="0093547C">
        <w:rPr>
          <w:rFonts w:ascii="Franklin Gothic Book" w:hAnsi="Franklin Gothic Book"/>
          <w:sz w:val="21"/>
          <w:szCs w:val="21"/>
        </w:rPr>
        <w:t xml:space="preserve">.  </w:t>
      </w:r>
      <w:r w:rsidR="00507234" w:rsidRPr="004B26E1">
        <w:rPr>
          <w:rFonts w:ascii="Franklin Gothic Book" w:hAnsi="Franklin Gothic Book"/>
          <w:sz w:val="21"/>
          <w:szCs w:val="21"/>
        </w:rPr>
        <w:t>Following the London Girls’ Summit</w:t>
      </w:r>
      <w:r w:rsidR="00507234">
        <w:rPr>
          <w:rFonts w:ascii="Franklin Gothic Book" w:hAnsi="Franklin Gothic Book"/>
          <w:sz w:val="21"/>
          <w:szCs w:val="21"/>
        </w:rPr>
        <w:t xml:space="preserve"> we reiterated our </w:t>
      </w:r>
      <w:r w:rsidR="00E3011F">
        <w:rPr>
          <w:rFonts w:ascii="Franklin Gothic Book" w:hAnsi="Franklin Gothic Book"/>
          <w:sz w:val="21"/>
          <w:szCs w:val="21"/>
        </w:rPr>
        <w:t xml:space="preserve">commitment, through </w:t>
      </w:r>
      <w:r w:rsidR="00507234">
        <w:rPr>
          <w:rFonts w:ascii="Franklin Gothic Book" w:hAnsi="Franklin Gothic Book"/>
          <w:sz w:val="21"/>
          <w:szCs w:val="21"/>
        </w:rPr>
        <w:t>advocacy and programming commitments</w:t>
      </w:r>
      <w:r w:rsidR="00E3011F">
        <w:rPr>
          <w:rFonts w:ascii="Franklin Gothic Book" w:hAnsi="Franklin Gothic Book"/>
          <w:sz w:val="21"/>
          <w:szCs w:val="21"/>
        </w:rPr>
        <w:t>, to</w:t>
      </w:r>
      <w:r w:rsidR="00507234">
        <w:rPr>
          <w:rFonts w:ascii="Franklin Gothic Book" w:hAnsi="Franklin Gothic Book"/>
          <w:sz w:val="21"/>
          <w:szCs w:val="21"/>
        </w:rPr>
        <w:t xml:space="preserve"> e</w:t>
      </w:r>
      <w:r w:rsidR="00507234" w:rsidRPr="004B26E1">
        <w:rPr>
          <w:rFonts w:ascii="Franklin Gothic Book" w:hAnsi="Franklin Gothic Book"/>
          <w:sz w:val="21"/>
          <w:szCs w:val="21"/>
        </w:rPr>
        <w:t>nding violence against women and girls in a joint statement by BRAC,</w:t>
      </w:r>
      <w:r w:rsidR="00E3011F">
        <w:rPr>
          <w:rFonts w:ascii="Franklin Gothic Book" w:hAnsi="Franklin Gothic Book"/>
          <w:sz w:val="21"/>
          <w:szCs w:val="21"/>
        </w:rPr>
        <w:t xml:space="preserve"> Australia and the UK.  We</w:t>
      </w:r>
      <w:r w:rsidR="00507234" w:rsidRPr="004B26E1">
        <w:rPr>
          <w:rFonts w:ascii="Franklin Gothic Book" w:hAnsi="Franklin Gothic Book"/>
          <w:sz w:val="21"/>
          <w:szCs w:val="21"/>
        </w:rPr>
        <w:t xml:space="preserve"> comprehensive</w:t>
      </w:r>
      <w:r w:rsidR="00E3011F">
        <w:rPr>
          <w:rFonts w:ascii="Franklin Gothic Book" w:hAnsi="Franklin Gothic Book"/>
          <w:sz w:val="21"/>
          <w:szCs w:val="21"/>
        </w:rPr>
        <w:t>ly</w:t>
      </w:r>
      <w:r w:rsidR="00507234" w:rsidRPr="004B26E1">
        <w:rPr>
          <w:rFonts w:ascii="Franklin Gothic Book" w:hAnsi="Franklin Gothic Book"/>
          <w:sz w:val="21"/>
          <w:szCs w:val="21"/>
        </w:rPr>
        <w:t xml:space="preserve"> review</w:t>
      </w:r>
      <w:r w:rsidR="00E3011F">
        <w:rPr>
          <w:rFonts w:ascii="Franklin Gothic Book" w:hAnsi="Franklin Gothic Book"/>
          <w:sz w:val="21"/>
          <w:szCs w:val="21"/>
        </w:rPr>
        <w:t>ed</w:t>
      </w:r>
      <w:r w:rsidR="00507234" w:rsidRPr="004B26E1">
        <w:rPr>
          <w:rFonts w:ascii="Franklin Gothic Book" w:hAnsi="Franklin Gothic Book"/>
          <w:sz w:val="21"/>
          <w:szCs w:val="21"/>
        </w:rPr>
        <w:t xml:space="preserve"> gender equality and women’s empowerment in our programs and are following through on recommendations to improve the quality and scope of work on gender in all our investments. </w:t>
      </w:r>
      <w:r w:rsidR="00FF1021">
        <w:rPr>
          <w:rFonts w:ascii="Franklin Gothic Book" w:hAnsi="Franklin Gothic Book"/>
          <w:sz w:val="21"/>
          <w:szCs w:val="21"/>
        </w:rPr>
        <w:t xml:space="preserve"> </w:t>
      </w:r>
      <w:r w:rsidR="009740E6" w:rsidRPr="004B26E1">
        <w:rPr>
          <w:rFonts w:ascii="Franklin Gothic Book" w:hAnsi="Franklin Gothic Book"/>
          <w:sz w:val="21"/>
          <w:szCs w:val="21"/>
        </w:rPr>
        <w:t>In partnership with other countries, Australia has</w:t>
      </w:r>
      <w:r w:rsidR="008A6E74">
        <w:rPr>
          <w:rFonts w:ascii="Franklin Gothic Book" w:hAnsi="Franklin Gothic Book"/>
          <w:sz w:val="21"/>
          <w:szCs w:val="21"/>
        </w:rPr>
        <w:t xml:space="preserve"> had</w:t>
      </w:r>
      <w:r w:rsidR="009740E6" w:rsidRPr="004B26E1">
        <w:rPr>
          <w:rFonts w:ascii="Franklin Gothic Book" w:hAnsi="Franklin Gothic Book"/>
          <w:sz w:val="21"/>
          <w:szCs w:val="21"/>
        </w:rPr>
        <w:t xml:space="preserve"> an ongoing dialogue with the Bangladesh Government on the issue</w:t>
      </w:r>
      <w:r w:rsidR="008A6E74">
        <w:rPr>
          <w:rFonts w:ascii="Franklin Gothic Book" w:hAnsi="Franklin Gothic Book"/>
          <w:sz w:val="21"/>
          <w:szCs w:val="21"/>
        </w:rPr>
        <w:t xml:space="preserve"> of child marriage</w:t>
      </w:r>
      <w:r w:rsidR="009740E6" w:rsidRPr="004B26E1">
        <w:rPr>
          <w:rFonts w:ascii="Franklin Gothic Book" w:hAnsi="Franklin Gothic Book"/>
          <w:sz w:val="21"/>
          <w:szCs w:val="21"/>
        </w:rPr>
        <w:t>.</w:t>
      </w:r>
      <w:r w:rsidR="00C7097F" w:rsidRPr="00C7097F">
        <w:rPr>
          <w:rFonts w:ascii="Franklin Gothic Book" w:hAnsi="Franklin Gothic Book"/>
          <w:sz w:val="21"/>
          <w:szCs w:val="21"/>
        </w:rPr>
        <w:t xml:space="preserve"> </w:t>
      </w:r>
      <w:r w:rsidR="00332E7B">
        <w:rPr>
          <w:rFonts w:ascii="Franklin Gothic Book" w:hAnsi="Franklin Gothic Book"/>
          <w:sz w:val="21"/>
          <w:szCs w:val="21"/>
        </w:rPr>
        <w:t xml:space="preserve">Our new AIP </w:t>
      </w:r>
      <w:r w:rsidR="00C7097F">
        <w:rPr>
          <w:rFonts w:ascii="Franklin Gothic Book" w:hAnsi="Franklin Gothic Book"/>
          <w:sz w:val="21"/>
          <w:szCs w:val="21"/>
        </w:rPr>
        <w:t>address</w:t>
      </w:r>
      <w:r w:rsidR="00332E7B">
        <w:rPr>
          <w:rFonts w:ascii="Franklin Gothic Book" w:hAnsi="Franklin Gothic Book"/>
          <w:sz w:val="21"/>
          <w:szCs w:val="21"/>
        </w:rPr>
        <w:t>es</w:t>
      </w:r>
      <w:r w:rsidR="00C7097F">
        <w:rPr>
          <w:rFonts w:ascii="Franklin Gothic Book" w:hAnsi="Franklin Gothic Book"/>
          <w:sz w:val="21"/>
          <w:szCs w:val="21"/>
        </w:rPr>
        <w:t xml:space="preserve"> gender as a strategic, cross-cutting issue, which will then flow down into programs.</w:t>
      </w:r>
    </w:p>
    <w:p w14:paraId="0644FDCC" w14:textId="02D75A46" w:rsidR="00832941" w:rsidRDefault="002E0E23" w:rsidP="00832941">
      <w:pPr>
        <w:spacing w:after="160" w:line="280" w:lineRule="exact"/>
        <w:jc w:val="both"/>
        <w:rPr>
          <w:rFonts w:ascii="Franklin Gothic Book" w:hAnsi="Franklin Gothic Book"/>
          <w:sz w:val="21"/>
          <w:szCs w:val="21"/>
        </w:rPr>
      </w:pPr>
      <w:r>
        <w:rPr>
          <w:rFonts w:ascii="Franklin Gothic Book" w:hAnsi="Franklin Gothic Book"/>
          <w:sz w:val="21"/>
          <w:szCs w:val="21"/>
        </w:rPr>
        <w:t>Our shifting strategic focus and co</w:t>
      </w:r>
      <w:r w:rsidR="00E3011F">
        <w:rPr>
          <w:rFonts w:ascii="Franklin Gothic Book" w:hAnsi="Franklin Gothic Book"/>
          <w:sz w:val="21"/>
          <w:szCs w:val="21"/>
        </w:rPr>
        <w:t xml:space="preserve">nsolidation agenda meant that an ongoing </w:t>
      </w:r>
      <w:r w:rsidRPr="00832941">
        <w:rPr>
          <w:rFonts w:ascii="Franklin Gothic Book" w:hAnsi="Franklin Gothic Book"/>
          <w:sz w:val="21"/>
          <w:szCs w:val="21"/>
        </w:rPr>
        <w:t>partnership with MJF was not pursued</w:t>
      </w:r>
      <w:r w:rsidR="00E3011F">
        <w:rPr>
          <w:rFonts w:ascii="Franklin Gothic Book" w:hAnsi="Franklin Gothic Book"/>
          <w:sz w:val="21"/>
          <w:szCs w:val="21"/>
        </w:rPr>
        <w:t xml:space="preserve">. </w:t>
      </w:r>
      <w:r w:rsidRPr="00832941">
        <w:rPr>
          <w:rFonts w:ascii="Franklin Gothic Book" w:hAnsi="Franklin Gothic Book"/>
          <w:sz w:val="21"/>
          <w:szCs w:val="21"/>
        </w:rPr>
        <w:t xml:space="preserve"> </w:t>
      </w:r>
      <w:r w:rsidR="00832941" w:rsidRPr="00832941">
        <w:rPr>
          <w:rFonts w:ascii="Franklin Gothic Book" w:hAnsi="Franklin Gothic Book"/>
          <w:sz w:val="21"/>
          <w:szCs w:val="21"/>
        </w:rPr>
        <w:t>Information exchange under the</w:t>
      </w:r>
      <w:r w:rsidR="001C1D7C">
        <w:rPr>
          <w:rFonts w:ascii="Franklin Gothic Book" w:hAnsi="Franklin Gothic Book"/>
          <w:sz w:val="21"/>
          <w:szCs w:val="21"/>
        </w:rPr>
        <w:t xml:space="preserve"> </w:t>
      </w:r>
      <w:r w:rsidR="00832941" w:rsidRPr="00832941">
        <w:rPr>
          <w:rFonts w:ascii="Franklin Gothic Book" w:hAnsi="Franklin Gothic Book"/>
          <w:sz w:val="21"/>
          <w:szCs w:val="21"/>
        </w:rPr>
        <w:t>SPA with BRAC has helped to fill this gap; BRAC recognises that its social mobilisation programs, including the CEP, need to articulate better not just what they have achieved but how grass roots activities at scale help poor people to assert their rights and influence formal governance structure</w:t>
      </w:r>
      <w:r>
        <w:rPr>
          <w:rFonts w:ascii="Franklin Gothic Book" w:hAnsi="Franklin Gothic Book"/>
          <w:sz w:val="21"/>
          <w:szCs w:val="21"/>
        </w:rPr>
        <w:t>s</w:t>
      </w:r>
      <w:r w:rsidR="00C5641D">
        <w:rPr>
          <w:rFonts w:ascii="Franklin Gothic Book" w:hAnsi="Franklin Gothic Book"/>
          <w:sz w:val="21"/>
          <w:szCs w:val="21"/>
        </w:rPr>
        <w:t xml:space="preserve">. Articulating BRAC’s broader impact on community development </w:t>
      </w:r>
      <w:r w:rsidR="00832941" w:rsidRPr="00832941">
        <w:rPr>
          <w:rFonts w:ascii="Franklin Gothic Book" w:hAnsi="Franklin Gothic Book"/>
          <w:sz w:val="21"/>
          <w:szCs w:val="21"/>
        </w:rPr>
        <w:t xml:space="preserve">is an important issue for a possible extension of the SPA.  One lesson from the relationship with BRAC and MJF is that, although NGOs have made an overwhelmingly positive contribution to development in Bangladesh, there is no “light touch” approach available to development partners in supporting them.  Significant project or core funding, even to an organisation such as MJF with many </w:t>
      </w:r>
      <w:r w:rsidR="001B71CA">
        <w:rPr>
          <w:rFonts w:ascii="Franklin Gothic Book" w:hAnsi="Franklin Gothic Book"/>
          <w:sz w:val="21"/>
          <w:szCs w:val="21"/>
        </w:rPr>
        <w:t>strengths, needs to be accompanied by</w:t>
      </w:r>
      <w:r w:rsidR="00832941" w:rsidRPr="00832941">
        <w:rPr>
          <w:rFonts w:ascii="Franklin Gothic Book" w:hAnsi="Franklin Gothic Book"/>
          <w:sz w:val="21"/>
          <w:szCs w:val="21"/>
        </w:rPr>
        <w:t xml:space="preserve"> institutional insights and strategic dialogue (such as Australia has with BRAC) if</w:t>
      </w:r>
      <w:r w:rsidR="002636C8">
        <w:rPr>
          <w:rFonts w:ascii="Franklin Gothic Book" w:hAnsi="Franklin Gothic Book"/>
          <w:sz w:val="21"/>
          <w:szCs w:val="21"/>
        </w:rPr>
        <w:t xml:space="preserve"> the </w:t>
      </w:r>
      <w:r>
        <w:rPr>
          <w:rFonts w:ascii="Franklin Gothic Book" w:hAnsi="Franklin Gothic Book"/>
          <w:sz w:val="21"/>
          <w:szCs w:val="21"/>
        </w:rPr>
        <w:t xml:space="preserve">transformational </w:t>
      </w:r>
      <w:r w:rsidR="002636C8">
        <w:rPr>
          <w:rFonts w:ascii="Franklin Gothic Book" w:hAnsi="Franklin Gothic Book"/>
          <w:sz w:val="21"/>
          <w:szCs w:val="21"/>
        </w:rPr>
        <w:t>potential of an investment is to be fully realised</w:t>
      </w:r>
      <w:r w:rsidR="00832941" w:rsidRPr="00832941">
        <w:rPr>
          <w:rFonts w:ascii="Franklin Gothic Book" w:hAnsi="Franklin Gothic Book"/>
          <w:sz w:val="21"/>
          <w:szCs w:val="21"/>
        </w:rPr>
        <w:t>.</w:t>
      </w:r>
    </w:p>
    <w:p w14:paraId="40795798" w14:textId="77777777" w:rsidR="00741656" w:rsidRDefault="00741656">
      <w:pPr>
        <w:spacing w:after="200" w:line="276" w:lineRule="auto"/>
        <w:rPr>
          <w:rFonts w:ascii="Helvetica" w:eastAsia="Times New Roman" w:hAnsi="Helvetica" w:cs="Arial"/>
          <w:b/>
          <w:color w:val="124486"/>
          <w:kern w:val="28"/>
          <w:sz w:val="22"/>
          <w:szCs w:val="22"/>
          <w:lang w:eastAsia="zh-CN"/>
        </w:rPr>
      </w:pPr>
      <w:r>
        <w:rPr>
          <w:color w:val="124486"/>
        </w:rPr>
        <w:br w:type="page"/>
      </w:r>
    </w:p>
    <w:p w14:paraId="5C00C017" w14:textId="2F39337F" w:rsidR="003D00FF" w:rsidRPr="003D00FF" w:rsidRDefault="00C7097F" w:rsidP="003D00FF">
      <w:pPr>
        <w:pStyle w:val="Heading3"/>
        <w:rPr>
          <w:color w:val="124486"/>
        </w:rPr>
      </w:pPr>
      <w:r>
        <w:rPr>
          <w:color w:val="124486"/>
        </w:rPr>
        <w:lastRenderedPageBreak/>
        <w:t xml:space="preserve">Cross-cutting, </w:t>
      </w:r>
      <w:r w:rsidR="003D00FF" w:rsidRPr="003D00FF">
        <w:rPr>
          <w:color w:val="124486"/>
        </w:rPr>
        <w:t>Regional, Global and Other Government Departments</w:t>
      </w:r>
    </w:p>
    <w:p w14:paraId="6FB4E168" w14:textId="36BCA249" w:rsidR="003D00FF" w:rsidRDefault="003D00FF" w:rsidP="003D00FF">
      <w:pPr>
        <w:pStyle w:val="ListBullet"/>
        <w:numPr>
          <w:ilvl w:val="0"/>
          <w:numId w:val="0"/>
        </w:numPr>
        <w:tabs>
          <w:tab w:val="clear" w:pos="284"/>
        </w:tabs>
        <w:jc w:val="both"/>
      </w:pPr>
      <w:r>
        <w:t>A</w:t>
      </w:r>
      <w:r w:rsidRPr="00E41EB3">
        <w:t xml:space="preserve"> range of </w:t>
      </w:r>
      <w:r>
        <w:t xml:space="preserve">cross-cutting investments and </w:t>
      </w:r>
      <w:r w:rsidRPr="00E41EB3">
        <w:t xml:space="preserve">activities funded from </w:t>
      </w:r>
      <w:r w:rsidR="00C7097F">
        <w:t>bilateral, g</w:t>
      </w:r>
      <w:r w:rsidRPr="00E41EB3">
        <w:t xml:space="preserve">lobal, </w:t>
      </w:r>
      <w:r w:rsidR="00C7097F">
        <w:t>r</w:t>
      </w:r>
      <w:r w:rsidRPr="00E41EB3">
        <w:t xml:space="preserve">egional and </w:t>
      </w:r>
      <w:r w:rsidR="00C7097F">
        <w:t>o</w:t>
      </w:r>
      <w:r w:rsidRPr="00E41EB3">
        <w:t xml:space="preserve">ther Australian Government </w:t>
      </w:r>
      <w:r w:rsidR="00C7097F">
        <w:t>d</w:t>
      </w:r>
      <w:r w:rsidRPr="00E41EB3">
        <w:t xml:space="preserve">epartments ($21.1 million) </w:t>
      </w:r>
      <w:r>
        <w:t xml:space="preserve">also </w:t>
      </w:r>
      <w:r w:rsidRPr="00E41EB3">
        <w:t xml:space="preserve">supported </w:t>
      </w:r>
      <w:r>
        <w:t>Bangladesh’s development</w:t>
      </w:r>
      <w:r w:rsidRPr="00E41EB3">
        <w:t>:</w:t>
      </w:r>
    </w:p>
    <w:p w14:paraId="09384773" w14:textId="411B8429" w:rsidR="003D00FF" w:rsidRDefault="003D00FF" w:rsidP="003D00FF">
      <w:pPr>
        <w:pStyle w:val="ListBullet"/>
        <w:jc w:val="both"/>
        <w:rPr>
          <w:lang w:eastAsia="zh-CN"/>
        </w:rPr>
      </w:pPr>
      <w:r>
        <w:t>64</w:t>
      </w:r>
      <w:r w:rsidR="00B25007">
        <w:t xml:space="preserve"> </w:t>
      </w:r>
      <w:r>
        <w:t>Australia Award long-term scholarships</w:t>
      </w:r>
      <w:r w:rsidR="00B25007">
        <w:rPr>
          <w:rStyle w:val="FootnoteReference"/>
        </w:rPr>
        <w:footnoteReference w:id="29"/>
      </w:r>
      <w:r>
        <w:t xml:space="preserve"> as well as 34 short-course places were </w:t>
      </w:r>
      <w:r w:rsidR="001B71CA">
        <w:t>provided, with awardees drawn from</w:t>
      </w:r>
      <w:r>
        <w:t xml:space="preserve"> the Government of Bangladesh, ethnic minority communities and partner organisations</w:t>
      </w:r>
      <w:r w:rsidR="001B71CA">
        <w:t>. This</w:t>
      </w:r>
      <w:r>
        <w:t xml:space="preserve"> develop</w:t>
      </w:r>
      <w:r w:rsidR="001B71CA">
        <w:t>ed</w:t>
      </w:r>
      <w:r>
        <w:t xml:space="preserve"> the human resource base of the Bangladesh civil service and strengthen</w:t>
      </w:r>
      <w:r w:rsidR="001B71CA">
        <w:t>ed</w:t>
      </w:r>
      <w:r>
        <w:t xml:space="preserve"> local NGO capacity ($6.3 million).</w:t>
      </w:r>
      <w:r>
        <w:rPr>
          <w:lang w:eastAsia="zh-CN"/>
        </w:rPr>
        <w:t xml:space="preserve"> </w:t>
      </w:r>
    </w:p>
    <w:p w14:paraId="4F19B336" w14:textId="77777777" w:rsidR="003D00FF" w:rsidRPr="00B255A6" w:rsidRDefault="003D00FF" w:rsidP="003D00FF">
      <w:pPr>
        <w:pStyle w:val="ListBullet"/>
        <w:numPr>
          <w:ilvl w:val="0"/>
          <w:numId w:val="29"/>
        </w:numPr>
        <w:jc w:val="both"/>
        <w:rPr>
          <w:lang w:eastAsia="zh-CN"/>
        </w:rPr>
      </w:pPr>
      <w:r>
        <w:rPr>
          <w:lang w:eastAsia="zh-CN"/>
        </w:rPr>
        <w:t>In addition to supporting the focus areas of our aid strategy, scholarships built relationships and capacity in broader areas of shared interest such as governance, economic growth, water resource management, trade and police reform.</w:t>
      </w:r>
    </w:p>
    <w:p w14:paraId="27FCED72" w14:textId="57A9E7F1" w:rsidR="003D00FF" w:rsidRPr="00B255A6" w:rsidRDefault="003D00FF" w:rsidP="003D00FF">
      <w:pPr>
        <w:pStyle w:val="ListBullet"/>
        <w:numPr>
          <w:ilvl w:val="0"/>
          <w:numId w:val="29"/>
        </w:numPr>
        <w:jc w:val="both"/>
        <w:rPr>
          <w:lang w:eastAsia="zh-CN"/>
        </w:rPr>
      </w:pPr>
      <w:r w:rsidRPr="006F773D">
        <w:rPr>
          <w:szCs w:val="21"/>
        </w:rPr>
        <w:t xml:space="preserve">An equal number of men and women accepted scholarships.  The Government received the majority of scholarships with </w:t>
      </w:r>
      <w:r w:rsidRPr="00811BA4">
        <w:rPr>
          <w:szCs w:val="21"/>
        </w:rPr>
        <w:t>3</w:t>
      </w:r>
      <w:r>
        <w:rPr>
          <w:szCs w:val="21"/>
        </w:rPr>
        <w:t>9 awards (61</w:t>
      </w:r>
      <w:r w:rsidRPr="00D00760">
        <w:rPr>
          <w:szCs w:val="21"/>
        </w:rPr>
        <w:t xml:space="preserve"> per cent</w:t>
      </w:r>
      <w:r>
        <w:rPr>
          <w:szCs w:val="21"/>
        </w:rPr>
        <w:t>)</w:t>
      </w:r>
      <w:r w:rsidRPr="006F773D">
        <w:rPr>
          <w:szCs w:val="21"/>
        </w:rPr>
        <w:t xml:space="preserve"> followed by those from ethnic minority communities with 17 </w:t>
      </w:r>
      <w:r>
        <w:rPr>
          <w:szCs w:val="21"/>
        </w:rPr>
        <w:t>awards (</w:t>
      </w:r>
      <w:r w:rsidRPr="006F773D">
        <w:rPr>
          <w:szCs w:val="21"/>
        </w:rPr>
        <w:t>27 per cent</w:t>
      </w:r>
      <w:r>
        <w:rPr>
          <w:szCs w:val="21"/>
        </w:rPr>
        <w:t>)</w:t>
      </w:r>
      <w:r w:rsidRPr="006F773D">
        <w:rPr>
          <w:szCs w:val="21"/>
        </w:rPr>
        <w:t>.</w:t>
      </w:r>
    </w:p>
    <w:p w14:paraId="2D2DE530" w14:textId="13B4B44F" w:rsidR="003D00FF" w:rsidRPr="00B255A6" w:rsidRDefault="003D00FF" w:rsidP="003D00FF">
      <w:pPr>
        <w:pStyle w:val="ListBullet"/>
        <w:numPr>
          <w:ilvl w:val="0"/>
          <w:numId w:val="29"/>
        </w:numPr>
        <w:jc w:val="both"/>
        <w:rPr>
          <w:lang w:eastAsia="zh-CN"/>
        </w:rPr>
      </w:pPr>
      <w:r w:rsidRPr="006F773D">
        <w:rPr>
          <w:szCs w:val="21"/>
        </w:rPr>
        <w:t>A case study on</w:t>
      </w:r>
      <w:r w:rsidRPr="006F773D">
        <w:rPr>
          <w:szCs w:val="21"/>
          <w:lang w:eastAsia="zh-CN"/>
        </w:rPr>
        <w:t xml:space="preserve"> </w:t>
      </w:r>
      <w:r>
        <w:rPr>
          <w:szCs w:val="21"/>
          <w:lang w:eastAsia="zh-CN"/>
        </w:rPr>
        <w:t>women recipients of Australia Award Scholarships in Bangladesh</w:t>
      </w:r>
      <w:r w:rsidR="00302B9E">
        <w:rPr>
          <w:rStyle w:val="FootnoteReference"/>
          <w:lang w:eastAsia="zh-CN"/>
        </w:rPr>
        <w:footnoteReference w:id="30"/>
      </w:r>
      <w:r>
        <w:rPr>
          <w:szCs w:val="21"/>
          <w:lang w:eastAsia="zh-CN"/>
        </w:rPr>
        <w:t xml:space="preserve"> was carried out</w:t>
      </w:r>
      <w:r w:rsidR="00C7097F">
        <w:rPr>
          <w:szCs w:val="21"/>
          <w:lang w:eastAsia="zh-CN"/>
        </w:rPr>
        <w:t>,</w:t>
      </w:r>
      <w:r>
        <w:rPr>
          <w:szCs w:val="21"/>
          <w:lang w:eastAsia="zh-CN"/>
        </w:rPr>
        <w:t xml:space="preserve"> documenting their experience of returning to work and the opportunities and challenges a scholarship brings.</w:t>
      </w:r>
    </w:p>
    <w:p w14:paraId="54BE33CF" w14:textId="77777777" w:rsidR="003D00FF" w:rsidRDefault="003D00FF" w:rsidP="003D00FF">
      <w:pPr>
        <w:pStyle w:val="ListBullet"/>
        <w:numPr>
          <w:ilvl w:val="0"/>
          <w:numId w:val="29"/>
        </w:numPr>
        <w:jc w:val="both"/>
        <w:rPr>
          <w:lang w:eastAsia="zh-CN"/>
        </w:rPr>
      </w:pPr>
      <w:r>
        <w:rPr>
          <w:szCs w:val="21"/>
          <w:lang w:eastAsia="zh-CN"/>
        </w:rPr>
        <w:t>Pre-Departure and Welcome Home events offered opportunities for public diplomacy activities.</w:t>
      </w:r>
    </w:p>
    <w:p w14:paraId="1FD67015" w14:textId="61215E3A" w:rsidR="003D00FF" w:rsidRDefault="003D00FF" w:rsidP="003D00FF">
      <w:pPr>
        <w:pStyle w:val="ListBullet"/>
        <w:tabs>
          <w:tab w:val="clear" w:pos="284"/>
        </w:tabs>
        <w:jc w:val="both"/>
      </w:pPr>
      <w:r>
        <w:t>14</w:t>
      </w:r>
      <w:r w:rsidR="00216ADA">
        <w:t xml:space="preserve"> Australian NGO</w:t>
      </w:r>
      <w:r w:rsidRPr="0054000C">
        <w:t xml:space="preserve">s delivered a range of </w:t>
      </w:r>
      <w:r>
        <w:t xml:space="preserve">projects across Bangladesh through local partner organisations.  Women’s economic empowerment, ending violence against women and girls and promoting the safety and security of women and girls were strong themes.  Australia provided funding to Oxfam Australia for a resilient </w:t>
      </w:r>
      <w:r w:rsidR="001B71CA">
        <w:t>water, sanitation and hygiene (</w:t>
      </w:r>
      <w:r>
        <w:t>WASH</w:t>
      </w:r>
      <w:r w:rsidR="001B71CA">
        <w:t>)</w:t>
      </w:r>
      <w:r>
        <w:t xml:space="preserve"> program and to World Vision Australia for empowering working children.  These partnerships are helping local communities to demand better services and link poor families to local government services ($6.0 million).</w:t>
      </w:r>
    </w:p>
    <w:p w14:paraId="00968DFB" w14:textId="148ED2CC" w:rsidR="003D00FF" w:rsidRPr="006E1B19" w:rsidRDefault="003D00FF" w:rsidP="003D00FF">
      <w:pPr>
        <w:pStyle w:val="ListBullet"/>
        <w:tabs>
          <w:tab w:val="clear" w:pos="284"/>
        </w:tabs>
        <w:jc w:val="both"/>
        <w:rPr>
          <w:color w:val="1F497D"/>
        </w:rPr>
      </w:pPr>
      <w:r w:rsidRPr="00E41EB3">
        <w:t>26 Australian volunteers help</w:t>
      </w:r>
      <w:r>
        <w:t>ed</w:t>
      </w:r>
      <w:r w:rsidRPr="00E41EB3">
        <w:t xml:space="preserve"> build the capacity of individuals, organisations and communities</w:t>
      </w:r>
      <w:r>
        <w:t>.</w:t>
      </w:r>
      <w:r w:rsidRPr="00E41EB3">
        <w:t xml:space="preserve"> </w:t>
      </w:r>
      <w:r>
        <w:rPr>
          <w:lang w:eastAsia="zh-CN"/>
        </w:rPr>
        <w:t xml:space="preserve">In addition to supporting the targeted areas of our aid strategy, volunteers built relationships and capacity in broader areas of shared interest </w:t>
      </w:r>
      <w:r w:rsidRPr="006E1B19">
        <w:rPr>
          <w:szCs w:val="21"/>
        </w:rPr>
        <w:t xml:space="preserve">including </w:t>
      </w:r>
      <w:r>
        <w:t xml:space="preserve">food security and nutrition, social protection and livelihoods, </w:t>
      </w:r>
      <w:r w:rsidRPr="006937D8">
        <w:t>disaster risk reduction</w:t>
      </w:r>
      <w:r>
        <w:t>, maternal and child health,</w:t>
      </w:r>
      <w:r w:rsidR="00173565">
        <w:t xml:space="preserve"> gender equality and disability</w:t>
      </w:r>
      <w:r>
        <w:t xml:space="preserve"> (</w:t>
      </w:r>
      <w:r w:rsidRPr="00E41EB3">
        <w:t>$1.3 million)</w:t>
      </w:r>
      <w:r>
        <w:t>.  A photography exhibition to celebrate Intern</w:t>
      </w:r>
      <w:r w:rsidR="00173565">
        <w:t xml:space="preserve">ational Volunteers Day was well </w:t>
      </w:r>
      <w:r>
        <w:t>received.</w:t>
      </w:r>
    </w:p>
    <w:p w14:paraId="2AD17A13" w14:textId="77777777" w:rsidR="003D00FF" w:rsidRDefault="003D00FF" w:rsidP="003D00FF">
      <w:pPr>
        <w:pStyle w:val="ListBullet"/>
        <w:tabs>
          <w:tab w:val="clear" w:pos="284"/>
        </w:tabs>
        <w:jc w:val="both"/>
      </w:pPr>
      <w:r w:rsidRPr="00631936">
        <w:t>2 Civil Society Organisations implemented projects: Habitat for Humanity delivered an integrated WASH program with an emphasis on improving access to facilities for over 15,000 poor and vulnerable people and Australian Red Cross assisted over 24,000 vulnerable people address their WASH related needs as part of the broader resilience-focused program (</w:t>
      </w:r>
      <w:r>
        <w:t>$1.6 million</w:t>
      </w:r>
      <w:r w:rsidRPr="00631936">
        <w:t xml:space="preserve">). </w:t>
      </w:r>
      <w:r>
        <w:t xml:space="preserve">Through the DFAT-Asia Foundation Partnership, Australia </w:t>
      </w:r>
      <w:r>
        <w:lastRenderedPageBreak/>
        <w:t>also worked to improve the potential of the export leather sector in Bangladesh as well as enhanced social justice for women through an Islamic framework.</w:t>
      </w:r>
    </w:p>
    <w:p w14:paraId="414504F8" w14:textId="4FB255E2" w:rsidR="003D00FF" w:rsidRDefault="003D00FF" w:rsidP="003D00FF">
      <w:pPr>
        <w:pStyle w:val="ListBullet"/>
        <w:tabs>
          <w:tab w:val="clear" w:pos="284"/>
        </w:tabs>
        <w:jc w:val="both"/>
      </w:pPr>
      <w:r>
        <w:t>13 small grants were provided through DFAT’s Direct Aid Program in Bangladesh to fund projects focused on basic human rights</w:t>
      </w:r>
      <w:r w:rsidR="00216ADA">
        <w:t xml:space="preserve"> and good governance.  In 2014-</w:t>
      </w:r>
      <w:r>
        <w:t>15 this included funding for child poisoning prevention and a one-stop family planning service ($0.5 million).</w:t>
      </w:r>
    </w:p>
    <w:p w14:paraId="0FDC69D0" w14:textId="14670E12" w:rsidR="003D00FF" w:rsidRPr="0041067C" w:rsidRDefault="003D00FF" w:rsidP="003D00FF">
      <w:pPr>
        <w:pStyle w:val="ListBullet"/>
        <w:tabs>
          <w:tab w:val="clear" w:pos="284"/>
        </w:tabs>
        <w:jc w:val="both"/>
        <w:rPr>
          <w:szCs w:val="21"/>
        </w:rPr>
      </w:pPr>
      <w:r>
        <w:rPr>
          <w:szCs w:val="21"/>
        </w:rPr>
        <w:t>A</w:t>
      </w:r>
      <w:r w:rsidRPr="0041067C">
        <w:rPr>
          <w:szCs w:val="21"/>
        </w:rPr>
        <w:t xml:space="preserve"> small grant to RMIT and Monash University </w:t>
      </w:r>
      <w:r>
        <w:rPr>
          <w:szCs w:val="21"/>
        </w:rPr>
        <w:t xml:space="preserve">is supporting capacity building and linkages between Australian businesses and officials with </w:t>
      </w:r>
      <w:r w:rsidRPr="0041067C">
        <w:rPr>
          <w:rFonts w:cs="Calibri"/>
          <w:szCs w:val="21"/>
          <w:lang w:val="en"/>
        </w:rPr>
        <w:t>senior officials in the Bangladesh energy and power sectors.  Activities included workshops, seminars and industry visits to coal mines, coal ports, liquefied natural gas (LNG) plants and coal fired power plants ($0.5 million).</w:t>
      </w:r>
    </w:p>
    <w:p w14:paraId="03C1A0D5" w14:textId="107B0E57" w:rsidR="003D00FF" w:rsidRDefault="003D00FF" w:rsidP="003D00FF">
      <w:pPr>
        <w:pStyle w:val="ListBullet"/>
        <w:tabs>
          <w:tab w:val="clear" w:pos="284"/>
        </w:tabs>
        <w:jc w:val="both"/>
      </w:pPr>
      <w:r>
        <w:t>Bangladesh also benefitted</w:t>
      </w:r>
      <w:r w:rsidRPr="00F30B3E">
        <w:t xml:space="preserve"> from initiatives funded under the South Asia Regi</w:t>
      </w:r>
      <w:r>
        <w:t xml:space="preserve">onal program </w:t>
      </w:r>
      <w:r w:rsidRPr="00F30B3E">
        <w:t>which focuses on key trans</w:t>
      </w:r>
      <w:r>
        <w:t>-</w:t>
      </w:r>
      <w:r w:rsidRPr="00F30B3E">
        <w:t>boundary development challenges inhibiting inclusive economic growth across the region</w:t>
      </w:r>
      <w:r>
        <w:rPr>
          <w:rStyle w:val="FootnoteReference"/>
        </w:rPr>
        <w:footnoteReference w:id="31"/>
      </w:r>
      <w:r>
        <w:t xml:space="preserve">.  This includes a trade facilitation program and a sustainable development </w:t>
      </w:r>
      <w:r w:rsidR="00216ADA">
        <w:t xml:space="preserve">investment </w:t>
      </w:r>
      <w:r>
        <w:t>program.</w:t>
      </w:r>
    </w:p>
    <w:p w14:paraId="48621096" w14:textId="7D193B5D" w:rsidR="00177BE7" w:rsidRDefault="009F08A4" w:rsidP="003D00FF">
      <w:pPr>
        <w:pStyle w:val="ListBullet"/>
        <w:tabs>
          <w:tab w:val="clear" w:pos="284"/>
        </w:tabs>
        <w:jc w:val="both"/>
      </w:pPr>
      <w:r>
        <w:t>The Australian Centre for International Agricultural Research (ACIAR) supported a number of initiatives in Bangladesh including sustainable and resilient farming systems</w:t>
      </w:r>
      <w:r w:rsidR="00F43820">
        <w:t>, climate change adaptation and food security ($1.8 million).</w:t>
      </w:r>
    </w:p>
    <w:p w14:paraId="5649B9C7" w14:textId="7B05A0CC" w:rsidR="00F43820" w:rsidRDefault="00F43820" w:rsidP="003D00FF">
      <w:pPr>
        <w:pStyle w:val="ListBullet"/>
        <w:tabs>
          <w:tab w:val="clear" w:pos="284"/>
        </w:tabs>
        <w:jc w:val="both"/>
      </w:pPr>
      <w:r>
        <w:t xml:space="preserve">The Department of Education and Training (DET) funded Endeavour Scholarships and Fellowships supporting Bangladeshis to undertake study, research and professional development in Australia. </w:t>
      </w:r>
    </w:p>
    <w:p w14:paraId="025535F4" w14:textId="21F6B35D" w:rsidR="00823FCA" w:rsidRPr="004B26E1" w:rsidRDefault="00823FCA" w:rsidP="003D00FF">
      <w:pPr>
        <w:pStyle w:val="Heading3"/>
      </w:pPr>
      <w:r w:rsidRPr="004D740B">
        <w:t>Perf</w:t>
      </w:r>
      <w:r>
        <w:t>o</w:t>
      </w:r>
      <w:r w:rsidRPr="004D740B">
        <w:t>rmance Benchmarks</w:t>
      </w:r>
    </w:p>
    <w:p w14:paraId="1A039561" w14:textId="2F62AD78" w:rsidR="00832941" w:rsidRDefault="00832941" w:rsidP="0071214F">
      <w:pPr>
        <w:pStyle w:val="ListBullet"/>
        <w:numPr>
          <w:ilvl w:val="0"/>
          <w:numId w:val="0"/>
        </w:numPr>
        <w:jc w:val="both"/>
      </w:pPr>
      <w:r>
        <w:t>Performance benchmarks have been introduced i</w:t>
      </w:r>
      <w:r w:rsidR="001101DD">
        <w:t>nto the Australian Aid Program</w:t>
      </w:r>
      <w:r>
        <w:t xml:space="preserve"> to improve accountability, link performance with funding, an</w:t>
      </w:r>
      <w:r w:rsidR="001101DD">
        <w:t>d to integrate the aid program</w:t>
      </w:r>
      <w:r>
        <w:t xml:space="preserve"> with Australia’s broader foreign and trade policies. </w:t>
      </w:r>
      <w:r w:rsidR="001101DD">
        <w:t xml:space="preserve"> The Bangladesh program</w:t>
      </w:r>
      <w:r>
        <w:t xml:space="preserve"> has made good progress towards achieving the pilot performance benchmarks identified in the APPR 2013-14.  Seven of the eight benchmarks were achieved during the reporting period</w:t>
      </w:r>
      <w:r w:rsidR="0093547C">
        <w:rPr>
          <w:rStyle w:val="FootnoteReference"/>
        </w:rPr>
        <w:footnoteReference w:id="32"/>
      </w:r>
      <w:r>
        <w:t xml:space="preserve">.  Australia and Bangladesh have experience working together on performance </w:t>
      </w:r>
      <w:r w:rsidR="008D444D">
        <w:t>based funding</w:t>
      </w:r>
      <w:r>
        <w:t xml:space="preserve"> through the Government’s </w:t>
      </w:r>
      <w:r w:rsidR="00816C86">
        <w:t xml:space="preserve">primary </w:t>
      </w:r>
      <w:r>
        <w:t>education program.  This is sharpening the focus on improved education outcomes and strengthening the financial and management systems Bangladesh uses to deliver its primary education services.</w:t>
      </w:r>
    </w:p>
    <w:p w14:paraId="16866583" w14:textId="77777777" w:rsidR="00823FCA" w:rsidRDefault="00832941" w:rsidP="0071214F">
      <w:pPr>
        <w:pStyle w:val="ListBullet"/>
        <w:numPr>
          <w:ilvl w:val="0"/>
          <w:numId w:val="0"/>
        </w:numPr>
        <w:tabs>
          <w:tab w:val="clear" w:pos="284"/>
        </w:tabs>
        <w:ind w:left="360" w:hanging="360"/>
        <w:jc w:val="both"/>
      </w:pPr>
      <w:r>
        <w:t>Other benchmarks that were successfully met include;</w:t>
      </w:r>
    </w:p>
    <w:p w14:paraId="3CF110B5" w14:textId="52361A86" w:rsidR="001B71CA" w:rsidRDefault="00216ADA" w:rsidP="0071214F">
      <w:pPr>
        <w:pStyle w:val="ListBullet"/>
        <w:tabs>
          <w:tab w:val="clear" w:pos="284"/>
        </w:tabs>
        <w:jc w:val="both"/>
        <w:rPr>
          <w:iCs/>
        </w:rPr>
      </w:pPr>
      <w:r>
        <w:t>More than</w:t>
      </w:r>
      <w:r w:rsidR="00832941" w:rsidRPr="00832941">
        <w:t xml:space="preserve"> </w:t>
      </w:r>
      <w:r w:rsidR="00832941" w:rsidRPr="00832941">
        <w:rPr>
          <w:iCs/>
        </w:rPr>
        <w:t>368,450 children (60</w:t>
      </w:r>
      <w:r w:rsidR="00DF2726">
        <w:rPr>
          <w:iCs/>
        </w:rPr>
        <w:t xml:space="preserve"> per cent</w:t>
      </w:r>
      <w:r w:rsidR="00832941" w:rsidRPr="00832941">
        <w:rPr>
          <w:iCs/>
        </w:rPr>
        <w:t xml:space="preserve"> girls) completed a course of primary or pre-primary education in BRAC schools</w:t>
      </w:r>
      <w:r w:rsidR="00832941" w:rsidRPr="00832941">
        <w:rPr>
          <w:iCs/>
          <w:vertAlign w:val="superscript"/>
        </w:rPr>
        <w:footnoteReference w:id="33"/>
      </w:r>
      <w:r w:rsidR="00832941" w:rsidRPr="00832941">
        <w:rPr>
          <w:iCs/>
        </w:rPr>
        <w:t>;</w:t>
      </w:r>
    </w:p>
    <w:p w14:paraId="00A4665E" w14:textId="77777777" w:rsidR="001B71CA" w:rsidRDefault="001B71CA">
      <w:pPr>
        <w:spacing w:after="200" w:line="276" w:lineRule="auto"/>
        <w:rPr>
          <w:rFonts w:ascii="Franklin Gothic Book" w:eastAsia="Times New Roman" w:hAnsi="Franklin Gothic Book"/>
          <w:iCs/>
          <w:sz w:val="21"/>
        </w:rPr>
      </w:pPr>
      <w:r>
        <w:rPr>
          <w:iCs/>
        </w:rPr>
        <w:br w:type="page"/>
      </w:r>
    </w:p>
    <w:p w14:paraId="071AB97D" w14:textId="3AE42C6B" w:rsidR="00832941" w:rsidRPr="00832941" w:rsidRDefault="00832941" w:rsidP="001B71CA">
      <w:pPr>
        <w:pStyle w:val="ListBullet"/>
        <w:tabs>
          <w:tab w:val="clear" w:pos="284"/>
        </w:tabs>
        <w:jc w:val="both"/>
      </w:pPr>
      <w:r w:rsidRPr="00832941">
        <w:lastRenderedPageBreak/>
        <w:t>At least 50</w:t>
      </w:r>
      <w:r w:rsidR="00DF2726" w:rsidRPr="001B71CA">
        <w:rPr>
          <w:iCs/>
        </w:rPr>
        <w:t xml:space="preserve"> per cent </w:t>
      </w:r>
      <w:r w:rsidRPr="00832941">
        <w:t>of scholarships in each intake were awarded to women</w:t>
      </w:r>
      <w:r w:rsidRPr="00832941">
        <w:rPr>
          <w:vertAlign w:val="superscript"/>
        </w:rPr>
        <w:footnoteReference w:id="34"/>
      </w:r>
      <w:r w:rsidRPr="00832941">
        <w:t>;</w:t>
      </w:r>
    </w:p>
    <w:p w14:paraId="274A99B3" w14:textId="77777777" w:rsidR="00832941" w:rsidRPr="00832941" w:rsidRDefault="00832941" w:rsidP="0071214F">
      <w:pPr>
        <w:pStyle w:val="ListBullet"/>
        <w:tabs>
          <w:tab w:val="clear" w:pos="284"/>
        </w:tabs>
        <w:jc w:val="both"/>
      </w:pPr>
      <w:r w:rsidRPr="00832941">
        <w:t>The number of female headed households graduating from the BRAC ultra-poor programs since 2011 reached 269,000</w:t>
      </w:r>
      <w:r w:rsidRPr="00832941">
        <w:rPr>
          <w:vertAlign w:val="superscript"/>
        </w:rPr>
        <w:footnoteReference w:id="35"/>
      </w:r>
      <w:r w:rsidRPr="00832941">
        <w:t>;</w:t>
      </w:r>
    </w:p>
    <w:p w14:paraId="73F71EB9" w14:textId="5E88E65A" w:rsidR="00832941" w:rsidRPr="00832941" w:rsidRDefault="00832941" w:rsidP="0071214F">
      <w:pPr>
        <w:pStyle w:val="ListBullet"/>
        <w:tabs>
          <w:tab w:val="clear" w:pos="284"/>
        </w:tabs>
        <w:jc w:val="both"/>
      </w:pPr>
      <w:r w:rsidRPr="00832941">
        <w:t>At least 75</w:t>
      </w:r>
      <w:r w:rsidR="00DF2726" w:rsidRPr="00DF2726">
        <w:rPr>
          <w:iCs/>
        </w:rPr>
        <w:t xml:space="preserve"> </w:t>
      </w:r>
      <w:r w:rsidR="00DF2726">
        <w:rPr>
          <w:iCs/>
        </w:rPr>
        <w:t>per cent</w:t>
      </w:r>
      <w:r w:rsidR="00DF2726" w:rsidRPr="00832941">
        <w:rPr>
          <w:iCs/>
        </w:rPr>
        <w:t xml:space="preserve"> </w:t>
      </w:r>
      <w:r w:rsidRPr="00832941">
        <w:t>of malnourished women and children treated by WFP in Cox’s Bazar District improved their nutritional status</w:t>
      </w:r>
      <w:r w:rsidRPr="00832941">
        <w:rPr>
          <w:vertAlign w:val="superscript"/>
        </w:rPr>
        <w:footnoteReference w:id="36"/>
      </w:r>
      <w:r w:rsidRPr="00832941">
        <w:t>; and</w:t>
      </w:r>
    </w:p>
    <w:p w14:paraId="6A628FF9" w14:textId="2D649985" w:rsidR="00832941" w:rsidRPr="00832941" w:rsidRDefault="00216ADA" w:rsidP="0071214F">
      <w:pPr>
        <w:pStyle w:val="ListBullet"/>
        <w:tabs>
          <w:tab w:val="clear" w:pos="284"/>
        </w:tabs>
        <w:jc w:val="both"/>
      </w:pPr>
      <w:r>
        <w:t>More than</w:t>
      </w:r>
      <w:r w:rsidR="00832941" w:rsidRPr="00832941">
        <w:t xml:space="preserve"> 11,000 women assisted to take positions in community decision</w:t>
      </w:r>
      <w:r w:rsidR="00FB5AB4">
        <w:t>-</w:t>
      </w:r>
      <w:r w:rsidR="00832941" w:rsidRPr="00832941">
        <w:t>making</w:t>
      </w:r>
      <w:r w:rsidR="00832941" w:rsidRPr="00832941">
        <w:rPr>
          <w:vertAlign w:val="superscript"/>
        </w:rPr>
        <w:footnoteReference w:id="37"/>
      </w:r>
      <w:r w:rsidR="00832941" w:rsidRPr="00832941">
        <w:t>.</w:t>
      </w:r>
    </w:p>
    <w:p w14:paraId="623A2B88" w14:textId="0AEB1C21" w:rsidR="00832941" w:rsidRDefault="00B61C85" w:rsidP="0071214F">
      <w:pPr>
        <w:pStyle w:val="ListBullet"/>
        <w:numPr>
          <w:ilvl w:val="0"/>
          <w:numId w:val="0"/>
        </w:numPr>
        <w:spacing w:after="160"/>
        <w:jc w:val="both"/>
        <w:rPr>
          <w:lang w:eastAsia="zh-CN"/>
        </w:rPr>
      </w:pPr>
      <w:r>
        <w:rPr>
          <w:lang w:eastAsia="zh-CN"/>
        </w:rPr>
        <w:t xml:space="preserve">The one benchmark that was not met was the establishment of a Social Protection Unit </w:t>
      </w:r>
      <w:r w:rsidR="00FF1021">
        <w:rPr>
          <w:lang w:eastAsia="zh-CN"/>
        </w:rPr>
        <w:t xml:space="preserve">(SPU) </w:t>
      </w:r>
      <w:r>
        <w:rPr>
          <w:lang w:eastAsia="zh-CN"/>
        </w:rPr>
        <w:t>at the Ministry of Finance.  The establishment of a SPU was not achieved during the reporting period</w:t>
      </w:r>
      <w:r w:rsidR="001B71CA">
        <w:rPr>
          <w:lang w:eastAsia="zh-CN"/>
        </w:rPr>
        <w:t xml:space="preserve"> as efforts were focused on agree</w:t>
      </w:r>
      <w:r>
        <w:rPr>
          <w:lang w:eastAsia="zh-CN"/>
        </w:rPr>
        <w:t xml:space="preserve">ing </w:t>
      </w:r>
      <w:r w:rsidR="00661783">
        <w:rPr>
          <w:lang w:eastAsia="zh-CN"/>
        </w:rPr>
        <w:t xml:space="preserve">enabling </w:t>
      </w:r>
      <w:r>
        <w:rPr>
          <w:lang w:eastAsia="zh-CN"/>
        </w:rPr>
        <w:t xml:space="preserve">components of the SGSP </w:t>
      </w:r>
      <w:r w:rsidR="00661783">
        <w:rPr>
          <w:lang w:eastAsia="zh-CN"/>
        </w:rPr>
        <w:t>with</w:t>
      </w:r>
      <w:r w:rsidR="005B143A">
        <w:rPr>
          <w:lang w:eastAsia="zh-CN"/>
        </w:rPr>
        <w:t xml:space="preserve"> Government</w:t>
      </w:r>
      <w:r w:rsidR="00661783">
        <w:rPr>
          <w:lang w:eastAsia="zh-CN"/>
        </w:rPr>
        <w:t xml:space="preserve">. </w:t>
      </w:r>
      <w:r>
        <w:rPr>
          <w:lang w:eastAsia="zh-CN"/>
        </w:rPr>
        <w:t xml:space="preserve"> This included the signing of a Memorandum of Understanding (MoU) and finalising the Technical Assistance Project Pro Forma</w:t>
      </w:r>
      <w:r w:rsidR="00B44B9D">
        <w:rPr>
          <w:lang w:eastAsia="zh-CN"/>
        </w:rPr>
        <w:t>,</w:t>
      </w:r>
      <w:r>
        <w:rPr>
          <w:lang w:eastAsia="zh-CN"/>
        </w:rPr>
        <w:t xml:space="preserve"> which needed to be agreed prior to the establishment of the SPU.  Meeting the intended timeframes was also hampered by the political </w:t>
      </w:r>
      <w:r w:rsidR="009B3194">
        <w:rPr>
          <w:lang w:eastAsia="zh-CN"/>
        </w:rPr>
        <w:t>context</w:t>
      </w:r>
      <w:r>
        <w:rPr>
          <w:lang w:eastAsia="zh-CN"/>
        </w:rPr>
        <w:t xml:space="preserve"> </w:t>
      </w:r>
      <w:r w:rsidR="001B71CA">
        <w:rPr>
          <w:lang w:eastAsia="zh-CN"/>
        </w:rPr>
        <w:t xml:space="preserve">which </w:t>
      </w:r>
      <w:r w:rsidR="009B3194">
        <w:rPr>
          <w:lang w:eastAsia="zh-CN"/>
        </w:rPr>
        <w:t xml:space="preserve">affected </w:t>
      </w:r>
      <w:r w:rsidR="001B71CA">
        <w:rPr>
          <w:lang w:eastAsia="zh-CN"/>
        </w:rPr>
        <w:t>the momentum for reform.</w:t>
      </w:r>
      <w:r>
        <w:rPr>
          <w:lang w:eastAsia="zh-CN"/>
        </w:rPr>
        <w:t xml:space="preserve"> </w:t>
      </w:r>
    </w:p>
    <w:p w14:paraId="6CA4E5B5" w14:textId="77777777" w:rsidR="000D733F" w:rsidRDefault="000D733F" w:rsidP="003D00FF">
      <w:pPr>
        <w:pStyle w:val="Heading3"/>
      </w:pPr>
      <w:r w:rsidRPr="009E38C1">
        <w:t>Mutual Obligations</w:t>
      </w:r>
      <w:r w:rsidRPr="009E38C1">
        <w:rPr>
          <w:sz w:val="32"/>
          <w:szCs w:val="32"/>
        </w:rPr>
        <w:tab/>
      </w:r>
      <w:r>
        <w:tab/>
      </w:r>
      <w:r>
        <w:tab/>
      </w:r>
      <w:r>
        <w:tab/>
      </w:r>
    </w:p>
    <w:p w14:paraId="38EFA0C1" w14:textId="76CD8D0B" w:rsidR="00E33F3B" w:rsidRDefault="00B61C85" w:rsidP="00E33F3B">
      <w:pPr>
        <w:pStyle w:val="ListBullet"/>
        <w:numPr>
          <w:ilvl w:val="0"/>
          <w:numId w:val="0"/>
        </w:numPr>
        <w:jc w:val="both"/>
      </w:pPr>
      <w:r w:rsidRPr="00A31C9B">
        <w:rPr>
          <w:szCs w:val="21"/>
          <w:lang w:eastAsia="zh-CN"/>
        </w:rPr>
        <w:t>The Australia-Bangladesh Aid Program Strategy (2012-16) outlines Australia’s approach to bilateral development in Bangladesh.  It sets ou</w:t>
      </w:r>
      <w:r w:rsidR="00173565">
        <w:rPr>
          <w:szCs w:val="21"/>
          <w:lang w:eastAsia="zh-CN"/>
        </w:rPr>
        <w:t>t how Australian aid will help</w:t>
      </w:r>
      <w:r w:rsidRPr="00A31C9B">
        <w:rPr>
          <w:szCs w:val="21"/>
          <w:lang w:eastAsia="zh-CN"/>
        </w:rPr>
        <w:t xml:space="preserve"> the government and people of Bangladesh to achieve the country’s development goals.  A Statement of Commitment on development cooperation signed </w:t>
      </w:r>
      <w:r w:rsidR="00B13EBD">
        <w:rPr>
          <w:szCs w:val="21"/>
          <w:lang w:eastAsia="zh-CN"/>
        </w:rPr>
        <w:t xml:space="preserve">by both governments </w:t>
      </w:r>
      <w:r w:rsidRPr="00A31C9B">
        <w:rPr>
          <w:szCs w:val="21"/>
          <w:lang w:eastAsia="zh-CN"/>
        </w:rPr>
        <w:t>in 2013 aligns with this strategy</w:t>
      </w:r>
      <w:r w:rsidR="004E7AF7">
        <w:rPr>
          <w:szCs w:val="21"/>
          <w:lang w:eastAsia="zh-CN"/>
        </w:rPr>
        <w:t>.</w:t>
      </w:r>
      <w:r w:rsidR="005D0C0F">
        <w:rPr>
          <w:szCs w:val="21"/>
          <w:lang w:eastAsia="zh-CN"/>
        </w:rPr>
        <w:t xml:space="preserve"> </w:t>
      </w:r>
      <w:r w:rsidR="009B3194">
        <w:rPr>
          <w:szCs w:val="21"/>
          <w:lang w:eastAsia="zh-CN"/>
        </w:rPr>
        <w:t xml:space="preserve"> </w:t>
      </w:r>
      <w:r w:rsidR="00E33F3B">
        <w:t xml:space="preserve">Following inaugural senior officials talks in early 2014, preparations are underway to </w:t>
      </w:r>
      <w:r w:rsidR="00B13EBD">
        <w:t>convene these talks</w:t>
      </w:r>
      <w:r w:rsidR="00E33F3B">
        <w:t xml:space="preserve"> bi-annual</w:t>
      </w:r>
      <w:r w:rsidR="00B13EBD">
        <w:t xml:space="preserve">ly, so that </w:t>
      </w:r>
      <w:r w:rsidR="00E33F3B">
        <w:t xml:space="preserve">the bilateral relationship, including development assistance can be discussed </w:t>
      </w:r>
      <w:r w:rsidR="00173565">
        <w:t xml:space="preserve">regularly </w:t>
      </w:r>
      <w:r w:rsidR="00E33F3B">
        <w:t>at senior levels.</w:t>
      </w:r>
    </w:p>
    <w:p w14:paraId="5BF6E67A" w14:textId="22075EE7" w:rsidR="00E33F3B" w:rsidRDefault="00B61C85" w:rsidP="00343F99">
      <w:pPr>
        <w:pStyle w:val="ListBullet"/>
        <w:numPr>
          <w:ilvl w:val="0"/>
          <w:numId w:val="0"/>
        </w:numPr>
        <w:jc w:val="both"/>
        <w:rPr>
          <w:rFonts w:cs="Helvetica"/>
          <w:szCs w:val="20"/>
          <w:lang w:val="en"/>
        </w:rPr>
      </w:pPr>
      <w:r w:rsidRPr="00A31C9B">
        <w:rPr>
          <w:rFonts w:cs="Helvetica"/>
          <w:szCs w:val="20"/>
          <w:lang w:val="en"/>
        </w:rPr>
        <w:t xml:space="preserve">Australia remains committed to working with the Government to strengthen its national systems in service delivery to the poor and most vulnerable, and continues to welcome the Government’s vision to further reduce poverty and accelerate economic growth so that the benefits of development are shared by all. </w:t>
      </w:r>
      <w:r w:rsidRPr="00B61C85">
        <w:rPr>
          <w:rFonts w:cs="Helvetica"/>
          <w:szCs w:val="20"/>
          <w:lang w:val="en"/>
        </w:rPr>
        <w:t xml:space="preserve">Australia’s support aligns with the Government of Bangladesh’s vision for the country, outlined in its </w:t>
      </w:r>
      <w:r w:rsidR="002F1B63">
        <w:rPr>
          <w:rFonts w:cs="Helvetica"/>
          <w:szCs w:val="20"/>
          <w:lang w:val="en"/>
        </w:rPr>
        <w:t>S</w:t>
      </w:r>
      <w:r w:rsidRPr="00B61C85">
        <w:rPr>
          <w:rFonts w:cs="Helvetica"/>
          <w:szCs w:val="20"/>
          <w:lang w:val="en"/>
        </w:rPr>
        <w:t>ixth Five Year Plan 2011</w:t>
      </w:r>
      <w:r w:rsidR="00654293">
        <w:rPr>
          <w:rFonts w:cs="Helvetica"/>
          <w:szCs w:val="20"/>
          <w:lang w:val="en"/>
        </w:rPr>
        <w:t>-</w:t>
      </w:r>
      <w:r w:rsidRPr="00B61C85">
        <w:rPr>
          <w:rFonts w:cs="Helvetica"/>
          <w:szCs w:val="20"/>
          <w:lang w:val="en"/>
        </w:rPr>
        <w:t xml:space="preserve">2015.  The </w:t>
      </w:r>
      <w:r w:rsidR="002F1B63">
        <w:rPr>
          <w:rFonts w:cs="Helvetica"/>
          <w:szCs w:val="20"/>
          <w:lang w:val="en"/>
        </w:rPr>
        <w:t>S</w:t>
      </w:r>
      <w:r w:rsidRPr="00B61C85">
        <w:rPr>
          <w:rFonts w:cs="Helvetica"/>
          <w:szCs w:val="20"/>
          <w:lang w:val="en"/>
        </w:rPr>
        <w:t xml:space="preserve">eventh Five Year Plan 2016-2020 is </w:t>
      </w:r>
      <w:r w:rsidR="000D4CC0">
        <w:rPr>
          <w:rFonts w:cs="Helvetica"/>
          <w:szCs w:val="20"/>
          <w:lang w:val="en"/>
        </w:rPr>
        <w:t>in development and Australia has been an active contributor to the Government’s analytical and consultation process, including funding a background paper on gender.</w:t>
      </w:r>
      <w:r w:rsidR="00322B24">
        <w:rPr>
          <w:rFonts w:cs="Helvetica"/>
          <w:szCs w:val="20"/>
          <w:lang w:val="en"/>
        </w:rPr>
        <w:t xml:space="preserve"> </w:t>
      </w:r>
      <w:r w:rsidRPr="00B61C85">
        <w:rPr>
          <w:rFonts w:cs="Helvetica"/>
          <w:szCs w:val="20"/>
          <w:lang w:val="en"/>
        </w:rPr>
        <w:t xml:space="preserve"> </w:t>
      </w:r>
      <w:r w:rsidR="0038400C">
        <w:rPr>
          <w:rFonts w:cs="Helvetica"/>
          <w:szCs w:val="20"/>
          <w:lang w:val="en"/>
        </w:rPr>
        <w:t xml:space="preserve">Australia has </w:t>
      </w:r>
      <w:r w:rsidR="00322B24">
        <w:rPr>
          <w:rFonts w:cs="Helvetica"/>
          <w:szCs w:val="20"/>
          <w:lang w:val="en"/>
        </w:rPr>
        <w:t xml:space="preserve">also </w:t>
      </w:r>
      <w:r w:rsidR="0038400C">
        <w:rPr>
          <w:rFonts w:cs="Helvetica"/>
          <w:szCs w:val="20"/>
          <w:lang w:val="en"/>
        </w:rPr>
        <w:t>played an active role in donor coordination and aid effectiveness forums, both as a member of the Local Consultative Group (LCG) Executive Committee (also representing Canada and Korea) and through the LCG’s technical working groups</w:t>
      </w:r>
      <w:r w:rsidR="00322B24">
        <w:rPr>
          <w:rFonts w:cs="Helvetica"/>
          <w:szCs w:val="20"/>
          <w:lang w:val="en"/>
        </w:rPr>
        <w:t>.</w:t>
      </w:r>
    </w:p>
    <w:p w14:paraId="0AEF4A11" w14:textId="77777777" w:rsidR="00DE45C7" w:rsidRDefault="00B61C85" w:rsidP="00A82891">
      <w:pPr>
        <w:pStyle w:val="ListBullet"/>
        <w:numPr>
          <w:ilvl w:val="0"/>
          <w:numId w:val="0"/>
        </w:numPr>
        <w:jc w:val="both"/>
        <w:rPr>
          <w:rFonts w:cs="Helvetica"/>
          <w:szCs w:val="20"/>
          <w:lang w:val="en"/>
        </w:rPr>
      </w:pPr>
      <w:r w:rsidRPr="00B61C85">
        <w:rPr>
          <w:rFonts w:cs="Helvetica"/>
          <w:szCs w:val="20"/>
          <w:lang w:val="en"/>
        </w:rPr>
        <w:t>During the reporting period the Government made strong progress towards eliminating poverty</w:t>
      </w:r>
      <w:r w:rsidR="00B13EBD">
        <w:rPr>
          <w:rFonts w:cs="Helvetica"/>
          <w:szCs w:val="20"/>
          <w:lang w:val="en"/>
        </w:rPr>
        <w:t>,</w:t>
      </w:r>
      <w:r w:rsidRPr="00B61C85">
        <w:rPr>
          <w:rFonts w:cs="Helvetica"/>
          <w:szCs w:val="20"/>
          <w:lang w:val="en"/>
        </w:rPr>
        <w:t xml:space="preserve"> as </w:t>
      </w:r>
      <w:r w:rsidR="00B13EBD">
        <w:rPr>
          <w:rFonts w:cs="Helvetica"/>
          <w:szCs w:val="20"/>
          <w:lang w:val="en"/>
        </w:rPr>
        <w:t xml:space="preserve">reflected in Bangladesh’s recent </w:t>
      </w:r>
      <w:r w:rsidRPr="00B61C85">
        <w:rPr>
          <w:rFonts w:cs="Helvetica"/>
          <w:szCs w:val="20"/>
          <w:lang w:val="en"/>
        </w:rPr>
        <w:t>elevatio</w:t>
      </w:r>
      <w:r w:rsidR="00B13EBD">
        <w:rPr>
          <w:rFonts w:cs="Helvetica"/>
          <w:szCs w:val="20"/>
          <w:lang w:val="en"/>
        </w:rPr>
        <w:t xml:space="preserve">n to lower-middle income status; </w:t>
      </w:r>
      <w:r w:rsidRPr="00B61C85">
        <w:rPr>
          <w:rFonts w:cs="Helvetica"/>
          <w:szCs w:val="20"/>
          <w:lang w:val="en"/>
        </w:rPr>
        <w:t xml:space="preserve">through its </w:t>
      </w:r>
    </w:p>
    <w:p w14:paraId="26EC0818" w14:textId="77777777" w:rsidR="00DE45C7" w:rsidRDefault="00DE45C7">
      <w:pPr>
        <w:spacing w:after="200" w:line="276" w:lineRule="auto"/>
        <w:rPr>
          <w:rFonts w:ascii="Franklin Gothic Book" w:eastAsia="Times New Roman" w:hAnsi="Franklin Gothic Book" w:cs="Helvetica"/>
          <w:sz w:val="21"/>
          <w:szCs w:val="20"/>
          <w:lang w:val="en"/>
        </w:rPr>
      </w:pPr>
      <w:r>
        <w:rPr>
          <w:rFonts w:cs="Helvetica"/>
          <w:szCs w:val="20"/>
          <w:lang w:val="en"/>
        </w:rPr>
        <w:br w:type="page"/>
      </w:r>
    </w:p>
    <w:p w14:paraId="507AB4AF" w14:textId="18F916CA" w:rsidR="00B61C85" w:rsidRPr="00B61C85" w:rsidRDefault="00B61C85" w:rsidP="00A82891">
      <w:pPr>
        <w:pStyle w:val="ListBullet"/>
        <w:numPr>
          <w:ilvl w:val="0"/>
          <w:numId w:val="0"/>
        </w:numPr>
        <w:jc w:val="both"/>
        <w:rPr>
          <w:lang w:val="en"/>
        </w:rPr>
      </w:pPr>
      <w:r w:rsidRPr="00B61C85">
        <w:rPr>
          <w:rFonts w:cs="Helvetica"/>
          <w:szCs w:val="20"/>
          <w:lang w:val="en"/>
        </w:rPr>
        <w:lastRenderedPageBreak/>
        <w:t>progress in meeting MDG 1 (eradicate extreme poverty and hunger)</w:t>
      </w:r>
      <w:r w:rsidR="00B13EBD">
        <w:rPr>
          <w:rFonts w:cs="Helvetica"/>
          <w:szCs w:val="20"/>
          <w:lang w:val="en"/>
        </w:rPr>
        <w:t>;</w:t>
      </w:r>
      <w:r w:rsidRPr="00B61C85">
        <w:rPr>
          <w:rFonts w:cs="Helvetica"/>
          <w:szCs w:val="20"/>
          <w:lang w:val="en"/>
        </w:rPr>
        <w:t xml:space="preserve"> </w:t>
      </w:r>
      <w:r w:rsidR="0093547C">
        <w:rPr>
          <w:rFonts w:cs="Helvetica"/>
          <w:szCs w:val="20"/>
          <w:lang w:val="en"/>
        </w:rPr>
        <w:t>MDG 2 (access to primary education)</w:t>
      </w:r>
      <w:r w:rsidR="00B13EBD">
        <w:rPr>
          <w:rFonts w:cs="Helvetica"/>
          <w:szCs w:val="20"/>
          <w:lang w:val="en"/>
        </w:rPr>
        <w:t>:</w:t>
      </w:r>
      <w:r w:rsidR="0093547C">
        <w:rPr>
          <w:rFonts w:cs="Helvetica"/>
          <w:szCs w:val="20"/>
          <w:lang w:val="en"/>
        </w:rPr>
        <w:t xml:space="preserve"> </w:t>
      </w:r>
      <w:r w:rsidRPr="00B61C85">
        <w:rPr>
          <w:rFonts w:cs="Helvetica"/>
          <w:szCs w:val="20"/>
          <w:lang w:val="en"/>
        </w:rPr>
        <w:t xml:space="preserve">through the gains in meeting MDG 4 (reduce child mortality) and </w:t>
      </w:r>
      <w:r w:rsidR="00B13EBD">
        <w:rPr>
          <w:rFonts w:cs="Helvetica"/>
          <w:szCs w:val="20"/>
          <w:lang w:val="en"/>
        </w:rPr>
        <w:t xml:space="preserve">MDG </w:t>
      </w:r>
      <w:r w:rsidRPr="00B61C85">
        <w:rPr>
          <w:rFonts w:cs="Helvetica"/>
          <w:szCs w:val="20"/>
          <w:lang w:val="en"/>
        </w:rPr>
        <w:t xml:space="preserve">5 (improve </w:t>
      </w:r>
      <w:r w:rsidR="00B13EBD">
        <w:rPr>
          <w:rFonts w:cs="Helvetica"/>
          <w:szCs w:val="20"/>
          <w:lang w:val="en"/>
        </w:rPr>
        <w:t>maternal health);</w:t>
      </w:r>
      <w:r w:rsidRPr="00B61C85">
        <w:rPr>
          <w:rFonts w:cs="Helvetica"/>
          <w:szCs w:val="20"/>
          <w:lang w:val="en"/>
        </w:rPr>
        <w:t xml:space="preserve"> and having reached gender parity targets in primary and secondary education under MDG3 (promote gender equality and empower women)</w:t>
      </w:r>
      <w:r w:rsidR="00E2556F">
        <w:rPr>
          <w:rStyle w:val="FootnoteReference"/>
          <w:rFonts w:cs="Helvetica"/>
          <w:lang w:val="en"/>
        </w:rPr>
        <w:footnoteReference w:id="38"/>
      </w:r>
      <w:r w:rsidRPr="00B61C85">
        <w:rPr>
          <w:rFonts w:cs="Helvetica"/>
          <w:szCs w:val="20"/>
          <w:lang w:val="en"/>
        </w:rPr>
        <w:t xml:space="preserve">.  </w:t>
      </w:r>
      <w:r w:rsidR="00A93AEC">
        <w:t xml:space="preserve">Australia </w:t>
      </w:r>
      <w:r w:rsidR="00B22615">
        <w:t>is one of nine development partners funding the Government’s primary education program, where 70 per</w:t>
      </w:r>
      <w:r w:rsidR="00F43820">
        <w:t xml:space="preserve"> </w:t>
      </w:r>
      <w:r w:rsidR="00B22615">
        <w:t>cent of donor funding is</w:t>
      </w:r>
      <w:r w:rsidR="00B13EBD">
        <w:t xml:space="preserve"> contingent</w:t>
      </w:r>
      <w:r w:rsidR="00B22615">
        <w:t xml:space="preserve"> on </w:t>
      </w:r>
      <w:r w:rsidR="00B13EBD">
        <w:t xml:space="preserve">the Bangladesh Government achieving </w:t>
      </w:r>
      <w:r w:rsidR="00B22615">
        <w:t>educational reforms</w:t>
      </w:r>
      <w:r w:rsidR="0071214F">
        <w:rPr>
          <w:rStyle w:val="FootnoteReference"/>
          <w:rFonts w:cs="Helvetica"/>
          <w:lang w:val="en"/>
        </w:rPr>
        <w:footnoteReference w:id="39"/>
      </w:r>
      <w:r w:rsidRPr="00B61C85">
        <w:rPr>
          <w:rFonts w:cs="Helvetica"/>
          <w:szCs w:val="20"/>
          <w:lang w:val="en"/>
        </w:rPr>
        <w:t>.</w:t>
      </w:r>
      <w:r w:rsidR="00343F99" w:rsidRPr="00343F99">
        <w:t xml:space="preserve"> </w:t>
      </w:r>
    </w:p>
    <w:p w14:paraId="0E7285BA" w14:textId="1A3E6608" w:rsidR="00906A81" w:rsidRPr="0007149C" w:rsidRDefault="00511A0F" w:rsidP="0007149C">
      <w:pPr>
        <w:pStyle w:val="Heading2"/>
        <w:rPr>
          <w:sz w:val="28"/>
        </w:rPr>
      </w:pPr>
      <w:r w:rsidRPr="0007149C">
        <w:rPr>
          <w:sz w:val="28"/>
        </w:rPr>
        <w:t>Program Quality</w:t>
      </w:r>
      <w:r w:rsidR="000D733F" w:rsidRPr="0007149C">
        <w:rPr>
          <w:sz w:val="28"/>
        </w:rPr>
        <w:t xml:space="preserve"> and </w:t>
      </w:r>
      <w:r w:rsidR="00581979">
        <w:rPr>
          <w:sz w:val="28"/>
        </w:rPr>
        <w:t>Partner Performance</w:t>
      </w:r>
      <w:r w:rsidR="000D733F" w:rsidRPr="0007149C">
        <w:rPr>
          <w:sz w:val="28"/>
        </w:rPr>
        <w:t xml:space="preserve"> </w:t>
      </w:r>
    </w:p>
    <w:p w14:paraId="5A80F67A" w14:textId="1C77037C" w:rsidR="000D733F" w:rsidRDefault="00B5368B" w:rsidP="003D00FF">
      <w:pPr>
        <w:pStyle w:val="Heading3"/>
      </w:pPr>
      <w:r>
        <w:t>Program Management</w:t>
      </w:r>
      <w:r w:rsidR="000D733F" w:rsidRPr="006A5742">
        <w:tab/>
      </w:r>
      <w:r w:rsidR="000D733F">
        <w:tab/>
      </w:r>
    </w:p>
    <w:p w14:paraId="47444E55" w14:textId="4B08FBE9" w:rsidR="006B1F29" w:rsidRDefault="00173565" w:rsidP="0071214F">
      <w:pPr>
        <w:pStyle w:val="BodyText"/>
        <w:jc w:val="both"/>
        <w:rPr>
          <w:lang w:eastAsia="zh-CN"/>
        </w:rPr>
      </w:pPr>
      <w:r>
        <w:rPr>
          <w:lang w:eastAsia="zh-CN"/>
        </w:rPr>
        <w:t xml:space="preserve">A new </w:t>
      </w:r>
      <w:r w:rsidR="00A93AEC">
        <w:rPr>
          <w:lang w:eastAsia="zh-CN"/>
        </w:rPr>
        <w:t>AIP was prepared</w:t>
      </w:r>
      <w:r w:rsidR="009B3194">
        <w:rPr>
          <w:lang w:eastAsia="zh-CN"/>
        </w:rPr>
        <w:t xml:space="preserve"> (including consultations with development partners and the private sector)</w:t>
      </w:r>
      <w:r w:rsidR="00A93AEC">
        <w:rPr>
          <w:lang w:eastAsia="zh-CN"/>
        </w:rPr>
        <w:t xml:space="preserve"> and the </w:t>
      </w:r>
      <w:r w:rsidR="0071214F">
        <w:rPr>
          <w:lang w:eastAsia="zh-CN"/>
        </w:rPr>
        <w:t xml:space="preserve">Performance Assessment Framework (PAF) </w:t>
      </w:r>
      <w:r w:rsidR="00A93AEC">
        <w:rPr>
          <w:lang w:eastAsia="zh-CN"/>
        </w:rPr>
        <w:t xml:space="preserve">was </w:t>
      </w:r>
      <w:r w:rsidR="0071214F">
        <w:rPr>
          <w:lang w:eastAsia="zh-CN"/>
        </w:rPr>
        <w:t>updated during the reporting period</w:t>
      </w:r>
      <w:r w:rsidR="0005378F">
        <w:rPr>
          <w:lang w:eastAsia="zh-CN"/>
        </w:rPr>
        <w:t>,</w:t>
      </w:r>
      <w:r w:rsidR="0071214F">
        <w:rPr>
          <w:lang w:eastAsia="zh-CN"/>
        </w:rPr>
        <w:t xml:space="preserve"> </w:t>
      </w:r>
      <w:r w:rsidR="00A93AEC">
        <w:rPr>
          <w:lang w:eastAsia="zh-CN"/>
        </w:rPr>
        <w:t>aligning our strategy to</w:t>
      </w:r>
      <w:r w:rsidR="0071214F">
        <w:rPr>
          <w:lang w:eastAsia="zh-CN"/>
        </w:rPr>
        <w:t xml:space="preserve"> </w:t>
      </w:r>
      <w:r w:rsidR="00A93AEC">
        <w:rPr>
          <w:lang w:eastAsia="zh-CN"/>
        </w:rPr>
        <w:t xml:space="preserve">Bangladesh’s emerging </w:t>
      </w:r>
      <w:r w:rsidR="0071214F">
        <w:rPr>
          <w:lang w:eastAsia="zh-CN"/>
        </w:rPr>
        <w:t>priorities and ensur</w:t>
      </w:r>
      <w:r w:rsidR="00A93AEC">
        <w:rPr>
          <w:lang w:eastAsia="zh-CN"/>
        </w:rPr>
        <w:t>ing consistency w</w:t>
      </w:r>
      <w:r w:rsidR="0071214F">
        <w:rPr>
          <w:lang w:eastAsia="zh-CN"/>
        </w:rPr>
        <w:t>ith the Australian Government</w:t>
      </w:r>
      <w:r w:rsidR="00124A09">
        <w:rPr>
          <w:lang w:eastAsia="zh-CN"/>
        </w:rPr>
        <w:t>’</w:t>
      </w:r>
      <w:r w:rsidR="0071214F">
        <w:rPr>
          <w:lang w:eastAsia="zh-CN"/>
        </w:rPr>
        <w:t xml:space="preserve">s aid </w:t>
      </w:r>
      <w:r w:rsidR="00124A09">
        <w:rPr>
          <w:lang w:eastAsia="zh-CN"/>
        </w:rPr>
        <w:t>policy and performance framework</w:t>
      </w:r>
      <w:r w:rsidR="0071214F">
        <w:rPr>
          <w:lang w:eastAsia="zh-CN"/>
        </w:rPr>
        <w:t xml:space="preserve">. </w:t>
      </w:r>
      <w:r w:rsidR="005D0C0F">
        <w:rPr>
          <w:lang w:eastAsia="zh-CN"/>
        </w:rPr>
        <w:t xml:space="preserve"> </w:t>
      </w:r>
      <w:r w:rsidR="00BE78BA">
        <w:rPr>
          <w:lang w:eastAsia="zh-CN"/>
        </w:rPr>
        <w:t>We</w:t>
      </w:r>
      <w:r w:rsidR="00A82891">
        <w:rPr>
          <w:lang w:eastAsia="zh-CN"/>
        </w:rPr>
        <w:t xml:space="preserve"> </w:t>
      </w:r>
      <w:r w:rsidR="00BE78BA">
        <w:rPr>
          <w:lang w:eastAsia="zh-CN"/>
        </w:rPr>
        <w:t>finalised a</w:t>
      </w:r>
      <w:r w:rsidR="006B1F29">
        <w:rPr>
          <w:lang w:eastAsia="zh-CN"/>
        </w:rPr>
        <w:t xml:space="preserve"> Fraud and Anti-Corruption Strategy</w:t>
      </w:r>
      <w:r w:rsidR="00CA686A">
        <w:rPr>
          <w:lang w:eastAsia="zh-CN"/>
        </w:rPr>
        <w:t xml:space="preserve"> for the aid program, develop</w:t>
      </w:r>
      <w:r w:rsidR="00BE78BA">
        <w:rPr>
          <w:lang w:eastAsia="zh-CN"/>
        </w:rPr>
        <w:t>ed</w:t>
      </w:r>
      <w:r w:rsidR="00CA686A">
        <w:rPr>
          <w:lang w:eastAsia="zh-CN"/>
        </w:rPr>
        <w:t xml:space="preserve"> a single crisis action plan integrating consular and humanitarian response</w:t>
      </w:r>
      <w:r w:rsidR="00BE78BA">
        <w:rPr>
          <w:lang w:eastAsia="zh-CN"/>
        </w:rPr>
        <w:t xml:space="preserve">, and more strategically linked </w:t>
      </w:r>
      <w:r w:rsidR="00A93AEC">
        <w:rPr>
          <w:lang w:eastAsia="zh-CN"/>
        </w:rPr>
        <w:t>the</w:t>
      </w:r>
      <w:r w:rsidR="00BE78BA">
        <w:rPr>
          <w:lang w:eastAsia="zh-CN"/>
        </w:rPr>
        <w:t xml:space="preserve"> aid program to </w:t>
      </w:r>
      <w:r w:rsidR="00A93AEC">
        <w:rPr>
          <w:lang w:eastAsia="zh-CN"/>
        </w:rPr>
        <w:t>Australia’s</w:t>
      </w:r>
      <w:r w:rsidR="00BE78BA">
        <w:rPr>
          <w:lang w:eastAsia="zh-CN"/>
        </w:rPr>
        <w:t xml:space="preserve"> economic </w:t>
      </w:r>
      <w:r w:rsidR="00A93AEC">
        <w:rPr>
          <w:lang w:eastAsia="zh-CN"/>
        </w:rPr>
        <w:t xml:space="preserve">and public </w:t>
      </w:r>
      <w:r w:rsidR="00BE78BA">
        <w:rPr>
          <w:lang w:eastAsia="zh-CN"/>
        </w:rPr>
        <w:t>diplomacy strategies</w:t>
      </w:r>
      <w:r w:rsidR="00370CD8">
        <w:rPr>
          <w:lang w:eastAsia="zh-CN"/>
        </w:rPr>
        <w:t>, including regular posts on the new Australia in Bangladesh Facebook</w:t>
      </w:r>
      <w:r w:rsidR="00E2556F">
        <w:rPr>
          <w:rStyle w:val="FootnoteReference"/>
          <w:lang w:eastAsia="zh-CN"/>
        </w:rPr>
        <w:footnoteReference w:id="40"/>
      </w:r>
      <w:r w:rsidR="00370CD8">
        <w:rPr>
          <w:lang w:eastAsia="zh-CN"/>
        </w:rPr>
        <w:t xml:space="preserve"> page</w:t>
      </w:r>
      <w:r>
        <w:rPr>
          <w:lang w:eastAsia="zh-CN"/>
        </w:rPr>
        <w:t>.  Our High Commission</w:t>
      </w:r>
      <w:r w:rsidR="00124A09">
        <w:rPr>
          <w:lang w:eastAsia="zh-CN"/>
        </w:rPr>
        <w:t xml:space="preserve">’s business plan and risk register were also updated to provide a more integrated assessment of </w:t>
      </w:r>
      <w:r w:rsidR="00B13EBD">
        <w:rPr>
          <w:lang w:eastAsia="zh-CN"/>
        </w:rPr>
        <w:t xml:space="preserve">aid and </w:t>
      </w:r>
      <w:r w:rsidR="00124A09">
        <w:rPr>
          <w:lang w:eastAsia="zh-CN"/>
        </w:rPr>
        <w:t>foreign policy deliverables.</w:t>
      </w:r>
    </w:p>
    <w:p w14:paraId="6C341070" w14:textId="3CEFE514" w:rsidR="006B1F29" w:rsidRDefault="00173565" w:rsidP="0071214F">
      <w:pPr>
        <w:pStyle w:val="BodyText"/>
        <w:jc w:val="both"/>
        <w:rPr>
          <w:lang w:eastAsia="zh-CN"/>
        </w:rPr>
      </w:pPr>
      <w:r>
        <w:rPr>
          <w:lang w:eastAsia="zh-CN"/>
        </w:rPr>
        <w:t>Our s</w:t>
      </w:r>
      <w:r w:rsidR="00370CD8">
        <w:rPr>
          <w:lang w:eastAsia="zh-CN"/>
        </w:rPr>
        <w:t>taff</w:t>
      </w:r>
      <w:r w:rsidR="006B1F29">
        <w:rPr>
          <w:lang w:eastAsia="zh-CN"/>
        </w:rPr>
        <w:t xml:space="preserve"> </w:t>
      </w:r>
      <w:r w:rsidR="00202C34">
        <w:rPr>
          <w:lang w:eastAsia="zh-CN"/>
        </w:rPr>
        <w:t>attended</w:t>
      </w:r>
      <w:r w:rsidR="006B1F29">
        <w:rPr>
          <w:lang w:eastAsia="zh-CN"/>
        </w:rPr>
        <w:t xml:space="preserve"> </w:t>
      </w:r>
      <w:r w:rsidR="00202C34">
        <w:rPr>
          <w:lang w:eastAsia="zh-CN"/>
        </w:rPr>
        <w:t>training</w:t>
      </w:r>
      <w:r w:rsidR="006B1F29">
        <w:rPr>
          <w:lang w:eastAsia="zh-CN"/>
        </w:rPr>
        <w:t xml:space="preserve"> in environmental safeguards</w:t>
      </w:r>
      <w:r w:rsidR="00CA686A">
        <w:rPr>
          <w:lang w:eastAsia="zh-CN"/>
        </w:rPr>
        <w:t xml:space="preserve">, </w:t>
      </w:r>
      <w:r w:rsidR="00202C34">
        <w:rPr>
          <w:lang w:eastAsia="zh-CN"/>
        </w:rPr>
        <w:t>disaster</w:t>
      </w:r>
      <w:r w:rsidR="00CA686A">
        <w:rPr>
          <w:lang w:eastAsia="zh-CN"/>
        </w:rPr>
        <w:t xml:space="preserve"> preparedness, </w:t>
      </w:r>
      <w:r w:rsidR="00202C34">
        <w:rPr>
          <w:lang w:eastAsia="zh-CN"/>
        </w:rPr>
        <w:t>procurement, financial management systems (Aidworks), and internal quality reporting systems</w:t>
      </w:r>
      <w:r w:rsidR="00CA686A">
        <w:rPr>
          <w:lang w:eastAsia="zh-CN"/>
        </w:rPr>
        <w:t xml:space="preserve">, </w:t>
      </w:r>
      <w:r w:rsidR="00202C34">
        <w:rPr>
          <w:lang w:eastAsia="zh-CN"/>
        </w:rPr>
        <w:t xml:space="preserve">and </w:t>
      </w:r>
      <w:r w:rsidR="00370CD8">
        <w:rPr>
          <w:lang w:eastAsia="zh-CN"/>
        </w:rPr>
        <w:t xml:space="preserve">presented at and </w:t>
      </w:r>
      <w:r w:rsidR="00202C34">
        <w:rPr>
          <w:lang w:eastAsia="zh-CN"/>
        </w:rPr>
        <w:t>contributed to workshops on education, gender and women’s economic empowerment and social protection issues.</w:t>
      </w:r>
      <w:r w:rsidR="00E6200C">
        <w:rPr>
          <w:lang w:eastAsia="zh-CN"/>
        </w:rPr>
        <w:t xml:space="preserve">  We supplemented our in-house capabilities with specialist inputs in education, public financial managemen</w:t>
      </w:r>
      <w:r w:rsidR="00B13EBD">
        <w:rPr>
          <w:lang w:eastAsia="zh-CN"/>
        </w:rPr>
        <w:t xml:space="preserve">t and monitoring and evaluation. </w:t>
      </w:r>
      <w:r w:rsidR="00E6200C">
        <w:rPr>
          <w:lang w:eastAsia="zh-CN"/>
        </w:rPr>
        <w:t xml:space="preserve"> </w:t>
      </w:r>
      <w:r w:rsidR="00B13EBD">
        <w:rPr>
          <w:lang w:eastAsia="zh-CN"/>
        </w:rPr>
        <w:t>This enabled</w:t>
      </w:r>
      <w:r w:rsidR="00E6200C">
        <w:rPr>
          <w:lang w:eastAsia="zh-CN"/>
        </w:rPr>
        <w:t xml:space="preserve"> greater policy influence on technical education reforms</w:t>
      </w:r>
      <w:r w:rsidR="00155BFC">
        <w:rPr>
          <w:lang w:eastAsia="zh-CN"/>
        </w:rPr>
        <w:t>;</w:t>
      </w:r>
      <w:r w:rsidR="00E6200C">
        <w:rPr>
          <w:lang w:eastAsia="zh-CN"/>
        </w:rPr>
        <w:t xml:space="preserve"> </w:t>
      </w:r>
      <w:r w:rsidR="00B13EBD">
        <w:rPr>
          <w:lang w:eastAsia="zh-CN"/>
        </w:rPr>
        <w:t xml:space="preserve">more </w:t>
      </w:r>
      <w:r w:rsidR="00E6200C">
        <w:rPr>
          <w:lang w:eastAsia="zh-CN"/>
        </w:rPr>
        <w:t>effective monitoring and management in Bangladesh’s high fiduciary risk environment where we work through partner systems</w:t>
      </w:r>
      <w:r w:rsidR="00155BFC">
        <w:rPr>
          <w:lang w:eastAsia="zh-CN"/>
        </w:rPr>
        <w:t>;</w:t>
      </w:r>
      <w:r w:rsidR="00E6200C">
        <w:rPr>
          <w:lang w:eastAsia="zh-CN"/>
        </w:rPr>
        <w:t xml:space="preserve"> high quality, evidence-based performance evaluation and reporting</w:t>
      </w:r>
      <w:r w:rsidR="00155BFC">
        <w:rPr>
          <w:lang w:eastAsia="zh-CN"/>
        </w:rPr>
        <w:t>;</w:t>
      </w:r>
      <w:r w:rsidR="00B13EBD">
        <w:rPr>
          <w:lang w:eastAsia="zh-CN"/>
        </w:rPr>
        <w:t xml:space="preserve"> and enhanced our ability </w:t>
      </w:r>
      <w:r w:rsidR="00E6200C">
        <w:rPr>
          <w:lang w:eastAsia="zh-CN"/>
        </w:rPr>
        <w:t>to value-add to the institutional capaci</w:t>
      </w:r>
      <w:r w:rsidR="00BE1159">
        <w:rPr>
          <w:lang w:eastAsia="zh-CN"/>
        </w:rPr>
        <w:t>ty</w:t>
      </w:r>
      <w:r w:rsidR="00E6200C">
        <w:rPr>
          <w:lang w:eastAsia="zh-CN"/>
        </w:rPr>
        <w:t xml:space="preserve"> of our partners on technical reforms</w:t>
      </w:r>
      <w:r w:rsidR="00DC2C3D">
        <w:rPr>
          <w:rStyle w:val="FootnoteReference"/>
          <w:lang w:eastAsia="zh-CN"/>
        </w:rPr>
        <w:footnoteReference w:id="41"/>
      </w:r>
      <w:r w:rsidR="00E6200C">
        <w:rPr>
          <w:lang w:eastAsia="zh-CN"/>
        </w:rPr>
        <w:t>.</w:t>
      </w:r>
    </w:p>
    <w:p w14:paraId="32C11629" w14:textId="68736177" w:rsidR="00EC7861" w:rsidRDefault="00155BFC" w:rsidP="00A82891">
      <w:pPr>
        <w:pStyle w:val="BodyText"/>
        <w:jc w:val="both"/>
        <w:rPr>
          <w:lang w:eastAsia="zh-CN"/>
        </w:rPr>
      </w:pPr>
      <w:r>
        <w:rPr>
          <w:lang w:eastAsia="zh-CN"/>
        </w:rPr>
        <w:t>The Bangladesh program continued to consolidate in 2014-15</w:t>
      </w:r>
      <w:r w:rsidR="009B3194">
        <w:rPr>
          <w:lang w:eastAsia="zh-CN"/>
        </w:rPr>
        <w:t>,</w:t>
      </w:r>
      <w:r w:rsidR="00B13EBD">
        <w:rPr>
          <w:lang w:eastAsia="zh-CN"/>
        </w:rPr>
        <w:t xml:space="preserve"> reducing</w:t>
      </w:r>
      <w:r>
        <w:rPr>
          <w:lang w:eastAsia="zh-CN"/>
        </w:rPr>
        <w:t xml:space="preserve"> from 20 initiatives to 17</w:t>
      </w:r>
      <w:r w:rsidR="0005378F">
        <w:rPr>
          <w:lang w:eastAsia="zh-CN"/>
        </w:rPr>
        <w:t xml:space="preserve"> and </w:t>
      </w:r>
      <w:r>
        <w:rPr>
          <w:lang w:eastAsia="zh-CN"/>
        </w:rPr>
        <w:t>reduc</w:t>
      </w:r>
      <w:r w:rsidR="00B5368B">
        <w:rPr>
          <w:lang w:eastAsia="zh-CN"/>
        </w:rPr>
        <w:t>ing</w:t>
      </w:r>
      <w:r>
        <w:rPr>
          <w:lang w:eastAsia="zh-CN"/>
        </w:rPr>
        <w:t xml:space="preserve"> the number of agreements from 47 to 39</w:t>
      </w:r>
      <w:r w:rsidR="0005378F">
        <w:rPr>
          <w:lang w:eastAsia="zh-CN"/>
        </w:rPr>
        <w:t xml:space="preserve">. </w:t>
      </w:r>
      <w:r>
        <w:rPr>
          <w:lang w:eastAsia="zh-CN"/>
        </w:rPr>
        <w:t xml:space="preserve"> </w:t>
      </w:r>
      <w:r w:rsidR="006B1F29">
        <w:rPr>
          <w:lang w:eastAsia="zh-CN"/>
        </w:rPr>
        <w:t xml:space="preserve">We </w:t>
      </w:r>
      <w:r w:rsidR="0005378F">
        <w:rPr>
          <w:lang w:eastAsia="zh-CN"/>
        </w:rPr>
        <w:t xml:space="preserve">also </w:t>
      </w:r>
      <w:r w:rsidR="006B1F29">
        <w:rPr>
          <w:lang w:eastAsia="zh-CN"/>
        </w:rPr>
        <w:t xml:space="preserve">managed </w:t>
      </w:r>
      <w:r w:rsidR="00CE43D0">
        <w:rPr>
          <w:lang w:eastAsia="zh-CN"/>
        </w:rPr>
        <w:t>higher than usual</w:t>
      </w:r>
      <w:r w:rsidR="006B1F29">
        <w:rPr>
          <w:lang w:eastAsia="zh-CN"/>
        </w:rPr>
        <w:t xml:space="preserve"> turnover of staff</w:t>
      </w:r>
      <w:r w:rsidR="00E81E68">
        <w:rPr>
          <w:lang w:eastAsia="zh-CN"/>
        </w:rPr>
        <w:t xml:space="preserve"> (including phasing out</w:t>
      </w:r>
      <w:r w:rsidR="00094DDD">
        <w:rPr>
          <w:lang w:eastAsia="zh-CN"/>
        </w:rPr>
        <w:t xml:space="preserve"> three Internationally Recruited Specialist positions)</w:t>
      </w:r>
      <w:r w:rsidR="006B1F29">
        <w:rPr>
          <w:lang w:eastAsia="zh-CN"/>
        </w:rPr>
        <w:t xml:space="preserve">, </w:t>
      </w:r>
      <w:r w:rsidR="00A93AEC">
        <w:rPr>
          <w:lang w:eastAsia="zh-CN"/>
        </w:rPr>
        <w:t xml:space="preserve">both </w:t>
      </w:r>
      <w:r w:rsidR="006B1F29">
        <w:rPr>
          <w:lang w:eastAsia="zh-CN"/>
        </w:rPr>
        <w:t>within DFAT and in our managing contractors</w:t>
      </w:r>
      <w:r w:rsidR="002A6E97">
        <w:rPr>
          <w:lang w:eastAsia="zh-CN"/>
        </w:rPr>
        <w:t xml:space="preserve">.  </w:t>
      </w:r>
      <w:r w:rsidR="00173565">
        <w:rPr>
          <w:lang w:eastAsia="zh-CN"/>
        </w:rPr>
        <w:t>An</w:t>
      </w:r>
      <w:r w:rsidR="00EC7861">
        <w:rPr>
          <w:lang w:eastAsia="zh-CN"/>
        </w:rPr>
        <w:t xml:space="preserve"> IT transition and E</w:t>
      </w:r>
      <w:r w:rsidR="00173565">
        <w:rPr>
          <w:lang w:eastAsia="zh-CN"/>
        </w:rPr>
        <w:t xml:space="preserve">lectronic </w:t>
      </w:r>
      <w:r w:rsidR="00EC7861">
        <w:rPr>
          <w:lang w:eastAsia="zh-CN"/>
        </w:rPr>
        <w:t>D</w:t>
      </w:r>
      <w:r w:rsidR="00173565">
        <w:rPr>
          <w:lang w:eastAsia="zh-CN"/>
        </w:rPr>
        <w:t xml:space="preserve">ocuments </w:t>
      </w:r>
      <w:r w:rsidR="00EC7861">
        <w:rPr>
          <w:lang w:eastAsia="zh-CN"/>
        </w:rPr>
        <w:t>R</w:t>
      </w:r>
      <w:r w:rsidR="00173565">
        <w:rPr>
          <w:lang w:eastAsia="zh-CN"/>
        </w:rPr>
        <w:t xml:space="preserve">ecord </w:t>
      </w:r>
      <w:r w:rsidR="00EC7861">
        <w:rPr>
          <w:lang w:eastAsia="zh-CN"/>
        </w:rPr>
        <w:t>M</w:t>
      </w:r>
      <w:r w:rsidR="00173565">
        <w:rPr>
          <w:lang w:eastAsia="zh-CN"/>
        </w:rPr>
        <w:t xml:space="preserve">anagement </w:t>
      </w:r>
      <w:r w:rsidR="009B3194">
        <w:rPr>
          <w:lang w:eastAsia="zh-CN"/>
        </w:rPr>
        <w:t>S</w:t>
      </w:r>
      <w:r w:rsidR="00173565">
        <w:rPr>
          <w:lang w:eastAsia="zh-CN"/>
        </w:rPr>
        <w:t>ystem (EDRMS)</w:t>
      </w:r>
      <w:r w:rsidR="00EC7861">
        <w:rPr>
          <w:lang w:eastAsia="zh-CN"/>
        </w:rPr>
        <w:t xml:space="preserve"> integration </w:t>
      </w:r>
      <w:r w:rsidR="0005378F">
        <w:rPr>
          <w:lang w:eastAsia="zh-CN"/>
        </w:rPr>
        <w:t xml:space="preserve">was completed </w:t>
      </w:r>
      <w:r w:rsidR="00EC7861">
        <w:rPr>
          <w:lang w:eastAsia="zh-CN"/>
        </w:rPr>
        <w:t xml:space="preserve">and </w:t>
      </w:r>
      <w:r w:rsidR="009B3194">
        <w:rPr>
          <w:lang w:eastAsia="zh-CN"/>
        </w:rPr>
        <w:t xml:space="preserve">locally engaged </w:t>
      </w:r>
      <w:r w:rsidR="00EC7861">
        <w:rPr>
          <w:lang w:eastAsia="zh-CN"/>
        </w:rPr>
        <w:t>conditions of service, work level standards and pay scales</w:t>
      </w:r>
      <w:r w:rsidR="0005378F">
        <w:rPr>
          <w:lang w:eastAsia="zh-CN"/>
        </w:rPr>
        <w:t xml:space="preserve"> were harmonised</w:t>
      </w:r>
      <w:r w:rsidR="00EC7861">
        <w:rPr>
          <w:lang w:eastAsia="zh-CN"/>
        </w:rPr>
        <w:t>.</w:t>
      </w:r>
    </w:p>
    <w:p w14:paraId="0EBB5F28" w14:textId="6E2B259C" w:rsidR="002A6E97" w:rsidRDefault="002A6E97" w:rsidP="00A82891">
      <w:pPr>
        <w:pStyle w:val="BodyText"/>
        <w:jc w:val="both"/>
        <w:rPr>
          <w:lang w:eastAsia="zh-CN"/>
        </w:rPr>
      </w:pPr>
      <w:r>
        <w:rPr>
          <w:lang w:eastAsia="zh-CN"/>
        </w:rPr>
        <w:lastRenderedPageBreak/>
        <w:t xml:space="preserve">Significant management attention was spent on volunteer security issues as well as </w:t>
      </w:r>
      <w:r w:rsidR="00370CD8">
        <w:rPr>
          <w:lang w:eastAsia="zh-CN"/>
        </w:rPr>
        <w:t xml:space="preserve">planning and implementing budget adjustments in our current and forward pipeline. We </w:t>
      </w:r>
      <w:r w:rsidR="00CE43D0">
        <w:rPr>
          <w:lang w:eastAsia="zh-CN"/>
        </w:rPr>
        <w:t xml:space="preserve">expensed 100 per cent of our budget allocation for </w:t>
      </w:r>
      <w:r w:rsidR="00A82891">
        <w:rPr>
          <w:lang w:eastAsia="zh-CN"/>
        </w:rPr>
        <w:t>20</w:t>
      </w:r>
      <w:r w:rsidR="00CE43D0">
        <w:rPr>
          <w:lang w:eastAsia="zh-CN"/>
        </w:rPr>
        <w:t>14-15, including programming an additional AUD 2 million for WFP operations in Cox’s Bazar allocated at the end of the financial year.</w:t>
      </w:r>
    </w:p>
    <w:p w14:paraId="7E1421B6" w14:textId="63FA40FE" w:rsidR="0071214F" w:rsidRDefault="0071214F" w:rsidP="00A82891">
      <w:pPr>
        <w:pStyle w:val="BodyText"/>
        <w:jc w:val="both"/>
        <w:rPr>
          <w:lang w:eastAsia="zh-CN"/>
        </w:rPr>
      </w:pPr>
      <w:r>
        <w:rPr>
          <w:lang w:eastAsia="zh-CN"/>
        </w:rPr>
        <w:t xml:space="preserve">A number of reviews </w:t>
      </w:r>
      <w:r w:rsidR="006B1F29">
        <w:rPr>
          <w:lang w:eastAsia="zh-CN"/>
        </w:rPr>
        <w:t xml:space="preserve">and pieces of analysis </w:t>
      </w:r>
      <w:r>
        <w:rPr>
          <w:lang w:eastAsia="zh-CN"/>
        </w:rPr>
        <w:t>were completed during the reporting period</w:t>
      </w:r>
      <w:r w:rsidR="003A0376">
        <w:rPr>
          <w:lang w:eastAsia="zh-CN"/>
        </w:rPr>
        <w:t>, many w</w:t>
      </w:r>
      <w:r w:rsidR="00661783">
        <w:rPr>
          <w:lang w:eastAsia="zh-CN"/>
        </w:rPr>
        <w:t xml:space="preserve">ith the help of Australian technical assistance. These included: </w:t>
      </w:r>
    </w:p>
    <w:p w14:paraId="655E4544" w14:textId="3ABE4BCC" w:rsidR="0071214F" w:rsidRDefault="0071214F" w:rsidP="0071214F">
      <w:pPr>
        <w:pStyle w:val="ListBullet"/>
        <w:tabs>
          <w:tab w:val="clear" w:pos="284"/>
        </w:tabs>
        <w:jc w:val="both"/>
        <w:rPr>
          <w:lang w:eastAsia="zh-CN"/>
        </w:rPr>
      </w:pPr>
      <w:r>
        <w:rPr>
          <w:lang w:eastAsia="zh-CN"/>
        </w:rPr>
        <w:t xml:space="preserve">Government </w:t>
      </w:r>
      <w:r w:rsidR="00EC7861">
        <w:rPr>
          <w:lang w:eastAsia="zh-CN"/>
        </w:rPr>
        <w:t xml:space="preserve">primary </w:t>
      </w:r>
      <w:r>
        <w:rPr>
          <w:lang w:eastAsia="zh-CN"/>
        </w:rPr>
        <w:t>education program</w:t>
      </w:r>
      <w:r w:rsidR="00654293">
        <w:rPr>
          <w:lang w:eastAsia="zh-CN"/>
        </w:rPr>
        <w:t xml:space="preserve"> –</w:t>
      </w:r>
      <w:r>
        <w:rPr>
          <w:lang w:eastAsia="zh-CN"/>
        </w:rPr>
        <w:t>JARM</w:t>
      </w:r>
      <w:r w:rsidR="00216ADA">
        <w:rPr>
          <w:lang w:eastAsia="zh-CN"/>
        </w:rPr>
        <w:t xml:space="preserve"> – co-c</w:t>
      </w:r>
      <w:r w:rsidR="00661783">
        <w:rPr>
          <w:lang w:eastAsia="zh-CN"/>
        </w:rPr>
        <w:t>haired by Australia</w:t>
      </w:r>
      <w:r w:rsidR="00A03B4F">
        <w:rPr>
          <w:lang w:eastAsia="zh-CN"/>
        </w:rPr>
        <w:t>;</w:t>
      </w:r>
    </w:p>
    <w:p w14:paraId="6C942F2C" w14:textId="6B61D29D" w:rsidR="0071214F" w:rsidRDefault="0071214F" w:rsidP="0071214F">
      <w:pPr>
        <w:pStyle w:val="ListBullet"/>
        <w:tabs>
          <w:tab w:val="clear" w:pos="284"/>
        </w:tabs>
        <w:jc w:val="both"/>
        <w:rPr>
          <w:lang w:eastAsia="zh-CN"/>
        </w:rPr>
      </w:pPr>
      <w:r>
        <w:rPr>
          <w:lang w:eastAsia="zh-CN"/>
        </w:rPr>
        <w:t xml:space="preserve">Government </w:t>
      </w:r>
      <w:r w:rsidR="00EC7861">
        <w:rPr>
          <w:lang w:eastAsia="zh-CN"/>
        </w:rPr>
        <w:t xml:space="preserve">primary </w:t>
      </w:r>
      <w:r>
        <w:rPr>
          <w:lang w:eastAsia="zh-CN"/>
        </w:rPr>
        <w:t>education program-</w:t>
      </w:r>
      <w:r w:rsidR="00FF1021">
        <w:rPr>
          <w:lang w:eastAsia="zh-CN"/>
        </w:rPr>
        <w:t xml:space="preserve"> MTR </w:t>
      </w:r>
      <w:r w:rsidR="00661783">
        <w:rPr>
          <w:lang w:eastAsia="zh-CN"/>
        </w:rPr>
        <w:t xml:space="preserve">– Australia had a major role in facilitating the focus of the review, supporting its implementation and coordinating </w:t>
      </w:r>
      <w:r w:rsidR="003A0376">
        <w:rPr>
          <w:lang w:eastAsia="zh-CN"/>
        </w:rPr>
        <w:t xml:space="preserve">joint government/development partner </w:t>
      </w:r>
      <w:r w:rsidR="00AC4026">
        <w:rPr>
          <w:lang w:eastAsia="zh-CN"/>
        </w:rPr>
        <w:t>discussions</w:t>
      </w:r>
      <w:r>
        <w:rPr>
          <w:lang w:eastAsia="zh-CN"/>
        </w:rPr>
        <w:t>;</w:t>
      </w:r>
    </w:p>
    <w:p w14:paraId="303A7D00" w14:textId="5F58E326" w:rsidR="006B1F29" w:rsidRDefault="00EC7861" w:rsidP="0071214F">
      <w:pPr>
        <w:pStyle w:val="ListBullet"/>
        <w:tabs>
          <w:tab w:val="clear" w:pos="284"/>
        </w:tabs>
        <w:jc w:val="both"/>
        <w:rPr>
          <w:lang w:eastAsia="zh-CN"/>
        </w:rPr>
      </w:pPr>
      <w:r>
        <w:rPr>
          <w:lang w:eastAsia="zh-CN"/>
        </w:rPr>
        <w:t>Government primary education program</w:t>
      </w:r>
      <w:r w:rsidR="00A03B4F">
        <w:rPr>
          <w:lang w:eastAsia="zh-CN"/>
        </w:rPr>
        <w:t>-</w:t>
      </w:r>
      <w:r>
        <w:rPr>
          <w:lang w:eastAsia="zh-CN"/>
        </w:rPr>
        <w:t xml:space="preserve"> </w:t>
      </w:r>
      <w:r w:rsidR="00A03B4F">
        <w:rPr>
          <w:lang w:eastAsia="zh-CN"/>
        </w:rPr>
        <w:t>G</w:t>
      </w:r>
      <w:r w:rsidR="006B1F29">
        <w:rPr>
          <w:lang w:eastAsia="zh-CN"/>
        </w:rPr>
        <w:t xml:space="preserve">ender </w:t>
      </w:r>
      <w:r w:rsidR="00A03B4F">
        <w:rPr>
          <w:lang w:eastAsia="zh-CN"/>
        </w:rPr>
        <w:t>A</w:t>
      </w:r>
      <w:r w:rsidR="006B1F29">
        <w:rPr>
          <w:lang w:eastAsia="zh-CN"/>
        </w:rPr>
        <w:t>nalysis</w:t>
      </w:r>
      <w:r w:rsidR="003A0376">
        <w:rPr>
          <w:lang w:eastAsia="zh-CN"/>
        </w:rPr>
        <w:t xml:space="preserve"> – commissioned by Australia on behalf of the donor consortium (ongoing)</w:t>
      </w:r>
      <w:r w:rsidR="00A03B4F">
        <w:rPr>
          <w:lang w:eastAsia="zh-CN"/>
        </w:rPr>
        <w:t>;</w:t>
      </w:r>
    </w:p>
    <w:p w14:paraId="32772B9A" w14:textId="530C2C64" w:rsidR="006B1F29" w:rsidRDefault="0071214F" w:rsidP="0071214F">
      <w:pPr>
        <w:pStyle w:val="ListBullet"/>
        <w:tabs>
          <w:tab w:val="clear" w:pos="284"/>
        </w:tabs>
        <w:jc w:val="both"/>
        <w:rPr>
          <w:lang w:eastAsia="zh-CN"/>
        </w:rPr>
      </w:pPr>
      <w:r>
        <w:rPr>
          <w:lang w:eastAsia="zh-CN"/>
        </w:rPr>
        <w:t xml:space="preserve">BRAC </w:t>
      </w:r>
      <w:r w:rsidR="00E605F5">
        <w:rPr>
          <w:lang w:eastAsia="zh-CN"/>
        </w:rPr>
        <w:t xml:space="preserve">SPA </w:t>
      </w:r>
      <w:r>
        <w:rPr>
          <w:lang w:eastAsia="zh-CN"/>
        </w:rPr>
        <w:t>- M</w:t>
      </w:r>
      <w:r w:rsidR="00E605F5">
        <w:rPr>
          <w:lang w:eastAsia="zh-CN"/>
        </w:rPr>
        <w:t>TR</w:t>
      </w:r>
      <w:r w:rsidR="003A0376">
        <w:rPr>
          <w:lang w:eastAsia="zh-CN"/>
        </w:rPr>
        <w:t xml:space="preserve"> –</w:t>
      </w:r>
      <w:r w:rsidR="00E605F5">
        <w:rPr>
          <w:lang w:eastAsia="zh-CN"/>
        </w:rPr>
        <w:t xml:space="preserve"> </w:t>
      </w:r>
      <w:r w:rsidR="001A7224">
        <w:rPr>
          <w:lang w:eastAsia="zh-CN"/>
        </w:rPr>
        <w:t>Australia supplied the lead consultant; findings from the review have informed  strengthened reporting</w:t>
      </w:r>
      <w:r>
        <w:rPr>
          <w:lang w:eastAsia="zh-CN"/>
        </w:rPr>
        <w:t>;</w:t>
      </w:r>
    </w:p>
    <w:p w14:paraId="42417271" w14:textId="199D1038" w:rsidR="0071214F" w:rsidRDefault="0071214F" w:rsidP="0071214F">
      <w:pPr>
        <w:pStyle w:val="ListBullet"/>
        <w:tabs>
          <w:tab w:val="clear" w:pos="284"/>
        </w:tabs>
        <w:jc w:val="both"/>
        <w:rPr>
          <w:lang w:eastAsia="zh-CN"/>
        </w:rPr>
      </w:pPr>
      <w:r>
        <w:rPr>
          <w:lang w:eastAsia="zh-CN"/>
        </w:rPr>
        <w:t xml:space="preserve">BRAC </w:t>
      </w:r>
      <w:r w:rsidR="00E605F5">
        <w:rPr>
          <w:lang w:eastAsia="zh-CN"/>
        </w:rPr>
        <w:t xml:space="preserve">CFPR-TUP – MTR </w:t>
      </w:r>
      <w:r w:rsidR="003A0376">
        <w:rPr>
          <w:lang w:eastAsia="zh-CN"/>
        </w:rPr>
        <w:t>– led by Australia</w:t>
      </w:r>
      <w:r w:rsidR="001A7224">
        <w:rPr>
          <w:lang w:eastAsia="zh-CN"/>
        </w:rPr>
        <w:t xml:space="preserve"> with recommendations that have informed the design of the program’s next phase</w:t>
      </w:r>
      <w:r>
        <w:rPr>
          <w:lang w:eastAsia="zh-CN"/>
        </w:rPr>
        <w:t>; and</w:t>
      </w:r>
    </w:p>
    <w:p w14:paraId="63D022DA" w14:textId="1A226E15" w:rsidR="0071214F" w:rsidRPr="0071214F" w:rsidRDefault="00EC7861" w:rsidP="00F93549">
      <w:pPr>
        <w:pStyle w:val="ListBullet"/>
        <w:tabs>
          <w:tab w:val="clear" w:pos="284"/>
        </w:tabs>
        <w:jc w:val="both"/>
        <w:rPr>
          <w:lang w:eastAsia="zh-CN"/>
        </w:rPr>
      </w:pPr>
      <w:r w:rsidRPr="00161E58">
        <w:t>Gender Equality and Women’s Empowerment</w:t>
      </w:r>
      <w:r w:rsidR="00704FD9">
        <w:t xml:space="preserve"> – Review of </w:t>
      </w:r>
      <w:r w:rsidRPr="00161E58">
        <w:t>the DFAT Bangladesh Country Program</w:t>
      </w:r>
      <w:r w:rsidR="00704FD9">
        <w:t xml:space="preserve"> helped identify opportunities for greater impact on gender (incl</w:t>
      </w:r>
      <w:r w:rsidR="00F93549">
        <w:t>uding</w:t>
      </w:r>
      <w:r w:rsidR="00704FD9">
        <w:t xml:space="preserve"> PEDP3 and BRAC)</w:t>
      </w:r>
      <w:r w:rsidR="00A82891" w:rsidRPr="00161E58">
        <w:t>.</w:t>
      </w:r>
    </w:p>
    <w:p w14:paraId="42D6022D" w14:textId="77777777" w:rsidR="000D733F" w:rsidRDefault="000D733F" w:rsidP="003D00FF">
      <w:pPr>
        <w:pStyle w:val="Heading3"/>
      </w:pPr>
      <w:r>
        <w:t xml:space="preserve">Analysis of </w:t>
      </w:r>
      <w:r w:rsidR="000D2CDD">
        <w:t xml:space="preserve">Aid </w:t>
      </w:r>
      <w:r w:rsidRPr="00180B19">
        <w:t xml:space="preserve">Quality </w:t>
      </w:r>
      <w:r w:rsidR="000D2CDD">
        <w:t xml:space="preserve">Checks </w:t>
      </w:r>
      <w:r w:rsidR="0007149C">
        <w:t>(AQCs)</w:t>
      </w:r>
    </w:p>
    <w:p w14:paraId="271E514A" w14:textId="331B8F12" w:rsidR="00EA4F34" w:rsidRDefault="00793700" w:rsidP="00EA4F34">
      <w:pPr>
        <w:pStyle w:val="BodyText"/>
        <w:jc w:val="both"/>
        <w:rPr>
          <w:lang w:eastAsia="zh-CN"/>
        </w:rPr>
      </w:pPr>
      <w:r w:rsidRPr="00AC028E">
        <w:rPr>
          <w:lang w:eastAsia="zh-CN"/>
        </w:rPr>
        <w:t>Five Aid Quality Checks (AQC</w:t>
      </w:r>
      <w:r w:rsidR="00EA4F34" w:rsidRPr="00AC028E">
        <w:rPr>
          <w:lang w:eastAsia="zh-CN"/>
        </w:rPr>
        <w:t>s) and two Final Aid Quality Check</w:t>
      </w:r>
      <w:r w:rsidRPr="00AC028E">
        <w:rPr>
          <w:lang w:eastAsia="zh-CN"/>
        </w:rPr>
        <w:t>s</w:t>
      </w:r>
      <w:r w:rsidR="00EA4F34" w:rsidRPr="00AC028E">
        <w:rPr>
          <w:lang w:eastAsia="zh-CN"/>
        </w:rPr>
        <w:t xml:space="preserve"> (FAQC</w:t>
      </w:r>
      <w:r w:rsidRPr="00AC028E">
        <w:rPr>
          <w:lang w:eastAsia="zh-CN"/>
        </w:rPr>
        <w:t>s</w:t>
      </w:r>
      <w:r w:rsidR="00EA4F34" w:rsidRPr="00AC028E">
        <w:rPr>
          <w:lang w:eastAsia="zh-CN"/>
        </w:rPr>
        <w:t>) were completed during the reporting period</w:t>
      </w:r>
      <w:r w:rsidR="00EA4F34">
        <w:rPr>
          <w:lang w:eastAsia="zh-CN"/>
        </w:rPr>
        <w:t xml:space="preserve">.  One initiative was below the $3.0 million threshold for an AQC and one initiative secured an exemption from a FAQC on the basis that Australia had scaled down its support during the funding period and would no longer be supporting the sector.  AQC and FAQC moderation was conducted by Director of </w:t>
      </w:r>
      <w:r w:rsidR="007B7950">
        <w:rPr>
          <w:lang w:eastAsia="zh-CN"/>
        </w:rPr>
        <w:t xml:space="preserve">DFAT’s </w:t>
      </w:r>
      <w:r w:rsidR="00EA4F34">
        <w:rPr>
          <w:lang w:eastAsia="zh-CN"/>
        </w:rPr>
        <w:t xml:space="preserve">Bangladesh, Nepal and Bhutan </w:t>
      </w:r>
      <w:r w:rsidR="007B7950">
        <w:rPr>
          <w:lang w:eastAsia="zh-CN"/>
        </w:rPr>
        <w:t xml:space="preserve">section </w:t>
      </w:r>
      <w:r w:rsidR="00EA4F34">
        <w:rPr>
          <w:lang w:eastAsia="zh-CN"/>
        </w:rPr>
        <w:t xml:space="preserve">and </w:t>
      </w:r>
      <w:r w:rsidR="00A93AEC">
        <w:rPr>
          <w:lang w:eastAsia="zh-CN"/>
        </w:rPr>
        <w:t>a representative from the aid management and performance branch.</w:t>
      </w:r>
      <w:r w:rsidR="00EA4F34">
        <w:rPr>
          <w:lang w:eastAsia="zh-CN"/>
        </w:rPr>
        <w:t xml:space="preserve">  A standardised approach for each moderation was adopted to ensure consistency across the process.  Feedback was sought from relevant thematic areas who also attended the meetings.  Overall the </w:t>
      </w:r>
      <w:r w:rsidR="00BE75C0">
        <w:rPr>
          <w:lang w:eastAsia="zh-CN"/>
        </w:rPr>
        <w:t xml:space="preserve">evaluation found that the Bangladesh program </w:t>
      </w:r>
      <w:r w:rsidR="00EA4F34">
        <w:rPr>
          <w:lang w:eastAsia="zh-CN"/>
        </w:rPr>
        <w:t>is performing strongly across all criteria, which reflects the</w:t>
      </w:r>
      <w:r w:rsidR="001101DD">
        <w:rPr>
          <w:lang w:eastAsia="zh-CN"/>
        </w:rPr>
        <w:t xml:space="preserve"> effort to consolidate program</w:t>
      </w:r>
      <w:r w:rsidR="00EA4F34">
        <w:rPr>
          <w:lang w:eastAsia="zh-CN"/>
        </w:rPr>
        <w:t xml:space="preserve">s and focus on highly performing investments.  No initiatives were determined to require improvement based on the agreed ratings. </w:t>
      </w:r>
    </w:p>
    <w:p w14:paraId="51214EA9" w14:textId="424A9050" w:rsidR="00EA4F34" w:rsidRDefault="00EA4F34" w:rsidP="00EA4F34">
      <w:pPr>
        <w:pStyle w:val="BodyText"/>
        <w:jc w:val="both"/>
        <w:rPr>
          <w:lang w:eastAsia="zh-CN"/>
        </w:rPr>
      </w:pPr>
      <w:r w:rsidRPr="00EA4F34">
        <w:rPr>
          <w:b/>
          <w:lang w:eastAsia="zh-CN"/>
        </w:rPr>
        <w:t>Relevance</w:t>
      </w:r>
      <w:r w:rsidR="00793700">
        <w:rPr>
          <w:b/>
          <w:lang w:eastAsia="zh-CN"/>
        </w:rPr>
        <w:t xml:space="preserve"> </w:t>
      </w:r>
      <w:r w:rsidRPr="00EA4F34">
        <w:rPr>
          <w:b/>
          <w:lang w:eastAsia="zh-CN"/>
        </w:rPr>
        <w:t>-</w:t>
      </w:r>
      <w:r>
        <w:rPr>
          <w:lang w:eastAsia="zh-CN"/>
        </w:rPr>
        <w:t xml:space="preserve"> All five initiatives subject to the AQC process remain relevant in the development context in Bangladesh.  Each initiative was rated as ‘good quality’ or higher.  One initiative that was the subject of a FAQC was no longer considered relevant and received a rating of ‘less than adequate’</w:t>
      </w:r>
      <w:r w:rsidR="00BE75C0">
        <w:rPr>
          <w:lang w:eastAsia="zh-CN"/>
        </w:rPr>
        <w:t>,</w:t>
      </w:r>
      <w:r>
        <w:rPr>
          <w:lang w:eastAsia="zh-CN"/>
        </w:rPr>
        <w:t xml:space="preserve"> based largely on Australia’s consolidation under the new AIP and a narrow interpretation of the initiatives</w:t>
      </w:r>
      <w:r w:rsidR="00B5368B">
        <w:rPr>
          <w:lang w:eastAsia="zh-CN"/>
        </w:rPr>
        <w:t>’</w:t>
      </w:r>
      <w:r>
        <w:rPr>
          <w:lang w:eastAsia="zh-CN"/>
        </w:rPr>
        <w:t xml:space="preserve"> relevance over the life of the investment. The other initiative subject to a FAQC received a rating of ‘adequate’.</w:t>
      </w:r>
    </w:p>
    <w:p w14:paraId="05D38DE1" w14:textId="29299024" w:rsidR="00EA4F34" w:rsidRDefault="00EA4F34" w:rsidP="00EA4F34">
      <w:pPr>
        <w:pStyle w:val="BodyText"/>
        <w:jc w:val="both"/>
        <w:rPr>
          <w:lang w:eastAsia="zh-CN"/>
        </w:rPr>
      </w:pPr>
      <w:r w:rsidRPr="00EA4F34">
        <w:rPr>
          <w:b/>
          <w:lang w:eastAsia="zh-CN"/>
        </w:rPr>
        <w:t>Effectiveness</w:t>
      </w:r>
      <w:r w:rsidR="00793700">
        <w:rPr>
          <w:b/>
          <w:lang w:eastAsia="zh-CN"/>
        </w:rPr>
        <w:t xml:space="preserve"> </w:t>
      </w:r>
      <w:r>
        <w:rPr>
          <w:lang w:eastAsia="zh-CN"/>
        </w:rPr>
        <w:t>- All five initiatives subject to the AQC process were considered to be meeting their expected outcomes for the reporting period. Two initiatives received a ‘good quality’ rating while the remaining three were considered ‘adequate’.  Both initiatives subject to the FAQC process were rated as effective, one deemed ‘good quality’ and the other ‘adequate’.</w:t>
      </w:r>
    </w:p>
    <w:p w14:paraId="3EAAABEB" w14:textId="77777777" w:rsidR="000A460F" w:rsidRDefault="000A460F">
      <w:pPr>
        <w:spacing w:after="200" w:line="276" w:lineRule="auto"/>
        <w:rPr>
          <w:rFonts w:ascii="Franklin Gothic Book" w:eastAsia="Times New Roman" w:hAnsi="Franklin Gothic Book"/>
          <w:b/>
          <w:sz w:val="21"/>
          <w:lang w:eastAsia="zh-CN"/>
        </w:rPr>
      </w:pPr>
      <w:r>
        <w:rPr>
          <w:b/>
          <w:lang w:eastAsia="zh-CN"/>
        </w:rPr>
        <w:br w:type="page"/>
      </w:r>
    </w:p>
    <w:p w14:paraId="1FF6941B" w14:textId="15DF9D85" w:rsidR="00EA4F34" w:rsidRDefault="00EA4F34" w:rsidP="00EA4F34">
      <w:pPr>
        <w:pStyle w:val="BodyText"/>
        <w:jc w:val="both"/>
        <w:rPr>
          <w:lang w:eastAsia="zh-CN"/>
        </w:rPr>
      </w:pPr>
      <w:r w:rsidRPr="00EA4F34">
        <w:rPr>
          <w:b/>
          <w:lang w:eastAsia="zh-CN"/>
        </w:rPr>
        <w:lastRenderedPageBreak/>
        <w:t>Efficiency</w:t>
      </w:r>
      <w:r w:rsidR="00793700">
        <w:rPr>
          <w:b/>
          <w:lang w:eastAsia="zh-CN"/>
        </w:rPr>
        <w:t xml:space="preserve"> </w:t>
      </w:r>
      <w:r>
        <w:rPr>
          <w:lang w:eastAsia="zh-CN"/>
        </w:rPr>
        <w:t>- All five initiatives subject to the AQC process were rated as making appropriate use of Australia’s and our partner’s time and resources.  One initiative was rated as ‘very high quality’ and four were rated as ‘good quality’.  The two FAQC initiatives were rated ‘adequate’, this was an improvement for one of the initiatives which during the last AQC process received a ‘less than adequate’ rating.</w:t>
      </w:r>
    </w:p>
    <w:p w14:paraId="519C9F75" w14:textId="286E7253" w:rsidR="00EA4F34" w:rsidRDefault="00EA4F34" w:rsidP="00EA4F34">
      <w:pPr>
        <w:pStyle w:val="BodyText"/>
        <w:jc w:val="both"/>
        <w:rPr>
          <w:lang w:eastAsia="zh-CN"/>
        </w:rPr>
      </w:pPr>
      <w:r w:rsidRPr="00EA4F34">
        <w:rPr>
          <w:b/>
          <w:lang w:eastAsia="zh-CN"/>
        </w:rPr>
        <w:t>M&amp;E</w:t>
      </w:r>
      <w:r w:rsidR="00793700">
        <w:rPr>
          <w:b/>
          <w:lang w:eastAsia="zh-CN"/>
        </w:rPr>
        <w:t xml:space="preserve"> </w:t>
      </w:r>
      <w:r>
        <w:rPr>
          <w:lang w:eastAsia="zh-CN"/>
        </w:rPr>
        <w:t>- All five initiatives subject to the AQC process were considered to be generating credible information and using it for program improvement, learning and accountability.  Three initiatives were rated as ‘good quality’ and two initiatives were rated as ‘adequate’.  The two FAQC initiatives were rated ‘adequate’ based on the need to</w:t>
      </w:r>
      <w:r w:rsidR="007B7950">
        <w:rPr>
          <w:lang w:eastAsia="zh-CN"/>
        </w:rPr>
        <w:t xml:space="preserve"> improve down-stream partners monitoring and evaluation (M&amp;E)</w:t>
      </w:r>
      <w:r>
        <w:rPr>
          <w:lang w:eastAsia="zh-CN"/>
        </w:rPr>
        <w:t xml:space="preserve"> systems and to harmonise reporting requirements. </w:t>
      </w:r>
    </w:p>
    <w:p w14:paraId="009E2892" w14:textId="2DC6895F" w:rsidR="00EA4F34" w:rsidRDefault="00EA4F34" w:rsidP="00EA4F34">
      <w:pPr>
        <w:pStyle w:val="BodyText"/>
        <w:jc w:val="both"/>
        <w:rPr>
          <w:lang w:eastAsia="zh-CN"/>
        </w:rPr>
      </w:pPr>
      <w:r w:rsidRPr="00EA4F34">
        <w:rPr>
          <w:b/>
          <w:lang w:eastAsia="zh-CN"/>
        </w:rPr>
        <w:t>Sustainability</w:t>
      </w:r>
      <w:r w:rsidR="00793700">
        <w:rPr>
          <w:b/>
          <w:lang w:eastAsia="zh-CN"/>
        </w:rPr>
        <w:t xml:space="preserve"> </w:t>
      </w:r>
      <w:r>
        <w:rPr>
          <w:lang w:eastAsia="zh-CN"/>
        </w:rPr>
        <w:t xml:space="preserve">- All five initiatives subject to the AQC process were identified as having benefits that will last after the completion of funding.  Two initiatives received a ‘good quality’ rating while the remaining three were considered ‘adequate’.  One initiative subject to a FAQC was rated as ‘good quality’, an improvement on its previous rating during the last AQC process, while the other initiative was rated as ‘adequate’. </w:t>
      </w:r>
    </w:p>
    <w:p w14:paraId="4E870D14" w14:textId="3490CC5E" w:rsidR="00EA4F34" w:rsidRDefault="00EA4F34" w:rsidP="00EA4F34">
      <w:pPr>
        <w:pStyle w:val="BodyText"/>
        <w:jc w:val="both"/>
        <w:rPr>
          <w:lang w:eastAsia="zh-CN"/>
        </w:rPr>
      </w:pPr>
      <w:r w:rsidRPr="00EA4F34">
        <w:rPr>
          <w:b/>
          <w:lang w:eastAsia="zh-CN"/>
        </w:rPr>
        <w:t>Gender Equality</w:t>
      </w:r>
      <w:r w:rsidR="00793700">
        <w:rPr>
          <w:b/>
          <w:lang w:eastAsia="zh-CN"/>
        </w:rPr>
        <w:t xml:space="preserve"> </w:t>
      </w:r>
      <w:r>
        <w:rPr>
          <w:lang w:eastAsia="zh-CN"/>
        </w:rPr>
        <w:t>- All five initiatives subject to the AQC process were considered to be making a difference to gender equality and empowering women and girls.  The majority of investments in Bangladesh target women and girls as beneficiaries of awareness raising, income-generating activities, and services. However, there is a need to look beyond improving access to education services for example, and to focus increasingly on women’s voice and agency in shaping and making full use of such services.  Two initiatives received a ‘good quality’ rating while three were assessed as ‘adequate’. Both FAQC initiatives were assessed as ‘good quality’.</w:t>
      </w:r>
    </w:p>
    <w:p w14:paraId="2E0DA045" w14:textId="53EC840D" w:rsidR="00EA4F34" w:rsidRDefault="00EA4F34" w:rsidP="00EA4F34">
      <w:pPr>
        <w:pStyle w:val="BodyText"/>
        <w:jc w:val="both"/>
        <w:rPr>
          <w:lang w:eastAsia="zh-CN"/>
        </w:rPr>
      </w:pPr>
      <w:r w:rsidRPr="00EA4F34">
        <w:rPr>
          <w:b/>
          <w:lang w:eastAsia="zh-CN"/>
        </w:rPr>
        <w:t>Risk Management</w:t>
      </w:r>
      <w:r w:rsidR="00244927">
        <w:rPr>
          <w:b/>
          <w:lang w:eastAsia="zh-CN"/>
        </w:rPr>
        <w:t xml:space="preserve"> </w:t>
      </w:r>
      <w:r>
        <w:rPr>
          <w:lang w:eastAsia="zh-CN"/>
        </w:rPr>
        <w:t xml:space="preserve">- This was a new assessment </w:t>
      </w:r>
      <w:r w:rsidR="00254436">
        <w:rPr>
          <w:lang w:eastAsia="zh-CN"/>
        </w:rPr>
        <w:t>criterion</w:t>
      </w:r>
      <w:r>
        <w:rPr>
          <w:lang w:eastAsia="zh-CN"/>
        </w:rPr>
        <w:t xml:space="preserve"> for both the AQC and FAQC processes. All initiatives were rated adequate or above in managing risk. </w:t>
      </w:r>
    </w:p>
    <w:p w14:paraId="5BCA3A80" w14:textId="238F34BF" w:rsidR="00EA4F34" w:rsidRPr="00EA4F34" w:rsidRDefault="00EA4F34" w:rsidP="00EA4F34">
      <w:pPr>
        <w:pStyle w:val="BodyText"/>
        <w:jc w:val="both"/>
        <w:rPr>
          <w:lang w:eastAsia="zh-CN"/>
        </w:rPr>
      </w:pPr>
      <w:r w:rsidRPr="00EA4F34">
        <w:rPr>
          <w:b/>
          <w:lang w:eastAsia="zh-CN"/>
        </w:rPr>
        <w:t>Innovation/ Private Sector</w:t>
      </w:r>
      <w:r>
        <w:rPr>
          <w:lang w:eastAsia="zh-CN"/>
        </w:rPr>
        <w:t xml:space="preserve">- This was </w:t>
      </w:r>
      <w:r w:rsidR="00244927">
        <w:rPr>
          <w:lang w:eastAsia="zh-CN"/>
        </w:rPr>
        <w:t xml:space="preserve">a </w:t>
      </w:r>
      <w:r>
        <w:rPr>
          <w:lang w:eastAsia="zh-CN"/>
        </w:rPr>
        <w:t xml:space="preserve">new </w:t>
      </w:r>
      <w:r w:rsidR="00244927">
        <w:rPr>
          <w:lang w:eastAsia="zh-CN"/>
        </w:rPr>
        <w:t>non-</w:t>
      </w:r>
      <w:r>
        <w:rPr>
          <w:lang w:eastAsia="zh-CN"/>
        </w:rPr>
        <w:t>assessment criter</w:t>
      </w:r>
      <w:r w:rsidR="0045086F">
        <w:rPr>
          <w:lang w:eastAsia="zh-CN"/>
        </w:rPr>
        <w:t>ion</w:t>
      </w:r>
      <w:r>
        <w:rPr>
          <w:lang w:eastAsia="zh-CN"/>
        </w:rPr>
        <w:t xml:space="preserve"> for both the AQC and FAQC processes.  One initiative received a rating of ‘good quality’, three were assessed as ‘less than adequate quality’ and one ‘poor quality’ requiring major work to improve.  The low ratings for </w:t>
      </w:r>
      <w:r w:rsidR="0045086F">
        <w:rPr>
          <w:lang w:eastAsia="zh-CN"/>
        </w:rPr>
        <w:t>this criterion</w:t>
      </w:r>
      <w:r>
        <w:rPr>
          <w:lang w:eastAsia="zh-CN"/>
        </w:rPr>
        <w:t xml:space="preserve"> were largely based on the lack of private sector engagement which is to be expected for those initiatives that were designed prior to the introduction of </w:t>
      </w:r>
      <w:r w:rsidR="0045086F">
        <w:rPr>
          <w:lang w:eastAsia="zh-CN"/>
        </w:rPr>
        <w:t>this criterion</w:t>
      </w:r>
      <w:r>
        <w:rPr>
          <w:lang w:eastAsia="zh-CN"/>
        </w:rPr>
        <w:t xml:space="preserve">.  Consistent with the </w:t>
      </w:r>
      <w:r w:rsidR="001101DD">
        <w:rPr>
          <w:lang w:eastAsia="zh-CN"/>
        </w:rPr>
        <w:t>new AIP the Bangladesh program</w:t>
      </w:r>
      <w:r>
        <w:rPr>
          <w:lang w:eastAsia="zh-CN"/>
        </w:rPr>
        <w:t xml:space="preserve"> will apply a stronger focus on supporting non-formal skills development, which will provide increased opportunities to work more closely with the private sector.</w:t>
      </w:r>
    </w:p>
    <w:p w14:paraId="78332C9E" w14:textId="16A2F7EB" w:rsidR="000D733F" w:rsidRDefault="000D733F" w:rsidP="003D00FF">
      <w:pPr>
        <w:pStyle w:val="Heading3"/>
      </w:pPr>
      <w:r>
        <w:t xml:space="preserve">Performance </w:t>
      </w:r>
      <w:r w:rsidR="00741656">
        <w:t>of Key Delivery P</w:t>
      </w:r>
      <w:r w:rsidR="004F4630">
        <w:t>artners</w:t>
      </w:r>
    </w:p>
    <w:p w14:paraId="5E43ADB8" w14:textId="41864E1B" w:rsidR="00EA4F34" w:rsidRDefault="00EA4F34" w:rsidP="00C4462E">
      <w:pPr>
        <w:pStyle w:val="BodyText"/>
        <w:jc w:val="both"/>
        <w:rPr>
          <w:lang w:eastAsia="zh-CN"/>
        </w:rPr>
      </w:pPr>
      <w:r w:rsidRPr="002F1B63">
        <w:rPr>
          <w:lang w:eastAsia="zh-CN"/>
        </w:rPr>
        <w:t>Australia continues to work with partners whose objectives align with Australia’s strategic priorities</w:t>
      </w:r>
      <w:r w:rsidRPr="00EA4F34">
        <w:rPr>
          <w:lang w:eastAsia="zh-CN"/>
        </w:rPr>
        <w:t xml:space="preserve">.  </w:t>
      </w:r>
      <w:r w:rsidR="003A0376">
        <w:rPr>
          <w:lang w:eastAsia="zh-CN"/>
        </w:rPr>
        <w:t>In addition to</w:t>
      </w:r>
      <w:r w:rsidR="003A0376" w:rsidRPr="00EA4F34">
        <w:rPr>
          <w:lang w:eastAsia="zh-CN"/>
        </w:rPr>
        <w:t xml:space="preserve"> </w:t>
      </w:r>
      <w:r w:rsidRPr="00EA4F34">
        <w:rPr>
          <w:lang w:eastAsia="zh-CN"/>
        </w:rPr>
        <w:t>the Government of Bangladesh</w:t>
      </w:r>
      <w:r w:rsidR="00070266">
        <w:rPr>
          <w:lang w:eastAsia="zh-CN"/>
        </w:rPr>
        <w:t>,</w:t>
      </w:r>
      <w:r w:rsidRPr="00EA4F34">
        <w:rPr>
          <w:lang w:eastAsia="zh-CN"/>
        </w:rPr>
        <w:t xml:space="preserve"> Australia’s principle partnerships are with BRAC, the United Kingdom and WFP.  Working with larger partners allows Australia to reach more people than if we were to work alone.  It also enhances our policy influence with government through coordinated and combined advocacy. </w:t>
      </w:r>
      <w:r w:rsidR="00E605F5">
        <w:rPr>
          <w:lang w:eastAsia="zh-CN"/>
        </w:rPr>
        <w:t xml:space="preserve"> </w:t>
      </w:r>
      <w:r w:rsidR="007B7950">
        <w:rPr>
          <w:lang w:eastAsia="zh-CN"/>
        </w:rPr>
        <w:t>Our partnership with G</w:t>
      </w:r>
      <w:r w:rsidR="006E79E6">
        <w:rPr>
          <w:lang w:eastAsia="zh-CN"/>
        </w:rPr>
        <w:t>o</w:t>
      </w:r>
      <w:r w:rsidR="00E605F5">
        <w:rPr>
          <w:lang w:eastAsia="zh-CN"/>
        </w:rPr>
        <w:t>vernment</w:t>
      </w:r>
      <w:r w:rsidR="006E79E6">
        <w:rPr>
          <w:lang w:eastAsia="zh-CN"/>
        </w:rPr>
        <w:t xml:space="preserve"> in PEDP3 is complemented by</w:t>
      </w:r>
      <w:r w:rsidRPr="00EA4F34">
        <w:rPr>
          <w:lang w:eastAsia="zh-CN"/>
        </w:rPr>
        <w:t xml:space="preserve"> our </w:t>
      </w:r>
      <w:r w:rsidR="00303AEF">
        <w:rPr>
          <w:lang w:eastAsia="zh-CN"/>
        </w:rPr>
        <w:t xml:space="preserve">funding of technical and analytical support through </w:t>
      </w:r>
      <w:r w:rsidRPr="00EA4F34">
        <w:rPr>
          <w:lang w:eastAsia="zh-CN"/>
        </w:rPr>
        <w:t>UNICEF</w:t>
      </w:r>
      <w:r w:rsidR="00303AEF">
        <w:rPr>
          <w:lang w:eastAsia="zh-CN"/>
        </w:rPr>
        <w:t xml:space="preserve"> </w:t>
      </w:r>
      <w:r w:rsidRPr="00EA4F34">
        <w:rPr>
          <w:lang w:eastAsia="zh-CN"/>
        </w:rPr>
        <w:t>and the World Bank</w:t>
      </w:r>
      <w:r w:rsidR="00303AEF">
        <w:rPr>
          <w:lang w:eastAsia="zh-CN"/>
        </w:rPr>
        <w:t>.</w:t>
      </w:r>
      <w:r w:rsidR="006174E8">
        <w:rPr>
          <w:lang w:eastAsia="zh-CN"/>
        </w:rPr>
        <w:t xml:space="preserve">  Support for non-government partners allows us to deliver high quality and innovative programs complementing government services, and to gather evidence of effective program and policy interventions that could be taken to scale.</w:t>
      </w:r>
    </w:p>
    <w:p w14:paraId="6481B99E" w14:textId="77777777" w:rsidR="000A460F" w:rsidRDefault="000A460F">
      <w:pPr>
        <w:spacing w:after="200" w:line="276" w:lineRule="auto"/>
        <w:rPr>
          <w:rFonts w:ascii="Franklin Gothic Book" w:eastAsia="Times New Roman" w:hAnsi="Franklin Gothic Book"/>
          <w:b/>
          <w:sz w:val="21"/>
          <w:lang w:eastAsia="zh-CN"/>
        </w:rPr>
      </w:pPr>
      <w:r>
        <w:rPr>
          <w:b/>
          <w:lang w:eastAsia="zh-CN"/>
        </w:rPr>
        <w:br w:type="page"/>
      </w:r>
    </w:p>
    <w:p w14:paraId="656C63A7" w14:textId="34921D7B" w:rsidR="00EA4F34" w:rsidRPr="00EA4F34" w:rsidRDefault="00EA4F34" w:rsidP="00EA4F34">
      <w:pPr>
        <w:pStyle w:val="BodyText"/>
        <w:rPr>
          <w:b/>
          <w:lang w:eastAsia="zh-CN"/>
        </w:rPr>
      </w:pPr>
      <w:r w:rsidRPr="00EA4F34">
        <w:rPr>
          <w:b/>
          <w:lang w:eastAsia="zh-CN"/>
        </w:rPr>
        <w:lastRenderedPageBreak/>
        <w:t>BRAC</w:t>
      </w:r>
    </w:p>
    <w:p w14:paraId="2F78657C" w14:textId="4ECFBD93" w:rsidR="00065CAD" w:rsidRDefault="00FE1101" w:rsidP="00C57697">
      <w:pPr>
        <w:pStyle w:val="BodyText"/>
        <w:jc w:val="both"/>
        <w:rPr>
          <w:lang w:eastAsia="zh-CN"/>
        </w:rPr>
      </w:pPr>
      <w:r w:rsidRPr="00D23D6B">
        <w:rPr>
          <w:szCs w:val="21"/>
        </w:rPr>
        <w:t xml:space="preserve">BRAC delivered strongly against global Australian aid policy </w:t>
      </w:r>
      <w:r w:rsidR="00BE75C0">
        <w:rPr>
          <w:szCs w:val="21"/>
        </w:rPr>
        <w:t xml:space="preserve">objectives </w:t>
      </w:r>
      <w:r w:rsidRPr="00D23D6B">
        <w:rPr>
          <w:szCs w:val="21"/>
        </w:rPr>
        <w:t>including; innovation in its implementation model and programs, empowerment of women and girls and performance of its systems and results.</w:t>
      </w:r>
      <w:r w:rsidRPr="006F773D">
        <w:rPr>
          <w:szCs w:val="21"/>
        </w:rPr>
        <w:t xml:space="preserve">  </w:t>
      </w:r>
      <w:r w:rsidR="00EA4F34" w:rsidRPr="00EC7861">
        <w:rPr>
          <w:lang w:eastAsia="zh-CN"/>
        </w:rPr>
        <w:t>The relationship between Australia and BRAC is one of trust</w:t>
      </w:r>
      <w:r w:rsidR="00303AEF" w:rsidRPr="00EC7861">
        <w:rPr>
          <w:lang w:eastAsia="zh-CN"/>
        </w:rPr>
        <w:t xml:space="preserve"> and like-mindedness</w:t>
      </w:r>
      <w:r w:rsidR="00EC7861" w:rsidRPr="00EC7861">
        <w:rPr>
          <w:lang w:eastAsia="zh-CN"/>
        </w:rPr>
        <w:t>.</w:t>
      </w:r>
      <w:r w:rsidR="00D23D6B">
        <w:rPr>
          <w:lang w:eastAsia="zh-CN"/>
        </w:rPr>
        <w:t xml:space="preserve"> </w:t>
      </w:r>
      <w:r w:rsidR="00EA4F34" w:rsidRPr="00EC7861">
        <w:rPr>
          <w:lang w:eastAsia="zh-CN"/>
        </w:rPr>
        <w:t xml:space="preserve"> Dedicated relationship managers from Australia</w:t>
      </w:r>
      <w:r w:rsidR="00303AEF" w:rsidRPr="00EC7861">
        <w:rPr>
          <w:lang w:eastAsia="zh-CN"/>
        </w:rPr>
        <w:t>,</w:t>
      </w:r>
      <w:r w:rsidR="00EA4F34" w:rsidRPr="00EC7861">
        <w:rPr>
          <w:lang w:eastAsia="zh-CN"/>
        </w:rPr>
        <w:t xml:space="preserve"> BRAC </w:t>
      </w:r>
      <w:r w:rsidR="00303AEF" w:rsidRPr="00EC7861">
        <w:rPr>
          <w:lang w:eastAsia="zh-CN"/>
        </w:rPr>
        <w:t xml:space="preserve">and DFID </w:t>
      </w:r>
      <w:r w:rsidR="00EA4F34" w:rsidRPr="00EC7861">
        <w:rPr>
          <w:lang w:eastAsia="zh-CN"/>
        </w:rPr>
        <w:t xml:space="preserve">have created better lines of communication </w:t>
      </w:r>
      <w:r w:rsidR="00303AEF" w:rsidRPr="00EC7861">
        <w:rPr>
          <w:lang w:eastAsia="zh-CN"/>
        </w:rPr>
        <w:t xml:space="preserve">allowing greater insight </w:t>
      </w:r>
      <w:r w:rsidR="00EA4F34" w:rsidRPr="00EC7861">
        <w:rPr>
          <w:lang w:eastAsia="zh-CN"/>
        </w:rPr>
        <w:t>to BRAC</w:t>
      </w:r>
      <w:r w:rsidR="00303AEF" w:rsidRPr="00EC7861">
        <w:rPr>
          <w:lang w:eastAsia="zh-CN"/>
        </w:rPr>
        <w:t>’</w:t>
      </w:r>
      <w:r w:rsidR="00EA4F34" w:rsidRPr="00EC7861">
        <w:rPr>
          <w:lang w:eastAsia="zh-CN"/>
        </w:rPr>
        <w:t>s engagement with Government</w:t>
      </w:r>
      <w:r w:rsidR="00303AEF" w:rsidRPr="00EC7861">
        <w:rPr>
          <w:lang w:eastAsia="zh-CN"/>
        </w:rPr>
        <w:t>, its strategy development process</w:t>
      </w:r>
      <w:r w:rsidR="00EA4F34" w:rsidRPr="00EC7861">
        <w:rPr>
          <w:lang w:eastAsia="zh-CN"/>
        </w:rPr>
        <w:t xml:space="preserve"> and </w:t>
      </w:r>
      <w:r w:rsidR="00303AEF" w:rsidRPr="00EC7861">
        <w:rPr>
          <w:lang w:eastAsia="zh-CN"/>
        </w:rPr>
        <w:t>its institutional strengthening progress.</w:t>
      </w:r>
      <w:r w:rsidR="00EA4F34" w:rsidRPr="00EC7861">
        <w:rPr>
          <w:lang w:eastAsia="zh-CN"/>
        </w:rPr>
        <w:t xml:space="preserve"> </w:t>
      </w:r>
      <w:r w:rsidR="00070266">
        <w:rPr>
          <w:lang w:eastAsia="zh-CN"/>
        </w:rPr>
        <w:t xml:space="preserve"> </w:t>
      </w:r>
      <w:r w:rsidR="00303AEF" w:rsidRPr="00EC7861">
        <w:rPr>
          <w:lang w:eastAsia="zh-CN"/>
        </w:rPr>
        <w:t>T</w:t>
      </w:r>
      <w:r w:rsidR="00EA4F34" w:rsidRPr="00EC7861">
        <w:rPr>
          <w:lang w:eastAsia="zh-CN"/>
        </w:rPr>
        <w:t>he Vice-Chairperson and Interim Executive Director of BRAC visit</w:t>
      </w:r>
      <w:r w:rsidR="00303AEF" w:rsidRPr="00EC7861">
        <w:rPr>
          <w:lang w:eastAsia="zh-CN"/>
        </w:rPr>
        <w:t>ed</w:t>
      </w:r>
      <w:r w:rsidR="00EA4F34" w:rsidRPr="00EC7861">
        <w:rPr>
          <w:lang w:eastAsia="zh-CN"/>
        </w:rPr>
        <w:t xml:space="preserve"> Australia</w:t>
      </w:r>
      <w:r w:rsidR="00303AEF" w:rsidRPr="00EC7861">
        <w:rPr>
          <w:lang w:eastAsia="zh-CN"/>
        </w:rPr>
        <w:t xml:space="preserve"> in the period, giving visibility to the partnership with </w:t>
      </w:r>
      <w:r w:rsidR="00EC7861" w:rsidRPr="00EC7861">
        <w:rPr>
          <w:lang w:eastAsia="zh-CN"/>
        </w:rPr>
        <w:t xml:space="preserve">Australian </w:t>
      </w:r>
      <w:r w:rsidR="00303AEF" w:rsidRPr="00EC7861">
        <w:rPr>
          <w:lang w:eastAsia="zh-CN"/>
        </w:rPr>
        <w:t>domestic audiences</w:t>
      </w:r>
      <w:r w:rsidR="00EA4F34" w:rsidRPr="00EC7861">
        <w:rPr>
          <w:lang w:eastAsia="zh-CN"/>
        </w:rPr>
        <w:t xml:space="preserve">.  BRAC </w:t>
      </w:r>
      <w:r w:rsidR="00303AEF" w:rsidRPr="00EC7861">
        <w:rPr>
          <w:lang w:eastAsia="zh-CN"/>
        </w:rPr>
        <w:t>is in</w:t>
      </w:r>
      <w:r w:rsidR="00BE75C0">
        <w:rPr>
          <w:lang w:eastAsia="zh-CN"/>
        </w:rPr>
        <w:t xml:space="preserve">creasingly promoting </w:t>
      </w:r>
      <w:r w:rsidR="00303AEF" w:rsidRPr="00EC7861">
        <w:rPr>
          <w:lang w:eastAsia="zh-CN"/>
        </w:rPr>
        <w:t>the partnership in Bangladesh</w:t>
      </w:r>
      <w:r w:rsidR="00507234" w:rsidRPr="00EC7861">
        <w:rPr>
          <w:lang w:eastAsia="zh-CN"/>
        </w:rPr>
        <w:t>, including for example by including short video statements by the Australian and British High Commissioners to Bangladesh in BRAC’s interactive annual report</w:t>
      </w:r>
      <w:r w:rsidR="0057239D">
        <w:rPr>
          <w:rStyle w:val="FootnoteReference"/>
          <w:lang w:eastAsia="zh-CN"/>
        </w:rPr>
        <w:footnoteReference w:id="42"/>
      </w:r>
      <w:r w:rsidR="00303AEF" w:rsidRPr="00EC7861">
        <w:rPr>
          <w:lang w:eastAsia="zh-CN"/>
        </w:rPr>
        <w:t>.</w:t>
      </w:r>
    </w:p>
    <w:p w14:paraId="79947D7F" w14:textId="77C1C0F4" w:rsidR="00FE1101" w:rsidRPr="006F773D" w:rsidRDefault="00CC7037" w:rsidP="00C57697">
      <w:pPr>
        <w:pStyle w:val="BodyText"/>
        <w:jc w:val="both"/>
        <w:rPr>
          <w:szCs w:val="21"/>
        </w:rPr>
      </w:pPr>
      <w:r>
        <w:rPr>
          <w:lang w:eastAsia="zh-CN"/>
        </w:rPr>
        <w:t>Australia</w:t>
      </w:r>
      <w:r w:rsidR="00303AEF" w:rsidRPr="00EC7861">
        <w:rPr>
          <w:lang w:eastAsia="zh-CN"/>
        </w:rPr>
        <w:t xml:space="preserve"> convened </w:t>
      </w:r>
      <w:r w:rsidR="00CA686A" w:rsidRPr="00EC7861">
        <w:rPr>
          <w:lang w:eastAsia="zh-CN"/>
        </w:rPr>
        <w:t xml:space="preserve">a workshop </w:t>
      </w:r>
      <w:r w:rsidR="006E2B9F" w:rsidRPr="00EC7861">
        <w:rPr>
          <w:lang w:eastAsia="zh-CN"/>
        </w:rPr>
        <w:t xml:space="preserve">with senior BRAC and DFID staff </w:t>
      </w:r>
      <w:r w:rsidR="00CA686A" w:rsidRPr="00EC7861">
        <w:rPr>
          <w:lang w:eastAsia="zh-CN"/>
        </w:rPr>
        <w:t>to review the challenges and opportunities in our partnership with BRAC</w:t>
      </w:r>
      <w:r w:rsidR="006E2B9F" w:rsidRPr="00D23D6B">
        <w:rPr>
          <w:lang w:eastAsia="zh-CN"/>
        </w:rPr>
        <w:t>.</w:t>
      </w:r>
      <w:r w:rsidR="00070266">
        <w:rPr>
          <w:lang w:eastAsia="zh-CN"/>
        </w:rPr>
        <w:t xml:space="preserve"> </w:t>
      </w:r>
      <w:r w:rsidR="00EC7861" w:rsidRPr="00D23D6B">
        <w:rPr>
          <w:lang w:eastAsia="zh-CN"/>
        </w:rPr>
        <w:t xml:space="preserve"> </w:t>
      </w:r>
      <w:r w:rsidR="00FE1101" w:rsidRPr="00EC7861">
        <w:rPr>
          <w:lang w:eastAsia="zh-CN"/>
        </w:rPr>
        <w:t>We jointly conducted a due diligence review of BRAC to assist both DFAT and DFID to prepare for a possible future funding phase.</w:t>
      </w:r>
      <w:r w:rsidR="00FE1101">
        <w:rPr>
          <w:lang w:eastAsia="zh-CN"/>
        </w:rPr>
        <w:t xml:space="preserve">  Australian</w:t>
      </w:r>
      <w:r w:rsidR="009744C7">
        <w:rPr>
          <w:lang w:eastAsia="zh-CN"/>
        </w:rPr>
        <w:t xml:space="preserve"> brokered a connection between BRAC and </w:t>
      </w:r>
      <w:r w:rsidR="009370CF">
        <w:rPr>
          <w:lang w:eastAsia="zh-CN"/>
        </w:rPr>
        <w:t xml:space="preserve">the </w:t>
      </w:r>
      <w:r w:rsidR="009744C7">
        <w:rPr>
          <w:lang w:eastAsia="zh-CN"/>
        </w:rPr>
        <w:t>A</w:t>
      </w:r>
      <w:r w:rsidR="009370CF">
        <w:rPr>
          <w:lang w:eastAsia="zh-CN"/>
        </w:rPr>
        <w:t>ustralia</w:t>
      </w:r>
      <w:r w:rsidR="001D3ACF">
        <w:rPr>
          <w:lang w:eastAsia="zh-CN"/>
        </w:rPr>
        <w:t>n</w:t>
      </w:r>
      <w:r w:rsidR="009370CF">
        <w:rPr>
          <w:lang w:eastAsia="zh-CN"/>
        </w:rPr>
        <w:t xml:space="preserve"> </w:t>
      </w:r>
      <w:r w:rsidR="009744C7">
        <w:rPr>
          <w:lang w:eastAsia="zh-CN"/>
        </w:rPr>
        <w:t>C</w:t>
      </w:r>
      <w:r w:rsidR="009370CF">
        <w:rPr>
          <w:lang w:eastAsia="zh-CN"/>
        </w:rPr>
        <w:t xml:space="preserve">ouncil for </w:t>
      </w:r>
      <w:r w:rsidR="009744C7">
        <w:rPr>
          <w:lang w:eastAsia="zh-CN"/>
        </w:rPr>
        <w:t>E</w:t>
      </w:r>
      <w:r w:rsidR="009370CF">
        <w:rPr>
          <w:lang w:eastAsia="zh-CN"/>
        </w:rPr>
        <w:t xml:space="preserve">ducational </w:t>
      </w:r>
      <w:r w:rsidR="009744C7">
        <w:rPr>
          <w:lang w:eastAsia="zh-CN"/>
        </w:rPr>
        <w:t>R</w:t>
      </w:r>
      <w:r w:rsidR="009370CF">
        <w:rPr>
          <w:lang w:eastAsia="zh-CN"/>
        </w:rPr>
        <w:t>esearch (ACER)</w:t>
      </w:r>
      <w:r w:rsidR="009744C7">
        <w:rPr>
          <w:lang w:eastAsia="zh-CN"/>
        </w:rPr>
        <w:t xml:space="preserve"> which will help BRAC gath</w:t>
      </w:r>
      <w:r w:rsidR="007B7950">
        <w:rPr>
          <w:lang w:eastAsia="zh-CN"/>
        </w:rPr>
        <w:t>er evidence to</w:t>
      </w:r>
      <w:r w:rsidR="009744C7">
        <w:rPr>
          <w:lang w:eastAsia="zh-CN"/>
        </w:rPr>
        <w:t xml:space="preserve"> engage with </w:t>
      </w:r>
      <w:r w:rsidR="004C1FAD">
        <w:rPr>
          <w:lang w:eastAsia="zh-CN"/>
        </w:rPr>
        <w:t xml:space="preserve">the Government </w:t>
      </w:r>
      <w:r w:rsidR="009744C7">
        <w:rPr>
          <w:lang w:eastAsia="zh-CN"/>
        </w:rPr>
        <w:t>on policy reform.</w:t>
      </w:r>
    </w:p>
    <w:p w14:paraId="3C43F58F" w14:textId="0E5E8182" w:rsidR="00C6107C" w:rsidRPr="006F773D" w:rsidRDefault="00FE1101" w:rsidP="00C57697">
      <w:pPr>
        <w:pStyle w:val="BodyText"/>
        <w:jc w:val="both"/>
        <w:rPr>
          <w:szCs w:val="21"/>
        </w:rPr>
      </w:pPr>
      <w:r w:rsidRPr="006F773D">
        <w:rPr>
          <w:szCs w:val="21"/>
        </w:rPr>
        <w:t xml:space="preserve">The </w:t>
      </w:r>
      <w:r w:rsidR="00E605F5">
        <w:rPr>
          <w:szCs w:val="21"/>
        </w:rPr>
        <w:t xml:space="preserve">SPA </w:t>
      </w:r>
      <w:r w:rsidRPr="006F773D">
        <w:rPr>
          <w:szCs w:val="21"/>
        </w:rPr>
        <w:t xml:space="preserve">is an innovative </w:t>
      </w:r>
      <w:r>
        <w:rPr>
          <w:szCs w:val="21"/>
        </w:rPr>
        <w:t xml:space="preserve">financing </w:t>
      </w:r>
      <w:r w:rsidRPr="006F773D">
        <w:rPr>
          <w:szCs w:val="21"/>
        </w:rPr>
        <w:t>mechanism, which allows BRAC to determine how it directs funding against program priorities in consultation with Australia and the UK.  Th</w:t>
      </w:r>
      <w:r w:rsidR="00F2348E">
        <w:rPr>
          <w:szCs w:val="21"/>
        </w:rPr>
        <w:t>e flexibility of the model</w:t>
      </w:r>
      <w:r w:rsidRPr="006F773D">
        <w:rPr>
          <w:szCs w:val="21"/>
        </w:rPr>
        <w:t xml:space="preserve"> has resulted in </w:t>
      </w:r>
      <w:r w:rsidR="00F2348E">
        <w:rPr>
          <w:szCs w:val="21"/>
        </w:rPr>
        <w:t xml:space="preserve">BRAC’s ability to fund </w:t>
      </w:r>
      <w:r w:rsidRPr="006F773D">
        <w:rPr>
          <w:szCs w:val="21"/>
        </w:rPr>
        <w:t>programs that target hard to reach and under-funded areas</w:t>
      </w:r>
      <w:r w:rsidR="00F2348E">
        <w:rPr>
          <w:szCs w:val="21"/>
        </w:rPr>
        <w:t xml:space="preserve"> in innovative ways</w:t>
      </w:r>
      <w:r w:rsidRPr="006F773D">
        <w:rPr>
          <w:szCs w:val="21"/>
        </w:rPr>
        <w:t xml:space="preserve">.  An example during the reporting period was the </w:t>
      </w:r>
      <w:r>
        <w:rPr>
          <w:szCs w:val="21"/>
        </w:rPr>
        <w:t xml:space="preserve">development </w:t>
      </w:r>
      <w:r w:rsidRPr="006F773D">
        <w:rPr>
          <w:szCs w:val="21"/>
        </w:rPr>
        <w:t>of the Maya application</w:t>
      </w:r>
      <w:r>
        <w:rPr>
          <w:szCs w:val="21"/>
        </w:rPr>
        <w:t>, launched at the Australian High Commission,</w:t>
      </w:r>
      <w:r w:rsidRPr="006F773D">
        <w:rPr>
          <w:szCs w:val="21"/>
        </w:rPr>
        <w:t xml:space="preserve"> which uses mobile </w:t>
      </w:r>
      <w:r w:rsidR="00F2348E">
        <w:rPr>
          <w:szCs w:val="21"/>
        </w:rPr>
        <w:t xml:space="preserve">phone </w:t>
      </w:r>
      <w:r w:rsidRPr="006F773D">
        <w:rPr>
          <w:szCs w:val="21"/>
        </w:rPr>
        <w:t>technology to provide women and girls with access to information on health, legal and other issues.</w:t>
      </w:r>
      <w:r>
        <w:rPr>
          <w:szCs w:val="21"/>
        </w:rPr>
        <w:t xml:space="preserve"> </w:t>
      </w:r>
      <w:r w:rsidR="00070266">
        <w:rPr>
          <w:szCs w:val="21"/>
        </w:rPr>
        <w:t xml:space="preserve"> </w:t>
      </w:r>
      <w:r>
        <w:rPr>
          <w:lang w:eastAsia="zh-CN"/>
        </w:rPr>
        <w:t>W</w:t>
      </w:r>
      <w:r w:rsidR="00CA686A" w:rsidRPr="00D23D6B">
        <w:rPr>
          <w:lang w:eastAsia="zh-CN"/>
        </w:rPr>
        <w:t xml:space="preserve">e </w:t>
      </w:r>
      <w:r w:rsidR="009744C7">
        <w:rPr>
          <w:lang w:eastAsia="zh-CN"/>
        </w:rPr>
        <w:t xml:space="preserve">also </w:t>
      </w:r>
      <w:r w:rsidR="00CA686A" w:rsidRPr="00D23D6B">
        <w:rPr>
          <w:lang w:eastAsia="zh-CN"/>
        </w:rPr>
        <w:t xml:space="preserve">showcased the SPA </w:t>
      </w:r>
      <w:r>
        <w:rPr>
          <w:lang w:eastAsia="zh-CN"/>
        </w:rPr>
        <w:t>N</w:t>
      </w:r>
      <w:r w:rsidR="00303AEF" w:rsidRPr="00EC7861">
        <w:rPr>
          <w:lang w:eastAsia="zh-CN"/>
        </w:rPr>
        <w:t>orth-</w:t>
      </w:r>
      <w:r>
        <w:rPr>
          <w:lang w:eastAsia="zh-CN"/>
        </w:rPr>
        <w:t>S</w:t>
      </w:r>
      <w:r w:rsidR="00303AEF" w:rsidRPr="00EC7861">
        <w:rPr>
          <w:lang w:eastAsia="zh-CN"/>
        </w:rPr>
        <w:t xml:space="preserve">outh </w:t>
      </w:r>
      <w:r w:rsidR="00CA686A" w:rsidRPr="00D23D6B">
        <w:rPr>
          <w:lang w:eastAsia="zh-CN"/>
        </w:rPr>
        <w:t>financing model at the Dhaka High Level Meeting on South-South and Triangular Cooperation in the post-2015 Development Agenda</w:t>
      </w:r>
      <w:r w:rsidR="009744C7">
        <w:rPr>
          <w:lang w:eastAsia="zh-CN"/>
        </w:rPr>
        <w:t>, attended by P</w:t>
      </w:r>
      <w:r w:rsidR="004C1FAD">
        <w:rPr>
          <w:lang w:eastAsia="zh-CN"/>
        </w:rPr>
        <w:t>rime Minister</w:t>
      </w:r>
      <w:r w:rsidR="009744C7">
        <w:rPr>
          <w:lang w:eastAsia="zh-CN"/>
        </w:rPr>
        <w:t xml:space="preserve"> Sheikh Hasina. </w:t>
      </w:r>
    </w:p>
    <w:p w14:paraId="1DDFEA8B" w14:textId="77777777" w:rsidR="00EA4F34" w:rsidRPr="00EA4F34" w:rsidRDefault="00EA4F34" w:rsidP="00EA4F34">
      <w:pPr>
        <w:pStyle w:val="BodyText"/>
        <w:rPr>
          <w:b/>
          <w:lang w:eastAsia="zh-CN"/>
        </w:rPr>
      </w:pPr>
      <w:r w:rsidRPr="00EA4F34">
        <w:rPr>
          <w:b/>
          <w:lang w:eastAsia="zh-CN"/>
        </w:rPr>
        <w:t>DFID (UK)</w:t>
      </w:r>
    </w:p>
    <w:p w14:paraId="3235A120" w14:textId="5F145616" w:rsidR="00EA4F34" w:rsidRDefault="00EA4F34" w:rsidP="00C4462E">
      <w:pPr>
        <w:pStyle w:val="BodyText"/>
        <w:jc w:val="both"/>
        <w:rPr>
          <w:lang w:eastAsia="zh-CN"/>
        </w:rPr>
      </w:pPr>
      <w:r w:rsidRPr="00C4462E">
        <w:rPr>
          <w:lang w:eastAsia="zh-CN"/>
        </w:rPr>
        <w:t>DFID is a key donor to Bangladesh</w:t>
      </w:r>
      <w:r w:rsidR="007B7950">
        <w:rPr>
          <w:lang w:eastAsia="zh-CN"/>
        </w:rPr>
        <w:t>,</w:t>
      </w:r>
      <w:r w:rsidRPr="00C4462E">
        <w:rPr>
          <w:lang w:eastAsia="zh-CN"/>
        </w:rPr>
        <w:t xml:space="preserve"> ranked third in total ODA behind only the World Bank and Japan</w:t>
      </w:r>
      <w:r>
        <w:rPr>
          <w:rStyle w:val="FootnoteReference"/>
          <w:lang w:eastAsia="zh-CN"/>
        </w:rPr>
        <w:footnoteReference w:id="43"/>
      </w:r>
      <w:r>
        <w:rPr>
          <w:lang w:eastAsia="zh-CN"/>
        </w:rPr>
        <w:t xml:space="preserve">.  Australia’s relationship with DFID is strong and continues to grow particularly in the areas of </w:t>
      </w:r>
      <w:r w:rsidR="00301D48">
        <w:rPr>
          <w:lang w:eastAsia="zh-CN"/>
        </w:rPr>
        <w:t xml:space="preserve">education, </w:t>
      </w:r>
      <w:r>
        <w:rPr>
          <w:lang w:eastAsia="zh-CN"/>
        </w:rPr>
        <w:t>social protection</w:t>
      </w:r>
      <w:r w:rsidR="00301D48">
        <w:rPr>
          <w:lang w:eastAsia="zh-CN"/>
        </w:rPr>
        <w:t xml:space="preserve"> (and ‘leaving no one behind’), and the empowerment of women and girls.</w:t>
      </w:r>
      <w:r w:rsidR="00243071">
        <w:rPr>
          <w:lang w:eastAsia="zh-CN"/>
        </w:rPr>
        <w:t xml:space="preserve"> </w:t>
      </w:r>
      <w:r w:rsidR="00B6755E">
        <w:rPr>
          <w:lang w:eastAsia="zh-CN"/>
        </w:rPr>
        <w:t xml:space="preserve"> </w:t>
      </w:r>
      <w:r w:rsidR="00301D48">
        <w:rPr>
          <w:lang w:eastAsia="zh-CN"/>
        </w:rPr>
        <w:t>These strategic interests are all reflected in programs funded through the</w:t>
      </w:r>
      <w:r w:rsidR="00303AEF">
        <w:rPr>
          <w:lang w:eastAsia="zh-CN"/>
        </w:rPr>
        <w:t xml:space="preserve"> </w:t>
      </w:r>
      <w:r w:rsidR="00E53442">
        <w:rPr>
          <w:lang w:eastAsia="zh-CN"/>
        </w:rPr>
        <w:t>tripartite</w:t>
      </w:r>
      <w:r w:rsidR="00301D48">
        <w:rPr>
          <w:lang w:eastAsia="zh-CN"/>
        </w:rPr>
        <w:t xml:space="preserve"> </w:t>
      </w:r>
      <w:r w:rsidR="00303AEF">
        <w:rPr>
          <w:lang w:eastAsia="zh-CN"/>
        </w:rPr>
        <w:t>strategic partnership with BRAC</w:t>
      </w:r>
      <w:r>
        <w:rPr>
          <w:lang w:eastAsia="zh-CN"/>
        </w:rPr>
        <w:t xml:space="preserve">. </w:t>
      </w:r>
      <w:r w:rsidR="00301D48">
        <w:rPr>
          <w:lang w:eastAsia="zh-CN"/>
        </w:rPr>
        <w:t xml:space="preserve">The level of engagement and scrutiny of the SPA increased during the reporting period, as </w:t>
      </w:r>
      <w:r w:rsidR="007E0E8A">
        <w:rPr>
          <w:lang w:eastAsia="zh-CN"/>
        </w:rPr>
        <w:t xml:space="preserve">donor </w:t>
      </w:r>
      <w:r w:rsidR="00301D48">
        <w:rPr>
          <w:lang w:eastAsia="zh-CN"/>
        </w:rPr>
        <w:t xml:space="preserve">partners began to prepare business cases for a possible next phase.  </w:t>
      </w:r>
      <w:r w:rsidR="007E0E8A">
        <w:rPr>
          <w:lang w:eastAsia="zh-CN"/>
        </w:rPr>
        <w:t xml:space="preserve">This highlighted that realisation of the SPA’s potential as a knowledge partnership requires </w:t>
      </w:r>
      <w:r w:rsidR="00094DDD">
        <w:rPr>
          <w:lang w:eastAsia="zh-CN"/>
        </w:rPr>
        <w:t xml:space="preserve">strong </w:t>
      </w:r>
      <w:r w:rsidR="007E0E8A">
        <w:rPr>
          <w:lang w:eastAsia="zh-CN"/>
        </w:rPr>
        <w:t>skills in partnership brokering</w:t>
      </w:r>
      <w:r w:rsidR="00094DDD">
        <w:rPr>
          <w:lang w:eastAsia="zh-CN"/>
        </w:rPr>
        <w:t xml:space="preserve"> and a commitment to partnership principles</w:t>
      </w:r>
      <w:r w:rsidR="007E0E8A">
        <w:rPr>
          <w:lang w:eastAsia="zh-CN"/>
        </w:rPr>
        <w:t xml:space="preserve"> </w:t>
      </w:r>
      <w:r w:rsidR="006174E8">
        <w:rPr>
          <w:lang w:eastAsia="zh-CN"/>
        </w:rPr>
        <w:t xml:space="preserve">(including collaborative governance, trust, transparency, and communication) </w:t>
      </w:r>
      <w:r w:rsidR="007E0E8A">
        <w:rPr>
          <w:lang w:eastAsia="zh-CN"/>
        </w:rPr>
        <w:t xml:space="preserve">in addition to our traditional program and financial management capability. </w:t>
      </w:r>
      <w:r>
        <w:rPr>
          <w:lang w:eastAsia="zh-CN"/>
        </w:rPr>
        <w:t xml:space="preserve"> </w:t>
      </w:r>
      <w:r w:rsidR="00301D48">
        <w:rPr>
          <w:lang w:eastAsia="zh-CN"/>
        </w:rPr>
        <w:t xml:space="preserve">In addition, </w:t>
      </w:r>
      <w:r>
        <w:rPr>
          <w:lang w:eastAsia="zh-CN"/>
        </w:rPr>
        <w:t>Australia partnered with DFID in the establishment of the SGSP program and the CLP</w:t>
      </w:r>
      <w:r w:rsidR="00243071">
        <w:rPr>
          <w:lang w:eastAsia="zh-CN"/>
        </w:rPr>
        <w:t xml:space="preserve">. </w:t>
      </w:r>
      <w:r>
        <w:rPr>
          <w:lang w:eastAsia="zh-CN"/>
        </w:rPr>
        <w:t xml:space="preserve"> Australia relie</w:t>
      </w:r>
      <w:r w:rsidR="00301D48">
        <w:rPr>
          <w:lang w:eastAsia="zh-CN"/>
        </w:rPr>
        <w:t>s</w:t>
      </w:r>
      <w:r>
        <w:rPr>
          <w:lang w:eastAsia="zh-CN"/>
        </w:rPr>
        <w:t xml:space="preserve"> on DFID’s systems and management for oversight of th</w:t>
      </w:r>
      <w:r w:rsidR="00094DDD">
        <w:rPr>
          <w:lang w:eastAsia="zh-CN"/>
        </w:rPr>
        <w:t>ese</w:t>
      </w:r>
      <w:r>
        <w:rPr>
          <w:lang w:eastAsia="zh-CN"/>
        </w:rPr>
        <w:t xml:space="preserve"> </w:t>
      </w:r>
      <w:r w:rsidR="00094DDD">
        <w:rPr>
          <w:lang w:eastAsia="zh-CN"/>
        </w:rPr>
        <w:t xml:space="preserve">combined </w:t>
      </w:r>
      <w:r>
        <w:rPr>
          <w:lang w:eastAsia="zh-CN"/>
        </w:rPr>
        <w:t>investment</w:t>
      </w:r>
      <w:r w:rsidR="00094DDD">
        <w:rPr>
          <w:lang w:eastAsia="zh-CN"/>
        </w:rPr>
        <w:t>s</w:t>
      </w:r>
      <w:r>
        <w:rPr>
          <w:lang w:eastAsia="zh-CN"/>
        </w:rPr>
        <w:t xml:space="preserve">.  During the </w:t>
      </w:r>
      <w:r>
        <w:rPr>
          <w:lang w:eastAsia="zh-CN"/>
        </w:rPr>
        <w:lastRenderedPageBreak/>
        <w:t xml:space="preserve">reporting period an evaluation of CLP was completed </w:t>
      </w:r>
      <w:r w:rsidR="009744C7">
        <w:rPr>
          <w:lang w:eastAsia="zh-CN"/>
        </w:rPr>
        <w:t>(</w:t>
      </w:r>
      <w:r w:rsidR="004C1FAD">
        <w:rPr>
          <w:lang w:eastAsia="zh-CN"/>
        </w:rPr>
        <w:t>including with support from DFAT’s Poverty and S</w:t>
      </w:r>
      <w:r w:rsidR="000148D3">
        <w:rPr>
          <w:lang w:eastAsia="zh-CN"/>
        </w:rPr>
        <w:t>ocial Transfers Unit</w:t>
      </w:r>
      <w:r w:rsidR="009744C7">
        <w:rPr>
          <w:lang w:eastAsia="zh-CN"/>
        </w:rPr>
        <w:t>)</w:t>
      </w:r>
      <w:r w:rsidR="000148D3">
        <w:rPr>
          <w:lang w:eastAsia="zh-CN"/>
        </w:rPr>
        <w:t xml:space="preserve">.  </w:t>
      </w:r>
      <w:r>
        <w:rPr>
          <w:lang w:eastAsia="zh-CN"/>
        </w:rPr>
        <w:t xml:space="preserve">DFID is also one of </w:t>
      </w:r>
      <w:r w:rsidR="00094DDD">
        <w:rPr>
          <w:lang w:eastAsia="zh-CN"/>
        </w:rPr>
        <w:t>nine</w:t>
      </w:r>
      <w:r w:rsidR="009744C7">
        <w:rPr>
          <w:lang w:eastAsia="zh-CN"/>
        </w:rPr>
        <w:t xml:space="preserve"> </w:t>
      </w:r>
      <w:r>
        <w:rPr>
          <w:lang w:eastAsia="zh-CN"/>
        </w:rPr>
        <w:t>development partners</w:t>
      </w:r>
      <w:r w:rsidR="006174E8">
        <w:rPr>
          <w:lang w:eastAsia="zh-CN"/>
        </w:rPr>
        <w:t>, including Australia,</w:t>
      </w:r>
      <w:r>
        <w:rPr>
          <w:lang w:eastAsia="zh-CN"/>
        </w:rPr>
        <w:t xml:space="preserve"> in the </w:t>
      </w:r>
      <w:r w:rsidR="00951841">
        <w:rPr>
          <w:lang w:eastAsia="zh-CN"/>
        </w:rPr>
        <w:t>Bangladesh g</w:t>
      </w:r>
      <w:r>
        <w:rPr>
          <w:lang w:eastAsia="zh-CN"/>
        </w:rPr>
        <w:t>overnment</w:t>
      </w:r>
      <w:r w:rsidR="00951841">
        <w:rPr>
          <w:lang w:eastAsia="zh-CN"/>
        </w:rPr>
        <w:t>’s</w:t>
      </w:r>
      <w:r>
        <w:rPr>
          <w:lang w:eastAsia="zh-CN"/>
        </w:rPr>
        <w:t xml:space="preserve"> </w:t>
      </w:r>
      <w:r w:rsidR="00951841">
        <w:rPr>
          <w:lang w:eastAsia="zh-CN"/>
        </w:rPr>
        <w:t>primary e</w:t>
      </w:r>
      <w:r>
        <w:rPr>
          <w:lang w:eastAsia="zh-CN"/>
        </w:rPr>
        <w:t xml:space="preserve">ducation </w:t>
      </w:r>
      <w:r w:rsidR="00951841">
        <w:rPr>
          <w:lang w:eastAsia="zh-CN"/>
        </w:rPr>
        <w:t>p</w:t>
      </w:r>
      <w:r>
        <w:rPr>
          <w:lang w:eastAsia="zh-CN"/>
        </w:rPr>
        <w:t>rogram</w:t>
      </w:r>
      <w:r w:rsidR="00301D48">
        <w:rPr>
          <w:lang w:eastAsia="zh-CN"/>
        </w:rPr>
        <w:t>.</w:t>
      </w:r>
    </w:p>
    <w:p w14:paraId="4E731F2B" w14:textId="0A222E80" w:rsidR="00EA4F34" w:rsidRPr="00EA4F34" w:rsidRDefault="00EA4F34" w:rsidP="00EA4F34">
      <w:pPr>
        <w:pStyle w:val="BodyText"/>
        <w:rPr>
          <w:b/>
          <w:lang w:eastAsia="zh-CN"/>
        </w:rPr>
      </w:pPr>
      <w:r w:rsidRPr="00EA4F34">
        <w:rPr>
          <w:b/>
          <w:lang w:eastAsia="zh-CN"/>
        </w:rPr>
        <w:t>WFP</w:t>
      </w:r>
    </w:p>
    <w:p w14:paraId="317F8698" w14:textId="2A37772A" w:rsidR="00110735" w:rsidRDefault="00EA4F34" w:rsidP="00C57697">
      <w:pPr>
        <w:pStyle w:val="BodyText"/>
        <w:jc w:val="both"/>
        <w:rPr>
          <w:lang w:eastAsia="zh-CN"/>
        </w:rPr>
      </w:pPr>
      <w:r w:rsidRPr="00C57697">
        <w:rPr>
          <w:lang w:eastAsia="zh-CN"/>
        </w:rPr>
        <w:t xml:space="preserve">Australia’s relationship with WFP remains </w:t>
      </w:r>
      <w:r w:rsidR="00951841" w:rsidRPr="00C57697">
        <w:rPr>
          <w:lang w:eastAsia="zh-CN"/>
        </w:rPr>
        <w:t>strong</w:t>
      </w:r>
      <w:r w:rsidRPr="00C57697">
        <w:rPr>
          <w:lang w:eastAsia="zh-CN"/>
        </w:rPr>
        <w:t>.  WFP’s</w:t>
      </w:r>
      <w:r>
        <w:rPr>
          <w:lang w:eastAsia="zh-CN"/>
        </w:rPr>
        <w:t xml:space="preserve"> key strengths are its leadership in food security, humanitarian co-ordination and disaster risk reductio</w:t>
      </w:r>
      <w:r w:rsidR="00BE75C0">
        <w:rPr>
          <w:lang w:eastAsia="zh-CN"/>
        </w:rPr>
        <w:t>n</w:t>
      </w:r>
      <w:r>
        <w:rPr>
          <w:lang w:eastAsia="zh-CN"/>
        </w:rPr>
        <w:t xml:space="preserve"> </w:t>
      </w:r>
      <w:r w:rsidR="00F2348E">
        <w:rPr>
          <w:lang w:eastAsia="zh-CN"/>
        </w:rPr>
        <w:t xml:space="preserve">which make it the right partner to </w:t>
      </w:r>
      <w:r>
        <w:rPr>
          <w:lang w:eastAsia="zh-CN"/>
        </w:rPr>
        <w:t xml:space="preserve">work </w:t>
      </w:r>
      <w:r w:rsidR="00F2348E">
        <w:rPr>
          <w:lang w:eastAsia="zh-CN"/>
        </w:rPr>
        <w:t xml:space="preserve">with </w:t>
      </w:r>
      <w:r>
        <w:rPr>
          <w:lang w:eastAsia="zh-CN"/>
        </w:rPr>
        <w:t xml:space="preserve">in </w:t>
      </w:r>
      <w:r w:rsidR="00F2348E">
        <w:rPr>
          <w:lang w:eastAsia="zh-CN"/>
        </w:rPr>
        <w:t xml:space="preserve">challenging </w:t>
      </w:r>
      <w:r>
        <w:rPr>
          <w:lang w:eastAsia="zh-CN"/>
        </w:rPr>
        <w:t xml:space="preserve">regions including Cox’s Bazar District.  </w:t>
      </w:r>
      <w:r w:rsidR="00951841">
        <w:rPr>
          <w:lang w:eastAsia="zh-CN"/>
        </w:rPr>
        <w:t>Our engagement a</w:t>
      </w:r>
      <w:r w:rsidR="00F2348E">
        <w:rPr>
          <w:lang w:eastAsia="zh-CN"/>
        </w:rPr>
        <w:t>llows us a</w:t>
      </w:r>
      <w:r w:rsidR="00951841">
        <w:rPr>
          <w:lang w:eastAsia="zh-CN"/>
        </w:rPr>
        <w:t xml:space="preserve"> seat at the table in the ongoing dialogue on the Government’s </w:t>
      </w:r>
      <w:r w:rsidR="00EA22C7" w:rsidRPr="00D33351">
        <w:rPr>
          <w:szCs w:val="21"/>
        </w:rPr>
        <w:t>National Strategy Paper on Myanmar Refugees and Undocumented Myanmar Nationals in Bangladesh</w:t>
      </w:r>
      <w:r w:rsidR="00951841" w:rsidRPr="00FB1470">
        <w:rPr>
          <w:szCs w:val="21"/>
        </w:rPr>
        <w:t>.</w:t>
      </w:r>
      <w:r w:rsidR="00951841">
        <w:rPr>
          <w:szCs w:val="21"/>
        </w:rPr>
        <w:t xml:space="preserve">  </w:t>
      </w:r>
      <w:r>
        <w:rPr>
          <w:lang w:eastAsia="zh-CN"/>
        </w:rPr>
        <w:t>An independent evaluation of support to WFP in Cox’s Bazar was completed in 2014</w:t>
      </w:r>
      <w:r w:rsidR="0057239D">
        <w:rPr>
          <w:rStyle w:val="FootnoteReference"/>
          <w:lang w:eastAsia="zh-CN"/>
        </w:rPr>
        <w:footnoteReference w:id="44"/>
      </w:r>
      <w:r>
        <w:rPr>
          <w:lang w:eastAsia="zh-CN"/>
        </w:rPr>
        <w:t xml:space="preserve">, with recommendations from the evaluation informing the next phase of funding.  The new phase commenced in September of the reporting period with early milestones on track.  The risk and complexity of Australia’s relationship with WFP has increased with four new co-funding partners on board and time </w:t>
      </w:r>
      <w:r w:rsidR="00094DDD">
        <w:rPr>
          <w:lang w:eastAsia="zh-CN"/>
        </w:rPr>
        <w:t>is being</w:t>
      </w:r>
      <w:r>
        <w:rPr>
          <w:lang w:eastAsia="zh-CN"/>
        </w:rPr>
        <w:t xml:space="preserve"> invested in establishing strong multi donor governance systems.  Based on the independent evaluation in 2014, dialogue is needed to improve </w:t>
      </w:r>
      <w:r w:rsidR="00F2348E">
        <w:rPr>
          <w:lang w:eastAsia="zh-CN"/>
        </w:rPr>
        <w:t xml:space="preserve">monitoring and evaluation </w:t>
      </w:r>
      <w:r w:rsidR="00C57697">
        <w:rPr>
          <w:lang w:eastAsia="zh-CN"/>
        </w:rPr>
        <w:t xml:space="preserve">(M&amp;E) </w:t>
      </w:r>
      <w:r>
        <w:rPr>
          <w:lang w:eastAsia="zh-CN"/>
        </w:rPr>
        <w:t xml:space="preserve">reporting.  WFP has produced a draft M&amp;E framework incorporating outcome and impact indicators </w:t>
      </w:r>
      <w:r w:rsidR="00833A0F">
        <w:rPr>
          <w:lang w:eastAsia="zh-CN"/>
        </w:rPr>
        <w:t xml:space="preserve">that </w:t>
      </w:r>
      <w:r>
        <w:rPr>
          <w:lang w:eastAsia="zh-CN"/>
        </w:rPr>
        <w:t>will form the basis of on-going reporting.</w:t>
      </w:r>
      <w:r w:rsidR="00A456EE">
        <w:rPr>
          <w:lang w:eastAsia="zh-CN"/>
        </w:rPr>
        <w:t xml:space="preserve"> We’ve drawn </w:t>
      </w:r>
      <w:r w:rsidR="007B7950">
        <w:rPr>
          <w:lang w:eastAsia="zh-CN"/>
        </w:rPr>
        <w:t xml:space="preserve">on </w:t>
      </w:r>
      <w:r w:rsidR="00A456EE">
        <w:rPr>
          <w:lang w:eastAsia="zh-CN"/>
        </w:rPr>
        <w:t>our internal technical resource to support the WFP Cox’s Bazar program M&amp;E.</w:t>
      </w:r>
    </w:p>
    <w:p w14:paraId="045B441F" w14:textId="1F6C7683" w:rsidR="000D733F" w:rsidRDefault="000D733F" w:rsidP="003D00FF">
      <w:pPr>
        <w:pStyle w:val="Heading3"/>
      </w:pPr>
      <w:r>
        <w:t>Risks</w:t>
      </w:r>
    </w:p>
    <w:p w14:paraId="3C511701" w14:textId="77777777" w:rsidR="000D733F" w:rsidRDefault="00D763C0" w:rsidP="005901D2">
      <w:pPr>
        <w:pStyle w:val="Caption"/>
      </w:pPr>
      <w:r>
        <w:t>Table 3 Management of Key Risks to Achieving O</w:t>
      </w:r>
      <w:r w:rsidR="000D733F">
        <w:t>bjectives</w:t>
      </w:r>
    </w:p>
    <w:tbl>
      <w:tblPr>
        <w:tblStyle w:val="APPR"/>
        <w:tblW w:w="5000" w:type="pct"/>
        <w:tblLook w:val="0600" w:firstRow="0" w:lastRow="0" w:firstColumn="0" w:lastColumn="0" w:noHBand="1" w:noVBand="1"/>
      </w:tblPr>
      <w:tblGrid>
        <w:gridCol w:w="2049"/>
        <w:gridCol w:w="2277"/>
        <w:gridCol w:w="2330"/>
        <w:gridCol w:w="2121"/>
      </w:tblGrid>
      <w:tr w:rsidR="005C310A" w:rsidRPr="00180B19" w14:paraId="1DEF5A29" w14:textId="77777777" w:rsidTr="005C310A">
        <w:tc>
          <w:tcPr>
            <w:tcW w:w="2007" w:type="dxa"/>
            <w:hideMark/>
          </w:tcPr>
          <w:p w14:paraId="0DEC4E9E" w14:textId="77777777" w:rsidR="005C310A" w:rsidRPr="005023D9" w:rsidRDefault="005C310A" w:rsidP="000D733F">
            <w:pPr>
              <w:pStyle w:val="TableTextColumnHeading"/>
            </w:pPr>
            <w:r w:rsidRPr="005023D9">
              <w:t>Key risks</w:t>
            </w:r>
          </w:p>
        </w:tc>
        <w:tc>
          <w:tcPr>
            <w:tcW w:w="2249" w:type="dxa"/>
          </w:tcPr>
          <w:p w14:paraId="3D90C14A" w14:textId="77777777" w:rsidR="005C310A" w:rsidRPr="005023D9" w:rsidRDefault="005C310A" w:rsidP="000D733F">
            <w:pPr>
              <w:pStyle w:val="TableTextColumnHeading"/>
            </w:pPr>
            <w:r w:rsidRPr="005023D9">
              <w:t>What actions were taken to manage the risks over the past year</w:t>
            </w:r>
            <w:r>
              <w:t>?</w:t>
            </w:r>
          </w:p>
        </w:tc>
        <w:tc>
          <w:tcPr>
            <w:tcW w:w="2302" w:type="dxa"/>
          </w:tcPr>
          <w:p w14:paraId="75540F11" w14:textId="77777777" w:rsidR="005C310A" w:rsidRPr="005023D9" w:rsidRDefault="005C310A" w:rsidP="000D733F">
            <w:pPr>
              <w:pStyle w:val="TableTextColumnHeading"/>
            </w:pPr>
            <w:r w:rsidRPr="005023D9">
              <w:t>What further actions will be taken to manage the risks in the coming year</w:t>
            </w:r>
            <w:r>
              <w:t>?</w:t>
            </w:r>
          </w:p>
        </w:tc>
        <w:tc>
          <w:tcPr>
            <w:tcW w:w="2079" w:type="dxa"/>
          </w:tcPr>
          <w:p w14:paraId="34D3018D" w14:textId="77777777" w:rsidR="005C310A" w:rsidRPr="005023D9" w:rsidRDefault="005C310A" w:rsidP="000D733F">
            <w:pPr>
              <w:pStyle w:val="TableTextColumnHeading"/>
            </w:pPr>
            <w:r>
              <w:t>For emerging/ongoing risks provide a Risk Rating (low, medium, high, very high)</w:t>
            </w:r>
          </w:p>
        </w:tc>
      </w:tr>
      <w:tr w:rsidR="00EA4F34" w:rsidRPr="00180B19" w14:paraId="321E057F" w14:textId="77777777" w:rsidTr="005C310A">
        <w:tc>
          <w:tcPr>
            <w:tcW w:w="2007" w:type="dxa"/>
            <w:hideMark/>
          </w:tcPr>
          <w:p w14:paraId="0262ABDE" w14:textId="1D590651" w:rsidR="00EA4F34" w:rsidRPr="00384B95" w:rsidRDefault="00EA4F34" w:rsidP="00BE75C0">
            <w:pPr>
              <w:pStyle w:val="TableTextEntries"/>
              <w:rPr>
                <w:sz w:val="16"/>
                <w:szCs w:val="16"/>
              </w:rPr>
            </w:pPr>
            <w:r>
              <w:rPr>
                <w:sz w:val="16"/>
                <w:szCs w:val="16"/>
              </w:rPr>
              <w:t>1. Delays in program implementation and oversight due to political instability.</w:t>
            </w:r>
          </w:p>
        </w:tc>
        <w:tc>
          <w:tcPr>
            <w:tcW w:w="2249" w:type="dxa"/>
          </w:tcPr>
          <w:p w14:paraId="1E681661" w14:textId="46522FF2" w:rsidR="00EA4F34" w:rsidRPr="00D937FA" w:rsidRDefault="00EA4F34" w:rsidP="00F32A1A">
            <w:pPr>
              <w:pStyle w:val="TableTextEntries"/>
              <w:rPr>
                <w:sz w:val="16"/>
                <w:szCs w:val="16"/>
              </w:rPr>
            </w:pPr>
            <w:r w:rsidRPr="00D937FA">
              <w:rPr>
                <w:sz w:val="16"/>
                <w:szCs w:val="16"/>
              </w:rPr>
              <w:t xml:space="preserve">Post maintained awareness of the political environment and modified expectations where appropriate. Close contact maintained with development partners and Government through local consultative group, HOM and staff. </w:t>
            </w:r>
          </w:p>
        </w:tc>
        <w:tc>
          <w:tcPr>
            <w:tcW w:w="2302" w:type="dxa"/>
          </w:tcPr>
          <w:p w14:paraId="1A2F3998" w14:textId="473D73E6" w:rsidR="00EA4F34" w:rsidRPr="00743218" w:rsidRDefault="001101DD" w:rsidP="00F32A1A">
            <w:pPr>
              <w:pStyle w:val="TableTextEntries"/>
              <w:rPr>
                <w:sz w:val="16"/>
                <w:szCs w:val="16"/>
              </w:rPr>
            </w:pPr>
            <w:r>
              <w:rPr>
                <w:sz w:val="16"/>
                <w:szCs w:val="16"/>
              </w:rPr>
              <w:t>Adjust program</w:t>
            </w:r>
            <w:r w:rsidR="00EA4F34" w:rsidRPr="00743218">
              <w:rPr>
                <w:sz w:val="16"/>
                <w:szCs w:val="16"/>
              </w:rPr>
              <w:t xml:space="preserve"> e</w:t>
            </w:r>
            <w:r w:rsidR="00EA4F34">
              <w:rPr>
                <w:sz w:val="16"/>
                <w:szCs w:val="16"/>
              </w:rPr>
              <w:t>x</w:t>
            </w:r>
            <w:r w:rsidR="00EA4F34" w:rsidRPr="00743218">
              <w:rPr>
                <w:sz w:val="16"/>
                <w:szCs w:val="16"/>
              </w:rPr>
              <w:t>pectations according to political context and re-align programs as required. Maintain mix of support through government and non-government programs</w:t>
            </w:r>
            <w:r w:rsidR="00EA4F34">
              <w:rPr>
                <w:sz w:val="16"/>
                <w:szCs w:val="16"/>
              </w:rPr>
              <w:t>.</w:t>
            </w:r>
          </w:p>
        </w:tc>
        <w:tc>
          <w:tcPr>
            <w:tcW w:w="2079" w:type="dxa"/>
          </w:tcPr>
          <w:p w14:paraId="20C14919" w14:textId="1107420C" w:rsidR="00EA4F34" w:rsidRPr="004C4A3E" w:rsidRDefault="00F0253B" w:rsidP="00F32A1A">
            <w:pPr>
              <w:pStyle w:val="TableTextEntries"/>
            </w:pPr>
            <w:r>
              <w:rPr>
                <w:sz w:val="16"/>
                <w:szCs w:val="16"/>
              </w:rPr>
              <w:t>High</w:t>
            </w:r>
          </w:p>
        </w:tc>
      </w:tr>
      <w:tr w:rsidR="00EA4F34" w:rsidRPr="00180B19" w14:paraId="716B84BA" w14:textId="77777777" w:rsidTr="005C310A">
        <w:tc>
          <w:tcPr>
            <w:tcW w:w="2007" w:type="dxa"/>
            <w:hideMark/>
          </w:tcPr>
          <w:p w14:paraId="44C5A291" w14:textId="06B52E2B" w:rsidR="00EA4F34" w:rsidRPr="00675281" w:rsidRDefault="00EA4F34" w:rsidP="00F32A1A">
            <w:pPr>
              <w:pStyle w:val="TableTextEntries"/>
              <w:rPr>
                <w:iCs w:val="0"/>
                <w:sz w:val="16"/>
                <w:szCs w:val="16"/>
              </w:rPr>
            </w:pPr>
            <w:r>
              <w:rPr>
                <w:sz w:val="16"/>
                <w:szCs w:val="16"/>
              </w:rPr>
              <w:t xml:space="preserve">2. </w:t>
            </w:r>
            <w:r w:rsidR="001101DD">
              <w:rPr>
                <w:iCs w:val="0"/>
                <w:sz w:val="16"/>
                <w:szCs w:val="16"/>
              </w:rPr>
              <w:t>Funding provided for program</w:t>
            </w:r>
            <w:r w:rsidRPr="00D937FA">
              <w:rPr>
                <w:iCs w:val="0"/>
                <w:sz w:val="16"/>
                <w:szCs w:val="16"/>
              </w:rPr>
              <w:t>s is not used for the intended purpose, cons</w:t>
            </w:r>
            <w:r>
              <w:rPr>
                <w:iCs w:val="0"/>
                <w:sz w:val="16"/>
                <w:szCs w:val="16"/>
              </w:rPr>
              <w:t>t</w:t>
            </w:r>
            <w:r w:rsidRPr="00D937FA">
              <w:rPr>
                <w:iCs w:val="0"/>
                <w:sz w:val="16"/>
                <w:szCs w:val="16"/>
              </w:rPr>
              <w:t>i</w:t>
            </w:r>
            <w:r>
              <w:rPr>
                <w:iCs w:val="0"/>
                <w:sz w:val="16"/>
                <w:szCs w:val="16"/>
              </w:rPr>
              <w:t>t</w:t>
            </w:r>
            <w:r w:rsidRPr="00D937FA">
              <w:rPr>
                <w:iCs w:val="0"/>
                <w:sz w:val="16"/>
                <w:szCs w:val="16"/>
              </w:rPr>
              <w:t>uting fraud.</w:t>
            </w:r>
          </w:p>
        </w:tc>
        <w:tc>
          <w:tcPr>
            <w:tcW w:w="2249" w:type="dxa"/>
          </w:tcPr>
          <w:p w14:paraId="6CFA6ED0" w14:textId="3C9FD5BB" w:rsidR="00EA4F34" w:rsidRPr="00675281" w:rsidRDefault="00EA4F34" w:rsidP="00951841">
            <w:pPr>
              <w:pStyle w:val="TableTextEntries"/>
              <w:rPr>
                <w:iCs w:val="0"/>
                <w:sz w:val="16"/>
                <w:szCs w:val="16"/>
              </w:rPr>
            </w:pPr>
            <w:r w:rsidRPr="006B1DA6">
              <w:rPr>
                <w:sz w:val="16"/>
                <w:szCs w:val="16"/>
              </w:rPr>
              <w:t xml:space="preserve">Post </w:t>
            </w:r>
            <w:r w:rsidR="00951841">
              <w:rPr>
                <w:sz w:val="16"/>
                <w:szCs w:val="16"/>
              </w:rPr>
              <w:t>complied with</w:t>
            </w:r>
            <w:r w:rsidRPr="006B1DA6">
              <w:rPr>
                <w:sz w:val="16"/>
                <w:szCs w:val="16"/>
              </w:rPr>
              <w:t xml:space="preserve"> fraud control and anti-corruption policies including due diligence requirements for implementing partners.  Where </w:t>
            </w:r>
            <w:r>
              <w:rPr>
                <w:sz w:val="16"/>
                <w:szCs w:val="16"/>
              </w:rPr>
              <w:t xml:space="preserve">possible funding was </w:t>
            </w:r>
            <w:r w:rsidRPr="006B1DA6">
              <w:rPr>
                <w:sz w:val="16"/>
                <w:szCs w:val="16"/>
              </w:rPr>
              <w:t>disburse</w:t>
            </w:r>
            <w:r>
              <w:rPr>
                <w:sz w:val="16"/>
                <w:szCs w:val="16"/>
              </w:rPr>
              <w:t xml:space="preserve">d </w:t>
            </w:r>
            <w:r w:rsidRPr="006B1DA6">
              <w:rPr>
                <w:sz w:val="16"/>
                <w:szCs w:val="16"/>
              </w:rPr>
              <w:t>on 1) achievement of agreed performance and 2) satisfactory completion of audit processes.</w:t>
            </w:r>
            <w:r>
              <w:rPr>
                <w:iCs w:val="0"/>
                <w:sz w:val="16"/>
                <w:szCs w:val="16"/>
              </w:rPr>
              <w:t xml:space="preserve"> </w:t>
            </w:r>
          </w:p>
        </w:tc>
        <w:tc>
          <w:tcPr>
            <w:tcW w:w="2302" w:type="dxa"/>
          </w:tcPr>
          <w:p w14:paraId="5E7A0F1B" w14:textId="0EE83D16" w:rsidR="00EA4F34" w:rsidRPr="00675281" w:rsidRDefault="00EA4F34" w:rsidP="00F32A1A">
            <w:pPr>
              <w:pStyle w:val="TableTextEntries"/>
              <w:rPr>
                <w:sz w:val="16"/>
                <w:szCs w:val="16"/>
              </w:rPr>
            </w:pPr>
            <w:r w:rsidRPr="006B1DA6">
              <w:rPr>
                <w:sz w:val="16"/>
                <w:szCs w:val="16"/>
              </w:rPr>
              <w:t xml:space="preserve">Australia's PFM adviser to </w:t>
            </w:r>
            <w:r>
              <w:rPr>
                <w:sz w:val="16"/>
                <w:szCs w:val="16"/>
              </w:rPr>
              <w:t xml:space="preserve">continue to </w:t>
            </w:r>
            <w:r w:rsidRPr="006B1DA6">
              <w:rPr>
                <w:sz w:val="16"/>
                <w:szCs w:val="16"/>
              </w:rPr>
              <w:t>support stronger DFAT engagement</w:t>
            </w:r>
            <w:r>
              <w:rPr>
                <w:sz w:val="16"/>
                <w:szCs w:val="16"/>
              </w:rPr>
              <w:t xml:space="preserve"> </w:t>
            </w:r>
          </w:p>
        </w:tc>
        <w:tc>
          <w:tcPr>
            <w:tcW w:w="2079" w:type="dxa"/>
          </w:tcPr>
          <w:p w14:paraId="0BA26E3B" w14:textId="77777777" w:rsidR="00EA4F34" w:rsidRPr="00675281" w:rsidRDefault="00EA4F34" w:rsidP="00F32A1A">
            <w:pPr>
              <w:pStyle w:val="TableTextEntries"/>
              <w:rPr>
                <w:sz w:val="16"/>
                <w:szCs w:val="16"/>
              </w:rPr>
            </w:pPr>
            <w:r>
              <w:rPr>
                <w:sz w:val="16"/>
                <w:szCs w:val="16"/>
              </w:rPr>
              <w:t>Medium</w:t>
            </w:r>
          </w:p>
        </w:tc>
      </w:tr>
      <w:tr w:rsidR="00EA4F34" w:rsidRPr="00180B19" w14:paraId="6E07F683" w14:textId="77777777" w:rsidTr="005C310A">
        <w:tc>
          <w:tcPr>
            <w:tcW w:w="2007" w:type="dxa"/>
          </w:tcPr>
          <w:p w14:paraId="48E00E3F" w14:textId="3D6404A3" w:rsidR="00EA4F34" w:rsidRPr="004C4A3E" w:rsidRDefault="00243071" w:rsidP="0093547C">
            <w:pPr>
              <w:pStyle w:val="TableTextEntries"/>
            </w:pPr>
            <w:r>
              <w:rPr>
                <w:iCs w:val="0"/>
                <w:sz w:val="16"/>
                <w:szCs w:val="16"/>
              </w:rPr>
              <w:lastRenderedPageBreak/>
              <w:t>3</w:t>
            </w:r>
            <w:r w:rsidR="00EA4F34" w:rsidRPr="006B6C31">
              <w:rPr>
                <w:iCs w:val="0"/>
                <w:sz w:val="16"/>
                <w:szCs w:val="16"/>
              </w:rPr>
              <w:t xml:space="preserve">. </w:t>
            </w:r>
            <w:r w:rsidR="0093547C">
              <w:rPr>
                <w:iCs w:val="0"/>
                <w:sz w:val="16"/>
                <w:szCs w:val="16"/>
              </w:rPr>
              <w:t>Our interventions are not consistent with the needs and priorities of an emerging MIC in a reducing ODA context resulting in ineffective programs</w:t>
            </w:r>
          </w:p>
        </w:tc>
        <w:tc>
          <w:tcPr>
            <w:tcW w:w="2249" w:type="dxa"/>
          </w:tcPr>
          <w:p w14:paraId="568F5D81" w14:textId="06C2EF9D" w:rsidR="00EA4F34" w:rsidRPr="004C4A3E" w:rsidRDefault="0093547C" w:rsidP="00F32A1A">
            <w:pPr>
              <w:pStyle w:val="TableTextEntries"/>
            </w:pPr>
            <w:r>
              <w:rPr>
                <w:sz w:val="16"/>
                <w:szCs w:val="16"/>
              </w:rPr>
              <w:t>Ensure sufficient technical resources are available to enable credible policy dialogue and influence reforms; closely assess opportunities for Australia to value – add</w:t>
            </w:r>
            <w:r w:rsidR="00094DDD">
              <w:rPr>
                <w:sz w:val="16"/>
                <w:szCs w:val="16"/>
              </w:rPr>
              <w:t xml:space="preserve"> and improve Bangladesh’s own systems and expenditure</w:t>
            </w:r>
            <w:r>
              <w:rPr>
                <w:sz w:val="16"/>
                <w:szCs w:val="16"/>
              </w:rPr>
              <w:t xml:space="preserve"> as part of the AIP.</w:t>
            </w:r>
          </w:p>
        </w:tc>
        <w:tc>
          <w:tcPr>
            <w:tcW w:w="2302" w:type="dxa"/>
          </w:tcPr>
          <w:p w14:paraId="5502F6CD" w14:textId="7923E368" w:rsidR="00EA4F34" w:rsidRPr="002A6488" w:rsidRDefault="00EA4F34" w:rsidP="0093547C">
            <w:pPr>
              <w:pStyle w:val="TableTextEntries"/>
              <w:rPr>
                <w:sz w:val="16"/>
                <w:szCs w:val="16"/>
              </w:rPr>
            </w:pPr>
            <w:r w:rsidRPr="002A6488">
              <w:rPr>
                <w:sz w:val="16"/>
                <w:szCs w:val="16"/>
              </w:rPr>
              <w:t xml:space="preserve">Reflect </w:t>
            </w:r>
            <w:r w:rsidR="0093547C">
              <w:rPr>
                <w:sz w:val="16"/>
                <w:szCs w:val="16"/>
              </w:rPr>
              <w:t xml:space="preserve">changed </w:t>
            </w:r>
            <w:r w:rsidRPr="002A6488">
              <w:rPr>
                <w:sz w:val="16"/>
                <w:szCs w:val="16"/>
              </w:rPr>
              <w:t xml:space="preserve">expectations in Aid Investment Plan (AIP), performance framework and associated reporting, and; manage partner expectations accordingly by communicating any changes in areas of Australian focus.  </w:t>
            </w:r>
          </w:p>
        </w:tc>
        <w:tc>
          <w:tcPr>
            <w:tcW w:w="2079" w:type="dxa"/>
          </w:tcPr>
          <w:p w14:paraId="6DC3079D" w14:textId="77777777" w:rsidR="00EA4F34" w:rsidRPr="004C4A3E" w:rsidRDefault="00EA4F34" w:rsidP="00F32A1A">
            <w:pPr>
              <w:pStyle w:val="TableTextEntries"/>
            </w:pPr>
            <w:r w:rsidRPr="002A6488">
              <w:rPr>
                <w:sz w:val="16"/>
                <w:szCs w:val="16"/>
              </w:rPr>
              <w:t>Medium</w:t>
            </w:r>
          </w:p>
        </w:tc>
      </w:tr>
      <w:tr w:rsidR="00EA4F34" w:rsidRPr="00180B19" w14:paraId="70D017AA" w14:textId="77777777" w:rsidTr="005C310A">
        <w:tc>
          <w:tcPr>
            <w:tcW w:w="2007" w:type="dxa"/>
          </w:tcPr>
          <w:p w14:paraId="4288EFC2" w14:textId="4112A70C" w:rsidR="00EA4F34" w:rsidRPr="006B6C31" w:rsidRDefault="00243071" w:rsidP="00F32A1A">
            <w:pPr>
              <w:pStyle w:val="TableTextEntries"/>
              <w:rPr>
                <w:iCs w:val="0"/>
                <w:sz w:val="16"/>
                <w:szCs w:val="16"/>
              </w:rPr>
            </w:pPr>
            <w:r>
              <w:rPr>
                <w:iCs w:val="0"/>
                <w:sz w:val="16"/>
                <w:szCs w:val="16"/>
              </w:rPr>
              <w:t>4</w:t>
            </w:r>
            <w:r w:rsidR="00EA4F34">
              <w:rPr>
                <w:iCs w:val="0"/>
                <w:sz w:val="16"/>
                <w:szCs w:val="16"/>
              </w:rPr>
              <w:t xml:space="preserve">. </w:t>
            </w:r>
            <w:r w:rsidR="00EA4F34" w:rsidRPr="002A6488">
              <w:rPr>
                <w:iCs w:val="0"/>
                <w:sz w:val="16"/>
                <w:szCs w:val="16"/>
              </w:rPr>
              <w:t>Reducing the size of the Australia Awards program  and/or limited  resourcing/direct oversight impacts on the p</w:t>
            </w:r>
            <w:r w:rsidR="00EA4F34">
              <w:rPr>
                <w:iCs w:val="0"/>
                <w:sz w:val="16"/>
                <w:szCs w:val="16"/>
              </w:rPr>
              <w:t>ro</w:t>
            </w:r>
            <w:r w:rsidR="00EA4F34" w:rsidRPr="002A6488">
              <w:rPr>
                <w:iCs w:val="0"/>
                <w:sz w:val="16"/>
                <w:szCs w:val="16"/>
              </w:rPr>
              <w:t>g</w:t>
            </w:r>
            <w:r w:rsidR="00EA4F34">
              <w:rPr>
                <w:iCs w:val="0"/>
                <w:sz w:val="16"/>
                <w:szCs w:val="16"/>
              </w:rPr>
              <w:t>ra</w:t>
            </w:r>
            <w:r w:rsidR="00EA4F34" w:rsidRPr="002A6488">
              <w:rPr>
                <w:iCs w:val="0"/>
                <w:sz w:val="16"/>
                <w:szCs w:val="16"/>
              </w:rPr>
              <w:t>m's effectiveness and efficiency, as well as our visibility and influence</w:t>
            </w:r>
          </w:p>
        </w:tc>
        <w:tc>
          <w:tcPr>
            <w:tcW w:w="2249" w:type="dxa"/>
          </w:tcPr>
          <w:p w14:paraId="1A62BC2C" w14:textId="6F203008" w:rsidR="00EA4F34" w:rsidRPr="006B6C31" w:rsidRDefault="00EA4F34" w:rsidP="00BE75C0">
            <w:pPr>
              <w:pStyle w:val="TableTextEntries"/>
              <w:rPr>
                <w:sz w:val="16"/>
                <w:szCs w:val="16"/>
              </w:rPr>
            </w:pPr>
            <w:r w:rsidRPr="002A6488">
              <w:rPr>
                <w:sz w:val="16"/>
                <w:szCs w:val="16"/>
              </w:rPr>
              <w:t>Frequent and clear communication with new managing contractor du</w:t>
            </w:r>
            <w:r>
              <w:rPr>
                <w:sz w:val="16"/>
                <w:szCs w:val="16"/>
              </w:rPr>
              <w:t>ring transition</w:t>
            </w:r>
            <w:r w:rsidR="00BE75C0">
              <w:rPr>
                <w:sz w:val="16"/>
                <w:szCs w:val="16"/>
              </w:rPr>
              <w:t>.</w:t>
            </w:r>
          </w:p>
        </w:tc>
        <w:tc>
          <w:tcPr>
            <w:tcW w:w="2302" w:type="dxa"/>
          </w:tcPr>
          <w:p w14:paraId="58D99D87" w14:textId="77777777" w:rsidR="00EA4F34" w:rsidRPr="002A6488" w:rsidRDefault="00EA4F34" w:rsidP="00F32A1A">
            <w:pPr>
              <w:pStyle w:val="TableTextEntries"/>
              <w:rPr>
                <w:sz w:val="16"/>
                <w:szCs w:val="16"/>
              </w:rPr>
            </w:pPr>
            <w:r w:rsidRPr="002A6488">
              <w:rPr>
                <w:sz w:val="16"/>
                <w:szCs w:val="16"/>
              </w:rPr>
              <w:t>Maintain strong advocacy with scholarships branch and regional manager (desk) on value of Australia Awar</w:t>
            </w:r>
            <w:r>
              <w:rPr>
                <w:sz w:val="16"/>
                <w:szCs w:val="16"/>
              </w:rPr>
              <w:t>ds in Bangladesh; alternate programm</w:t>
            </w:r>
            <w:r w:rsidRPr="002A6488">
              <w:rPr>
                <w:sz w:val="16"/>
                <w:szCs w:val="16"/>
              </w:rPr>
              <w:t>ing options (e</w:t>
            </w:r>
            <w:r>
              <w:rPr>
                <w:sz w:val="16"/>
                <w:szCs w:val="16"/>
              </w:rPr>
              <w:t>.</w:t>
            </w:r>
            <w:r w:rsidRPr="002A6488">
              <w:rPr>
                <w:sz w:val="16"/>
                <w:szCs w:val="16"/>
              </w:rPr>
              <w:t>g</w:t>
            </w:r>
            <w:r>
              <w:rPr>
                <w:sz w:val="16"/>
                <w:szCs w:val="16"/>
              </w:rPr>
              <w:t>.</w:t>
            </w:r>
            <w:r w:rsidRPr="002A6488">
              <w:rPr>
                <w:sz w:val="16"/>
                <w:szCs w:val="16"/>
              </w:rPr>
              <w:t xml:space="preserve"> short courses) to maintain relationships with partners.</w:t>
            </w:r>
          </w:p>
        </w:tc>
        <w:tc>
          <w:tcPr>
            <w:tcW w:w="2079" w:type="dxa"/>
          </w:tcPr>
          <w:p w14:paraId="2F7D3111" w14:textId="77777777" w:rsidR="00EA4F34" w:rsidRPr="002A6488" w:rsidRDefault="00EA4F34" w:rsidP="00F32A1A">
            <w:pPr>
              <w:pStyle w:val="TableTextEntries"/>
              <w:rPr>
                <w:sz w:val="16"/>
                <w:szCs w:val="16"/>
              </w:rPr>
            </w:pPr>
            <w:r>
              <w:rPr>
                <w:sz w:val="16"/>
                <w:szCs w:val="16"/>
              </w:rPr>
              <w:t>Medium</w:t>
            </w:r>
          </w:p>
        </w:tc>
      </w:tr>
    </w:tbl>
    <w:p w14:paraId="088D9500" w14:textId="4C7231FF" w:rsidR="000D733F" w:rsidRDefault="000D733F" w:rsidP="0007149C">
      <w:pPr>
        <w:pStyle w:val="Heading2"/>
        <w:rPr>
          <w:sz w:val="28"/>
        </w:rPr>
      </w:pPr>
      <w:r w:rsidRPr="0007149C">
        <w:rPr>
          <w:sz w:val="28"/>
        </w:rPr>
        <w:t xml:space="preserve">Management </w:t>
      </w:r>
      <w:r w:rsidR="00805ADD" w:rsidRPr="0007149C">
        <w:rPr>
          <w:sz w:val="28"/>
        </w:rPr>
        <w:t>Responses</w:t>
      </w:r>
      <w:r w:rsidRPr="0007149C">
        <w:rPr>
          <w:sz w:val="28"/>
        </w:rPr>
        <w:tab/>
      </w:r>
      <w:r w:rsidRPr="0007149C">
        <w:rPr>
          <w:sz w:val="28"/>
        </w:rPr>
        <w:tab/>
      </w:r>
    </w:p>
    <w:p w14:paraId="503BD863" w14:textId="534A91BE" w:rsidR="007D02A7" w:rsidRPr="00D53A9D" w:rsidRDefault="003D15F8" w:rsidP="00C84318">
      <w:pPr>
        <w:pStyle w:val="BodyText"/>
        <w:jc w:val="both"/>
      </w:pPr>
      <w:r w:rsidRPr="00C57697">
        <w:t xml:space="preserve">A new Aid Investment Plan </w:t>
      </w:r>
      <w:r w:rsidR="00216ADA">
        <w:t xml:space="preserve">was </w:t>
      </w:r>
      <w:r w:rsidRPr="00C57697">
        <w:t>finalised in the second half of 2015</w:t>
      </w:r>
      <w:r w:rsidR="009744C7" w:rsidRPr="00C57697">
        <w:t>.</w:t>
      </w:r>
      <w:r w:rsidR="009744C7">
        <w:rPr>
          <w:b/>
        </w:rPr>
        <w:t xml:space="preserve"> </w:t>
      </w:r>
      <w:r w:rsidR="00D53A9D">
        <w:rPr>
          <w:b/>
        </w:rPr>
        <w:t xml:space="preserve"> </w:t>
      </w:r>
      <w:r w:rsidR="009744C7" w:rsidRPr="00C57697">
        <w:t>Th</w:t>
      </w:r>
      <w:r w:rsidR="000148D3" w:rsidRPr="00C57697">
        <w:t>e</w:t>
      </w:r>
      <w:r w:rsidR="009744C7" w:rsidRPr="00C57697">
        <w:t xml:space="preserve"> </w:t>
      </w:r>
      <w:r w:rsidR="000148D3" w:rsidRPr="00C57697">
        <w:t>p</w:t>
      </w:r>
      <w:r w:rsidR="009744C7" w:rsidRPr="00C57697">
        <w:t xml:space="preserve">lan </w:t>
      </w:r>
      <w:r w:rsidRPr="00C57697">
        <w:t>outline</w:t>
      </w:r>
      <w:r w:rsidR="00216ADA">
        <w:t>s</w:t>
      </w:r>
      <w:r w:rsidRPr="00C57697">
        <w:t xml:space="preserve"> our </w:t>
      </w:r>
      <w:r w:rsidR="007D02A7" w:rsidRPr="00C57697">
        <w:t xml:space="preserve">strategic choices in </w:t>
      </w:r>
      <w:r w:rsidRPr="00C57697">
        <w:t xml:space="preserve">aligning </w:t>
      </w:r>
      <w:r w:rsidR="00D53A9D">
        <w:t>the</w:t>
      </w:r>
      <w:r w:rsidRPr="00C57697">
        <w:t xml:space="preserve"> new aid priorities and </w:t>
      </w:r>
      <w:r w:rsidR="007D02A7" w:rsidRPr="00C57697">
        <w:t>implement</w:t>
      </w:r>
      <w:r w:rsidR="000148D3">
        <w:t>ing</w:t>
      </w:r>
      <w:r w:rsidR="007D02A7" w:rsidRPr="00C57697">
        <w:t xml:space="preserve"> approaches </w:t>
      </w:r>
      <w:r w:rsidR="00BE75C0">
        <w:t>to</w:t>
      </w:r>
      <w:r w:rsidR="007D02A7" w:rsidRPr="00C57697">
        <w:t xml:space="preserve"> </w:t>
      </w:r>
      <w:r w:rsidR="00BE75C0">
        <w:t xml:space="preserve">optimise </w:t>
      </w:r>
      <w:r w:rsidR="007D02A7" w:rsidRPr="00D53A9D">
        <w:t>our investments and improve our efficiency and effectiveness</w:t>
      </w:r>
      <w:r w:rsidR="00BE75C0">
        <w:t>,</w:t>
      </w:r>
      <w:r w:rsidR="007D02A7" w:rsidRPr="00D53A9D">
        <w:t xml:space="preserve"> including </w:t>
      </w:r>
      <w:r w:rsidR="00BE75C0">
        <w:t xml:space="preserve">by </w:t>
      </w:r>
      <w:r w:rsidR="007D02A7" w:rsidRPr="00D53A9D">
        <w:t xml:space="preserve">working with proven partners to maximise our impact. </w:t>
      </w:r>
    </w:p>
    <w:p w14:paraId="329CA805" w14:textId="0B6337D3" w:rsidR="003F520B" w:rsidRDefault="003F520B" w:rsidP="00EA4F34">
      <w:pPr>
        <w:pStyle w:val="BodyText"/>
        <w:rPr>
          <w:szCs w:val="21"/>
        </w:rPr>
      </w:pPr>
      <w:r>
        <w:rPr>
          <w:szCs w:val="21"/>
        </w:rPr>
        <w:t>Th</w:t>
      </w:r>
      <w:r w:rsidR="00D23D6B">
        <w:rPr>
          <w:szCs w:val="21"/>
        </w:rPr>
        <w:t>r</w:t>
      </w:r>
      <w:r>
        <w:rPr>
          <w:szCs w:val="21"/>
        </w:rPr>
        <w:t xml:space="preserve">ough </w:t>
      </w:r>
      <w:r w:rsidR="00D23D6B">
        <w:rPr>
          <w:szCs w:val="21"/>
        </w:rPr>
        <w:t>20</w:t>
      </w:r>
      <w:r>
        <w:rPr>
          <w:szCs w:val="21"/>
        </w:rPr>
        <w:t>15-16, Australia will finalise the transition to the new AIP</w:t>
      </w:r>
      <w:r w:rsidR="00E33F3B">
        <w:rPr>
          <w:szCs w:val="21"/>
        </w:rPr>
        <w:t xml:space="preserve">. </w:t>
      </w:r>
      <w:r>
        <w:rPr>
          <w:szCs w:val="21"/>
        </w:rPr>
        <w:t xml:space="preserve"> In doing so, we will need to:</w:t>
      </w:r>
    </w:p>
    <w:p w14:paraId="341D47EC" w14:textId="0D93D0A5" w:rsidR="00A4222C" w:rsidRPr="00AD75A9" w:rsidRDefault="003F520B" w:rsidP="00C84318">
      <w:pPr>
        <w:pStyle w:val="ListBullet"/>
        <w:tabs>
          <w:tab w:val="clear" w:pos="284"/>
        </w:tabs>
        <w:jc w:val="both"/>
      </w:pPr>
      <w:r>
        <w:rPr>
          <w:szCs w:val="21"/>
        </w:rPr>
        <w:t>C</w:t>
      </w:r>
      <w:r w:rsidR="00934EBE" w:rsidRPr="001343F7">
        <w:rPr>
          <w:szCs w:val="21"/>
        </w:rPr>
        <w:t xml:space="preserve">arefully </w:t>
      </w:r>
      <w:r>
        <w:rPr>
          <w:szCs w:val="21"/>
        </w:rPr>
        <w:t xml:space="preserve">consider how to deliver </w:t>
      </w:r>
      <w:r w:rsidR="00F2348E">
        <w:rPr>
          <w:szCs w:val="21"/>
        </w:rPr>
        <w:t xml:space="preserve">high-quality, credible </w:t>
      </w:r>
      <w:r>
        <w:rPr>
          <w:szCs w:val="21"/>
        </w:rPr>
        <w:t xml:space="preserve">technical assistance and policy advice in the primary education sector, </w:t>
      </w:r>
      <w:r w:rsidR="00934EBE" w:rsidRPr="001343F7">
        <w:rPr>
          <w:szCs w:val="21"/>
        </w:rPr>
        <w:t xml:space="preserve">our </w:t>
      </w:r>
      <w:r>
        <w:rPr>
          <w:szCs w:val="21"/>
        </w:rPr>
        <w:t xml:space="preserve">area of </w:t>
      </w:r>
      <w:r w:rsidR="00934EBE" w:rsidRPr="001343F7">
        <w:rPr>
          <w:szCs w:val="21"/>
        </w:rPr>
        <w:t xml:space="preserve">greatest </w:t>
      </w:r>
      <w:r w:rsidR="00934EBE">
        <w:rPr>
          <w:szCs w:val="21"/>
        </w:rPr>
        <w:t>comparative advantage</w:t>
      </w:r>
      <w:r>
        <w:rPr>
          <w:szCs w:val="21"/>
        </w:rPr>
        <w:t>, in a resource-constrained environment</w:t>
      </w:r>
      <w:r w:rsidR="00D53A9D">
        <w:rPr>
          <w:szCs w:val="21"/>
        </w:rPr>
        <w:t>;</w:t>
      </w:r>
      <w:r w:rsidR="00DE50F0">
        <w:rPr>
          <w:szCs w:val="21"/>
        </w:rPr>
        <w:t xml:space="preserve"> prioritise resources to engage in planning for the next phase of </w:t>
      </w:r>
      <w:r w:rsidR="0005194E">
        <w:rPr>
          <w:szCs w:val="21"/>
        </w:rPr>
        <w:t>the primary education program</w:t>
      </w:r>
      <w:r w:rsidR="00DE50F0">
        <w:rPr>
          <w:szCs w:val="21"/>
        </w:rPr>
        <w:t>, ensuring that the process benefits from our 16 years</w:t>
      </w:r>
      <w:r w:rsidR="00DC2659">
        <w:rPr>
          <w:szCs w:val="21"/>
        </w:rPr>
        <w:t>’</w:t>
      </w:r>
      <w:r w:rsidR="00DE50F0">
        <w:rPr>
          <w:szCs w:val="21"/>
        </w:rPr>
        <w:t xml:space="preserve"> experience in the sector and to ensure an uninterrupted program pipeline</w:t>
      </w:r>
      <w:r w:rsidR="0005194E">
        <w:rPr>
          <w:szCs w:val="21"/>
        </w:rPr>
        <w:t>;</w:t>
      </w:r>
    </w:p>
    <w:p w14:paraId="6B1624FE" w14:textId="59AB54CC" w:rsidR="00AD75A9" w:rsidRPr="003F520B" w:rsidRDefault="00AD75A9" w:rsidP="00AD75A9">
      <w:pPr>
        <w:pStyle w:val="ListBullet"/>
        <w:tabs>
          <w:tab w:val="clear" w:pos="284"/>
        </w:tabs>
        <w:jc w:val="both"/>
      </w:pPr>
      <w:r w:rsidRPr="00AD75A9">
        <w:t>Build capacity in gender and women’s economic empowerment to better understand the local context and how to adapt our strategic approaches, programming interventions and results reporting accordingly;</w:t>
      </w:r>
    </w:p>
    <w:p w14:paraId="073426D6" w14:textId="6EC60CD3" w:rsidR="003F520B" w:rsidRPr="003F520B" w:rsidRDefault="003F520B" w:rsidP="00C84318">
      <w:pPr>
        <w:pStyle w:val="ListBullet"/>
        <w:tabs>
          <w:tab w:val="clear" w:pos="284"/>
        </w:tabs>
        <w:jc w:val="both"/>
      </w:pPr>
      <w:r>
        <w:rPr>
          <w:szCs w:val="21"/>
        </w:rPr>
        <w:t xml:space="preserve">Manage leadership change within DFAT to ensure high level champions </w:t>
      </w:r>
      <w:r w:rsidR="000148D3">
        <w:rPr>
          <w:szCs w:val="21"/>
        </w:rPr>
        <w:t>for</w:t>
      </w:r>
      <w:r>
        <w:rPr>
          <w:szCs w:val="21"/>
        </w:rPr>
        <w:t xml:space="preserve"> the ongoing BRAC p</w:t>
      </w:r>
      <w:r w:rsidRPr="00560E6B">
        <w:rPr>
          <w:rFonts w:cs="Arial"/>
          <w:bCs/>
          <w:szCs w:val="22"/>
        </w:rPr>
        <w:t>artnership</w:t>
      </w:r>
      <w:r>
        <w:rPr>
          <w:rFonts w:cs="Arial"/>
          <w:bCs/>
          <w:szCs w:val="22"/>
        </w:rPr>
        <w:t>-</w:t>
      </w:r>
      <w:r w:rsidRPr="00560E6B">
        <w:rPr>
          <w:rFonts w:cs="Arial"/>
          <w:bCs/>
          <w:szCs w:val="22"/>
        </w:rPr>
        <w:t>building process</w:t>
      </w:r>
      <w:r w:rsidR="00D53A9D">
        <w:rPr>
          <w:rFonts w:cs="Arial"/>
          <w:bCs/>
          <w:szCs w:val="22"/>
        </w:rPr>
        <w:t>;</w:t>
      </w:r>
      <w:r w:rsidR="00DE50F0">
        <w:rPr>
          <w:rFonts w:cs="Arial"/>
          <w:bCs/>
          <w:szCs w:val="22"/>
        </w:rPr>
        <w:t xml:space="preserve"> finalise the business case for a possible new phase of the SPA to ensure an uninterrupted program pipeline</w:t>
      </w:r>
      <w:r w:rsidR="00BE75C0">
        <w:rPr>
          <w:rFonts w:cs="Arial"/>
          <w:bCs/>
          <w:szCs w:val="22"/>
        </w:rPr>
        <w:t>;</w:t>
      </w:r>
    </w:p>
    <w:p w14:paraId="63B0A631" w14:textId="4002B66B" w:rsidR="005441BE" w:rsidRPr="00D53A9D" w:rsidRDefault="005441BE" w:rsidP="00C84318">
      <w:pPr>
        <w:pStyle w:val="ListBullet"/>
        <w:tabs>
          <w:tab w:val="clear" w:pos="284"/>
        </w:tabs>
        <w:jc w:val="both"/>
      </w:pPr>
      <w:r>
        <w:rPr>
          <w:szCs w:val="21"/>
        </w:rPr>
        <w:t>Manage risk and fraud with a partnership approach, using partner systems to identify</w:t>
      </w:r>
      <w:r w:rsidR="00F2348E">
        <w:rPr>
          <w:szCs w:val="21"/>
        </w:rPr>
        <w:t>,</w:t>
      </w:r>
      <w:r>
        <w:rPr>
          <w:szCs w:val="21"/>
        </w:rPr>
        <w:t xml:space="preserve"> manage </w:t>
      </w:r>
      <w:r w:rsidR="00412E5C">
        <w:rPr>
          <w:szCs w:val="21"/>
        </w:rPr>
        <w:t xml:space="preserve">and resolve </w:t>
      </w:r>
      <w:r>
        <w:rPr>
          <w:szCs w:val="21"/>
        </w:rPr>
        <w:t xml:space="preserve">cases and working with partners to </w:t>
      </w:r>
      <w:r>
        <w:rPr>
          <w:rFonts w:ascii="Arial" w:hAnsi="Arial" w:cs="Arial"/>
          <w:iCs/>
        </w:rPr>
        <w:t>identify and improve systemic weaknesses.  Update our Assessment of National Systems in 2016</w:t>
      </w:r>
      <w:r w:rsidR="00D53A9D">
        <w:rPr>
          <w:rFonts w:ascii="Arial" w:hAnsi="Arial" w:cs="Arial"/>
          <w:iCs/>
        </w:rPr>
        <w:t>;</w:t>
      </w:r>
    </w:p>
    <w:p w14:paraId="7168A12E" w14:textId="7F6F0F3B" w:rsidR="00934EBE" w:rsidRPr="00370CD8" w:rsidRDefault="005441BE" w:rsidP="00C84318">
      <w:pPr>
        <w:pStyle w:val="ListBullet"/>
        <w:tabs>
          <w:tab w:val="clear" w:pos="284"/>
        </w:tabs>
        <w:jc w:val="both"/>
      </w:pPr>
      <w:r>
        <w:rPr>
          <w:rFonts w:ascii="Arial" w:hAnsi="Arial" w:cs="Arial"/>
          <w:iCs/>
        </w:rPr>
        <w:t>Further develop Australia Award short course options</w:t>
      </w:r>
      <w:r>
        <w:rPr>
          <w:szCs w:val="21"/>
        </w:rPr>
        <w:t xml:space="preserve"> as </w:t>
      </w:r>
      <w:r w:rsidR="00412E5C">
        <w:rPr>
          <w:szCs w:val="21"/>
        </w:rPr>
        <w:t>the</w:t>
      </w:r>
      <w:r>
        <w:rPr>
          <w:szCs w:val="21"/>
        </w:rPr>
        <w:t xml:space="preserve"> </w:t>
      </w:r>
      <w:r w:rsidR="00412E5C">
        <w:rPr>
          <w:szCs w:val="21"/>
        </w:rPr>
        <w:t xml:space="preserve">preferred </w:t>
      </w:r>
      <w:r>
        <w:rPr>
          <w:szCs w:val="21"/>
        </w:rPr>
        <w:t xml:space="preserve">bilaterally-funded </w:t>
      </w:r>
      <w:r w:rsidR="00412E5C">
        <w:rPr>
          <w:szCs w:val="21"/>
        </w:rPr>
        <w:t>mechanism for providing responsive and targeted ways to address Bangladesh’s skills def</w:t>
      </w:r>
      <w:r w:rsidR="000148D3">
        <w:rPr>
          <w:szCs w:val="21"/>
        </w:rPr>
        <w:t>i</w:t>
      </w:r>
      <w:r w:rsidR="00412E5C">
        <w:rPr>
          <w:szCs w:val="21"/>
        </w:rPr>
        <w:t xml:space="preserve">cits.  Continue advocacy for global funding of long term awards which remain an important part of building enduring people to people </w:t>
      </w:r>
      <w:r w:rsidR="00094DDD">
        <w:rPr>
          <w:szCs w:val="21"/>
        </w:rPr>
        <w:t xml:space="preserve">and institutional </w:t>
      </w:r>
      <w:r w:rsidR="00412E5C">
        <w:rPr>
          <w:szCs w:val="21"/>
        </w:rPr>
        <w:t>linkages.</w:t>
      </w:r>
      <w:r w:rsidR="00370CD8">
        <w:rPr>
          <w:szCs w:val="21"/>
        </w:rPr>
        <w:t xml:space="preserve">  Explore ways to broaden </w:t>
      </w:r>
      <w:r w:rsidR="00F2348E">
        <w:rPr>
          <w:szCs w:val="21"/>
        </w:rPr>
        <w:t xml:space="preserve">and strengthen </w:t>
      </w:r>
      <w:r w:rsidR="00370CD8">
        <w:rPr>
          <w:szCs w:val="21"/>
        </w:rPr>
        <w:t>the Australia Awards Alumni network, including reaching out to women leaders and privately-funded students</w:t>
      </w:r>
      <w:r w:rsidR="00D53A9D">
        <w:rPr>
          <w:szCs w:val="21"/>
        </w:rPr>
        <w:t>;</w:t>
      </w:r>
    </w:p>
    <w:p w14:paraId="5BD370E0" w14:textId="77777777" w:rsidR="00BE75C0" w:rsidRDefault="00BE75C0">
      <w:pPr>
        <w:spacing w:after="200" w:line="276" w:lineRule="auto"/>
        <w:rPr>
          <w:rFonts w:ascii="Franklin Gothic Book" w:eastAsia="Times New Roman" w:hAnsi="Franklin Gothic Book"/>
          <w:sz w:val="21"/>
          <w:szCs w:val="21"/>
        </w:rPr>
      </w:pPr>
      <w:r>
        <w:rPr>
          <w:szCs w:val="21"/>
        </w:rPr>
        <w:br w:type="page"/>
      </w:r>
    </w:p>
    <w:p w14:paraId="1924E7C2" w14:textId="196F3F13" w:rsidR="00370CD8" w:rsidRPr="00412E5C" w:rsidRDefault="00370CD8" w:rsidP="00C84318">
      <w:pPr>
        <w:pStyle w:val="ListBullet"/>
        <w:tabs>
          <w:tab w:val="clear" w:pos="284"/>
        </w:tabs>
        <w:jc w:val="both"/>
      </w:pPr>
      <w:r>
        <w:rPr>
          <w:szCs w:val="21"/>
        </w:rPr>
        <w:lastRenderedPageBreak/>
        <w:t>Work with WFP on new and ongoing initiatives for better results reporting and quality assessments</w:t>
      </w:r>
      <w:r w:rsidR="00D53A9D">
        <w:rPr>
          <w:szCs w:val="21"/>
        </w:rPr>
        <w:t>; and</w:t>
      </w:r>
    </w:p>
    <w:p w14:paraId="63DD9AE9" w14:textId="39775F0B" w:rsidR="00EA4F34" w:rsidRDefault="00AA2144" w:rsidP="007567EB">
      <w:pPr>
        <w:pStyle w:val="ListBullet"/>
        <w:tabs>
          <w:tab w:val="clear" w:pos="284"/>
        </w:tabs>
        <w:jc w:val="both"/>
      </w:pPr>
      <w:r>
        <w:t xml:space="preserve">Investigate options for </w:t>
      </w:r>
      <w:r w:rsidR="005441BE">
        <w:t xml:space="preserve">alternative </w:t>
      </w:r>
      <w:r>
        <w:t xml:space="preserve">monitoring of programs to manage </w:t>
      </w:r>
      <w:r w:rsidR="00BE75C0">
        <w:t>recurring</w:t>
      </w:r>
      <w:r>
        <w:t xml:space="preserve"> </w:t>
      </w:r>
      <w:r w:rsidR="00BE75C0">
        <w:t>security challenges</w:t>
      </w:r>
      <w:r w:rsidR="0093547C">
        <w:t>.</w:t>
      </w:r>
    </w:p>
    <w:p w14:paraId="1EAE09F7" w14:textId="77777777" w:rsidR="000A460F" w:rsidRDefault="000A460F">
      <w:pPr>
        <w:spacing w:after="200" w:line="276" w:lineRule="auto"/>
        <w:rPr>
          <w:lang w:eastAsia="zh-CN"/>
        </w:rPr>
      </w:pPr>
      <w:r>
        <w:rPr>
          <w:lang w:eastAsia="zh-CN"/>
        </w:rPr>
        <w:br w:type="page"/>
      </w:r>
    </w:p>
    <w:p w14:paraId="7C3BC4F9" w14:textId="5FBADC9B" w:rsidR="00D23EB8" w:rsidRPr="004053CD" w:rsidRDefault="00D23EB8" w:rsidP="001E3452">
      <w:pPr>
        <w:spacing w:after="200" w:line="276" w:lineRule="auto"/>
        <w:rPr>
          <w:rFonts w:ascii="Franklin Gothic Book" w:hAnsi="Franklin Gothic Book"/>
          <w:sz w:val="21"/>
          <w:szCs w:val="21"/>
          <w:lang w:eastAsia="zh-CN"/>
        </w:rPr>
      </w:pPr>
      <w:r w:rsidRPr="004053CD">
        <w:rPr>
          <w:rFonts w:ascii="Franklin Gothic Book" w:hAnsi="Franklin Gothic Book"/>
          <w:sz w:val="21"/>
          <w:szCs w:val="21"/>
          <w:lang w:eastAsia="zh-CN"/>
        </w:rPr>
        <w:lastRenderedPageBreak/>
        <w:t>ACRONYMNS</w:t>
      </w:r>
    </w:p>
    <w:p w14:paraId="0C1609EB" w14:textId="3E79F068" w:rsidR="009E7701" w:rsidRPr="004053CD" w:rsidRDefault="009E7701" w:rsidP="00D23EB8">
      <w:pPr>
        <w:pStyle w:val="BodyText"/>
        <w:rPr>
          <w:szCs w:val="21"/>
          <w:lang w:eastAsia="zh-CN"/>
        </w:rPr>
      </w:pPr>
      <w:r w:rsidRPr="004053CD">
        <w:rPr>
          <w:szCs w:val="21"/>
          <w:lang w:eastAsia="zh-CN"/>
        </w:rPr>
        <w:t>AIIB</w:t>
      </w:r>
      <w:r w:rsidRPr="004053CD">
        <w:rPr>
          <w:szCs w:val="21"/>
          <w:lang w:eastAsia="zh-CN"/>
        </w:rPr>
        <w:tab/>
      </w:r>
      <w:r w:rsidRPr="004053CD">
        <w:rPr>
          <w:szCs w:val="21"/>
          <w:lang w:eastAsia="zh-CN"/>
        </w:rPr>
        <w:tab/>
      </w:r>
      <w:r w:rsidRPr="004053CD">
        <w:rPr>
          <w:szCs w:val="21"/>
          <w:lang w:eastAsia="zh-CN"/>
        </w:rPr>
        <w:tab/>
        <w:t xml:space="preserve"> Asian Infrastructure Investment Bank</w:t>
      </w:r>
    </w:p>
    <w:p w14:paraId="3125C393" w14:textId="6BD42E19" w:rsidR="009370CF" w:rsidRPr="004053CD" w:rsidRDefault="009370CF" w:rsidP="00D23EB8">
      <w:pPr>
        <w:pStyle w:val="BodyText"/>
        <w:rPr>
          <w:szCs w:val="21"/>
          <w:lang w:eastAsia="zh-CN"/>
        </w:rPr>
      </w:pPr>
      <w:r w:rsidRPr="004053CD">
        <w:rPr>
          <w:szCs w:val="21"/>
          <w:lang w:eastAsia="zh-CN"/>
        </w:rPr>
        <w:t>ACER</w:t>
      </w:r>
      <w:r w:rsidRPr="004053CD">
        <w:rPr>
          <w:szCs w:val="21"/>
          <w:lang w:eastAsia="zh-CN"/>
        </w:rPr>
        <w:tab/>
      </w:r>
      <w:r w:rsidRPr="004053CD">
        <w:rPr>
          <w:szCs w:val="21"/>
          <w:lang w:eastAsia="zh-CN"/>
        </w:rPr>
        <w:tab/>
      </w:r>
      <w:r w:rsidRPr="004053CD">
        <w:rPr>
          <w:szCs w:val="21"/>
          <w:lang w:eastAsia="zh-CN"/>
        </w:rPr>
        <w:tab/>
        <w:t xml:space="preserve"> Australian Council for Educational Research</w:t>
      </w:r>
    </w:p>
    <w:p w14:paraId="18E1079C" w14:textId="1F2FB794" w:rsidR="00243071" w:rsidRPr="004053CD" w:rsidRDefault="00243071" w:rsidP="00D23EB8">
      <w:pPr>
        <w:pStyle w:val="BodyText"/>
        <w:rPr>
          <w:szCs w:val="21"/>
          <w:lang w:eastAsia="zh-CN"/>
        </w:rPr>
      </w:pPr>
      <w:r w:rsidRPr="004053CD">
        <w:rPr>
          <w:szCs w:val="21"/>
          <w:lang w:eastAsia="zh-CN"/>
        </w:rPr>
        <w:t>ACIAR</w:t>
      </w:r>
      <w:r w:rsidRPr="004053CD">
        <w:rPr>
          <w:szCs w:val="21"/>
          <w:lang w:eastAsia="zh-CN"/>
        </w:rPr>
        <w:tab/>
      </w:r>
      <w:r w:rsidRPr="004053CD">
        <w:rPr>
          <w:szCs w:val="21"/>
          <w:lang w:eastAsia="zh-CN"/>
        </w:rPr>
        <w:tab/>
      </w:r>
      <w:r w:rsidRPr="004053CD">
        <w:rPr>
          <w:szCs w:val="21"/>
          <w:lang w:eastAsia="zh-CN"/>
        </w:rPr>
        <w:tab/>
        <w:t xml:space="preserve"> Australian Centre for International Agricultural Research </w:t>
      </w:r>
    </w:p>
    <w:p w14:paraId="4C8B3E62" w14:textId="14E510CB" w:rsidR="001C1D7C" w:rsidRPr="004053CD" w:rsidRDefault="001C1D7C" w:rsidP="00D23EB8">
      <w:pPr>
        <w:pStyle w:val="BodyText"/>
        <w:rPr>
          <w:szCs w:val="21"/>
          <w:lang w:eastAsia="zh-CN"/>
        </w:rPr>
      </w:pPr>
      <w:r w:rsidRPr="004053CD">
        <w:rPr>
          <w:szCs w:val="21"/>
          <w:lang w:eastAsia="zh-CN"/>
        </w:rPr>
        <w:t>AIP</w:t>
      </w:r>
      <w:r w:rsidRPr="004053CD">
        <w:rPr>
          <w:szCs w:val="21"/>
          <w:lang w:eastAsia="zh-CN"/>
        </w:rPr>
        <w:tab/>
      </w:r>
      <w:r w:rsidRPr="004053CD">
        <w:rPr>
          <w:szCs w:val="21"/>
          <w:lang w:eastAsia="zh-CN"/>
        </w:rPr>
        <w:tab/>
      </w:r>
      <w:r w:rsidRPr="004053CD">
        <w:rPr>
          <w:szCs w:val="21"/>
          <w:lang w:eastAsia="zh-CN"/>
        </w:rPr>
        <w:tab/>
        <w:t xml:space="preserve"> Aid Investment Plan</w:t>
      </w:r>
    </w:p>
    <w:p w14:paraId="5C190BB1" w14:textId="77777777" w:rsidR="00D23EB8" w:rsidRPr="004053CD" w:rsidRDefault="00D23EB8" w:rsidP="00D23EB8">
      <w:pPr>
        <w:pStyle w:val="BodyText"/>
        <w:rPr>
          <w:szCs w:val="21"/>
          <w:lang w:eastAsia="zh-CN"/>
        </w:rPr>
      </w:pPr>
      <w:r w:rsidRPr="004053CD">
        <w:rPr>
          <w:szCs w:val="21"/>
          <w:lang w:eastAsia="zh-CN"/>
        </w:rPr>
        <w:t>AQC</w:t>
      </w:r>
      <w:r w:rsidRPr="004053CD">
        <w:rPr>
          <w:szCs w:val="21"/>
          <w:lang w:eastAsia="zh-CN"/>
        </w:rPr>
        <w:tab/>
      </w:r>
      <w:r w:rsidRPr="004053CD">
        <w:rPr>
          <w:szCs w:val="21"/>
          <w:lang w:eastAsia="zh-CN"/>
        </w:rPr>
        <w:tab/>
      </w:r>
      <w:r w:rsidRPr="004053CD">
        <w:rPr>
          <w:szCs w:val="21"/>
          <w:lang w:eastAsia="zh-CN"/>
        </w:rPr>
        <w:tab/>
        <w:t xml:space="preserve"> Aid Quality Check</w:t>
      </w:r>
    </w:p>
    <w:p w14:paraId="47E25F11" w14:textId="77777777" w:rsidR="00D23EB8" w:rsidRPr="004053CD" w:rsidRDefault="00D23EB8" w:rsidP="00D23EB8">
      <w:pPr>
        <w:pStyle w:val="BodyText"/>
        <w:rPr>
          <w:szCs w:val="21"/>
          <w:lang w:eastAsia="zh-CN"/>
        </w:rPr>
      </w:pPr>
      <w:r w:rsidRPr="004053CD">
        <w:rPr>
          <w:szCs w:val="21"/>
          <w:lang w:eastAsia="zh-CN"/>
        </w:rPr>
        <w:t>ASPR</w:t>
      </w:r>
      <w:r w:rsidRPr="004053CD">
        <w:rPr>
          <w:szCs w:val="21"/>
          <w:lang w:eastAsia="zh-CN"/>
        </w:rPr>
        <w:tab/>
      </w:r>
      <w:r w:rsidRPr="004053CD">
        <w:rPr>
          <w:szCs w:val="21"/>
          <w:lang w:eastAsia="zh-CN"/>
        </w:rPr>
        <w:tab/>
      </w:r>
      <w:r w:rsidRPr="004053CD">
        <w:rPr>
          <w:szCs w:val="21"/>
          <w:lang w:eastAsia="zh-CN"/>
        </w:rPr>
        <w:tab/>
        <w:t xml:space="preserve"> Annual Sector Performance Report</w:t>
      </w:r>
    </w:p>
    <w:p w14:paraId="586A05A4" w14:textId="054168C8" w:rsidR="0084491B" w:rsidRPr="004053CD" w:rsidRDefault="0084491B" w:rsidP="00D23EB8">
      <w:pPr>
        <w:pStyle w:val="BodyText"/>
        <w:rPr>
          <w:szCs w:val="21"/>
          <w:lang w:eastAsia="zh-CN"/>
        </w:rPr>
      </w:pPr>
      <w:r w:rsidRPr="004053CD">
        <w:rPr>
          <w:szCs w:val="21"/>
          <w:lang w:eastAsia="zh-CN"/>
        </w:rPr>
        <w:t>BCCRF</w:t>
      </w:r>
      <w:r w:rsidRPr="004053CD">
        <w:rPr>
          <w:szCs w:val="21"/>
          <w:lang w:eastAsia="zh-CN"/>
        </w:rPr>
        <w:tab/>
      </w:r>
      <w:r w:rsidRPr="004053CD">
        <w:rPr>
          <w:szCs w:val="21"/>
          <w:lang w:eastAsia="zh-CN"/>
        </w:rPr>
        <w:tab/>
      </w:r>
      <w:r w:rsidRPr="004053CD">
        <w:rPr>
          <w:szCs w:val="21"/>
          <w:lang w:eastAsia="zh-CN"/>
        </w:rPr>
        <w:tab/>
        <w:t xml:space="preserve"> Bangladesh Climate Change Resilience Fund</w:t>
      </w:r>
    </w:p>
    <w:p w14:paraId="3B513EC9" w14:textId="2A5D4D44" w:rsidR="0084491B" w:rsidRPr="004053CD" w:rsidRDefault="0084491B" w:rsidP="00D23EB8">
      <w:pPr>
        <w:pStyle w:val="BodyText"/>
        <w:rPr>
          <w:szCs w:val="21"/>
          <w:lang w:eastAsia="zh-CN"/>
        </w:rPr>
      </w:pPr>
      <w:r w:rsidRPr="004053CD">
        <w:rPr>
          <w:szCs w:val="21"/>
          <w:lang w:eastAsia="zh-CN"/>
        </w:rPr>
        <w:t>CDMP</w:t>
      </w:r>
      <w:r w:rsidRPr="004053CD">
        <w:rPr>
          <w:szCs w:val="21"/>
          <w:lang w:eastAsia="zh-CN"/>
        </w:rPr>
        <w:tab/>
      </w:r>
      <w:r w:rsidRPr="004053CD">
        <w:rPr>
          <w:szCs w:val="21"/>
          <w:lang w:eastAsia="zh-CN"/>
        </w:rPr>
        <w:tab/>
      </w:r>
      <w:r w:rsidRPr="004053CD">
        <w:rPr>
          <w:szCs w:val="21"/>
          <w:lang w:eastAsia="zh-CN"/>
        </w:rPr>
        <w:tab/>
        <w:t xml:space="preserve"> </w:t>
      </w:r>
      <w:r w:rsidRPr="004053CD">
        <w:rPr>
          <w:szCs w:val="21"/>
        </w:rPr>
        <w:t>Comprehensive Disaster Management Program</w:t>
      </w:r>
    </w:p>
    <w:p w14:paraId="28646A40" w14:textId="77777777" w:rsidR="00D23EB8" w:rsidRPr="004053CD" w:rsidRDefault="00D23EB8" w:rsidP="00D23EB8">
      <w:pPr>
        <w:pStyle w:val="BodyText"/>
        <w:rPr>
          <w:szCs w:val="21"/>
          <w:lang w:eastAsia="zh-CN"/>
        </w:rPr>
      </w:pPr>
      <w:r w:rsidRPr="004053CD">
        <w:rPr>
          <w:szCs w:val="21"/>
          <w:lang w:eastAsia="zh-CN"/>
        </w:rPr>
        <w:t>CEP</w:t>
      </w:r>
      <w:r w:rsidRPr="004053CD">
        <w:rPr>
          <w:szCs w:val="21"/>
          <w:lang w:eastAsia="zh-CN"/>
        </w:rPr>
        <w:tab/>
      </w:r>
      <w:r w:rsidRPr="004053CD">
        <w:rPr>
          <w:szCs w:val="21"/>
          <w:lang w:eastAsia="zh-CN"/>
        </w:rPr>
        <w:tab/>
      </w:r>
      <w:r w:rsidRPr="004053CD">
        <w:rPr>
          <w:szCs w:val="21"/>
          <w:lang w:eastAsia="zh-CN"/>
        </w:rPr>
        <w:tab/>
        <w:t xml:space="preserve"> Community Empowerment Program</w:t>
      </w:r>
    </w:p>
    <w:p w14:paraId="2F4CE71A" w14:textId="438A2E30" w:rsidR="00D23EB8" w:rsidRPr="004053CD" w:rsidRDefault="00D23EB8" w:rsidP="00D23EB8">
      <w:pPr>
        <w:pStyle w:val="BodyText"/>
        <w:rPr>
          <w:szCs w:val="21"/>
          <w:lang w:eastAsia="zh-CN"/>
        </w:rPr>
      </w:pPr>
      <w:r w:rsidRPr="004053CD">
        <w:rPr>
          <w:szCs w:val="21"/>
          <w:lang w:eastAsia="zh-CN"/>
        </w:rPr>
        <w:t>CFPR</w:t>
      </w:r>
      <w:r w:rsidR="00AB4300" w:rsidRPr="004053CD">
        <w:rPr>
          <w:szCs w:val="21"/>
          <w:lang w:eastAsia="zh-CN"/>
        </w:rPr>
        <w:t xml:space="preserve"> TUP</w:t>
      </w:r>
      <w:r w:rsidRPr="004053CD">
        <w:rPr>
          <w:szCs w:val="21"/>
          <w:lang w:eastAsia="zh-CN"/>
        </w:rPr>
        <w:tab/>
      </w:r>
      <w:r w:rsidRPr="004053CD">
        <w:rPr>
          <w:szCs w:val="21"/>
          <w:lang w:eastAsia="zh-CN"/>
        </w:rPr>
        <w:tab/>
        <w:t xml:space="preserve"> Challenging the Frontiers of Poverty Reduction</w:t>
      </w:r>
      <w:r w:rsidR="00AB4300" w:rsidRPr="004053CD">
        <w:rPr>
          <w:szCs w:val="21"/>
          <w:lang w:eastAsia="zh-CN"/>
        </w:rPr>
        <w:t xml:space="preserve"> Targeting the Ultra Poor</w:t>
      </w:r>
    </w:p>
    <w:p w14:paraId="344A9FB8" w14:textId="77777777" w:rsidR="00D23EB8" w:rsidRPr="004053CD" w:rsidRDefault="00D23EB8" w:rsidP="00D23EB8">
      <w:pPr>
        <w:pStyle w:val="BodyText"/>
        <w:rPr>
          <w:szCs w:val="21"/>
          <w:lang w:eastAsia="zh-CN"/>
        </w:rPr>
      </w:pPr>
      <w:r w:rsidRPr="004053CD">
        <w:rPr>
          <w:szCs w:val="21"/>
          <w:lang w:eastAsia="zh-CN"/>
        </w:rPr>
        <w:t>CLP</w:t>
      </w:r>
      <w:r w:rsidRPr="004053CD">
        <w:rPr>
          <w:szCs w:val="21"/>
          <w:lang w:eastAsia="zh-CN"/>
        </w:rPr>
        <w:tab/>
      </w:r>
      <w:r w:rsidRPr="004053CD">
        <w:rPr>
          <w:szCs w:val="21"/>
          <w:lang w:eastAsia="zh-CN"/>
        </w:rPr>
        <w:tab/>
      </w:r>
      <w:r w:rsidRPr="004053CD">
        <w:rPr>
          <w:szCs w:val="21"/>
          <w:lang w:eastAsia="zh-CN"/>
        </w:rPr>
        <w:tab/>
        <w:t xml:space="preserve"> Chars Livelihood Program</w:t>
      </w:r>
    </w:p>
    <w:p w14:paraId="04A27905" w14:textId="24019D03" w:rsidR="00243071" w:rsidRPr="004053CD" w:rsidRDefault="00243071" w:rsidP="00D23EB8">
      <w:pPr>
        <w:pStyle w:val="BodyText"/>
        <w:rPr>
          <w:szCs w:val="21"/>
          <w:lang w:eastAsia="zh-CN"/>
        </w:rPr>
      </w:pPr>
      <w:r w:rsidRPr="004053CD">
        <w:rPr>
          <w:szCs w:val="21"/>
          <w:lang w:eastAsia="zh-CN"/>
        </w:rPr>
        <w:t>DET</w:t>
      </w:r>
      <w:r w:rsidRPr="004053CD">
        <w:rPr>
          <w:szCs w:val="21"/>
          <w:lang w:eastAsia="zh-CN"/>
        </w:rPr>
        <w:tab/>
      </w:r>
      <w:r w:rsidRPr="004053CD">
        <w:rPr>
          <w:szCs w:val="21"/>
          <w:lang w:eastAsia="zh-CN"/>
        </w:rPr>
        <w:tab/>
      </w:r>
      <w:r w:rsidRPr="004053CD">
        <w:rPr>
          <w:szCs w:val="21"/>
          <w:lang w:eastAsia="zh-CN"/>
        </w:rPr>
        <w:tab/>
        <w:t xml:space="preserve"> Department of Education and Training</w:t>
      </w:r>
    </w:p>
    <w:p w14:paraId="2DDE366E" w14:textId="77777777" w:rsidR="00D23EB8" w:rsidRPr="004053CD" w:rsidRDefault="00D23EB8" w:rsidP="00D23EB8">
      <w:pPr>
        <w:pStyle w:val="BodyText"/>
        <w:rPr>
          <w:szCs w:val="21"/>
          <w:lang w:eastAsia="zh-CN"/>
        </w:rPr>
      </w:pPr>
      <w:r w:rsidRPr="004053CD">
        <w:rPr>
          <w:szCs w:val="21"/>
          <w:lang w:eastAsia="zh-CN"/>
        </w:rPr>
        <w:t>DFID</w:t>
      </w:r>
      <w:r w:rsidRPr="004053CD">
        <w:rPr>
          <w:szCs w:val="21"/>
          <w:lang w:eastAsia="zh-CN"/>
        </w:rPr>
        <w:tab/>
      </w:r>
      <w:r w:rsidRPr="004053CD">
        <w:rPr>
          <w:szCs w:val="21"/>
          <w:lang w:eastAsia="zh-CN"/>
        </w:rPr>
        <w:tab/>
      </w:r>
      <w:r w:rsidRPr="004053CD">
        <w:rPr>
          <w:szCs w:val="21"/>
          <w:lang w:eastAsia="zh-CN"/>
        </w:rPr>
        <w:tab/>
        <w:t xml:space="preserve"> Department for International Development (UK)</w:t>
      </w:r>
    </w:p>
    <w:p w14:paraId="40DAD29B" w14:textId="77777777" w:rsidR="00D23EB8" w:rsidRPr="004053CD" w:rsidRDefault="00D23EB8" w:rsidP="00D23EB8">
      <w:pPr>
        <w:pStyle w:val="BodyText"/>
        <w:rPr>
          <w:szCs w:val="21"/>
          <w:lang w:eastAsia="zh-CN"/>
        </w:rPr>
      </w:pPr>
      <w:r w:rsidRPr="004053CD">
        <w:rPr>
          <w:szCs w:val="21"/>
          <w:lang w:eastAsia="zh-CN"/>
        </w:rPr>
        <w:t>ECL</w:t>
      </w:r>
      <w:r w:rsidRPr="004053CD">
        <w:rPr>
          <w:szCs w:val="21"/>
          <w:lang w:eastAsia="zh-CN"/>
        </w:rPr>
        <w:tab/>
      </w:r>
      <w:r w:rsidRPr="004053CD">
        <w:rPr>
          <w:szCs w:val="21"/>
          <w:lang w:eastAsia="zh-CN"/>
        </w:rPr>
        <w:tab/>
      </w:r>
      <w:r w:rsidRPr="004053CD">
        <w:rPr>
          <w:szCs w:val="21"/>
          <w:lang w:eastAsia="zh-CN"/>
        </w:rPr>
        <w:tab/>
        <w:t xml:space="preserve"> Every Child Learns</w:t>
      </w:r>
    </w:p>
    <w:p w14:paraId="1AC63675" w14:textId="04094C9F" w:rsidR="0057239D" w:rsidRPr="004053CD" w:rsidRDefault="0057239D" w:rsidP="00D23EB8">
      <w:pPr>
        <w:pStyle w:val="BodyText"/>
        <w:rPr>
          <w:szCs w:val="21"/>
          <w:lang w:eastAsia="zh-CN"/>
        </w:rPr>
      </w:pPr>
      <w:r w:rsidRPr="004053CD">
        <w:rPr>
          <w:szCs w:val="21"/>
          <w:lang w:eastAsia="zh-CN"/>
        </w:rPr>
        <w:t>EDRMS</w:t>
      </w:r>
      <w:r w:rsidRPr="004053CD">
        <w:rPr>
          <w:szCs w:val="21"/>
          <w:lang w:eastAsia="zh-CN"/>
        </w:rPr>
        <w:tab/>
      </w:r>
      <w:r w:rsidRPr="004053CD">
        <w:rPr>
          <w:szCs w:val="21"/>
          <w:lang w:eastAsia="zh-CN"/>
        </w:rPr>
        <w:tab/>
      </w:r>
      <w:r w:rsidRPr="004053CD">
        <w:rPr>
          <w:szCs w:val="21"/>
          <w:lang w:eastAsia="zh-CN"/>
        </w:rPr>
        <w:tab/>
        <w:t xml:space="preserve"> Electronic Documents Record Management System</w:t>
      </w:r>
    </w:p>
    <w:p w14:paraId="6A28D16B" w14:textId="14BB1C89" w:rsidR="0084491B" w:rsidRDefault="0084491B" w:rsidP="00D23EB8">
      <w:pPr>
        <w:pStyle w:val="BodyText"/>
        <w:rPr>
          <w:szCs w:val="21"/>
          <w:lang w:eastAsia="zh-CN"/>
        </w:rPr>
      </w:pPr>
      <w:r w:rsidRPr="004053CD">
        <w:rPr>
          <w:szCs w:val="21"/>
          <w:lang w:eastAsia="zh-CN"/>
        </w:rPr>
        <w:t>ERF</w:t>
      </w:r>
      <w:r w:rsidRPr="004053CD">
        <w:rPr>
          <w:szCs w:val="21"/>
          <w:lang w:eastAsia="zh-CN"/>
        </w:rPr>
        <w:tab/>
      </w:r>
      <w:r w:rsidRPr="004053CD">
        <w:rPr>
          <w:szCs w:val="21"/>
          <w:lang w:eastAsia="zh-CN"/>
        </w:rPr>
        <w:tab/>
      </w:r>
      <w:r w:rsidRPr="004053CD">
        <w:rPr>
          <w:szCs w:val="21"/>
          <w:lang w:eastAsia="zh-CN"/>
        </w:rPr>
        <w:tab/>
        <w:t xml:space="preserve"> Early Recovery Facility</w:t>
      </w:r>
    </w:p>
    <w:p w14:paraId="085D018E" w14:textId="2B05076B" w:rsidR="00AC028E" w:rsidRPr="004053CD" w:rsidRDefault="00AC028E" w:rsidP="00D23EB8">
      <w:pPr>
        <w:pStyle w:val="BodyText"/>
        <w:rPr>
          <w:szCs w:val="21"/>
          <w:lang w:eastAsia="zh-CN"/>
        </w:rPr>
      </w:pPr>
      <w:r>
        <w:rPr>
          <w:szCs w:val="21"/>
          <w:lang w:eastAsia="zh-CN"/>
        </w:rPr>
        <w:t>FAQC</w:t>
      </w:r>
      <w:r>
        <w:rPr>
          <w:szCs w:val="21"/>
          <w:lang w:eastAsia="zh-CN"/>
        </w:rPr>
        <w:tab/>
      </w:r>
      <w:r>
        <w:rPr>
          <w:szCs w:val="21"/>
          <w:lang w:eastAsia="zh-CN"/>
        </w:rPr>
        <w:tab/>
      </w:r>
      <w:r>
        <w:rPr>
          <w:szCs w:val="21"/>
          <w:lang w:eastAsia="zh-CN"/>
        </w:rPr>
        <w:tab/>
        <w:t xml:space="preserve"> Final Aid Quality Check</w:t>
      </w:r>
    </w:p>
    <w:p w14:paraId="25CE6A70" w14:textId="77777777" w:rsidR="00D23EB8" w:rsidRPr="004053CD" w:rsidRDefault="00D23EB8" w:rsidP="00D23EB8">
      <w:pPr>
        <w:pStyle w:val="BodyText"/>
        <w:rPr>
          <w:szCs w:val="21"/>
          <w:lang w:eastAsia="zh-CN"/>
        </w:rPr>
      </w:pPr>
      <w:r w:rsidRPr="004053CD">
        <w:rPr>
          <w:szCs w:val="21"/>
          <w:lang w:eastAsia="zh-CN"/>
        </w:rPr>
        <w:t>GDP</w:t>
      </w:r>
      <w:r w:rsidRPr="004053CD">
        <w:rPr>
          <w:szCs w:val="21"/>
          <w:lang w:eastAsia="zh-CN"/>
        </w:rPr>
        <w:tab/>
      </w:r>
      <w:r w:rsidRPr="004053CD">
        <w:rPr>
          <w:szCs w:val="21"/>
          <w:lang w:eastAsia="zh-CN"/>
        </w:rPr>
        <w:tab/>
      </w:r>
      <w:r w:rsidRPr="004053CD">
        <w:rPr>
          <w:szCs w:val="21"/>
          <w:lang w:eastAsia="zh-CN"/>
        </w:rPr>
        <w:tab/>
        <w:t xml:space="preserve"> Gross Domestic Product</w:t>
      </w:r>
    </w:p>
    <w:p w14:paraId="7AD61444" w14:textId="77777777" w:rsidR="00D23EB8" w:rsidRPr="004053CD" w:rsidRDefault="00D23EB8" w:rsidP="00D23EB8">
      <w:pPr>
        <w:pStyle w:val="BodyText"/>
        <w:rPr>
          <w:szCs w:val="21"/>
          <w:lang w:eastAsia="zh-CN"/>
        </w:rPr>
      </w:pPr>
      <w:r w:rsidRPr="004053CD">
        <w:rPr>
          <w:szCs w:val="21"/>
          <w:lang w:eastAsia="zh-CN"/>
        </w:rPr>
        <w:t>GNI</w:t>
      </w:r>
      <w:r w:rsidRPr="004053CD">
        <w:rPr>
          <w:szCs w:val="21"/>
          <w:lang w:eastAsia="zh-CN"/>
        </w:rPr>
        <w:tab/>
      </w:r>
      <w:r w:rsidRPr="004053CD">
        <w:rPr>
          <w:szCs w:val="21"/>
          <w:lang w:eastAsia="zh-CN"/>
        </w:rPr>
        <w:tab/>
      </w:r>
      <w:r w:rsidRPr="004053CD">
        <w:rPr>
          <w:szCs w:val="21"/>
          <w:lang w:eastAsia="zh-CN"/>
        </w:rPr>
        <w:tab/>
        <w:t xml:space="preserve"> Gross National Income</w:t>
      </w:r>
    </w:p>
    <w:p w14:paraId="6708956E" w14:textId="5C852E52" w:rsidR="009E7701" w:rsidRPr="004053CD" w:rsidRDefault="009E7701" w:rsidP="00D23EB8">
      <w:pPr>
        <w:pStyle w:val="BodyText"/>
        <w:rPr>
          <w:szCs w:val="21"/>
          <w:lang w:eastAsia="zh-CN"/>
        </w:rPr>
      </w:pPr>
      <w:r w:rsidRPr="004053CD">
        <w:rPr>
          <w:szCs w:val="21"/>
          <w:lang w:eastAsia="zh-CN"/>
        </w:rPr>
        <w:t>HNPP</w:t>
      </w:r>
      <w:r w:rsidRPr="004053CD">
        <w:rPr>
          <w:szCs w:val="21"/>
          <w:lang w:eastAsia="zh-CN"/>
        </w:rPr>
        <w:tab/>
      </w:r>
      <w:r w:rsidRPr="004053CD">
        <w:rPr>
          <w:szCs w:val="21"/>
          <w:lang w:eastAsia="zh-CN"/>
        </w:rPr>
        <w:tab/>
      </w:r>
      <w:r w:rsidRPr="004053CD">
        <w:rPr>
          <w:szCs w:val="21"/>
          <w:lang w:eastAsia="zh-CN"/>
        </w:rPr>
        <w:tab/>
        <w:t xml:space="preserve"> Health, Nutrition and Population Program </w:t>
      </w:r>
    </w:p>
    <w:p w14:paraId="01D45CC8" w14:textId="77777777" w:rsidR="00D23EB8" w:rsidRPr="004053CD" w:rsidRDefault="00D23EB8" w:rsidP="00D23EB8">
      <w:pPr>
        <w:pStyle w:val="BodyText"/>
        <w:rPr>
          <w:szCs w:val="21"/>
          <w:lang w:eastAsia="zh-CN"/>
        </w:rPr>
      </w:pPr>
      <w:r w:rsidRPr="004053CD">
        <w:rPr>
          <w:szCs w:val="21"/>
          <w:lang w:eastAsia="zh-CN"/>
        </w:rPr>
        <w:t>IFR</w:t>
      </w:r>
      <w:r w:rsidRPr="004053CD">
        <w:rPr>
          <w:szCs w:val="21"/>
          <w:lang w:eastAsia="zh-CN"/>
        </w:rPr>
        <w:tab/>
      </w:r>
      <w:r w:rsidRPr="004053CD">
        <w:rPr>
          <w:szCs w:val="21"/>
          <w:lang w:eastAsia="zh-CN"/>
        </w:rPr>
        <w:tab/>
      </w:r>
      <w:r w:rsidRPr="004053CD">
        <w:rPr>
          <w:szCs w:val="21"/>
          <w:lang w:eastAsia="zh-CN"/>
        </w:rPr>
        <w:tab/>
        <w:t xml:space="preserve"> interim financial report</w:t>
      </w:r>
    </w:p>
    <w:p w14:paraId="4AF823AC" w14:textId="77777777" w:rsidR="00D23EB8" w:rsidRPr="004053CD" w:rsidRDefault="00D23EB8" w:rsidP="00D23EB8">
      <w:pPr>
        <w:pStyle w:val="BodyText"/>
        <w:rPr>
          <w:szCs w:val="21"/>
          <w:lang w:eastAsia="zh-CN"/>
        </w:rPr>
      </w:pPr>
      <w:r w:rsidRPr="004053CD">
        <w:rPr>
          <w:szCs w:val="21"/>
          <w:lang w:eastAsia="zh-CN"/>
        </w:rPr>
        <w:t>Icddr’b</w:t>
      </w:r>
      <w:r w:rsidRPr="004053CD">
        <w:rPr>
          <w:szCs w:val="21"/>
          <w:lang w:eastAsia="zh-CN"/>
        </w:rPr>
        <w:tab/>
      </w:r>
      <w:r w:rsidRPr="004053CD">
        <w:rPr>
          <w:szCs w:val="21"/>
          <w:lang w:eastAsia="zh-CN"/>
        </w:rPr>
        <w:tab/>
      </w:r>
      <w:r w:rsidRPr="004053CD">
        <w:rPr>
          <w:szCs w:val="21"/>
          <w:lang w:eastAsia="zh-CN"/>
        </w:rPr>
        <w:tab/>
        <w:t xml:space="preserve"> </w:t>
      </w:r>
      <w:r w:rsidRPr="004053CD">
        <w:rPr>
          <w:szCs w:val="21"/>
        </w:rPr>
        <w:t>International Centre for Diarrhoeal Disease Research</w:t>
      </w:r>
    </w:p>
    <w:p w14:paraId="2C7D4E1C" w14:textId="77777777" w:rsidR="00D23EB8" w:rsidRPr="004053CD" w:rsidRDefault="00D23EB8" w:rsidP="00D23EB8">
      <w:pPr>
        <w:pStyle w:val="BodyText"/>
        <w:rPr>
          <w:szCs w:val="21"/>
          <w:lang w:eastAsia="zh-CN"/>
        </w:rPr>
      </w:pPr>
      <w:r w:rsidRPr="004053CD">
        <w:rPr>
          <w:szCs w:val="21"/>
          <w:lang w:eastAsia="zh-CN"/>
        </w:rPr>
        <w:t>JARM-</w:t>
      </w:r>
      <w:r w:rsidRPr="004053CD">
        <w:rPr>
          <w:szCs w:val="21"/>
          <w:lang w:eastAsia="zh-CN"/>
        </w:rPr>
        <w:tab/>
      </w:r>
      <w:r w:rsidRPr="004053CD">
        <w:rPr>
          <w:szCs w:val="21"/>
          <w:lang w:eastAsia="zh-CN"/>
        </w:rPr>
        <w:tab/>
      </w:r>
      <w:r w:rsidRPr="004053CD">
        <w:rPr>
          <w:szCs w:val="21"/>
          <w:lang w:eastAsia="zh-CN"/>
        </w:rPr>
        <w:tab/>
        <w:t xml:space="preserve"> Joint Annual Review Mission</w:t>
      </w:r>
    </w:p>
    <w:p w14:paraId="538BCAE4" w14:textId="34F3738E" w:rsidR="0058540A" w:rsidRPr="004053CD" w:rsidRDefault="0058540A" w:rsidP="00D23EB8">
      <w:pPr>
        <w:pStyle w:val="BodyText"/>
        <w:rPr>
          <w:szCs w:val="21"/>
        </w:rPr>
      </w:pPr>
      <w:r w:rsidRPr="004053CD">
        <w:rPr>
          <w:szCs w:val="21"/>
        </w:rPr>
        <w:t>LCG</w:t>
      </w:r>
      <w:r w:rsidRPr="004053CD">
        <w:rPr>
          <w:szCs w:val="21"/>
        </w:rPr>
        <w:tab/>
      </w:r>
      <w:r w:rsidRPr="004053CD">
        <w:rPr>
          <w:szCs w:val="21"/>
        </w:rPr>
        <w:tab/>
      </w:r>
      <w:r w:rsidRPr="004053CD">
        <w:rPr>
          <w:szCs w:val="21"/>
        </w:rPr>
        <w:tab/>
        <w:t xml:space="preserve"> Local Consultative Group</w:t>
      </w:r>
    </w:p>
    <w:p w14:paraId="02C41D41" w14:textId="34F3738E" w:rsidR="00110735" w:rsidRPr="004053CD" w:rsidRDefault="00110735" w:rsidP="00D23EB8">
      <w:pPr>
        <w:pStyle w:val="BodyText"/>
        <w:rPr>
          <w:szCs w:val="21"/>
        </w:rPr>
      </w:pPr>
      <w:r w:rsidRPr="004053CD">
        <w:rPr>
          <w:szCs w:val="21"/>
        </w:rPr>
        <w:t>LDC</w:t>
      </w:r>
      <w:r w:rsidRPr="004053CD">
        <w:rPr>
          <w:szCs w:val="21"/>
        </w:rPr>
        <w:tab/>
      </w:r>
      <w:r w:rsidRPr="004053CD">
        <w:rPr>
          <w:szCs w:val="21"/>
        </w:rPr>
        <w:tab/>
      </w:r>
      <w:r w:rsidRPr="004053CD">
        <w:rPr>
          <w:szCs w:val="21"/>
        </w:rPr>
        <w:tab/>
        <w:t xml:space="preserve"> Least Developed Country</w:t>
      </w:r>
    </w:p>
    <w:p w14:paraId="44AF44DD" w14:textId="584EA6DC" w:rsidR="00FF1021" w:rsidRPr="004053CD" w:rsidRDefault="00FF1021" w:rsidP="00D23EB8">
      <w:pPr>
        <w:pStyle w:val="BodyText"/>
        <w:rPr>
          <w:szCs w:val="21"/>
        </w:rPr>
      </w:pPr>
      <w:r w:rsidRPr="004053CD">
        <w:rPr>
          <w:szCs w:val="21"/>
        </w:rPr>
        <w:t>LNG</w:t>
      </w:r>
      <w:r w:rsidRPr="004053CD">
        <w:rPr>
          <w:szCs w:val="21"/>
        </w:rPr>
        <w:tab/>
      </w:r>
      <w:r w:rsidRPr="004053CD">
        <w:rPr>
          <w:szCs w:val="21"/>
        </w:rPr>
        <w:tab/>
      </w:r>
      <w:r w:rsidRPr="004053CD">
        <w:rPr>
          <w:szCs w:val="21"/>
        </w:rPr>
        <w:tab/>
        <w:t xml:space="preserve"> Liquid Natural Gas</w:t>
      </w:r>
    </w:p>
    <w:p w14:paraId="5E2A63BC" w14:textId="77777777" w:rsidR="00D23EB8" w:rsidRPr="004053CD" w:rsidRDefault="00D23EB8" w:rsidP="00D23EB8">
      <w:pPr>
        <w:pStyle w:val="BodyText"/>
        <w:rPr>
          <w:szCs w:val="21"/>
          <w:lang w:eastAsia="zh-CN"/>
        </w:rPr>
      </w:pPr>
      <w:r w:rsidRPr="004053CD">
        <w:rPr>
          <w:szCs w:val="21"/>
        </w:rPr>
        <w:t>MJF</w:t>
      </w:r>
      <w:r w:rsidRPr="004053CD">
        <w:rPr>
          <w:szCs w:val="21"/>
        </w:rPr>
        <w:tab/>
      </w:r>
      <w:r w:rsidRPr="004053CD">
        <w:rPr>
          <w:szCs w:val="21"/>
        </w:rPr>
        <w:tab/>
      </w:r>
      <w:r w:rsidRPr="004053CD">
        <w:rPr>
          <w:szCs w:val="21"/>
        </w:rPr>
        <w:tab/>
        <w:t xml:space="preserve"> Manusher Jono Foundation</w:t>
      </w:r>
    </w:p>
    <w:p w14:paraId="1B40FBCA" w14:textId="77777777" w:rsidR="00D23EB8" w:rsidRPr="004053CD" w:rsidRDefault="00D23EB8" w:rsidP="00D23EB8">
      <w:pPr>
        <w:pStyle w:val="BodyText"/>
        <w:rPr>
          <w:szCs w:val="21"/>
          <w:lang w:eastAsia="zh-CN"/>
        </w:rPr>
      </w:pPr>
      <w:r w:rsidRPr="004053CD">
        <w:rPr>
          <w:szCs w:val="21"/>
          <w:lang w:eastAsia="zh-CN"/>
        </w:rPr>
        <w:t>MDG</w:t>
      </w:r>
      <w:r w:rsidRPr="004053CD">
        <w:rPr>
          <w:szCs w:val="21"/>
          <w:lang w:eastAsia="zh-CN"/>
        </w:rPr>
        <w:tab/>
      </w:r>
      <w:r w:rsidRPr="004053CD">
        <w:rPr>
          <w:szCs w:val="21"/>
          <w:lang w:eastAsia="zh-CN"/>
        </w:rPr>
        <w:tab/>
      </w:r>
      <w:r w:rsidRPr="004053CD">
        <w:rPr>
          <w:szCs w:val="21"/>
          <w:lang w:eastAsia="zh-CN"/>
        </w:rPr>
        <w:tab/>
        <w:t xml:space="preserve"> Millennium Development Goals</w:t>
      </w:r>
    </w:p>
    <w:p w14:paraId="16B31C25" w14:textId="19198305" w:rsidR="00110735" w:rsidRPr="004053CD" w:rsidRDefault="00110735" w:rsidP="00D23EB8">
      <w:pPr>
        <w:pStyle w:val="BodyText"/>
        <w:rPr>
          <w:szCs w:val="21"/>
          <w:lang w:eastAsia="zh-CN"/>
        </w:rPr>
      </w:pPr>
      <w:r w:rsidRPr="004053CD">
        <w:rPr>
          <w:szCs w:val="21"/>
          <w:lang w:eastAsia="zh-CN"/>
        </w:rPr>
        <w:t>MIC</w:t>
      </w:r>
      <w:r w:rsidRPr="004053CD">
        <w:rPr>
          <w:szCs w:val="21"/>
          <w:lang w:eastAsia="zh-CN"/>
        </w:rPr>
        <w:tab/>
      </w:r>
      <w:r w:rsidRPr="004053CD">
        <w:rPr>
          <w:szCs w:val="21"/>
          <w:lang w:eastAsia="zh-CN"/>
        </w:rPr>
        <w:tab/>
      </w:r>
      <w:r w:rsidRPr="004053CD">
        <w:rPr>
          <w:szCs w:val="21"/>
          <w:lang w:eastAsia="zh-CN"/>
        </w:rPr>
        <w:tab/>
        <w:t xml:space="preserve"> Middle Income Country </w:t>
      </w:r>
    </w:p>
    <w:p w14:paraId="27083BB7" w14:textId="77777777" w:rsidR="00D23EB8" w:rsidRPr="004053CD" w:rsidRDefault="00D23EB8" w:rsidP="00D23EB8">
      <w:pPr>
        <w:pStyle w:val="BodyText"/>
        <w:rPr>
          <w:szCs w:val="21"/>
          <w:lang w:eastAsia="zh-CN"/>
        </w:rPr>
      </w:pPr>
      <w:r w:rsidRPr="004053CD">
        <w:rPr>
          <w:szCs w:val="21"/>
          <w:lang w:eastAsia="zh-CN"/>
        </w:rPr>
        <w:t>MTR</w:t>
      </w:r>
      <w:r w:rsidRPr="004053CD">
        <w:rPr>
          <w:szCs w:val="21"/>
          <w:lang w:eastAsia="zh-CN"/>
        </w:rPr>
        <w:tab/>
      </w:r>
      <w:r w:rsidRPr="004053CD">
        <w:rPr>
          <w:szCs w:val="21"/>
          <w:lang w:eastAsia="zh-CN"/>
        </w:rPr>
        <w:tab/>
      </w:r>
      <w:r w:rsidRPr="004053CD">
        <w:rPr>
          <w:szCs w:val="21"/>
          <w:lang w:eastAsia="zh-CN"/>
        </w:rPr>
        <w:tab/>
        <w:t xml:space="preserve"> mid-term review</w:t>
      </w:r>
    </w:p>
    <w:p w14:paraId="01E7B254" w14:textId="77777777" w:rsidR="00D23EB8" w:rsidRPr="004053CD" w:rsidRDefault="00D23EB8" w:rsidP="00D23EB8">
      <w:pPr>
        <w:pStyle w:val="BodyText"/>
        <w:rPr>
          <w:szCs w:val="21"/>
          <w:lang w:eastAsia="zh-CN"/>
        </w:rPr>
      </w:pPr>
      <w:r w:rsidRPr="004053CD">
        <w:rPr>
          <w:szCs w:val="21"/>
          <w:lang w:eastAsia="zh-CN"/>
        </w:rPr>
        <w:lastRenderedPageBreak/>
        <w:t>NGO</w:t>
      </w:r>
      <w:r w:rsidRPr="004053CD">
        <w:rPr>
          <w:szCs w:val="21"/>
          <w:lang w:eastAsia="zh-CN"/>
        </w:rPr>
        <w:tab/>
      </w:r>
      <w:r w:rsidRPr="004053CD">
        <w:rPr>
          <w:szCs w:val="21"/>
          <w:lang w:eastAsia="zh-CN"/>
        </w:rPr>
        <w:tab/>
      </w:r>
      <w:r w:rsidRPr="004053CD">
        <w:rPr>
          <w:szCs w:val="21"/>
          <w:lang w:eastAsia="zh-CN"/>
        </w:rPr>
        <w:tab/>
        <w:t xml:space="preserve"> Non- Government Organisation</w:t>
      </w:r>
    </w:p>
    <w:p w14:paraId="7C4EF3ED" w14:textId="085EB6D5" w:rsidR="009E7701" w:rsidRPr="004053CD" w:rsidRDefault="009E7701" w:rsidP="00D23EB8">
      <w:pPr>
        <w:pStyle w:val="BodyText"/>
        <w:rPr>
          <w:szCs w:val="21"/>
          <w:lang w:eastAsia="zh-CN"/>
        </w:rPr>
      </w:pPr>
      <w:r w:rsidRPr="004053CD">
        <w:rPr>
          <w:szCs w:val="21"/>
          <w:lang w:eastAsia="zh-CN"/>
        </w:rPr>
        <w:t>PAF</w:t>
      </w:r>
      <w:r w:rsidRPr="004053CD">
        <w:rPr>
          <w:szCs w:val="21"/>
          <w:lang w:eastAsia="zh-CN"/>
        </w:rPr>
        <w:tab/>
      </w:r>
      <w:r w:rsidRPr="004053CD">
        <w:rPr>
          <w:szCs w:val="21"/>
          <w:lang w:eastAsia="zh-CN"/>
        </w:rPr>
        <w:tab/>
      </w:r>
      <w:r w:rsidRPr="004053CD">
        <w:rPr>
          <w:szCs w:val="21"/>
          <w:lang w:eastAsia="zh-CN"/>
        </w:rPr>
        <w:tab/>
        <w:t xml:space="preserve"> Performance Assessment Framework</w:t>
      </w:r>
    </w:p>
    <w:p w14:paraId="30B0E1A3" w14:textId="77777777" w:rsidR="00D23EB8" w:rsidRPr="004053CD" w:rsidRDefault="00D23EB8" w:rsidP="00D23EB8">
      <w:pPr>
        <w:pStyle w:val="BodyText"/>
        <w:rPr>
          <w:szCs w:val="21"/>
          <w:lang w:eastAsia="zh-CN"/>
        </w:rPr>
      </w:pPr>
      <w:r w:rsidRPr="004053CD">
        <w:rPr>
          <w:szCs w:val="21"/>
          <w:lang w:eastAsia="zh-CN"/>
        </w:rPr>
        <w:t>PEDP3</w:t>
      </w:r>
      <w:r w:rsidRPr="004053CD">
        <w:rPr>
          <w:szCs w:val="21"/>
          <w:lang w:eastAsia="zh-CN"/>
        </w:rPr>
        <w:tab/>
      </w:r>
      <w:r w:rsidRPr="004053CD">
        <w:rPr>
          <w:szCs w:val="21"/>
          <w:lang w:eastAsia="zh-CN"/>
        </w:rPr>
        <w:tab/>
      </w:r>
      <w:r w:rsidRPr="004053CD">
        <w:rPr>
          <w:szCs w:val="21"/>
          <w:lang w:eastAsia="zh-CN"/>
        </w:rPr>
        <w:tab/>
        <w:t xml:space="preserve"> Primary Education Development Program Phase III</w:t>
      </w:r>
    </w:p>
    <w:p w14:paraId="0CCCE8A3" w14:textId="77777777" w:rsidR="00D23EB8" w:rsidRPr="004053CD" w:rsidRDefault="00D23EB8" w:rsidP="00D23EB8">
      <w:pPr>
        <w:pStyle w:val="BodyText"/>
        <w:rPr>
          <w:szCs w:val="21"/>
          <w:lang w:eastAsia="zh-CN"/>
        </w:rPr>
      </w:pPr>
      <w:r w:rsidRPr="004053CD">
        <w:rPr>
          <w:szCs w:val="21"/>
          <w:lang w:eastAsia="zh-CN"/>
        </w:rPr>
        <w:t>PFM</w:t>
      </w:r>
      <w:r w:rsidRPr="004053CD">
        <w:rPr>
          <w:szCs w:val="21"/>
          <w:lang w:eastAsia="zh-CN"/>
        </w:rPr>
        <w:tab/>
      </w:r>
      <w:r w:rsidRPr="004053CD">
        <w:rPr>
          <w:szCs w:val="21"/>
          <w:lang w:eastAsia="zh-CN"/>
        </w:rPr>
        <w:tab/>
      </w:r>
      <w:r w:rsidRPr="004053CD">
        <w:rPr>
          <w:szCs w:val="21"/>
          <w:lang w:eastAsia="zh-CN"/>
        </w:rPr>
        <w:tab/>
        <w:t xml:space="preserve"> public financial management</w:t>
      </w:r>
    </w:p>
    <w:p w14:paraId="2C056518" w14:textId="77777777" w:rsidR="00D23EB8" w:rsidRPr="004053CD" w:rsidRDefault="00D23EB8" w:rsidP="00D23EB8">
      <w:pPr>
        <w:pStyle w:val="BodyText"/>
        <w:rPr>
          <w:szCs w:val="21"/>
          <w:lang w:eastAsia="zh-CN"/>
        </w:rPr>
      </w:pPr>
      <w:r w:rsidRPr="004053CD">
        <w:rPr>
          <w:szCs w:val="21"/>
          <w:lang w:eastAsia="zh-CN"/>
        </w:rPr>
        <w:t>SGSP</w:t>
      </w:r>
      <w:r w:rsidRPr="004053CD">
        <w:rPr>
          <w:szCs w:val="21"/>
          <w:lang w:eastAsia="zh-CN"/>
        </w:rPr>
        <w:tab/>
      </w:r>
      <w:r w:rsidRPr="004053CD">
        <w:rPr>
          <w:szCs w:val="21"/>
          <w:lang w:eastAsia="zh-CN"/>
        </w:rPr>
        <w:tab/>
      </w:r>
      <w:r w:rsidRPr="004053CD">
        <w:rPr>
          <w:szCs w:val="21"/>
          <w:lang w:eastAsia="zh-CN"/>
        </w:rPr>
        <w:tab/>
        <w:t xml:space="preserve"> Strengthening Government Social Protection</w:t>
      </w:r>
    </w:p>
    <w:p w14:paraId="6604262E" w14:textId="54A2B465" w:rsidR="00D23EB8" w:rsidRPr="004053CD" w:rsidRDefault="00D23EB8" w:rsidP="00D23EB8">
      <w:pPr>
        <w:pStyle w:val="BodyText"/>
        <w:rPr>
          <w:szCs w:val="21"/>
          <w:lang w:eastAsia="zh-CN"/>
        </w:rPr>
      </w:pPr>
      <w:r w:rsidRPr="004053CD">
        <w:rPr>
          <w:szCs w:val="21"/>
          <w:lang w:eastAsia="zh-CN"/>
        </w:rPr>
        <w:t>SPA</w:t>
      </w:r>
      <w:r w:rsidRPr="004053CD">
        <w:rPr>
          <w:szCs w:val="21"/>
          <w:lang w:eastAsia="zh-CN"/>
        </w:rPr>
        <w:tab/>
      </w:r>
      <w:r w:rsidRPr="004053CD">
        <w:rPr>
          <w:szCs w:val="21"/>
          <w:lang w:eastAsia="zh-CN"/>
        </w:rPr>
        <w:tab/>
      </w:r>
      <w:r w:rsidRPr="004053CD">
        <w:rPr>
          <w:szCs w:val="21"/>
          <w:lang w:eastAsia="zh-CN"/>
        </w:rPr>
        <w:tab/>
        <w:t xml:space="preserve"> Strategic Partnership A</w:t>
      </w:r>
      <w:r w:rsidR="001C1D7C" w:rsidRPr="004053CD">
        <w:rPr>
          <w:szCs w:val="21"/>
          <w:lang w:eastAsia="zh-CN"/>
        </w:rPr>
        <w:t>rrangement</w:t>
      </w:r>
    </w:p>
    <w:p w14:paraId="11426399" w14:textId="21339060" w:rsidR="00491EA7" w:rsidRPr="004053CD" w:rsidRDefault="00491EA7" w:rsidP="00D23EB8">
      <w:pPr>
        <w:pStyle w:val="BodyText"/>
        <w:rPr>
          <w:szCs w:val="21"/>
          <w:lang w:eastAsia="zh-CN"/>
        </w:rPr>
      </w:pPr>
      <w:r w:rsidRPr="004053CD">
        <w:rPr>
          <w:szCs w:val="21"/>
          <w:lang w:eastAsia="zh-CN"/>
        </w:rPr>
        <w:t>SPU</w:t>
      </w:r>
      <w:r w:rsidRPr="004053CD">
        <w:rPr>
          <w:szCs w:val="21"/>
          <w:lang w:eastAsia="zh-CN"/>
        </w:rPr>
        <w:tab/>
      </w:r>
      <w:r w:rsidRPr="004053CD">
        <w:rPr>
          <w:szCs w:val="21"/>
          <w:lang w:eastAsia="zh-CN"/>
        </w:rPr>
        <w:tab/>
      </w:r>
      <w:r w:rsidRPr="004053CD">
        <w:rPr>
          <w:szCs w:val="21"/>
          <w:lang w:eastAsia="zh-CN"/>
        </w:rPr>
        <w:tab/>
        <w:t xml:space="preserve"> Social Protection Unit</w:t>
      </w:r>
    </w:p>
    <w:p w14:paraId="48399218" w14:textId="77777777" w:rsidR="00D23EB8" w:rsidRPr="004053CD" w:rsidRDefault="00D23EB8" w:rsidP="00D23EB8">
      <w:pPr>
        <w:pStyle w:val="BodyText"/>
        <w:rPr>
          <w:szCs w:val="21"/>
          <w:lang w:eastAsia="zh-CN"/>
        </w:rPr>
      </w:pPr>
      <w:r w:rsidRPr="004053CD">
        <w:rPr>
          <w:szCs w:val="21"/>
          <w:lang w:eastAsia="zh-CN"/>
        </w:rPr>
        <w:t>SWAp</w:t>
      </w:r>
      <w:r w:rsidRPr="004053CD">
        <w:rPr>
          <w:szCs w:val="21"/>
          <w:lang w:eastAsia="zh-CN"/>
        </w:rPr>
        <w:tab/>
      </w:r>
      <w:r w:rsidRPr="004053CD">
        <w:rPr>
          <w:szCs w:val="21"/>
          <w:lang w:eastAsia="zh-CN"/>
        </w:rPr>
        <w:tab/>
      </w:r>
      <w:r w:rsidRPr="004053CD">
        <w:rPr>
          <w:szCs w:val="21"/>
          <w:lang w:eastAsia="zh-CN"/>
        </w:rPr>
        <w:tab/>
        <w:t xml:space="preserve"> Sector Wide Approach (Government Education- PEDP3)</w:t>
      </w:r>
    </w:p>
    <w:p w14:paraId="33860575" w14:textId="378C38E3" w:rsidR="00BE75C0" w:rsidRDefault="00BE75C0" w:rsidP="00D23EB8">
      <w:pPr>
        <w:pStyle w:val="BodyText"/>
        <w:rPr>
          <w:szCs w:val="21"/>
          <w:lang w:eastAsia="zh-CN"/>
        </w:rPr>
      </w:pPr>
      <w:r>
        <w:rPr>
          <w:szCs w:val="21"/>
          <w:lang w:eastAsia="zh-CN"/>
        </w:rPr>
        <w:t>WASH</w:t>
      </w:r>
      <w:r>
        <w:rPr>
          <w:szCs w:val="21"/>
          <w:lang w:eastAsia="zh-CN"/>
        </w:rPr>
        <w:tab/>
      </w:r>
      <w:r>
        <w:rPr>
          <w:szCs w:val="21"/>
          <w:lang w:eastAsia="zh-CN"/>
        </w:rPr>
        <w:tab/>
      </w:r>
      <w:r>
        <w:rPr>
          <w:szCs w:val="21"/>
          <w:lang w:eastAsia="zh-CN"/>
        </w:rPr>
        <w:tab/>
        <w:t xml:space="preserve"> water, health and sanitation</w:t>
      </w:r>
    </w:p>
    <w:p w14:paraId="06559C7E" w14:textId="6DDB90DF" w:rsidR="00D23EB8" w:rsidRPr="004053CD" w:rsidRDefault="00D23EB8" w:rsidP="00D23EB8">
      <w:pPr>
        <w:pStyle w:val="BodyText"/>
        <w:rPr>
          <w:szCs w:val="21"/>
          <w:lang w:eastAsia="zh-CN"/>
        </w:rPr>
      </w:pPr>
      <w:r w:rsidRPr="004053CD">
        <w:rPr>
          <w:szCs w:val="21"/>
          <w:lang w:eastAsia="zh-CN"/>
        </w:rPr>
        <w:t>WFP</w:t>
      </w:r>
      <w:r w:rsidRPr="004053CD">
        <w:rPr>
          <w:szCs w:val="21"/>
          <w:lang w:eastAsia="zh-CN"/>
        </w:rPr>
        <w:tab/>
      </w:r>
      <w:r w:rsidRPr="004053CD">
        <w:rPr>
          <w:szCs w:val="21"/>
          <w:lang w:eastAsia="zh-CN"/>
        </w:rPr>
        <w:tab/>
      </w:r>
      <w:r w:rsidRPr="004053CD">
        <w:rPr>
          <w:szCs w:val="21"/>
          <w:lang w:eastAsia="zh-CN"/>
        </w:rPr>
        <w:tab/>
        <w:t xml:space="preserve"> </w:t>
      </w:r>
      <w:r w:rsidR="0058540A" w:rsidRPr="004053CD">
        <w:rPr>
          <w:szCs w:val="21"/>
          <w:lang w:eastAsia="zh-CN"/>
        </w:rPr>
        <w:t>World Food Programme</w:t>
      </w:r>
    </w:p>
    <w:p w14:paraId="397B0A1E" w14:textId="2D2B841D" w:rsidR="00E457BF" w:rsidRDefault="00E457BF" w:rsidP="009E7701">
      <w:pPr>
        <w:pStyle w:val="ListBullet"/>
        <w:numPr>
          <w:ilvl w:val="0"/>
          <w:numId w:val="0"/>
        </w:numPr>
        <w:tabs>
          <w:tab w:val="clear" w:pos="284"/>
        </w:tabs>
        <w:ind w:left="360" w:hanging="360"/>
      </w:pPr>
    </w:p>
    <w:p w14:paraId="704D80A3" w14:textId="17B1BEA2" w:rsidR="0058540A" w:rsidRPr="00416B02" w:rsidRDefault="0058540A" w:rsidP="009E7701">
      <w:pPr>
        <w:pStyle w:val="ListBullet"/>
        <w:numPr>
          <w:ilvl w:val="0"/>
          <w:numId w:val="0"/>
        </w:numPr>
        <w:tabs>
          <w:tab w:val="clear" w:pos="284"/>
        </w:tabs>
        <w:ind w:left="360" w:hanging="360"/>
        <w:sectPr w:rsidR="0058540A" w:rsidRPr="00416B02" w:rsidSect="00CD061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381" w:right="1701" w:bottom="907" w:left="1701" w:header="850" w:footer="567" w:gutter="0"/>
          <w:pgNumType w:start="1"/>
          <w:cols w:space="720"/>
          <w:docGrid w:linePitch="326"/>
        </w:sectPr>
      </w:pPr>
    </w:p>
    <w:p w14:paraId="645CC536" w14:textId="77777777" w:rsidR="00C84318" w:rsidRPr="00C84318" w:rsidRDefault="00C84318" w:rsidP="00C84318">
      <w:pPr>
        <w:keepNext/>
        <w:spacing w:before="360" w:after="120"/>
        <w:outlineLvl w:val="1"/>
        <w:rPr>
          <w:rFonts w:ascii="Helvetica" w:eastAsia="Times New Roman" w:hAnsi="Helvetica" w:cs="Arial"/>
          <w:color w:val="007FAD"/>
          <w:kern w:val="28"/>
          <w:sz w:val="28"/>
          <w:szCs w:val="28"/>
        </w:rPr>
      </w:pPr>
      <w:r w:rsidRPr="00C84318">
        <w:rPr>
          <w:rFonts w:ascii="Helvetica" w:eastAsia="Times New Roman" w:hAnsi="Helvetica" w:cs="Arial"/>
          <w:color w:val="007FAD"/>
          <w:kern w:val="28"/>
          <w:sz w:val="28"/>
          <w:szCs w:val="28"/>
        </w:rPr>
        <w:lastRenderedPageBreak/>
        <w:t>Annex A - Progress in Addressing Management Responses</w:t>
      </w:r>
    </w:p>
    <w:p w14:paraId="560699E8" w14:textId="77777777" w:rsidR="00C84318" w:rsidRPr="00C84318" w:rsidRDefault="00C84318" w:rsidP="00C84318">
      <w:pPr>
        <w:spacing w:after="120" w:line="280" w:lineRule="exact"/>
        <w:ind w:left="360" w:hanging="360"/>
        <w:rPr>
          <w:rFonts w:ascii="Franklin Gothic Book" w:eastAsia="Times New Roman" w:hAnsi="Franklin Gothic Book"/>
          <w:sz w:val="21"/>
        </w:rPr>
      </w:pPr>
    </w:p>
    <w:tbl>
      <w:tblPr>
        <w:tblStyle w:val="APPR1"/>
        <w:tblpPr w:leftFromText="180" w:rightFromText="180" w:vertAnchor="text" w:tblpY="1"/>
        <w:tblW w:w="5000" w:type="pct"/>
        <w:tblLayout w:type="fixed"/>
        <w:tblLook w:val="0000" w:firstRow="0" w:lastRow="0" w:firstColumn="0" w:lastColumn="0" w:noHBand="0" w:noVBand="0"/>
      </w:tblPr>
      <w:tblGrid>
        <w:gridCol w:w="6515"/>
        <w:gridCol w:w="992"/>
        <w:gridCol w:w="6938"/>
      </w:tblGrid>
      <w:tr w:rsidR="00C84318" w:rsidRPr="00C84318" w14:paraId="15E935B7" w14:textId="77777777" w:rsidTr="00C84318">
        <w:trPr>
          <w:cnfStyle w:val="000000010000" w:firstRow="0" w:lastRow="0" w:firstColumn="0" w:lastColumn="0" w:oddVBand="0" w:evenVBand="0" w:oddHBand="0" w:evenHBand="1" w:firstRowFirstColumn="0" w:firstRowLastColumn="0" w:lastRowFirstColumn="0" w:lastRowLastColumn="0"/>
        </w:trPr>
        <w:tc>
          <w:tcPr>
            <w:tcW w:w="6473" w:type="dxa"/>
          </w:tcPr>
          <w:p w14:paraId="564B4BB2" w14:textId="77777777" w:rsidR="00C84318" w:rsidRPr="00C84318" w:rsidRDefault="00C84318" w:rsidP="00C84318">
            <w:pPr>
              <w:keepLines/>
              <w:tabs>
                <w:tab w:val="left" w:pos="1185"/>
              </w:tabs>
              <w:spacing w:before="80" w:after="80" w:line="200" w:lineRule="atLeast"/>
              <w:rPr>
                <w:rFonts w:ascii="Franklin Gothic Medium" w:eastAsia="Times New Roman" w:hAnsi="Franklin Gothic Medium"/>
                <w:b/>
                <w:iCs/>
                <w:sz w:val="17"/>
                <w:szCs w:val="17"/>
                <w:lang w:eastAsia="en-US"/>
              </w:rPr>
            </w:pPr>
            <w:r w:rsidRPr="00C84318">
              <w:rPr>
                <w:rFonts w:ascii="Franklin Gothic Medium" w:eastAsia="Times New Roman" w:hAnsi="Franklin Gothic Medium"/>
                <w:b/>
                <w:iCs/>
                <w:sz w:val="17"/>
                <w:szCs w:val="17"/>
                <w:lang w:eastAsia="en-US"/>
              </w:rPr>
              <w:t>Management responses identified in 2013-14 APPR</w:t>
            </w:r>
            <w:r w:rsidRPr="00C84318">
              <w:rPr>
                <w:rFonts w:ascii="Franklin Gothic Medium" w:eastAsia="Times New Roman" w:hAnsi="Franklin Gothic Medium"/>
                <w:b/>
                <w:iCs/>
                <w:sz w:val="17"/>
                <w:szCs w:val="17"/>
                <w:lang w:eastAsia="en-US"/>
              </w:rPr>
              <w:tab/>
            </w:r>
          </w:p>
        </w:tc>
        <w:tc>
          <w:tcPr>
            <w:tcW w:w="964" w:type="dxa"/>
          </w:tcPr>
          <w:p w14:paraId="21A3D384" w14:textId="77777777" w:rsidR="00C84318" w:rsidRPr="00C84318" w:rsidRDefault="00C84318" w:rsidP="00C84318">
            <w:pPr>
              <w:keepLines/>
              <w:spacing w:before="80" w:after="80" w:line="200" w:lineRule="atLeast"/>
              <w:rPr>
                <w:rFonts w:ascii="Franklin Gothic Medium" w:eastAsia="Times New Roman" w:hAnsi="Franklin Gothic Medium"/>
                <w:b/>
                <w:iCs/>
                <w:sz w:val="17"/>
                <w:szCs w:val="17"/>
                <w:lang w:eastAsia="en-US"/>
              </w:rPr>
            </w:pPr>
            <w:r w:rsidRPr="00C84318">
              <w:rPr>
                <w:rFonts w:ascii="Franklin Gothic Medium" w:eastAsia="Times New Roman" w:hAnsi="Franklin Gothic Medium"/>
                <w:b/>
                <w:iCs/>
                <w:sz w:val="17"/>
                <w:szCs w:val="17"/>
                <w:lang w:eastAsia="en-US"/>
              </w:rPr>
              <w:t>Rating</w:t>
            </w:r>
          </w:p>
        </w:tc>
        <w:tc>
          <w:tcPr>
            <w:tcW w:w="6896" w:type="dxa"/>
          </w:tcPr>
          <w:p w14:paraId="24F63F5A" w14:textId="77777777" w:rsidR="00C84318" w:rsidRPr="00C84318" w:rsidRDefault="00C84318" w:rsidP="00C84318">
            <w:pPr>
              <w:keepLines/>
              <w:spacing w:before="80" w:after="80" w:line="200" w:lineRule="atLeast"/>
              <w:rPr>
                <w:rFonts w:ascii="Franklin Gothic Medium" w:eastAsia="Times New Roman" w:hAnsi="Franklin Gothic Medium"/>
                <w:b/>
                <w:iCs/>
                <w:sz w:val="17"/>
                <w:szCs w:val="17"/>
                <w:lang w:eastAsia="en-US"/>
              </w:rPr>
            </w:pPr>
            <w:r w:rsidRPr="00C84318">
              <w:rPr>
                <w:rFonts w:ascii="Franklin Gothic Medium" w:eastAsia="Times New Roman" w:hAnsi="Franklin Gothic Medium"/>
                <w:b/>
                <w:iCs/>
                <w:sz w:val="17"/>
                <w:szCs w:val="17"/>
                <w:lang w:eastAsia="en-US"/>
              </w:rPr>
              <w:t>Progress made in 2014-5</w:t>
            </w:r>
          </w:p>
        </w:tc>
      </w:tr>
      <w:tr w:rsidR="00C84318" w:rsidRPr="00C84318" w14:paraId="55777EBA" w14:textId="77777777" w:rsidTr="00511A48">
        <w:trPr>
          <w:cnfStyle w:val="000000010000" w:firstRow="0" w:lastRow="0" w:firstColumn="0" w:lastColumn="0" w:oddVBand="0" w:evenVBand="0" w:oddHBand="0" w:evenHBand="1" w:firstRowFirstColumn="0" w:firstRowLastColumn="0" w:lastRowFirstColumn="0" w:lastRowLastColumn="0"/>
        </w:trPr>
        <w:tc>
          <w:tcPr>
            <w:tcW w:w="6473" w:type="dxa"/>
          </w:tcPr>
          <w:p w14:paraId="2EBE750A" w14:textId="77777777" w:rsidR="00C84318" w:rsidRPr="00C84318" w:rsidRDefault="00C84318" w:rsidP="00C84318">
            <w:pPr>
              <w:keepLines/>
              <w:spacing w:before="40" w:after="40" w:line="200" w:lineRule="atLeast"/>
              <w:rPr>
                <w:rFonts w:ascii="Franklin Gothic Book" w:eastAsia="Times New Roman" w:hAnsi="Franklin Gothic Book"/>
                <w:iCs/>
                <w:sz w:val="17"/>
                <w:szCs w:val="17"/>
                <w:lang w:eastAsia="en-US"/>
              </w:rPr>
            </w:pPr>
            <w:r w:rsidRPr="00C84318">
              <w:rPr>
                <w:rFonts w:ascii="Franklin Gothic Book" w:eastAsia="Times New Roman" w:hAnsi="Franklin Gothic Book"/>
                <w:iCs/>
                <w:sz w:val="17"/>
                <w:szCs w:val="17"/>
                <w:lang w:eastAsia="en-US"/>
              </w:rPr>
              <w:t xml:space="preserve">Develop an Aid Investment Plan by July 2015, adapting the program to Australia’s new aid policy (released June 2014). The AIP needs to carefully consider how to balance delivering on the financial and risk management, monitoring and reporting requirements of the Bangladesh Program. Australia will: revise the program objectives and approach; consider opportunities to respond to Australian aid policy priorities and develop performance benchmarks building on those included in the APPR 2013-14. </w:t>
            </w:r>
          </w:p>
        </w:tc>
        <w:tc>
          <w:tcPr>
            <w:tcW w:w="964" w:type="dxa"/>
            <w:shd w:val="clear" w:color="auto" w:fill="92D050"/>
          </w:tcPr>
          <w:p w14:paraId="5B9CC604" w14:textId="77777777" w:rsidR="00C84318" w:rsidRPr="00C84318" w:rsidRDefault="00C84318" w:rsidP="00C84318">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sidRPr="00C84318">
              <w:rPr>
                <w:rFonts w:ascii="Franklin Gothic Book" w:eastAsia="Times New Roman" w:hAnsi="Franklin Gothic Book"/>
                <w:iCs/>
                <w:color w:val="FFFFFF" w:themeColor="background1"/>
                <w:sz w:val="17"/>
                <w:szCs w:val="17"/>
                <w:lang w:eastAsia="en-US"/>
              </w:rPr>
              <w:t xml:space="preserve">Achieved </w:t>
            </w:r>
          </w:p>
        </w:tc>
        <w:tc>
          <w:tcPr>
            <w:tcW w:w="6896" w:type="dxa"/>
          </w:tcPr>
          <w:p w14:paraId="286568F0" w14:textId="76BD4CD5" w:rsidR="00C84318" w:rsidRPr="00631936" w:rsidRDefault="00631936" w:rsidP="005A3F72">
            <w:pPr>
              <w:keepLines/>
              <w:spacing w:before="40" w:after="40" w:line="200" w:lineRule="atLeast"/>
              <w:rPr>
                <w:rFonts w:ascii="Franklin Gothic Book" w:eastAsia="Times New Roman" w:hAnsi="Franklin Gothic Book"/>
                <w:iCs/>
                <w:sz w:val="17"/>
                <w:szCs w:val="17"/>
                <w:lang w:eastAsia="en-US"/>
              </w:rPr>
            </w:pPr>
            <w:r w:rsidRPr="00631936">
              <w:rPr>
                <w:rFonts w:ascii="Franklin Gothic Book" w:hAnsi="Franklin Gothic Book"/>
                <w:sz w:val="17"/>
                <w:szCs w:val="17"/>
              </w:rPr>
              <w:t>The Bangladesh program</w:t>
            </w:r>
            <w:r w:rsidR="005A3F72">
              <w:rPr>
                <w:rFonts w:ascii="Franklin Gothic Book" w:hAnsi="Franklin Gothic Book"/>
                <w:sz w:val="17"/>
                <w:szCs w:val="17"/>
              </w:rPr>
              <w:t>’s</w:t>
            </w:r>
            <w:r w:rsidRPr="00631936">
              <w:rPr>
                <w:rFonts w:ascii="Franklin Gothic Book" w:hAnsi="Franklin Gothic Book"/>
                <w:sz w:val="17"/>
                <w:szCs w:val="17"/>
              </w:rPr>
              <w:t xml:space="preserve"> new Aid Investment Plan (AIP) </w:t>
            </w:r>
            <w:r w:rsidR="005A3F72">
              <w:rPr>
                <w:rFonts w:ascii="Franklin Gothic Book" w:hAnsi="Franklin Gothic Book"/>
                <w:sz w:val="17"/>
                <w:szCs w:val="17"/>
              </w:rPr>
              <w:t xml:space="preserve">was </w:t>
            </w:r>
            <w:r w:rsidR="00586790">
              <w:rPr>
                <w:rFonts w:ascii="Franklin Gothic Book" w:hAnsi="Franklin Gothic Book"/>
                <w:sz w:val="17"/>
                <w:szCs w:val="17"/>
              </w:rPr>
              <w:t xml:space="preserve">finalised in </w:t>
            </w:r>
            <w:r w:rsidRPr="00631936">
              <w:rPr>
                <w:rFonts w:ascii="Franklin Gothic Book" w:hAnsi="Franklin Gothic Book"/>
                <w:sz w:val="17"/>
                <w:szCs w:val="17"/>
              </w:rPr>
              <w:t>September 2015</w:t>
            </w:r>
            <w:r w:rsidR="00586790">
              <w:rPr>
                <w:rFonts w:ascii="Franklin Gothic Book" w:hAnsi="Franklin Gothic Book"/>
                <w:sz w:val="17"/>
                <w:szCs w:val="17"/>
              </w:rPr>
              <w:t xml:space="preserve"> in accordance with revised government timeframes</w:t>
            </w:r>
            <w:r w:rsidRPr="00631936">
              <w:rPr>
                <w:rFonts w:ascii="Franklin Gothic Book" w:hAnsi="Franklin Gothic Book"/>
                <w:sz w:val="17"/>
                <w:szCs w:val="17"/>
              </w:rPr>
              <w:t>.  The 2014-15 APPR reports against the previous country strategy, while recognising that the period also included substantial adjustments to how we managed investments and where we focussed our priorities, to better align with the directions of the</w:t>
            </w:r>
            <w:r w:rsidR="00586790">
              <w:rPr>
                <w:rFonts w:ascii="Franklin Gothic Book" w:hAnsi="Franklin Gothic Book"/>
                <w:sz w:val="17"/>
                <w:szCs w:val="17"/>
              </w:rPr>
              <w:t xml:space="preserve"> new </w:t>
            </w:r>
            <w:r w:rsidRPr="00631936">
              <w:rPr>
                <w:rFonts w:ascii="Franklin Gothic Book" w:hAnsi="Franklin Gothic Book"/>
                <w:sz w:val="17"/>
                <w:szCs w:val="17"/>
              </w:rPr>
              <w:t>AIP</w:t>
            </w:r>
            <w:r>
              <w:rPr>
                <w:rFonts w:ascii="Franklin Gothic Book" w:hAnsi="Franklin Gothic Book"/>
                <w:sz w:val="17"/>
                <w:szCs w:val="17"/>
              </w:rPr>
              <w:t>.</w:t>
            </w:r>
          </w:p>
        </w:tc>
      </w:tr>
      <w:tr w:rsidR="00C84318" w:rsidRPr="00C84318" w14:paraId="3B62C3E5" w14:textId="77777777" w:rsidTr="00511A48">
        <w:trPr>
          <w:cnfStyle w:val="000000010000" w:firstRow="0" w:lastRow="0" w:firstColumn="0" w:lastColumn="0" w:oddVBand="0" w:evenVBand="0" w:oddHBand="0" w:evenHBand="1" w:firstRowFirstColumn="0" w:firstRowLastColumn="0" w:lastRowFirstColumn="0" w:lastRowLastColumn="0"/>
        </w:trPr>
        <w:tc>
          <w:tcPr>
            <w:tcW w:w="6473" w:type="dxa"/>
          </w:tcPr>
          <w:p w14:paraId="6445809B" w14:textId="77777777" w:rsidR="00C84318" w:rsidRPr="00C84318" w:rsidRDefault="00C84318" w:rsidP="00C84318">
            <w:pPr>
              <w:keepLines/>
              <w:spacing w:before="40" w:after="40" w:line="200" w:lineRule="atLeast"/>
              <w:rPr>
                <w:rFonts w:ascii="Franklin Gothic Book" w:eastAsia="Times New Roman" w:hAnsi="Franklin Gothic Book"/>
                <w:iCs/>
                <w:sz w:val="17"/>
                <w:szCs w:val="17"/>
                <w:lang w:eastAsia="en-US"/>
              </w:rPr>
            </w:pPr>
            <w:r w:rsidRPr="00C84318">
              <w:rPr>
                <w:rFonts w:ascii="Franklin Gothic Book" w:eastAsia="Times New Roman" w:hAnsi="Franklin Gothic Book"/>
                <w:iCs/>
                <w:sz w:val="17"/>
                <w:szCs w:val="17"/>
                <w:lang w:eastAsia="en-US"/>
              </w:rPr>
              <w:t xml:space="preserve">Manage existing investments throughout 2014-15 to support a smooth transition to the AIP period (2015-16 to 2018-19) including: in the short term allocating significant resources to support our lead role in primary education and reviewing this continued role as part of the AIP; use the findings of the SPA mid-term review to consider opportunities for future engagement potentially including further work with BRAC in the area of skills development, empowerment of women and girls and the role of the private sector; help civil societies build responsiveness to the needs of marginalised groups, tested through existing support to MJF and BRAC; and bring a renewed gender focus for our investments in primary education, social protection and BRAC. </w:t>
            </w:r>
          </w:p>
        </w:tc>
        <w:tc>
          <w:tcPr>
            <w:tcW w:w="964" w:type="dxa"/>
            <w:shd w:val="clear" w:color="auto" w:fill="92D050"/>
          </w:tcPr>
          <w:p w14:paraId="5963AEBF" w14:textId="77777777" w:rsidR="00C84318" w:rsidRPr="00C84318" w:rsidRDefault="00C84318" w:rsidP="00C84318">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sidRPr="00C84318">
              <w:rPr>
                <w:rFonts w:ascii="Franklin Gothic Book" w:eastAsia="Times New Roman" w:hAnsi="Franklin Gothic Book"/>
                <w:iCs/>
                <w:color w:val="FFFFFF" w:themeColor="background1"/>
                <w:sz w:val="17"/>
                <w:szCs w:val="17"/>
                <w:lang w:eastAsia="en-US"/>
              </w:rPr>
              <w:t>Achieved</w:t>
            </w:r>
          </w:p>
        </w:tc>
        <w:tc>
          <w:tcPr>
            <w:tcW w:w="6896" w:type="dxa"/>
          </w:tcPr>
          <w:p w14:paraId="6033B990" w14:textId="45A89109" w:rsidR="00C84318" w:rsidRPr="00C84318" w:rsidRDefault="00405631" w:rsidP="00405631">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Significant resources were allocated to primary education (DFAT chaired the PEDP3 donor consortium); future support through BRAC will include a scaled up focus on skills and continued support for empowerment and the private sector ; BRAC’s human rights and community empowerment programs continue to support the rights of the marginalised; DFAT raised awareness of gender issues within PEDP3.</w:t>
            </w:r>
          </w:p>
        </w:tc>
      </w:tr>
      <w:tr w:rsidR="00C84318" w:rsidRPr="00C84318" w14:paraId="3C6FD6CA" w14:textId="77777777" w:rsidTr="00511A48">
        <w:trPr>
          <w:cnfStyle w:val="000000010000" w:firstRow="0" w:lastRow="0" w:firstColumn="0" w:lastColumn="0" w:oddVBand="0" w:evenVBand="0" w:oddHBand="0" w:evenHBand="1" w:firstRowFirstColumn="0" w:firstRowLastColumn="0" w:lastRowFirstColumn="0" w:lastRowLastColumn="0"/>
        </w:trPr>
        <w:tc>
          <w:tcPr>
            <w:tcW w:w="6473" w:type="dxa"/>
          </w:tcPr>
          <w:p w14:paraId="57020853" w14:textId="29B642D2" w:rsidR="00C84318" w:rsidRPr="00C84318" w:rsidRDefault="00C84318" w:rsidP="00C84318">
            <w:pPr>
              <w:keepLines/>
              <w:spacing w:before="40" w:after="40" w:line="200" w:lineRule="atLeast"/>
              <w:rPr>
                <w:rFonts w:ascii="Franklin Gothic Book" w:eastAsia="Times New Roman" w:hAnsi="Franklin Gothic Book"/>
                <w:iCs/>
                <w:sz w:val="17"/>
                <w:szCs w:val="17"/>
                <w:lang w:eastAsia="en-US"/>
              </w:rPr>
            </w:pPr>
            <w:r w:rsidRPr="00C84318">
              <w:rPr>
                <w:rFonts w:ascii="Franklin Gothic Book" w:eastAsia="Times New Roman" w:hAnsi="Franklin Gothic Book"/>
                <w:iCs/>
                <w:sz w:val="17"/>
                <w:szCs w:val="17"/>
                <w:lang w:eastAsia="en-US"/>
              </w:rPr>
              <w:t>Support staff at Post to adapt their skills to new aid policy priorities.</w:t>
            </w:r>
            <w:r w:rsidR="001410A2" w:rsidRPr="00C84318">
              <w:rPr>
                <w:rFonts w:ascii="Franklin Gothic Book" w:eastAsia="Times New Roman" w:hAnsi="Franklin Gothic Book"/>
                <w:iCs/>
                <w:sz w:val="17"/>
                <w:szCs w:val="17"/>
                <w:lang w:eastAsia="en-US"/>
              </w:rPr>
              <w:t xml:space="preserve"> </w:t>
            </w:r>
            <w:r w:rsidR="001410A2">
              <w:rPr>
                <w:rFonts w:ascii="Franklin Gothic Book" w:eastAsia="Times New Roman" w:hAnsi="Franklin Gothic Book"/>
                <w:iCs/>
                <w:sz w:val="17"/>
                <w:szCs w:val="17"/>
                <w:lang w:eastAsia="en-US"/>
              </w:rPr>
              <w:t xml:space="preserve"> </w:t>
            </w:r>
            <w:r w:rsidR="001410A2" w:rsidRPr="00C84318">
              <w:rPr>
                <w:rFonts w:ascii="Franklin Gothic Book" w:eastAsia="Times New Roman" w:hAnsi="Franklin Gothic Book"/>
                <w:iCs/>
                <w:sz w:val="17"/>
                <w:szCs w:val="17"/>
                <w:lang w:eastAsia="en-US"/>
              </w:rPr>
              <w:t>Consider options to access additional resources (including through the new Australia Awards program and a potential resource facility for the bilateral and regional South Asia programs.</w:t>
            </w:r>
          </w:p>
        </w:tc>
        <w:tc>
          <w:tcPr>
            <w:tcW w:w="964" w:type="dxa"/>
            <w:shd w:val="clear" w:color="auto" w:fill="92D050"/>
          </w:tcPr>
          <w:p w14:paraId="040633B8" w14:textId="65C5C921" w:rsidR="00C84318" w:rsidRPr="00C84318" w:rsidRDefault="00C84318" w:rsidP="00C84318">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sidRPr="00C84318">
              <w:rPr>
                <w:rFonts w:ascii="Franklin Gothic Book" w:eastAsia="Times New Roman" w:hAnsi="Franklin Gothic Book"/>
                <w:iCs/>
                <w:color w:val="FFFFFF" w:themeColor="background1"/>
                <w:sz w:val="17"/>
                <w:szCs w:val="17"/>
                <w:lang w:eastAsia="en-US"/>
              </w:rPr>
              <w:t>Achieved</w:t>
            </w:r>
            <w:r w:rsidRPr="00C84318">
              <w:rPr>
                <w:rFonts w:ascii="Franklin Gothic Book" w:eastAsia="Times New Roman" w:hAnsi="Franklin Gothic Book"/>
                <w:iCs/>
                <w:color w:val="FFFFFF" w:themeColor="background1"/>
                <w:sz w:val="17"/>
                <w:szCs w:val="17"/>
                <w:lang w:eastAsia="en-US"/>
              </w:rPr>
              <w:fldChar w:fldCharType="begin"/>
            </w:r>
            <w:r w:rsidRPr="00C84318">
              <w:rPr>
                <w:rFonts w:ascii="Franklin Gothic Book" w:eastAsia="Times New Roman" w:hAnsi="Franklin Gothic Book"/>
                <w:iCs/>
                <w:color w:val="FFFFFF" w:themeColor="background1"/>
                <w:sz w:val="17"/>
                <w:szCs w:val="17"/>
                <w:lang w:eastAsia="en-US"/>
              </w:rPr>
              <w:instrText xml:space="preserve"> AUTOTEXTLIST  \s "Rating bullet"\t "Right click to choose a rating" \* MERGEFORMAT </w:instrText>
            </w:r>
            <w:r w:rsidRPr="00C84318">
              <w:rPr>
                <w:rFonts w:ascii="Franklin Gothic Book" w:eastAsia="Times New Roman" w:hAnsi="Franklin Gothic Book"/>
                <w:iCs/>
                <w:color w:val="FFFFFF" w:themeColor="background1"/>
                <w:sz w:val="17"/>
                <w:szCs w:val="17"/>
                <w:lang w:eastAsia="en-US"/>
              </w:rPr>
              <w:fldChar w:fldCharType="end"/>
            </w:r>
          </w:p>
        </w:tc>
        <w:tc>
          <w:tcPr>
            <w:tcW w:w="6896" w:type="dxa"/>
            <w:shd w:val="clear" w:color="auto" w:fill="FFFFFF" w:themeFill="background1"/>
          </w:tcPr>
          <w:p w14:paraId="7CFACBF8" w14:textId="5860A341" w:rsidR="00C84318" w:rsidRPr="00114208" w:rsidRDefault="005A3F72" w:rsidP="00BE75C0">
            <w:pPr>
              <w:keepLines/>
              <w:spacing w:before="40" w:after="40" w:line="200" w:lineRule="atLeast"/>
              <w:rPr>
                <w:rFonts w:ascii="Franklin Gothic Book" w:eastAsia="Times New Roman" w:hAnsi="Franklin Gothic Book"/>
                <w:iCs/>
                <w:sz w:val="17"/>
                <w:szCs w:val="17"/>
                <w:lang w:eastAsia="en-US"/>
              </w:rPr>
            </w:pPr>
            <w:r>
              <w:rPr>
                <w:rFonts w:ascii="Franklin Gothic Book" w:hAnsi="Franklin Gothic Book"/>
                <w:sz w:val="17"/>
                <w:szCs w:val="17"/>
                <w:lang w:eastAsia="zh-CN"/>
              </w:rPr>
              <w:t>Our s</w:t>
            </w:r>
            <w:r w:rsidR="001410A2" w:rsidRPr="00114208">
              <w:rPr>
                <w:rFonts w:ascii="Franklin Gothic Book" w:hAnsi="Franklin Gothic Book"/>
                <w:sz w:val="17"/>
                <w:szCs w:val="17"/>
                <w:lang w:eastAsia="zh-CN"/>
              </w:rPr>
              <w:t>taff attended training in environmental safeguards, disaster preparedness, procurement, financial</w:t>
            </w:r>
            <w:r w:rsidR="00114208">
              <w:rPr>
                <w:rFonts w:ascii="Franklin Gothic Book" w:hAnsi="Franklin Gothic Book"/>
                <w:sz w:val="17"/>
                <w:szCs w:val="17"/>
                <w:lang w:eastAsia="zh-CN"/>
              </w:rPr>
              <w:t xml:space="preserve"> management systems (Aidworks),</w:t>
            </w:r>
            <w:r w:rsidR="001410A2" w:rsidRPr="00114208">
              <w:rPr>
                <w:rFonts w:ascii="Franklin Gothic Book" w:hAnsi="Franklin Gothic Book"/>
                <w:sz w:val="17"/>
                <w:szCs w:val="17"/>
                <w:lang w:eastAsia="zh-CN"/>
              </w:rPr>
              <w:t xml:space="preserve"> internal quality reporting systems, and presented at and contributed to workshops on education, gender and women’s economic empowerment and social protection</w:t>
            </w:r>
            <w:r>
              <w:rPr>
                <w:rFonts w:ascii="Franklin Gothic Book" w:hAnsi="Franklin Gothic Book"/>
                <w:sz w:val="17"/>
                <w:szCs w:val="17"/>
                <w:lang w:eastAsia="zh-CN"/>
              </w:rPr>
              <w:t xml:space="preserve"> issues</w:t>
            </w:r>
            <w:r w:rsidR="00BE5F38" w:rsidRPr="00114208">
              <w:rPr>
                <w:rFonts w:ascii="Franklin Gothic Book" w:hAnsi="Franklin Gothic Book"/>
                <w:sz w:val="17"/>
                <w:szCs w:val="17"/>
                <w:lang w:eastAsia="zh-CN"/>
              </w:rPr>
              <w:t>.</w:t>
            </w:r>
            <w:r w:rsidR="001410A2" w:rsidRPr="00114208">
              <w:rPr>
                <w:rFonts w:ascii="Franklin Gothic Book" w:eastAsia="Times New Roman" w:hAnsi="Franklin Gothic Book"/>
                <w:iCs/>
                <w:sz w:val="17"/>
                <w:szCs w:val="17"/>
                <w:lang w:eastAsia="en-US"/>
              </w:rPr>
              <w:t xml:space="preserve"> </w:t>
            </w:r>
          </w:p>
        </w:tc>
      </w:tr>
    </w:tbl>
    <w:p w14:paraId="0348327A" w14:textId="77777777" w:rsidR="00C84318" w:rsidRPr="00C84318" w:rsidRDefault="00C84318" w:rsidP="00C84318">
      <w:pPr>
        <w:spacing w:before="20" w:after="20" w:line="180" w:lineRule="atLeast"/>
        <w:jc w:val="both"/>
        <w:rPr>
          <w:rFonts w:ascii="Franklin Gothic Book" w:eastAsia="Times New Roman" w:hAnsi="Franklin Gothic Book"/>
          <w:b/>
          <w:sz w:val="14"/>
          <w:szCs w:val="14"/>
        </w:rPr>
      </w:pPr>
      <w:r w:rsidRPr="00C84318">
        <w:rPr>
          <w:rFonts w:ascii="Franklin Gothic Book" w:eastAsia="Times New Roman" w:hAnsi="Franklin Gothic Book"/>
          <w:b/>
          <w:sz w:val="14"/>
          <w:szCs w:val="14"/>
        </w:rPr>
        <w:t xml:space="preserve">Note: </w:t>
      </w:r>
    </w:p>
    <w:p w14:paraId="03C52A85" w14:textId="77777777" w:rsidR="00C84318" w:rsidRPr="00C84318" w:rsidRDefault="00C84318" w:rsidP="00C84318">
      <w:pPr>
        <w:spacing w:before="20" w:after="20" w:line="180" w:lineRule="atLeast"/>
        <w:jc w:val="both"/>
        <w:rPr>
          <w:rFonts w:ascii="Franklin Gothic Book" w:eastAsia="Times New Roman" w:hAnsi="Franklin Gothic Book"/>
          <w:sz w:val="14"/>
          <w:szCs w:val="14"/>
        </w:rPr>
      </w:pPr>
      <w:r w:rsidRPr="00C84318">
        <w:rPr>
          <w:rFonts w:ascii="Franklin Gothic Book" w:eastAsia="Times New Roman" w:hAnsi="Franklin Gothic Book"/>
          <w:b/>
          <w:color w:val="72AF2F"/>
          <w:sz w:val="14"/>
          <w:szCs w:val="14"/>
        </w:rPr>
        <w:sym w:font="Webdings" w:char="F067"/>
      </w:r>
      <w:r w:rsidRPr="00C84318">
        <w:rPr>
          <w:rFonts w:ascii="Franklin Gothic Book" w:eastAsia="Times New Roman" w:hAnsi="Franklin Gothic Book"/>
          <w:b/>
          <w:sz w:val="14"/>
          <w:szCs w:val="14"/>
        </w:rPr>
        <w:t> </w:t>
      </w:r>
      <w:r w:rsidRPr="00C84318">
        <w:rPr>
          <w:rFonts w:ascii="Franklin Gothic Book" w:eastAsia="Times New Roman" w:hAnsi="Franklin Gothic Book"/>
          <w:b/>
          <w:sz w:val="14"/>
          <w:szCs w:val="14"/>
        </w:rPr>
        <w:t xml:space="preserve"> Achieved.</w:t>
      </w:r>
      <w:r w:rsidRPr="00C84318">
        <w:rPr>
          <w:rFonts w:ascii="Franklin Gothic Book" w:eastAsia="Times New Roman" w:hAnsi="Franklin Gothic Book"/>
          <w:sz w:val="14"/>
          <w:szCs w:val="14"/>
        </w:rPr>
        <w:t xml:space="preserve">  Significant progress has been made in addressing the issue </w:t>
      </w:r>
    </w:p>
    <w:p w14:paraId="3DFCECA3" w14:textId="77777777" w:rsidR="00C84318" w:rsidRPr="00C84318" w:rsidRDefault="00C84318" w:rsidP="00C84318">
      <w:pPr>
        <w:spacing w:before="20" w:after="20" w:line="180" w:lineRule="atLeast"/>
        <w:jc w:val="both"/>
        <w:rPr>
          <w:rFonts w:ascii="Franklin Gothic Book" w:eastAsia="Times New Roman" w:hAnsi="Franklin Gothic Book"/>
          <w:sz w:val="14"/>
          <w:szCs w:val="14"/>
        </w:rPr>
      </w:pPr>
      <w:r w:rsidRPr="00C84318">
        <w:rPr>
          <w:rFonts w:ascii="Franklin Gothic Book" w:eastAsia="Times New Roman" w:hAnsi="Franklin Gothic Book"/>
          <w:b/>
          <w:color w:val="E36C0A"/>
          <w:sz w:val="14"/>
          <w:szCs w:val="14"/>
        </w:rPr>
        <w:sym w:font="Webdings" w:char="F067"/>
      </w:r>
      <w:r w:rsidRPr="00C84318">
        <w:rPr>
          <w:rFonts w:ascii="Franklin Gothic Book" w:eastAsia="Times New Roman" w:hAnsi="Franklin Gothic Book"/>
          <w:b/>
          <w:sz w:val="14"/>
          <w:szCs w:val="14"/>
        </w:rPr>
        <w:t> </w:t>
      </w:r>
      <w:r w:rsidRPr="00C84318">
        <w:rPr>
          <w:rFonts w:ascii="Franklin Gothic Book" w:eastAsia="Times New Roman" w:hAnsi="Franklin Gothic Book"/>
          <w:b/>
          <w:sz w:val="14"/>
          <w:szCs w:val="14"/>
        </w:rPr>
        <w:t xml:space="preserve"> Partly achieved.</w:t>
      </w:r>
      <w:r w:rsidRPr="00C84318">
        <w:rPr>
          <w:rFonts w:ascii="Franklin Gothic Book" w:eastAsia="Times New Roman" w:hAnsi="Franklin Gothic Book"/>
          <w:sz w:val="14"/>
          <w:szCs w:val="14"/>
        </w:rPr>
        <w:t xml:space="preserve">  Some progress has been made in addressing the issue, but the issue has not been resolved </w:t>
      </w:r>
    </w:p>
    <w:p w14:paraId="2B0EFC27" w14:textId="77777777" w:rsidR="00C84318" w:rsidRPr="00C84318" w:rsidRDefault="00C84318" w:rsidP="00C84318">
      <w:pPr>
        <w:spacing w:before="20" w:after="20" w:line="180" w:lineRule="atLeast"/>
        <w:jc w:val="both"/>
        <w:rPr>
          <w:rFonts w:ascii="Franklin Gothic Book" w:eastAsia="Times New Roman" w:hAnsi="Franklin Gothic Book"/>
          <w:b/>
          <w:sz w:val="14"/>
          <w:szCs w:val="14"/>
        </w:rPr>
      </w:pPr>
      <w:r w:rsidRPr="00C84318">
        <w:rPr>
          <w:rFonts w:ascii="Franklin Gothic Book" w:eastAsia="Times New Roman" w:hAnsi="Franklin Gothic Book"/>
          <w:b/>
          <w:color w:val="FF0000"/>
          <w:sz w:val="14"/>
          <w:szCs w:val="14"/>
        </w:rPr>
        <w:sym w:font="Webdings" w:char="F067"/>
      </w:r>
      <w:r w:rsidRPr="00C84318">
        <w:rPr>
          <w:rFonts w:ascii="Franklin Gothic Book" w:eastAsia="Times New Roman" w:hAnsi="Franklin Gothic Book"/>
          <w:b/>
          <w:sz w:val="14"/>
          <w:szCs w:val="14"/>
        </w:rPr>
        <w:t> </w:t>
      </w:r>
      <w:r w:rsidRPr="00C84318">
        <w:rPr>
          <w:rFonts w:ascii="Franklin Gothic Book" w:eastAsia="Times New Roman" w:hAnsi="Franklin Gothic Book"/>
          <w:b/>
          <w:sz w:val="14"/>
          <w:szCs w:val="14"/>
        </w:rPr>
        <w:t xml:space="preserve"> Not achieved.</w:t>
      </w:r>
      <w:r w:rsidRPr="00C84318">
        <w:rPr>
          <w:rFonts w:ascii="Franklin Gothic Book" w:eastAsia="Times New Roman" w:hAnsi="Franklin Gothic Book"/>
          <w:sz w:val="14"/>
          <w:szCs w:val="14"/>
        </w:rPr>
        <w:t xml:space="preserve"> Progress in addressing the issue has been significantly below expectations</w:t>
      </w:r>
    </w:p>
    <w:p w14:paraId="78EC31A4" w14:textId="77777777" w:rsidR="00C84318" w:rsidRPr="00C84318" w:rsidRDefault="00C84318" w:rsidP="00C84318">
      <w:pPr>
        <w:spacing w:after="160" w:line="280" w:lineRule="exact"/>
        <w:rPr>
          <w:rFonts w:ascii="Franklin Gothic Book" w:eastAsia="Times New Roman" w:hAnsi="Franklin Gothic Book"/>
          <w:sz w:val="21"/>
        </w:rPr>
      </w:pPr>
    </w:p>
    <w:p w14:paraId="733CF93F" w14:textId="77777777" w:rsidR="005C310A" w:rsidRDefault="005C310A" w:rsidP="005C310A">
      <w:pPr>
        <w:pStyle w:val="BodyText"/>
      </w:pPr>
    </w:p>
    <w:p w14:paraId="0532E040" w14:textId="77777777" w:rsidR="005C310A" w:rsidRPr="00416B02" w:rsidRDefault="005C310A" w:rsidP="005C310A">
      <w:pPr>
        <w:spacing w:after="200" w:line="276" w:lineRule="auto"/>
        <w:rPr>
          <w:rFonts w:ascii="Franklin Gothic Book" w:hAnsi="Franklin Gothic Book"/>
          <w:sz w:val="21"/>
        </w:rPr>
      </w:pPr>
    </w:p>
    <w:p w14:paraId="0BD19C31" w14:textId="77777777" w:rsidR="005C310A" w:rsidRDefault="005C310A">
      <w:pPr>
        <w:spacing w:after="200" w:line="276" w:lineRule="auto"/>
        <w:rPr>
          <w:rFonts w:ascii="Helvetica" w:eastAsia="Times New Roman" w:hAnsi="Helvetica" w:cs="Arial"/>
          <w:color w:val="007FAD"/>
          <w:kern w:val="28"/>
          <w:sz w:val="28"/>
          <w:szCs w:val="28"/>
        </w:rPr>
      </w:pPr>
      <w:r>
        <w:rPr>
          <w:sz w:val="28"/>
        </w:rPr>
        <w:br w:type="page"/>
      </w:r>
    </w:p>
    <w:p w14:paraId="7D40C7A9" w14:textId="77777777" w:rsidR="00C84318" w:rsidRPr="00C84318" w:rsidRDefault="00C84318" w:rsidP="00C84318">
      <w:pPr>
        <w:keepNext/>
        <w:spacing w:before="360" w:after="120"/>
        <w:outlineLvl w:val="1"/>
        <w:rPr>
          <w:rFonts w:ascii="Helvetica" w:eastAsia="Times New Roman" w:hAnsi="Helvetica" w:cs="Arial"/>
          <w:color w:val="007FAD"/>
          <w:kern w:val="28"/>
          <w:sz w:val="28"/>
          <w:szCs w:val="28"/>
        </w:rPr>
      </w:pPr>
      <w:r w:rsidRPr="00C84318">
        <w:rPr>
          <w:rFonts w:ascii="Helvetica" w:eastAsia="Times New Roman" w:hAnsi="Helvetica" w:cs="Arial"/>
          <w:color w:val="007FAD"/>
          <w:kern w:val="28"/>
          <w:sz w:val="28"/>
          <w:szCs w:val="28"/>
        </w:rPr>
        <w:lastRenderedPageBreak/>
        <w:t>Annex B - Progress towards Performance Benchmarks in 2014 -15</w:t>
      </w:r>
    </w:p>
    <w:p w14:paraId="39388918" w14:textId="77777777" w:rsidR="00C84318" w:rsidRPr="00737186" w:rsidRDefault="00C84318" w:rsidP="00C84318">
      <w:pPr>
        <w:spacing w:after="200" w:line="276" w:lineRule="auto"/>
        <w:rPr>
          <w:sz w:val="17"/>
          <w:szCs w:val="17"/>
        </w:rPr>
      </w:pPr>
    </w:p>
    <w:tbl>
      <w:tblPr>
        <w:tblStyle w:val="DFATTable1"/>
        <w:tblW w:w="5000" w:type="pct"/>
        <w:tblLook w:val="04A0" w:firstRow="1" w:lastRow="0" w:firstColumn="1" w:lastColumn="0" w:noHBand="0" w:noVBand="1"/>
      </w:tblPr>
      <w:tblGrid>
        <w:gridCol w:w="2244"/>
        <w:gridCol w:w="2245"/>
        <w:gridCol w:w="1353"/>
        <w:gridCol w:w="8547"/>
      </w:tblGrid>
      <w:tr w:rsidR="00C84318" w:rsidRPr="00C84318" w14:paraId="65982280" w14:textId="77777777" w:rsidTr="00C84318">
        <w:trPr>
          <w:tblHeader/>
        </w:trPr>
        <w:tc>
          <w:tcPr>
            <w:tcW w:w="780" w:type="pct"/>
            <w:tcMar>
              <w:top w:w="57" w:type="dxa"/>
              <w:bottom w:w="57" w:type="dxa"/>
            </w:tcMar>
          </w:tcPr>
          <w:p w14:paraId="48F02A5F" w14:textId="77777777" w:rsidR="00C84318" w:rsidRPr="00C84318" w:rsidRDefault="00C84318" w:rsidP="00C84318">
            <w:pPr>
              <w:keepLines/>
              <w:spacing w:before="80" w:after="80" w:line="200" w:lineRule="atLeast"/>
              <w:rPr>
                <w:rFonts w:ascii="Franklin Gothic Book" w:eastAsia="Times New Roman" w:hAnsi="Franklin Gothic Book"/>
                <w:b/>
                <w:iCs/>
                <w:sz w:val="17"/>
                <w:szCs w:val="17"/>
                <w:lang w:eastAsia="en-US"/>
              </w:rPr>
            </w:pPr>
            <w:r w:rsidRPr="00C84318">
              <w:rPr>
                <w:rFonts w:ascii="Franklin Gothic Book" w:eastAsia="Times New Roman" w:hAnsi="Franklin Gothic Book"/>
                <w:b/>
                <w:iCs/>
                <w:sz w:val="17"/>
                <w:szCs w:val="17"/>
                <w:lang w:eastAsia="en-US"/>
              </w:rPr>
              <w:t>Aid objective</w:t>
            </w:r>
          </w:p>
        </w:tc>
        <w:tc>
          <w:tcPr>
            <w:tcW w:w="780" w:type="pct"/>
          </w:tcPr>
          <w:p w14:paraId="40965162" w14:textId="77777777" w:rsidR="00C84318" w:rsidRPr="00C84318" w:rsidRDefault="00C84318" w:rsidP="00C84318">
            <w:pPr>
              <w:keepLines/>
              <w:spacing w:before="80" w:after="80" w:line="200" w:lineRule="atLeast"/>
              <w:rPr>
                <w:rFonts w:ascii="Franklin Gothic Book" w:eastAsia="Times New Roman" w:hAnsi="Franklin Gothic Book"/>
                <w:b/>
                <w:iCs/>
                <w:sz w:val="17"/>
                <w:szCs w:val="17"/>
                <w:lang w:eastAsia="en-US"/>
              </w:rPr>
            </w:pPr>
            <w:r w:rsidRPr="00C84318">
              <w:rPr>
                <w:rFonts w:ascii="Franklin Gothic Book" w:eastAsia="Times New Roman" w:hAnsi="Franklin Gothic Book"/>
                <w:b/>
                <w:iCs/>
                <w:sz w:val="17"/>
                <w:szCs w:val="17"/>
                <w:lang w:eastAsia="en-US"/>
              </w:rPr>
              <w:t xml:space="preserve">2014-15 benchmark </w:t>
            </w:r>
          </w:p>
        </w:tc>
        <w:tc>
          <w:tcPr>
            <w:tcW w:w="470" w:type="pct"/>
          </w:tcPr>
          <w:p w14:paraId="61BCF265" w14:textId="77777777" w:rsidR="00C84318" w:rsidRPr="00C84318" w:rsidRDefault="00C84318" w:rsidP="00C84318">
            <w:pPr>
              <w:keepLines/>
              <w:spacing w:before="80" w:after="80" w:line="200" w:lineRule="atLeast"/>
              <w:rPr>
                <w:rFonts w:ascii="Franklin Gothic Book" w:eastAsia="Times New Roman" w:hAnsi="Franklin Gothic Book"/>
                <w:b/>
                <w:iCs/>
                <w:sz w:val="17"/>
                <w:szCs w:val="17"/>
                <w:lang w:eastAsia="en-US"/>
              </w:rPr>
            </w:pPr>
            <w:r w:rsidRPr="00C84318">
              <w:rPr>
                <w:rFonts w:ascii="Franklin Gothic Book" w:eastAsia="Times New Roman" w:hAnsi="Franklin Gothic Book"/>
                <w:b/>
                <w:iCs/>
                <w:sz w:val="17"/>
                <w:szCs w:val="17"/>
                <w:lang w:eastAsia="en-US"/>
              </w:rPr>
              <w:t>Rating</w:t>
            </w:r>
          </w:p>
        </w:tc>
        <w:tc>
          <w:tcPr>
            <w:tcW w:w="2970" w:type="pct"/>
          </w:tcPr>
          <w:p w14:paraId="28ABE5B5" w14:textId="77777777" w:rsidR="00C84318" w:rsidRPr="00C84318" w:rsidRDefault="00C84318" w:rsidP="00C84318">
            <w:pPr>
              <w:keepLines/>
              <w:spacing w:before="80" w:after="80" w:line="200" w:lineRule="atLeast"/>
              <w:rPr>
                <w:rFonts w:ascii="Franklin Gothic Book" w:eastAsia="Times New Roman" w:hAnsi="Franklin Gothic Book"/>
                <w:b/>
                <w:iCs/>
                <w:sz w:val="17"/>
                <w:szCs w:val="17"/>
                <w:lang w:eastAsia="en-US"/>
              </w:rPr>
            </w:pPr>
            <w:r w:rsidRPr="00C84318">
              <w:rPr>
                <w:rFonts w:ascii="Franklin Gothic Book" w:eastAsia="Times New Roman" w:hAnsi="Franklin Gothic Book"/>
                <w:b/>
                <w:iCs/>
                <w:sz w:val="17"/>
                <w:szCs w:val="17"/>
                <w:lang w:eastAsia="en-US"/>
              </w:rPr>
              <w:t>Progress in 2014-15</w:t>
            </w:r>
          </w:p>
        </w:tc>
      </w:tr>
      <w:tr w:rsidR="00C84318" w:rsidRPr="00C84318" w14:paraId="2AAEC9D4" w14:textId="77777777" w:rsidTr="00C84318">
        <w:tc>
          <w:tcPr>
            <w:tcW w:w="780" w:type="pct"/>
            <w:vMerge w:val="restart"/>
            <w:tcMar>
              <w:top w:w="57" w:type="dxa"/>
              <w:bottom w:w="57" w:type="dxa"/>
            </w:tcMar>
          </w:tcPr>
          <w:p w14:paraId="187068DC" w14:textId="77777777" w:rsidR="00C84318" w:rsidRPr="00C84318" w:rsidRDefault="00C84318" w:rsidP="00C84318">
            <w:pPr>
              <w:keepLines/>
              <w:spacing w:before="40" w:after="40" w:line="200" w:lineRule="atLeast"/>
              <w:rPr>
                <w:rFonts w:ascii="Franklin Gothic Book" w:eastAsia="Times New Roman" w:hAnsi="Franklin Gothic Book"/>
                <w:iCs/>
                <w:sz w:val="17"/>
                <w:szCs w:val="17"/>
                <w:lang w:eastAsia="en-US"/>
              </w:rPr>
            </w:pPr>
            <w:r w:rsidRPr="00C84318">
              <w:rPr>
                <w:rFonts w:ascii="Franklin Gothic Book" w:eastAsia="Times New Roman" w:hAnsi="Franklin Gothic Book"/>
                <w:iCs/>
                <w:sz w:val="17"/>
                <w:szCs w:val="17"/>
                <w:lang w:eastAsia="en-US"/>
              </w:rPr>
              <w:t>Objective 1: Increased equity of access to, and improved outcomes from, health and education services</w:t>
            </w:r>
          </w:p>
        </w:tc>
        <w:tc>
          <w:tcPr>
            <w:tcW w:w="780" w:type="pct"/>
          </w:tcPr>
          <w:p w14:paraId="2B738A07" w14:textId="1BB9E1C4" w:rsidR="00C84318" w:rsidRPr="00C84318" w:rsidRDefault="00135828" w:rsidP="00C84318">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368,450 children (60 per cent</w:t>
            </w:r>
            <w:r w:rsidR="00C84318" w:rsidRPr="00C84318">
              <w:rPr>
                <w:rFonts w:ascii="Franklin Gothic Book" w:eastAsia="Times New Roman" w:hAnsi="Franklin Gothic Book"/>
                <w:iCs/>
                <w:sz w:val="17"/>
                <w:szCs w:val="17"/>
                <w:lang w:eastAsia="en-US"/>
              </w:rPr>
              <w:t xml:space="preserve"> girls) complete a course of primary or pre-primary education in BRAC schools</w:t>
            </w:r>
          </w:p>
        </w:tc>
        <w:tc>
          <w:tcPr>
            <w:tcW w:w="470" w:type="pct"/>
            <w:shd w:val="clear" w:color="auto" w:fill="92D050"/>
          </w:tcPr>
          <w:p w14:paraId="0A82FAAC" w14:textId="77777777" w:rsidR="00C84318" w:rsidRPr="00C84318" w:rsidRDefault="00C84318" w:rsidP="00C84318">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sidRPr="00C84318">
              <w:rPr>
                <w:rFonts w:ascii="Franklin Gothic Book" w:eastAsia="Times New Roman" w:hAnsi="Franklin Gothic Book"/>
                <w:iCs/>
                <w:color w:val="FFFFFF" w:themeColor="background1"/>
                <w:sz w:val="17"/>
                <w:szCs w:val="17"/>
                <w:lang w:eastAsia="en-US"/>
              </w:rPr>
              <w:t>Achieved</w:t>
            </w:r>
          </w:p>
        </w:tc>
        <w:tc>
          <w:tcPr>
            <w:tcW w:w="2970" w:type="pct"/>
          </w:tcPr>
          <w:p w14:paraId="5DD760F0" w14:textId="10F612F6" w:rsidR="00C84318" w:rsidRPr="00C84318" w:rsidRDefault="00C84318" w:rsidP="00765900">
            <w:pPr>
              <w:contextualSpacing/>
              <w:rPr>
                <w:rFonts w:ascii="Franklin Gothic Book" w:hAnsi="Franklin Gothic Book"/>
                <w:b/>
                <w:color w:val="1F497D"/>
                <w:sz w:val="17"/>
                <w:szCs w:val="17"/>
              </w:rPr>
            </w:pPr>
            <w:r w:rsidRPr="00C84318">
              <w:rPr>
                <w:rFonts w:ascii="Franklin Gothic Book" w:hAnsi="Franklin Gothic Book"/>
                <w:sz w:val="17"/>
                <w:szCs w:val="17"/>
              </w:rPr>
              <w:t xml:space="preserve">Australia provides non-earmarked core funding to BRAC which complements our investment in the Governments </w:t>
            </w:r>
            <w:r w:rsidR="00765900">
              <w:rPr>
                <w:rFonts w:ascii="Franklin Gothic Book" w:hAnsi="Franklin Gothic Book"/>
                <w:sz w:val="17"/>
                <w:szCs w:val="17"/>
              </w:rPr>
              <w:t>primary education p</w:t>
            </w:r>
            <w:r w:rsidRPr="00C84318">
              <w:rPr>
                <w:rFonts w:ascii="Franklin Gothic Book" w:hAnsi="Franklin Gothic Book"/>
                <w:sz w:val="17"/>
                <w:szCs w:val="17"/>
              </w:rPr>
              <w:t xml:space="preserve">rogram. </w:t>
            </w:r>
            <w:r w:rsidRPr="00C84318">
              <w:rPr>
                <w:rFonts w:ascii="Franklin Gothic Book" w:hAnsi="Franklin Gothic Book" w:cs="Arial"/>
                <w:sz w:val="17"/>
                <w:szCs w:val="17"/>
              </w:rPr>
              <w:t xml:space="preserve"> In 2014-15, 316, 223 students (61 per cent girls) completed </w:t>
            </w:r>
            <w:r w:rsidRPr="00C84318">
              <w:rPr>
                <w:rFonts w:ascii="Franklin Gothic Book" w:hAnsi="Franklin Gothic Book"/>
                <w:sz w:val="17"/>
                <w:szCs w:val="17"/>
              </w:rPr>
              <w:t>pre-primary education, 43,379 students completed and passed the National Primary Completion Exam (PSCE</w:t>
            </w:r>
            <w:r w:rsidR="0045086F" w:rsidRPr="00C84318">
              <w:rPr>
                <w:rFonts w:ascii="Franklin Gothic Book" w:hAnsi="Franklin Gothic Book"/>
                <w:sz w:val="17"/>
                <w:szCs w:val="17"/>
              </w:rPr>
              <w:t>) -</w:t>
            </w:r>
            <w:r w:rsidRPr="00C84318">
              <w:rPr>
                <w:rFonts w:ascii="Franklin Gothic Book" w:hAnsi="Franklin Gothic Book"/>
                <w:sz w:val="17"/>
                <w:szCs w:val="17"/>
              </w:rPr>
              <w:t xml:space="preserve"> Grade V and 9,892 students completed and passed the National Primary Completion Exam (PSCE).  In total Australia’s assistance resulted in 369,494 students completing a course of primary or pre-primary education in a BRAC school.  Approximately 45 per cent of Australia’s aid budget was spent on education in 2014-15. </w:t>
            </w:r>
          </w:p>
        </w:tc>
      </w:tr>
      <w:tr w:rsidR="00C84318" w:rsidRPr="00C84318" w14:paraId="61117E84" w14:textId="77777777" w:rsidTr="00C84318">
        <w:tc>
          <w:tcPr>
            <w:tcW w:w="780" w:type="pct"/>
            <w:vMerge/>
            <w:tcMar>
              <w:top w:w="57" w:type="dxa"/>
              <w:bottom w:w="57" w:type="dxa"/>
            </w:tcMar>
          </w:tcPr>
          <w:p w14:paraId="0E81A069" w14:textId="77777777" w:rsidR="00C84318" w:rsidRPr="00C84318" w:rsidRDefault="00C84318" w:rsidP="00C84318">
            <w:pPr>
              <w:keepLines/>
              <w:spacing w:before="40" w:after="40" w:line="200" w:lineRule="atLeast"/>
              <w:rPr>
                <w:rFonts w:ascii="Franklin Gothic Book" w:eastAsia="Times New Roman" w:hAnsi="Franklin Gothic Book"/>
                <w:iCs/>
                <w:sz w:val="17"/>
                <w:szCs w:val="17"/>
                <w:lang w:eastAsia="en-US"/>
              </w:rPr>
            </w:pPr>
          </w:p>
        </w:tc>
        <w:tc>
          <w:tcPr>
            <w:tcW w:w="780" w:type="pct"/>
          </w:tcPr>
          <w:p w14:paraId="1DF3A02F" w14:textId="77777777" w:rsidR="00C84318" w:rsidRPr="00C84318" w:rsidRDefault="00C84318" w:rsidP="00C84318">
            <w:pPr>
              <w:keepLines/>
              <w:spacing w:before="40" w:after="40" w:line="200" w:lineRule="atLeast"/>
              <w:rPr>
                <w:rFonts w:ascii="Franklin Gothic Book" w:eastAsia="Times New Roman" w:hAnsi="Franklin Gothic Book"/>
                <w:iCs/>
                <w:sz w:val="17"/>
                <w:szCs w:val="17"/>
                <w:lang w:eastAsia="en-US"/>
              </w:rPr>
            </w:pPr>
            <w:r w:rsidRPr="00C84318">
              <w:rPr>
                <w:rFonts w:ascii="Franklin Gothic Book" w:eastAsia="Times New Roman" w:hAnsi="Franklin Gothic Book"/>
                <w:iCs/>
                <w:sz w:val="17"/>
                <w:szCs w:val="17"/>
                <w:lang w:eastAsia="en-US"/>
              </w:rPr>
              <w:t>Chairing donor consortium to the Government of Bangladesh’s Primary Education Development Program</w:t>
            </w:r>
          </w:p>
        </w:tc>
        <w:tc>
          <w:tcPr>
            <w:tcW w:w="470" w:type="pct"/>
            <w:shd w:val="clear" w:color="auto" w:fill="92D050"/>
          </w:tcPr>
          <w:p w14:paraId="2654DBDB" w14:textId="77777777" w:rsidR="00C84318" w:rsidRPr="00C84318" w:rsidRDefault="00C84318" w:rsidP="00C84318">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sidRPr="00C84318">
              <w:rPr>
                <w:rFonts w:ascii="Franklin Gothic Book" w:eastAsia="Times New Roman" w:hAnsi="Franklin Gothic Book"/>
                <w:iCs/>
                <w:color w:val="FFFFFF" w:themeColor="background1"/>
                <w:sz w:val="17"/>
                <w:szCs w:val="17"/>
                <w:lang w:eastAsia="en-US"/>
              </w:rPr>
              <w:t>Achieved</w:t>
            </w:r>
          </w:p>
        </w:tc>
        <w:tc>
          <w:tcPr>
            <w:tcW w:w="2970" w:type="pct"/>
          </w:tcPr>
          <w:p w14:paraId="20831D8D" w14:textId="5206F4A1" w:rsidR="00C84318" w:rsidRPr="00426808" w:rsidRDefault="00C11C79" w:rsidP="00426808">
            <w:pPr>
              <w:keepLines/>
              <w:spacing w:before="40" w:after="40" w:line="200" w:lineRule="atLeast"/>
              <w:rPr>
                <w:rFonts w:ascii="Franklin Gothic Book" w:eastAsia="Times New Roman" w:hAnsi="Franklin Gothic Book"/>
                <w:iCs/>
                <w:sz w:val="17"/>
                <w:szCs w:val="17"/>
                <w:lang w:eastAsia="en-US"/>
              </w:rPr>
            </w:pPr>
            <w:r w:rsidRPr="00C11C79">
              <w:rPr>
                <w:rFonts w:ascii="Franklin Gothic Book" w:hAnsi="Franklin Gothic Book"/>
                <w:sz w:val="17"/>
                <w:szCs w:val="17"/>
              </w:rPr>
              <w:t>As chair of the donor consortium (including ADB, Canada, the UK, the EU, Japan, Sweden, UNICEF, the World Bank and the Bangladesh Government) Australia played a lead role in setting the policy and management priorities for primary education sector reform in 2014-15.</w:t>
            </w:r>
            <w:r w:rsidR="00426808">
              <w:rPr>
                <w:rFonts w:ascii="Franklin Gothic Book" w:hAnsi="Franklin Gothic Book"/>
                <w:sz w:val="17"/>
                <w:szCs w:val="17"/>
              </w:rPr>
              <w:t xml:space="preserve"> </w:t>
            </w:r>
            <w:r w:rsidR="00D07CD3">
              <w:rPr>
                <w:rFonts w:ascii="Franklin Gothic Book" w:hAnsi="Franklin Gothic Book"/>
                <w:sz w:val="17"/>
                <w:szCs w:val="17"/>
              </w:rPr>
              <w:t xml:space="preserve"> </w:t>
            </w:r>
            <w:r w:rsidR="00C84318" w:rsidRPr="00C11C79">
              <w:rPr>
                <w:rFonts w:ascii="Franklin Gothic Book" w:eastAsia="Times New Roman" w:hAnsi="Franklin Gothic Book"/>
                <w:iCs/>
                <w:sz w:val="17"/>
                <w:szCs w:val="17"/>
                <w:lang w:eastAsia="en-US"/>
              </w:rPr>
              <w:t xml:space="preserve">Australia </w:t>
            </w:r>
            <w:r w:rsidRPr="00C11C79">
              <w:rPr>
                <w:rFonts w:ascii="Franklin Gothic Book" w:eastAsia="Times New Roman" w:hAnsi="Franklin Gothic Book"/>
                <w:iCs/>
                <w:sz w:val="17"/>
                <w:szCs w:val="17"/>
                <w:lang w:eastAsia="en-US"/>
              </w:rPr>
              <w:t xml:space="preserve">successfully </w:t>
            </w:r>
            <w:r w:rsidR="00C84318" w:rsidRPr="00C11C79">
              <w:rPr>
                <w:rFonts w:ascii="Franklin Gothic Book" w:eastAsia="Times New Roman" w:hAnsi="Franklin Gothic Book"/>
                <w:iCs/>
                <w:sz w:val="17"/>
                <w:szCs w:val="17"/>
                <w:lang w:eastAsia="en-US"/>
              </w:rPr>
              <w:t xml:space="preserve">advocated for an increased focus on the </w:t>
            </w:r>
            <w:r w:rsidR="00426808">
              <w:rPr>
                <w:rFonts w:ascii="Franklin Gothic Book" w:eastAsia="Times New Roman" w:hAnsi="Franklin Gothic Book"/>
                <w:iCs/>
                <w:sz w:val="17"/>
                <w:szCs w:val="17"/>
                <w:lang w:eastAsia="en-US"/>
              </w:rPr>
              <w:t xml:space="preserve">government education </w:t>
            </w:r>
            <w:r w:rsidR="00C84318" w:rsidRPr="00C11C79">
              <w:rPr>
                <w:rFonts w:ascii="Franklin Gothic Book" w:eastAsia="Times New Roman" w:hAnsi="Franklin Gothic Book"/>
                <w:iCs/>
                <w:sz w:val="17"/>
                <w:szCs w:val="17"/>
                <w:lang w:eastAsia="en-US"/>
              </w:rPr>
              <w:t xml:space="preserve">programs results matrix, the timely production of the Annual Sector Performance Report (ASPR) to inform annual planning and the better use of mid-term reviews for self-reflection </w:t>
            </w:r>
            <w:r w:rsidR="00C84318" w:rsidRPr="00426808">
              <w:rPr>
                <w:rFonts w:ascii="Franklin Gothic Book" w:eastAsia="Times New Roman" w:hAnsi="Franklin Gothic Book"/>
                <w:iCs/>
                <w:sz w:val="17"/>
                <w:szCs w:val="17"/>
                <w:lang w:eastAsia="en-US"/>
              </w:rPr>
              <w:t>and learning.  Australia’s financial and technical support also directly contributed to the completion of the second national student assessment reform of the end of primary school exam.  Australia deepened already strong relationships with the Government of Bangladesh and Donor’s through its role which also provided a good opportunity to influence the direction of program policy.</w:t>
            </w:r>
          </w:p>
        </w:tc>
      </w:tr>
      <w:tr w:rsidR="00C84318" w:rsidRPr="00C84318" w14:paraId="6B28EA80" w14:textId="77777777" w:rsidTr="00C84318">
        <w:tc>
          <w:tcPr>
            <w:tcW w:w="780" w:type="pct"/>
            <w:vMerge/>
            <w:tcMar>
              <w:top w:w="57" w:type="dxa"/>
              <w:bottom w:w="57" w:type="dxa"/>
            </w:tcMar>
          </w:tcPr>
          <w:p w14:paraId="772F750D" w14:textId="77777777" w:rsidR="00C84318" w:rsidRPr="00C84318" w:rsidRDefault="00C84318" w:rsidP="00C84318">
            <w:pPr>
              <w:keepLines/>
              <w:spacing w:before="40" w:after="40" w:line="200" w:lineRule="atLeast"/>
              <w:rPr>
                <w:rFonts w:ascii="Franklin Gothic Book" w:eastAsia="Times New Roman" w:hAnsi="Franklin Gothic Book"/>
                <w:iCs/>
                <w:sz w:val="17"/>
                <w:szCs w:val="17"/>
                <w:lang w:eastAsia="en-US"/>
              </w:rPr>
            </w:pPr>
          </w:p>
        </w:tc>
        <w:tc>
          <w:tcPr>
            <w:tcW w:w="780" w:type="pct"/>
          </w:tcPr>
          <w:p w14:paraId="72AA7186" w14:textId="292A93A3" w:rsidR="00C84318" w:rsidRPr="00C84318" w:rsidRDefault="00135828" w:rsidP="00C84318">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 xml:space="preserve">50%per cent </w:t>
            </w:r>
            <w:r w:rsidR="00C84318" w:rsidRPr="00C84318">
              <w:rPr>
                <w:rFonts w:ascii="Franklin Gothic Book" w:eastAsia="Times New Roman" w:hAnsi="Franklin Gothic Book"/>
                <w:iCs/>
                <w:sz w:val="17"/>
                <w:szCs w:val="17"/>
                <w:lang w:eastAsia="en-US"/>
              </w:rPr>
              <w:t>of donor fund disbursement is directly linked to results achieved (under the Government of Bangladesh’s primary education program) with the remaining 50% subject to meeting annual audit requirements</w:t>
            </w:r>
          </w:p>
        </w:tc>
        <w:tc>
          <w:tcPr>
            <w:tcW w:w="470" w:type="pct"/>
            <w:shd w:val="clear" w:color="auto" w:fill="92D050"/>
          </w:tcPr>
          <w:p w14:paraId="0FD220FC" w14:textId="77777777" w:rsidR="00C84318" w:rsidRPr="00C84318" w:rsidRDefault="00C84318" w:rsidP="00C84318">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sidRPr="00C84318">
              <w:rPr>
                <w:rFonts w:ascii="Franklin Gothic Book" w:eastAsia="Times New Roman" w:hAnsi="Franklin Gothic Book"/>
                <w:iCs/>
                <w:color w:val="FFFFFF" w:themeColor="background1"/>
                <w:sz w:val="17"/>
                <w:szCs w:val="17"/>
                <w:lang w:eastAsia="en-US"/>
              </w:rPr>
              <w:t>Achieved</w:t>
            </w:r>
          </w:p>
        </w:tc>
        <w:tc>
          <w:tcPr>
            <w:tcW w:w="2970" w:type="pct"/>
          </w:tcPr>
          <w:p w14:paraId="0B482E67" w14:textId="2B788A2E" w:rsidR="00C84318" w:rsidRPr="00C84318" w:rsidRDefault="00C84318" w:rsidP="00B50A48">
            <w:pPr>
              <w:keepLines/>
              <w:spacing w:before="40" w:after="40" w:line="200" w:lineRule="atLeast"/>
              <w:rPr>
                <w:rFonts w:ascii="Franklin Gothic Book" w:eastAsia="Times New Roman" w:hAnsi="Franklin Gothic Book"/>
                <w:iCs/>
                <w:sz w:val="17"/>
                <w:szCs w:val="17"/>
                <w:lang w:eastAsia="en-US"/>
              </w:rPr>
            </w:pPr>
            <w:r w:rsidRPr="00C84318">
              <w:rPr>
                <w:rFonts w:ascii="Franklin Gothic Book" w:eastAsia="Times New Roman" w:hAnsi="Franklin Gothic Book"/>
                <w:iCs/>
                <w:sz w:val="17"/>
                <w:szCs w:val="17"/>
                <w:lang w:eastAsia="en-US"/>
              </w:rPr>
              <w:t>The Government</w:t>
            </w:r>
            <w:r w:rsidR="00765900">
              <w:rPr>
                <w:rFonts w:ascii="Franklin Gothic Book" w:eastAsia="Times New Roman" w:hAnsi="Franklin Gothic Book"/>
                <w:iCs/>
                <w:sz w:val="17"/>
                <w:szCs w:val="17"/>
                <w:lang w:eastAsia="en-US"/>
              </w:rPr>
              <w:t>’s</w:t>
            </w:r>
            <w:r w:rsidRPr="00C84318">
              <w:rPr>
                <w:rFonts w:ascii="Franklin Gothic Book" w:eastAsia="Times New Roman" w:hAnsi="Franklin Gothic Book"/>
                <w:iCs/>
                <w:sz w:val="17"/>
                <w:szCs w:val="17"/>
                <w:lang w:eastAsia="en-US"/>
              </w:rPr>
              <w:t xml:space="preserve"> primary education program is funded on a performance basis.  50 per cent of funds disbursed were directly linked to results achieved.  Six of nine </w:t>
            </w:r>
            <w:r w:rsidR="00B50A48">
              <w:rPr>
                <w:rFonts w:ascii="Franklin Gothic Book" w:eastAsia="Times New Roman" w:hAnsi="Franklin Gothic Book"/>
                <w:iCs/>
                <w:sz w:val="17"/>
                <w:szCs w:val="17"/>
                <w:lang w:eastAsia="en-US"/>
              </w:rPr>
              <w:t>DLIs</w:t>
            </w:r>
            <w:r w:rsidRPr="00C84318">
              <w:rPr>
                <w:rFonts w:ascii="Franklin Gothic Book" w:eastAsia="Times New Roman" w:hAnsi="Franklin Gothic Book"/>
                <w:iCs/>
                <w:sz w:val="17"/>
                <w:szCs w:val="17"/>
                <w:lang w:eastAsia="en-US"/>
              </w:rPr>
              <w:t xml:space="preserve"> were met during the reporting period.  To date 29 of 36 DLIs have been achieved. Expectations for progress particularly with regard to results were met in 2014-15. The remaining 50 per cent of funds were subject to the government education program meeting annual audit requirements.</w:t>
            </w:r>
          </w:p>
        </w:tc>
      </w:tr>
      <w:tr w:rsidR="00C84318" w:rsidRPr="00C84318" w14:paraId="1B46A83A" w14:textId="77777777" w:rsidTr="00C84318">
        <w:tc>
          <w:tcPr>
            <w:tcW w:w="780" w:type="pct"/>
            <w:vMerge/>
            <w:tcMar>
              <w:top w:w="57" w:type="dxa"/>
              <w:bottom w:w="57" w:type="dxa"/>
            </w:tcMar>
          </w:tcPr>
          <w:p w14:paraId="1BB91C79" w14:textId="77777777" w:rsidR="00C84318" w:rsidRPr="00C84318" w:rsidRDefault="00C84318" w:rsidP="00C84318">
            <w:pPr>
              <w:keepLines/>
              <w:spacing w:before="40" w:after="40" w:line="200" w:lineRule="atLeast"/>
              <w:rPr>
                <w:rFonts w:ascii="Franklin Gothic Book" w:eastAsia="Times New Roman" w:hAnsi="Franklin Gothic Book"/>
                <w:iCs/>
                <w:sz w:val="17"/>
                <w:szCs w:val="17"/>
                <w:lang w:eastAsia="en-US"/>
              </w:rPr>
            </w:pPr>
          </w:p>
        </w:tc>
        <w:tc>
          <w:tcPr>
            <w:tcW w:w="780" w:type="pct"/>
          </w:tcPr>
          <w:p w14:paraId="27861E0F" w14:textId="529D2C83" w:rsidR="00C84318" w:rsidRPr="00C84318" w:rsidRDefault="00C84318" w:rsidP="00C84318">
            <w:pPr>
              <w:keepLines/>
              <w:spacing w:before="40" w:after="40" w:line="200" w:lineRule="atLeast"/>
              <w:rPr>
                <w:rFonts w:ascii="Franklin Gothic Book" w:eastAsia="Times New Roman" w:hAnsi="Franklin Gothic Book"/>
                <w:iCs/>
                <w:sz w:val="17"/>
                <w:szCs w:val="17"/>
                <w:lang w:eastAsia="en-US"/>
              </w:rPr>
            </w:pPr>
            <w:r w:rsidRPr="00C84318">
              <w:rPr>
                <w:rFonts w:ascii="Franklin Gothic Book" w:eastAsia="Times New Roman" w:hAnsi="Franklin Gothic Book"/>
                <w:iCs/>
                <w:sz w:val="17"/>
                <w:szCs w:val="17"/>
                <w:lang w:eastAsia="en-US"/>
              </w:rPr>
              <w:t>At</w:t>
            </w:r>
            <w:r w:rsidR="00135828">
              <w:rPr>
                <w:rFonts w:ascii="Franklin Gothic Book" w:eastAsia="Times New Roman" w:hAnsi="Franklin Gothic Book"/>
                <w:iCs/>
                <w:sz w:val="17"/>
                <w:szCs w:val="17"/>
                <w:lang w:eastAsia="en-US"/>
              </w:rPr>
              <w:t xml:space="preserve"> least 50 per cent</w:t>
            </w:r>
            <w:r w:rsidRPr="00C84318">
              <w:rPr>
                <w:rFonts w:ascii="Franklin Gothic Book" w:eastAsia="Times New Roman" w:hAnsi="Franklin Gothic Book"/>
                <w:iCs/>
                <w:sz w:val="17"/>
                <w:szCs w:val="17"/>
                <w:lang w:eastAsia="en-US"/>
              </w:rPr>
              <w:t xml:space="preserve"> of scholarships in each intake awarded to women</w:t>
            </w:r>
          </w:p>
        </w:tc>
        <w:tc>
          <w:tcPr>
            <w:tcW w:w="470" w:type="pct"/>
            <w:shd w:val="clear" w:color="auto" w:fill="92D050"/>
          </w:tcPr>
          <w:p w14:paraId="5F3BDF98" w14:textId="77777777" w:rsidR="00C84318" w:rsidRPr="00C84318" w:rsidRDefault="00C84318" w:rsidP="00C84318">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sidRPr="00C84318">
              <w:rPr>
                <w:rFonts w:ascii="Franklin Gothic Book" w:eastAsia="Times New Roman" w:hAnsi="Franklin Gothic Book"/>
                <w:iCs/>
                <w:color w:val="FFFFFF" w:themeColor="background1"/>
                <w:sz w:val="17"/>
                <w:szCs w:val="17"/>
                <w:lang w:eastAsia="en-US"/>
              </w:rPr>
              <w:t>Achieved</w:t>
            </w:r>
          </w:p>
        </w:tc>
        <w:tc>
          <w:tcPr>
            <w:tcW w:w="2970" w:type="pct"/>
          </w:tcPr>
          <w:p w14:paraId="16FDA243" w14:textId="133109BE" w:rsidR="00C84318" w:rsidRPr="00C84318" w:rsidRDefault="00C11C79" w:rsidP="00CC6EFC">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 xml:space="preserve">Australia provided </w:t>
            </w:r>
            <w:r w:rsidRPr="00C11C79">
              <w:rPr>
                <w:rFonts w:ascii="Franklin Gothic Book" w:eastAsia="Times New Roman" w:hAnsi="Franklin Gothic Book"/>
                <w:iCs/>
                <w:sz w:val="17"/>
                <w:szCs w:val="17"/>
                <w:lang w:eastAsia="en-US"/>
              </w:rPr>
              <w:t xml:space="preserve">64 Australia Award long-term scholarships as well as 34 short-course places </w:t>
            </w:r>
            <w:r>
              <w:rPr>
                <w:rFonts w:ascii="Franklin Gothic Book" w:eastAsia="Times New Roman" w:hAnsi="Franklin Gothic Book"/>
                <w:iCs/>
                <w:sz w:val="17"/>
                <w:szCs w:val="17"/>
                <w:lang w:eastAsia="en-US"/>
              </w:rPr>
              <w:t xml:space="preserve">which </w:t>
            </w:r>
            <w:r w:rsidRPr="00C11C79">
              <w:rPr>
                <w:rFonts w:ascii="Franklin Gothic Book" w:eastAsia="Times New Roman" w:hAnsi="Franklin Gothic Book"/>
                <w:iCs/>
                <w:sz w:val="17"/>
                <w:szCs w:val="17"/>
                <w:lang w:eastAsia="en-US"/>
              </w:rPr>
              <w:t xml:space="preserve">were targeted towards the Government of Bangladesh, ethnic minority communities and partner organisations to develop the human resource base of the Bangladesh civil service and strengthen local NGO capacity. </w:t>
            </w:r>
            <w:r w:rsidR="00D07CD3">
              <w:rPr>
                <w:rFonts w:ascii="Franklin Gothic Book" w:eastAsia="Times New Roman" w:hAnsi="Franklin Gothic Book"/>
                <w:iCs/>
                <w:sz w:val="17"/>
                <w:szCs w:val="17"/>
                <w:lang w:eastAsia="en-US"/>
              </w:rPr>
              <w:t xml:space="preserve"> </w:t>
            </w:r>
            <w:r w:rsidRPr="00C11C79">
              <w:rPr>
                <w:rFonts w:ascii="Franklin Gothic Book" w:eastAsia="Times New Roman" w:hAnsi="Franklin Gothic Book"/>
                <w:iCs/>
                <w:sz w:val="17"/>
                <w:szCs w:val="17"/>
                <w:lang w:eastAsia="en-US"/>
              </w:rPr>
              <w:t xml:space="preserve">An equal number of men and women accepted scholarships.  </w:t>
            </w:r>
            <w:r w:rsidR="00BE75C0">
              <w:rPr>
                <w:rFonts w:ascii="Franklin Gothic Book" w:eastAsia="Times New Roman" w:hAnsi="Franklin Gothic Book"/>
                <w:iCs/>
                <w:sz w:val="17"/>
                <w:szCs w:val="17"/>
                <w:lang w:eastAsia="en-US"/>
              </w:rPr>
              <w:t>The Government received the</w:t>
            </w:r>
            <w:r w:rsidRPr="00C11C79">
              <w:rPr>
                <w:rFonts w:ascii="Franklin Gothic Book" w:eastAsia="Times New Roman" w:hAnsi="Franklin Gothic Book"/>
                <w:iCs/>
                <w:sz w:val="17"/>
                <w:szCs w:val="17"/>
                <w:lang w:eastAsia="en-US"/>
              </w:rPr>
              <w:t xml:space="preserve"> majority of scholarships with 3</w:t>
            </w:r>
            <w:r w:rsidR="00302B9E">
              <w:rPr>
                <w:rFonts w:ascii="Franklin Gothic Book" w:eastAsia="Times New Roman" w:hAnsi="Franklin Gothic Book"/>
                <w:iCs/>
                <w:sz w:val="17"/>
                <w:szCs w:val="17"/>
                <w:lang w:eastAsia="en-US"/>
              </w:rPr>
              <w:t>9</w:t>
            </w:r>
            <w:r w:rsidRPr="00C11C79">
              <w:rPr>
                <w:rFonts w:ascii="Franklin Gothic Book" w:eastAsia="Times New Roman" w:hAnsi="Franklin Gothic Book"/>
                <w:iCs/>
                <w:sz w:val="17"/>
                <w:szCs w:val="17"/>
                <w:lang w:eastAsia="en-US"/>
              </w:rPr>
              <w:t xml:space="preserve"> awards followed by those from ethnic minority communities with 17 awards</w:t>
            </w:r>
            <w:r w:rsidR="00CC6EFC">
              <w:rPr>
                <w:rFonts w:ascii="Franklin Gothic Book" w:eastAsia="Times New Roman" w:hAnsi="Franklin Gothic Book"/>
                <w:iCs/>
                <w:sz w:val="17"/>
                <w:szCs w:val="17"/>
                <w:lang w:eastAsia="en-US"/>
              </w:rPr>
              <w:t>.</w:t>
            </w:r>
          </w:p>
        </w:tc>
      </w:tr>
      <w:tr w:rsidR="00C84318" w:rsidRPr="00C84318" w14:paraId="2776761E" w14:textId="77777777" w:rsidTr="00C84318">
        <w:tc>
          <w:tcPr>
            <w:tcW w:w="780" w:type="pct"/>
            <w:vMerge w:val="restart"/>
            <w:tcMar>
              <w:top w:w="57" w:type="dxa"/>
              <w:bottom w:w="57" w:type="dxa"/>
            </w:tcMar>
          </w:tcPr>
          <w:p w14:paraId="00B08248" w14:textId="77777777" w:rsidR="00C84318" w:rsidRPr="00C84318" w:rsidRDefault="00C84318" w:rsidP="00C84318">
            <w:pPr>
              <w:keepLines/>
              <w:spacing w:before="40" w:after="40" w:line="200" w:lineRule="atLeast"/>
              <w:rPr>
                <w:rFonts w:ascii="Franklin Gothic Book" w:eastAsia="Times New Roman" w:hAnsi="Franklin Gothic Book"/>
                <w:iCs/>
                <w:sz w:val="17"/>
                <w:szCs w:val="17"/>
                <w:lang w:eastAsia="en-US"/>
              </w:rPr>
            </w:pPr>
            <w:r w:rsidRPr="00C84318">
              <w:rPr>
                <w:rFonts w:ascii="Franklin Gothic Book" w:eastAsia="Times New Roman" w:hAnsi="Franklin Gothic Book"/>
                <w:iCs/>
                <w:sz w:val="17"/>
                <w:szCs w:val="17"/>
                <w:lang w:eastAsia="en-US"/>
              </w:rPr>
              <w:t>Objective 2: Fewer women and men living in extreme poverty and vulnerable to economic and natural shocks</w:t>
            </w:r>
          </w:p>
        </w:tc>
        <w:tc>
          <w:tcPr>
            <w:tcW w:w="780" w:type="pct"/>
          </w:tcPr>
          <w:p w14:paraId="0E82A308" w14:textId="77777777" w:rsidR="00C84318" w:rsidRPr="00C84318" w:rsidRDefault="00C84318" w:rsidP="00C84318">
            <w:pPr>
              <w:keepLines/>
              <w:spacing w:before="40" w:after="40" w:line="200" w:lineRule="atLeast"/>
              <w:rPr>
                <w:rFonts w:ascii="Franklin Gothic Book" w:eastAsia="Times New Roman" w:hAnsi="Franklin Gothic Book"/>
                <w:iCs/>
                <w:sz w:val="17"/>
                <w:szCs w:val="17"/>
                <w:lang w:eastAsia="en-US"/>
              </w:rPr>
            </w:pPr>
            <w:r w:rsidRPr="00C84318">
              <w:rPr>
                <w:rFonts w:ascii="Franklin Gothic Book" w:eastAsia="Times New Roman" w:hAnsi="Franklin Gothic Book"/>
                <w:iCs/>
                <w:sz w:val="17"/>
                <w:szCs w:val="17"/>
                <w:lang w:eastAsia="en-US"/>
              </w:rPr>
              <w:t>The Number of female headed households graduating from BRAC ultra-poor programs since 2011 reaches 269,000</w:t>
            </w:r>
          </w:p>
        </w:tc>
        <w:tc>
          <w:tcPr>
            <w:tcW w:w="470" w:type="pct"/>
            <w:shd w:val="clear" w:color="auto" w:fill="92D050"/>
          </w:tcPr>
          <w:p w14:paraId="44B51717" w14:textId="77777777" w:rsidR="00C84318" w:rsidRPr="00C84318" w:rsidRDefault="00C84318" w:rsidP="00C84318">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sidRPr="00C84318">
              <w:rPr>
                <w:rFonts w:ascii="Franklin Gothic Book" w:eastAsia="Times New Roman" w:hAnsi="Franklin Gothic Book"/>
                <w:iCs/>
                <w:color w:val="FFFFFF" w:themeColor="background1"/>
                <w:sz w:val="17"/>
                <w:szCs w:val="17"/>
                <w:lang w:eastAsia="en-US"/>
              </w:rPr>
              <w:t>Achieved</w:t>
            </w:r>
          </w:p>
        </w:tc>
        <w:tc>
          <w:tcPr>
            <w:tcW w:w="2970" w:type="pct"/>
          </w:tcPr>
          <w:p w14:paraId="7243A0A3" w14:textId="58149794" w:rsidR="00C84318" w:rsidRPr="00C84318" w:rsidRDefault="00C84318" w:rsidP="00B50A48">
            <w:pPr>
              <w:keepLines/>
              <w:spacing w:before="40" w:after="40" w:line="200" w:lineRule="atLeast"/>
              <w:rPr>
                <w:rFonts w:ascii="Franklin Gothic Book" w:eastAsia="Times New Roman" w:hAnsi="Franklin Gothic Book"/>
                <w:iCs/>
                <w:sz w:val="17"/>
                <w:szCs w:val="17"/>
                <w:lang w:eastAsia="en-US"/>
              </w:rPr>
            </w:pPr>
            <w:r w:rsidRPr="00C84318">
              <w:rPr>
                <w:rFonts w:ascii="Franklin Gothic Book" w:eastAsia="Times New Roman" w:hAnsi="Franklin Gothic Book"/>
                <w:iCs/>
                <w:sz w:val="17"/>
                <w:szCs w:val="17"/>
                <w:lang w:eastAsia="en-US"/>
              </w:rPr>
              <w:t xml:space="preserve">In 2014-15, 148,795 beneficiaries (households) of BRACs </w:t>
            </w:r>
            <w:r w:rsidR="00B50A48">
              <w:rPr>
                <w:rFonts w:ascii="Franklin Gothic Book" w:eastAsia="Times New Roman" w:hAnsi="Franklin Gothic Book"/>
                <w:iCs/>
                <w:sz w:val="17"/>
                <w:szCs w:val="17"/>
                <w:lang w:eastAsia="en-US"/>
              </w:rPr>
              <w:t>CPFR-TUP</w:t>
            </w:r>
            <w:r w:rsidRPr="00C84318">
              <w:rPr>
                <w:rFonts w:ascii="Franklin Gothic Book" w:eastAsia="Times New Roman" w:hAnsi="Franklin Gothic Book"/>
                <w:iCs/>
                <w:sz w:val="17"/>
                <w:szCs w:val="17"/>
                <w:lang w:eastAsia="en-US"/>
              </w:rPr>
              <w:t xml:space="preserve"> program graduated and uplifted themselves from extreme poverty.  The </w:t>
            </w:r>
            <w:r w:rsidR="00B50A48">
              <w:rPr>
                <w:rFonts w:ascii="Franklin Gothic Book" w:eastAsia="Times New Roman" w:hAnsi="Franklin Gothic Book"/>
                <w:iCs/>
                <w:sz w:val="17"/>
                <w:szCs w:val="17"/>
                <w:lang w:eastAsia="en-US"/>
              </w:rPr>
              <w:t>CFPR-</w:t>
            </w:r>
            <w:r w:rsidRPr="00C84318">
              <w:rPr>
                <w:rFonts w:ascii="Franklin Gothic Book" w:eastAsia="Times New Roman" w:hAnsi="Franklin Gothic Book"/>
                <w:iCs/>
                <w:sz w:val="17"/>
                <w:szCs w:val="17"/>
                <w:lang w:eastAsia="en-US"/>
              </w:rPr>
              <w:t xml:space="preserve">TUP program also </w:t>
            </w:r>
            <w:r w:rsidRPr="00C84318">
              <w:rPr>
                <w:rFonts w:ascii="Franklin Gothic Book" w:eastAsia="Times New Roman" w:hAnsi="Franklin Gothic Book"/>
                <w:iCs/>
                <w:sz w:val="17"/>
                <w:szCs w:val="21"/>
                <w:lang w:eastAsia="en-US"/>
              </w:rPr>
              <w:t>achieved its end-2014 targe</w:t>
            </w:r>
            <w:r w:rsidR="00B50A48">
              <w:rPr>
                <w:rFonts w:ascii="Franklin Gothic Book" w:eastAsia="Times New Roman" w:hAnsi="Franklin Gothic Book"/>
                <w:iCs/>
                <w:sz w:val="17"/>
                <w:szCs w:val="21"/>
                <w:lang w:eastAsia="en-US"/>
              </w:rPr>
              <w:t>t by</w:t>
            </w:r>
            <w:r w:rsidRPr="00C84318">
              <w:rPr>
                <w:rFonts w:ascii="Franklin Gothic Book" w:eastAsia="Times New Roman" w:hAnsi="Franklin Gothic Book"/>
                <w:iCs/>
                <w:sz w:val="17"/>
                <w:szCs w:val="21"/>
                <w:lang w:eastAsia="en-US"/>
              </w:rPr>
              <w:t xml:space="preserve"> helping 280,000 women and their families out of extreme poverty</w:t>
            </w:r>
            <w:r w:rsidR="00B50A48">
              <w:rPr>
                <w:rFonts w:ascii="Franklin Gothic Book" w:eastAsia="Times New Roman" w:hAnsi="Franklin Gothic Book"/>
                <w:iCs/>
                <w:sz w:val="17"/>
                <w:szCs w:val="21"/>
                <w:lang w:eastAsia="en-US"/>
              </w:rPr>
              <w:t xml:space="preserve"> since 2011</w:t>
            </w:r>
            <w:r w:rsidRPr="00C84318">
              <w:rPr>
                <w:rFonts w:ascii="Franklin Gothic Book" w:eastAsia="Times New Roman" w:hAnsi="Franklin Gothic Book"/>
                <w:iCs/>
                <w:sz w:val="17"/>
                <w:szCs w:val="21"/>
                <w:lang w:eastAsia="en-US"/>
              </w:rPr>
              <w:t xml:space="preserve">.  The methodology developed by BRAC, part funded by Australia for the last eight years, is now used globally to assist extremely poor families.  It has been shown to be a highly effective intervention in other country contexts as well as in Bangladesh. </w:t>
            </w:r>
          </w:p>
        </w:tc>
      </w:tr>
      <w:tr w:rsidR="00C84318" w:rsidRPr="00C84318" w14:paraId="4B790D08" w14:textId="77777777" w:rsidTr="00C84318">
        <w:tc>
          <w:tcPr>
            <w:tcW w:w="780" w:type="pct"/>
            <w:vMerge/>
            <w:tcMar>
              <w:top w:w="57" w:type="dxa"/>
              <w:bottom w:w="57" w:type="dxa"/>
            </w:tcMar>
          </w:tcPr>
          <w:p w14:paraId="069E1BC4" w14:textId="77777777" w:rsidR="00C84318" w:rsidRPr="00C84318" w:rsidRDefault="00C84318" w:rsidP="00C84318">
            <w:pPr>
              <w:keepLines/>
              <w:spacing w:before="40" w:after="40" w:line="200" w:lineRule="atLeast"/>
              <w:rPr>
                <w:rFonts w:ascii="Franklin Gothic Book" w:eastAsia="Times New Roman" w:hAnsi="Franklin Gothic Book"/>
                <w:iCs/>
                <w:sz w:val="17"/>
                <w:szCs w:val="17"/>
                <w:lang w:eastAsia="en-US"/>
              </w:rPr>
            </w:pPr>
          </w:p>
        </w:tc>
        <w:tc>
          <w:tcPr>
            <w:tcW w:w="780" w:type="pct"/>
          </w:tcPr>
          <w:p w14:paraId="7A9BF0E3" w14:textId="77777777" w:rsidR="00C84318" w:rsidRPr="00C84318" w:rsidRDefault="00C84318" w:rsidP="00C84318">
            <w:pPr>
              <w:keepLines/>
              <w:spacing w:before="40" w:after="40" w:line="200" w:lineRule="atLeast"/>
              <w:rPr>
                <w:rFonts w:ascii="Franklin Gothic Book" w:eastAsia="Times New Roman" w:hAnsi="Franklin Gothic Book"/>
                <w:iCs/>
                <w:sz w:val="17"/>
                <w:szCs w:val="17"/>
                <w:lang w:eastAsia="en-US"/>
              </w:rPr>
            </w:pPr>
            <w:r w:rsidRPr="00C84318">
              <w:rPr>
                <w:rFonts w:ascii="Franklin Gothic Book" w:eastAsia="Times New Roman" w:hAnsi="Franklin Gothic Book"/>
                <w:iCs/>
                <w:sz w:val="17"/>
                <w:szCs w:val="17"/>
                <w:lang w:eastAsia="en-US"/>
              </w:rPr>
              <w:t>Social Protection Unit established and operational at the Ministry of Finance</w:t>
            </w:r>
          </w:p>
        </w:tc>
        <w:tc>
          <w:tcPr>
            <w:tcW w:w="470" w:type="pct"/>
            <w:shd w:val="clear" w:color="auto" w:fill="FF0000"/>
          </w:tcPr>
          <w:p w14:paraId="4B7527A1" w14:textId="77777777" w:rsidR="00C84318" w:rsidRPr="00C84318" w:rsidRDefault="00C84318" w:rsidP="00C84318">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sidRPr="00C84318">
              <w:rPr>
                <w:rFonts w:ascii="Franklin Gothic Book" w:eastAsia="Times New Roman" w:hAnsi="Franklin Gothic Book"/>
                <w:iCs/>
                <w:color w:val="FFFFFF" w:themeColor="background1"/>
                <w:sz w:val="17"/>
                <w:szCs w:val="17"/>
                <w:lang w:eastAsia="en-US"/>
              </w:rPr>
              <w:t xml:space="preserve">Not Achieved </w:t>
            </w:r>
          </w:p>
        </w:tc>
        <w:tc>
          <w:tcPr>
            <w:tcW w:w="2970" w:type="pct"/>
          </w:tcPr>
          <w:p w14:paraId="687E2C5E" w14:textId="3ACF324E" w:rsidR="00C84318" w:rsidRPr="00C84318" w:rsidRDefault="00737186" w:rsidP="00DE45C7">
            <w:pPr>
              <w:rPr>
                <w:rFonts w:ascii="Franklin Gothic Book" w:hAnsi="Franklin Gothic Book"/>
                <w:sz w:val="17"/>
                <w:szCs w:val="17"/>
              </w:rPr>
            </w:pPr>
            <w:r w:rsidRPr="00737186">
              <w:rPr>
                <w:rFonts w:ascii="Franklin Gothic Book" w:hAnsi="Franklin Gothic Book"/>
                <w:sz w:val="17"/>
                <w:szCs w:val="17"/>
                <w:lang w:eastAsia="zh-CN"/>
              </w:rPr>
              <w:t xml:space="preserve">The establishment of a </w:t>
            </w:r>
            <w:r w:rsidR="00B50A48">
              <w:rPr>
                <w:rFonts w:ascii="Franklin Gothic Book" w:hAnsi="Franklin Gothic Book"/>
                <w:sz w:val="17"/>
                <w:szCs w:val="17"/>
                <w:lang w:eastAsia="zh-CN"/>
              </w:rPr>
              <w:t>SPU</w:t>
            </w:r>
            <w:r w:rsidRPr="00737186">
              <w:rPr>
                <w:rFonts w:ascii="Franklin Gothic Book" w:hAnsi="Franklin Gothic Book"/>
                <w:sz w:val="17"/>
                <w:szCs w:val="17"/>
                <w:lang w:eastAsia="zh-CN"/>
              </w:rPr>
              <w:t xml:space="preserve"> was not achieved during the reporting period as efforts were focused on getting enabling components of the SGSP agreed with Government.  This included the signing of</w:t>
            </w:r>
            <w:r w:rsidR="00B50A48">
              <w:rPr>
                <w:rFonts w:ascii="Franklin Gothic Book" w:hAnsi="Franklin Gothic Book"/>
                <w:sz w:val="17"/>
                <w:szCs w:val="17"/>
                <w:lang w:eastAsia="zh-CN"/>
              </w:rPr>
              <w:t xml:space="preserve"> a MoU </w:t>
            </w:r>
            <w:r w:rsidRPr="00737186">
              <w:rPr>
                <w:rFonts w:ascii="Franklin Gothic Book" w:hAnsi="Franklin Gothic Book"/>
                <w:sz w:val="17"/>
                <w:szCs w:val="17"/>
                <w:lang w:eastAsia="zh-CN"/>
              </w:rPr>
              <w:t>with Government and finalising the Technical Assistance Project Pro Forma, which needed to be agreed prior to the establishment of the SPU.  Meeting the intended timeframes was also hampered by the political context that affected momentum</w:t>
            </w:r>
            <w:r w:rsidR="00DE45C7">
              <w:rPr>
                <w:rFonts w:ascii="Franklin Gothic Book" w:hAnsi="Franklin Gothic Book"/>
                <w:sz w:val="17"/>
                <w:szCs w:val="17"/>
                <w:lang w:eastAsia="zh-CN"/>
              </w:rPr>
              <w:t>.</w:t>
            </w:r>
          </w:p>
        </w:tc>
      </w:tr>
      <w:tr w:rsidR="00C84318" w:rsidRPr="00C84318" w14:paraId="41484FC0" w14:textId="77777777" w:rsidTr="00C84318">
        <w:tc>
          <w:tcPr>
            <w:tcW w:w="780" w:type="pct"/>
            <w:vMerge w:val="restart"/>
            <w:tcMar>
              <w:top w:w="57" w:type="dxa"/>
              <w:bottom w:w="57" w:type="dxa"/>
            </w:tcMar>
          </w:tcPr>
          <w:p w14:paraId="7DF5C18C" w14:textId="77777777" w:rsidR="00C84318" w:rsidRPr="00C84318" w:rsidRDefault="00C84318" w:rsidP="00C84318">
            <w:pPr>
              <w:keepLines/>
              <w:spacing w:before="40" w:after="40" w:line="200" w:lineRule="atLeast"/>
              <w:rPr>
                <w:rFonts w:ascii="Franklin Gothic Book" w:eastAsia="Times New Roman" w:hAnsi="Franklin Gothic Book"/>
                <w:iCs/>
                <w:sz w:val="17"/>
                <w:szCs w:val="17"/>
                <w:lang w:eastAsia="en-US"/>
              </w:rPr>
            </w:pPr>
            <w:r w:rsidRPr="00C84318">
              <w:rPr>
                <w:rFonts w:ascii="Franklin Gothic Book" w:eastAsia="Times New Roman" w:hAnsi="Franklin Gothic Book"/>
                <w:iCs/>
                <w:sz w:val="17"/>
                <w:szCs w:val="17"/>
                <w:lang w:eastAsia="en-US"/>
              </w:rPr>
              <w:t>Objective 3: Women and marginalised groups better able to demand services and assert rights</w:t>
            </w:r>
          </w:p>
        </w:tc>
        <w:tc>
          <w:tcPr>
            <w:tcW w:w="780" w:type="pct"/>
          </w:tcPr>
          <w:p w14:paraId="580F094D" w14:textId="09C7505F" w:rsidR="00C84318" w:rsidRPr="00C84318" w:rsidRDefault="00135828" w:rsidP="00C84318">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At least 75 per cent</w:t>
            </w:r>
            <w:r w:rsidR="00C84318" w:rsidRPr="00C84318">
              <w:rPr>
                <w:rFonts w:ascii="Franklin Gothic Book" w:eastAsia="Times New Roman" w:hAnsi="Franklin Gothic Book"/>
                <w:iCs/>
                <w:sz w:val="17"/>
                <w:szCs w:val="17"/>
                <w:lang w:eastAsia="en-US"/>
              </w:rPr>
              <w:t xml:space="preserve"> of malnourished women and children treated by WFP in Cox’s Bazar District improve their nutritional status</w:t>
            </w:r>
          </w:p>
        </w:tc>
        <w:tc>
          <w:tcPr>
            <w:tcW w:w="470" w:type="pct"/>
            <w:shd w:val="clear" w:color="auto" w:fill="92D050"/>
          </w:tcPr>
          <w:p w14:paraId="53E4A91C" w14:textId="77777777" w:rsidR="00C84318" w:rsidRPr="00C84318" w:rsidRDefault="00C84318" w:rsidP="00C84318">
            <w:pPr>
              <w:keepLines/>
              <w:spacing w:before="40" w:after="40" w:line="200" w:lineRule="atLeast"/>
              <w:rPr>
                <w:rFonts w:ascii="Franklin Gothic Book" w:eastAsia="Times New Roman" w:hAnsi="Franklin Gothic Book"/>
                <w:iCs/>
                <w:color w:val="FFFFFF" w:themeColor="background1"/>
                <w:sz w:val="17"/>
                <w:szCs w:val="17"/>
                <w:lang w:eastAsia="en-US"/>
              </w:rPr>
            </w:pPr>
            <w:r w:rsidRPr="00C84318">
              <w:rPr>
                <w:rFonts w:ascii="Franklin Gothic Book" w:eastAsia="Times New Roman" w:hAnsi="Franklin Gothic Book"/>
                <w:iCs/>
                <w:color w:val="FFFFFF" w:themeColor="background1"/>
                <w:sz w:val="17"/>
                <w:szCs w:val="17"/>
                <w:lang w:eastAsia="en-US"/>
              </w:rPr>
              <w:t xml:space="preserve">Achieved </w:t>
            </w:r>
          </w:p>
        </w:tc>
        <w:tc>
          <w:tcPr>
            <w:tcW w:w="2970" w:type="pct"/>
          </w:tcPr>
          <w:p w14:paraId="063884B9" w14:textId="029A0C45" w:rsidR="00C84318" w:rsidRPr="00C84318" w:rsidRDefault="00D07CD3" w:rsidP="00D07CD3">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S</w:t>
            </w:r>
            <w:r w:rsidRPr="00D07CD3">
              <w:rPr>
                <w:rFonts w:ascii="Franklin Gothic Book" w:eastAsia="Times New Roman" w:hAnsi="Franklin Gothic Book"/>
                <w:iCs/>
                <w:sz w:val="17"/>
                <w:szCs w:val="17"/>
                <w:lang w:eastAsia="en-US"/>
              </w:rPr>
              <w:t xml:space="preserve">urvey results </w:t>
            </w:r>
            <w:r>
              <w:rPr>
                <w:rFonts w:ascii="Franklin Gothic Book" w:eastAsia="Times New Roman" w:hAnsi="Franklin Gothic Book"/>
                <w:iCs/>
                <w:sz w:val="17"/>
                <w:szCs w:val="17"/>
                <w:lang w:eastAsia="en-US"/>
              </w:rPr>
              <w:t>(2014) on the first phase of the initiative found</w:t>
            </w:r>
            <w:r w:rsidR="0058540A">
              <w:rPr>
                <w:rFonts w:ascii="Franklin Gothic Book" w:eastAsia="Times New Roman" w:hAnsi="Franklin Gothic Book"/>
                <w:iCs/>
                <w:sz w:val="17"/>
                <w:szCs w:val="17"/>
                <w:lang w:eastAsia="en-US"/>
              </w:rPr>
              <w:t xml:space="preserve"> an </w:t>
            </w:r>
            <w:r w:rsidRPr="00D07CD3">
              <w:rPr>
                <w:rFonts w:ascii="Franklin Gothic Book" w:eastAsia="Times New Roman" w:hAnsi="Franklin Gothic Book"/>
                <w:iCs/>
                <w:sz w:val="17"/>
                <w:szCs w:val="17"/>
                <w:lang w:eastAsia="en-US"/>
              </w:rPr>
              <w:t xml:space="preserve">improved nutritional status </w:t>
            </w:r>
            <w:r>
              <w:rPr>
                <w:rFonts w:ascii="Franklin Gothic Book" w:eastAsia="Times New Roman" w:hAnsi="Franklin Gothic Book"/>
                <w:iCs/>
                <w:sz w:val="17"/>
                <w:szCs w:val="17"/>
                <w:lang w:eastAsia="en-US"/>
              </w:rPr>
              <w:t xml:space="preserve">for 91 per cent </w:t>
            </w:r>
            <w:r w:rsidRPr="00D07CD3">
              <w:rPr>
                <w:rFonts w:ascii="Franklin Gothic Book" w:eastAsia="Times New Roman" w:hAnsi="Franklin Gothic Book"/>
                <w:iCs/>
                <w:sz w:val="17"/>
                <w:szCs w:val="17"/>
                <w:lang w:eastAsia="en-US"/>
              </w:rPr>
              <w:t xml:space="preserve">of children and </w:t>
            </w:r>
            <w:r w:rsidR="00B50A48">
              <w:rPr>
                <w:rFonts w:ascii="Franklin Gothic Book" w:eastAsia="Times New Roman" w:hAnsi="Franklin Gothic Book"/>
                <w:iCs/>
                <w:sz w:val="17"/>
                <w:szCs w:val="17"/>
                <w:lang w:eastAsia="en-US"/>
              </w:rPr>
              <w:t>pregnant &amp; lactating women</w:t>
            </w:r>
            <w:r>
              <w:rPr>
                <w:rFonts w:ascii="Franklin Gothic Book" w:eastAsia="Times New Roman" w:hAnsi="Franklin Gothic Book"/>
                <w:iCs/>
                <w:sz w:val="17"/>
                <w:szCs w:val="17"/>
                <w:lang w:eastAsia="en-US"/>
              </w:rPr>
              <w:t xml:space="preserve"> who participated.  </w:t>
            </w:r>
            <w:r w:rsidR="0058540A">
              <w:rPr>
                <w:rFonts w:ascii="Franklin Gothic Book" w:eastAsia="Times New Roman" w:hAnsi="Franklin Gothic Book"/>
                <w:iCs/>
                <w:sz w:val="17"/>
                <w:szCs w:val="17"/>
                <w:lang w:eastAsia="en-US"/>
              </w:rPr>
              <w:t>Intended beneficiaries were</w:t>
            </w:r>
            <w:r>
              <w:rPr>
                <w:rFonts w:ascii="Franklin Gothic Book" w:eastAsia="Times New Roman" w:hAnsi="Franklin Gothic Book"/>
                <w:iCs/>
                <w:sz w:val="17"/>
                <w:szCs w:val="17"/>
                <w:lang w:eastAsia="en-US"/>
              </w:rPr>
              <w:t xml:space="preserve"> satisfied with the investments results. </w:t>
            </w:r>
          </w:p>
        </w:tc>
      </w:tr>
      <w:tr w:rsidR="00C84318" w:rsidRPr="00C84318" w14:paraId="3008EA29" w14:textId="77777777" w:rsidTr="00C84318">
        <w:tc>
          <w:tcPr>
            <w:tcW w:w="780" w:type="pct"/>
            <w:vMerge/>
            <w:tcMar>
              <w:top w:w="57" w:type="dxa"/>
              <w:bottom w:w="57" w:type="dxa"/>
            </w:tcMar>
          </w:tcPr>
          <w:p w14:paraId="0E28487A" w14:textId="77777777" w:rsidR="00C84318" w:rsidRPr="00C84318" w:rsidRDefault="00C84318" w:rsidP="00C84318">
            <w:pPr>
              <w:keepLines/>
              <w:spacing w:before="40" w:after="40" w:line="200" w:lineRule="atLeast"/>
              <w:rPr>
                <w:rFonts w:ascii="Franklin Gothic Book" w:eastAsia="Times New Roman" w:hAnsi="Franklin Gothic Book"/>
                <w:iCs/>
                <w:sz w:val="17"/>
                <w:szCs w:val="17"/>
                <w:lang w:eastAsia="en-US"/>
              </w:rPr>
            </w:pPr>
          </w:p>
        </w:tc>
        <w:tc>
          <w:tcPr>
            <w:tcW w:w="780" w:type="pct"/>
          </w:tcPr>
          <w:p w14:paraId="3A712DFD" w14:textId="77777777" w:rsidR="00C84318" w:rsidRPr="00C84318" w:rsidRDefault="00C84318" w:rsidP="00C84318">
            <w:pPr>
              <w:keepLines/>
              <w:spacing w:before="40" w:after="40" w:line="200" w:lineRule="atLeast"/>
              <w:rPr>
                <w:rFonts w:ascii="Franklin Gothic Book" w:eastAsia="Times New Roman" w:hAnsi="Franklin Gothic Book"/>
                <w:iCs/>
                <w:sz w:val="17"/>
                <w:szCs w:val="17"/>
                <w:lang w:eastAsia="en-US"/>
              </w:rPr>
            </w:pPr>
            <w:r w:rsidRPr="00C84318">
              <w:rPr>
                <w:rFonts w:ascii="Franklin Gothic Book" w:eastAsia="Times New Roman" w:hAnsi="Franklin Gothic Book"/>
                <w:iCs/>
                <w:sz w:val="17"/>
                <w:szCs w:val="17"/>
                <w:lang w:eastAsia="en-US"/>
              </w:rPr>
              <w:t>11,000 women assisted to take positions in community decision making</w:t>
            </w:r>
          </w:p>
        </w:tc>
        <w:tc>
          <w:tcPr>
            <w:tcW w:w="470" w:type="pct"/>
            <w:shd w:val="clear" w:color="auto" w:fill="92D050"/>
          </w:tcPr>
          <w:p w14:paraId="22FE0932" w14:textId="77777777" w:rsidR="00C84318" w:rsidRPr="00C84318" w:rsidRDefault="00C84318" w:rsidP="00C84318">
            <w:pPr>
              <w:keepLines/>
              <w:spacing w:before="40" w:after="40" w:line="200" w:lineRule="atLeast"/>
              <w:rPr>
                <w:rFonts w:ascii="Franklin Gothic Book" w:eastAsia="Times New Roman" w:hAnsi="Franklin Gothic Book"/>
                <w:iCs/>
                <w:color w:val="FFFFFF" w:themeColor="background1"/>
                <w:sz w:val="17"/>
                <w:szCs w:val="17"/>
                <w:lang w:eastAsia="en-US"/>
              </w:rPr>
            </w:pPr>
            <w:r w:rsidRPr="00C84318">
              <w:rPr>
                <w:rFonts w:ascii="Franklin Gothic Book" w:eastAsia="Times New Roman" w:hAnsi="Franklin Gothic Book"/>
                <w:iCs/>
                <w:color w:val="FFFFFF" w:themeColor="background1"/>
                <w:sz w:val="17"/>
                <w:szCs w:val="17"/>
                <w:lang w:eastAsia="en-US"/>
              </w:rPr>
              <w:t>Achieved</w:t>
            </w:r>
          </w:p>
        </w:tc>
        <w:tc>
          <w:tcPr>
            <w:tcW w:w="2970" w:type="pct"/>
          </w:tcPr>
          <w:p w14:paraId="06B3852E" w14:textId="35E5E895" w:rsidR="00C84318" w:rsidRPr="00135828" w:rsidRDefault="0061710F" w:rsidP="0061710F">
            <w:pPr>
              <w:keepLines/>
              <w:spacing w:before="40" w:after="40" w:line="200" w:lineRule="atLeast"/>
              <w:rPr>
                <w:rFonts w:ascii="Franklin Gothic Book" w:eastAsia="Times New Roman" w:hAnsi="Franklin Gothic Book"/>
                <w:iCs/>
                <w:sz w:val="17"/>
                <w:szCs w:val="17"/>
                <w:lang w:eastAsia="en-US"/>
              </w:rPr>
            </w:pPr>
            <w:r w:rsidRPr="000C6417">
              <w:rPr>
                <w:rFonts w:ascii="Franklin Gothic Book" w:eastAsia="Times New Roman" w:hAnsi="Franklin Gothic Book"/>
                <w:iCs/>
                <w:sz w:val="17"/>
                <w:szCs w:val="17"/>
                <w:lang w:eastAsia="en-US"/>
              </w:rPr>
              <w:t>16</w:t>
            </w:r>
            <w:r w:rsidR="00F93549">
              <w:rPr>
                <w:rFonts w:ascii="Franklin Gothic Book" w:eastAsia="Times New Roman" w:hAnsi="Franklin Gothic Book"/>
                <w:iCs/>
                <w:sz w:val="17"/>
                <w:szCs w:val="17"/>
                <w:lang w:eastAsia="en-US"/>
              </w:rPr>
              <w:t>,</w:t>
            </w:r>
            <w:r w:rsidRPr="000C6417">
              <w:rPr>
                <w:rFonts w:ascii="Franklin Gothic Book" w:eastAsia="Times New Roman" w:hAnsi="Franklin Gothic Book"/>
                <w:iCs/>
                <w:sz w:val="17"/>
                <w:szCs w:val="17"/>
                <w:lang w:eastAsia="en-US"/>
              </w:rPr>
              <w:t xml:space="preserve">390 </w:t>
            </w:r>
            <w:r>
              <w:rPr>
                <w:rFonts w:ascii="Franklin Gothic Book" w:eastAsia="Times New Roman" w:hAnsi="Franklin Gothic Book"/>
                <w:iCs/>
                <w:sz w:val="17"/>
                <w:szCs w:val="17"/>
                <w:lang w:eastAsia="en-US"/>
              </w:rPr>
              <w:t xml:space="preserve">community committee </w:t>
            </w:r>
            <w:r w:rsidRPr="000C6417">
              <w:rPr>
                <w:rFonts w:ascii="Franklin Gothic Book" w:eastAsia="Times New Roman" w:hAnsi="Franklin Gothic Book"/>
                <w:iCs/>
                <w:sz w:val="17"/>
                <w:szCs w:val="17"/>
                <w:lang w:eastAsia="en-US"/>
              </w:rPr>
              <w:t xml:space="preserve">members </w:t>
            </w:r>
            <w:r>
              <w:rPr>
                <w:rFonts w:ascii="Franklin Gothic Book" w:eastAsia="Times New Roman" w:hAnsi="Franklin Gothic Book"/>
                <w:iCs/>
                <w:sz w:val="17"/>
                <w:szCs w:val="17"/>
                <w:lang w:eastAsia="en-US"/>
              </w:rPr>
              <w:t xml:space="preserve">were assisted by </w:t>
            </w:r>
            <w:r w:rsidRPr="000C6417">
              <w:rPr>
                <w:rFonts w:ascii="Franklin Gothic Book" w:eastAsia="Times New Roman" w:hAnsi="Franklin Gothic Book"/>
                <w:iCs/>
                <w:sz w:val="17"/>
                <w:szCs w:val="17"/>
                <w:lang w:eastAsia="en-US"/>
              </w:rPr>
              <w:t>BRAC’s</w:t>
            </w:r>
            <w:r>
              <w:rPr>
                <w:rFonts w:ascii="Franklin Gothic Book" w:eastAsia="Times New Roman" w:hAnsi="Franklin Gothic Book"/>
                <w:iCs/>
                <w:sz w:val="17"/>
                <w:szCs w:val="17"/>
                <w:lang w:eastAsia="en-US"/>
              </w:rPr>
              <w:t xml:space="preserve"> Community Empowerment Program to </w:t>
            </w:r>
            <w:r w:rsidRPr="000C6417">
              <w:rPr>
                <w:rFonts w:ascii="Franklin Gothic Book" w:eastAsia="Times New Roman" w:hAnsi="Franklin Gothic Book"/>
                <w:iCs/>
                <w:sz w:val="17"/>
                <w:szCs w:val="17"/>
                <w:lang w:eastAsia="en-US"/>
              </w:rPr>
              <w:t>focus on achieving socio-political empowerment of the</w:t>
            </w:r>
            <w:r>
              <w:rPr>
                <w:rFonts w:ascii="Franklin Gothic Book" w:eastAsia="Times New Roman" w:hAnsi="Franklin Gothic Book"/>
                <w:iCs/>
                <w:sz w:val="17"/>
                <w:szCs w:val="17"/>
                <w:lang w:eastAsia="en-US"/>
              </w:rPr>
              <w:t xml:space="preserve"> rural poor, particularly women</w:t>
            </w:r>
            <w:r w:rsidRPr="000C6417">
              <w:rPr>
                <w:rFonts w:ascii="Franklin Gothic Book" w:eastAsia="Times New Roman" w:hAnsi="Franklin Gothic Book"/>
                <w:iCs/>
                <w:sz w:val="17"/>
                <w:szCs w:val="17"/>
                <w:lang w:eastAsia="en-US"/>
              </w:rPr>
              <w:t>.</w:t>
            </w:r>
          </w:p>
        </w:tc>
      </w:tr>
    </w:tbl>
    <w:p w14:paraId="610C066D" w14:textId="77777777" w:rsidR="00C84318" w:rsidRPr="00C84318" w:rsidRDefault="00C84318" w:rsidP="00C84318">
      <w:pPr>
        <w:spacing w:before="20" w:after="20" w:line="180" w:lineRule="atLeast"/>
        <w:jc w:val="both"/>
        <w:rPr>
          <w:rFonts w:ascii="Franklin Gothic Book" w:eastAsia="Times New Roman" w:hAnsi="Franklin Gothic Book"/>
          <w:b/>
          <w:sz w:val="14"/>
          <w:szCs w:val="14"/>
        </w:rPr>
      </w:pPr>
      <w:r w:rsidRPr="00C84318">
        <w:rPr>
          <w:rFonts w:ascii="Franklin Gothic Book" w:eastAsia="Times New Roman" w:hAnsi="Franklin Gothic Book"/>
          <w:b/>
          <w:sz w:val="14"/>
          <w:szCs w:val="14"/>
        </w:rPr>
        <w:t xml:space="preserve">Note: </w:t>
      </w:r>
    </w:p>
    <w:p w14:paraId="255F7424" w14:textId="77777777" w:rsidR="00C84318" w:rsidRPr="00C84318" w:rsidRDefault="00C84318" w:rsidP="00C84318">
      <w:pPr>
        <w:spacing w:before="20" w:after="20" w:line="180" w:lineRule="atLeast"/>
        <w:jc w:val="both"/>
        <w:rPr>
          <w:rFonts w:ascii="Franklin Gothic Book" w:eastAsia="Times New Roman" w:hAnsi="Franklin Gothic Book"/>
          <w:b/>
          <w:sz w:val="14"/>
          <w:szCs w:val="14"/>
        </w:rPr>
      </w:pPr>
      <w:r w:rsidRPr="00C84318">
        <w:rPr>
          <w:rFonts w:ascii="Franklin Gothic Book" w:eastAsia="Times New Roman" w:hAnsi="Franklin Gothic Book"/>
          <w:b/>
          <w:color w:val="72AF2F"/>
          <w:sz w:val="14"/>
          <w:szCs w:val="14"/>
        </w:rPr>
        <w:sym w:font="Webdings" w:char="F067"/>
      </w:r>
      <w:r w:rsidRPr="00C84318">
        <w:rPr>
          <w:rFonts w:ascii="Franklin Gothic Book" w:eastAsia="Times New Roman" w:hAnsi="Franklin Gothic Book"/>
          <w:b/>
          <w:sz w:val="14"/>
          <w:szCs w:val="14"/>
        </w:rPr>
        <w:t> </w:t>
      </w:r>
      <w:r w:rsidRPr="00C84318">
        <w:rPr>
          <w:rFonts w:ascii="Franklin Gothic Book" w:eastAsia="Times New Roman" w:hAnsi="Franklin Gothic Book"/>
          <w:b/>
          <w:sz w:val="14"/>
          <w:szCs w:val="14"/>
        </w:rPr>
        <w:t xml:space="preserve"> Achieved.  </w:t>
      </w:r>
      <w:r w:rsidRPr="00C84318">
        <w:rPr>
          <w:rFonts w:ascii="Franklin Gothic Book" w:eastAsia="Times New Roman" w:hAnsi="Franklin Gothic Book"/>
          <w:sz w:val="14"/>
          <w:szCs w:val="14"/>
        </w:rPr>
        <w:t>Significant progress has been made and the performance benchmark was achieved</w:t>
      </w:r>
      <w:r w:rsidRPr="00C84318">
        <w:rPr>
          <w:rFonts w:ascii="Franklin Gothic Book" w:eastAsia="Times New Roman" w:hAnsi="Franklin Gothic Book"/>
          <w:b/>
          <w:sz w:val="14"/>
          <w:szCs w:val="14"/>
        </w:rPr>
        <w:t xml:space="preserve"> </w:t>
      </w:r>
    </w:p>
    <w:p w14:paraId="59F75C2C" w14:textId="77777777" w:rsidR="00C84318" w:rsidRPr="00C84318" w:rsidRDefault="00C84318" w:rsidP="00C84318">
      <w:pPr>
        <w:spacing w:before="20" w:after="20" w:line="180" w:lineRule="atLeast"/>
        <w:jc w:val="both"/>
        <w:rPr>
          <w:rFonts w:ascii="Franklin Gothic Book" w:eastAsia="Times New Roman" w:hAnsi="Franklin Gothic Book"/>
          <w:sz w:val="14"/>
          <w:szCs w:val="14"/>
        </w:rPr>
      </w:pPr>
      <w:r w:rsidRPr="00C84318">
        <w:rPr>
          <w:rFonts w:ascii="Franklin Gothic Book" w:eastAsia="Times New Roman" w:hAnsi="Franklin Gothic Book"/>
          <w:b/>
          <w:color w:val="E36C0A"/>
          <w:sz w:val="14"/>
          <w:szCs w:val="14"/>
        </w:rPr>
        <w:sym w:font="Webdings" w:char="F067"/>
      </w:r>
      <w:r w:rsidRPr="00C84318">
        <w:rPr>
          <w:rFonts w:ascii="Franklin Gothic Book" w:eastAsia="Times New Roman" w:hAnsi="Franklin Gothic Book"/>
          <w:b/>
          <w:sz w:val="14"/>
          <w:szCs w:val="14"/>
        </w:rPr>
        <w:t> </w:t>
      </w:r>
      <w:r w:rsidRPr="00C84318">
        <w:rPr>
          <w:rFonts w:ascii="Franklin Gothic Book" w:eastAsia="Times New Roman" w:hAnsi="Franklin Gothic Book"/>
          <w:b/>
          <w:sz w:val="14"/>
          <w:szCs w:val="14"/>
        </w:rPr>
        <w:t xml:space="preserve"> Partly achieved.  </w:t>
      </w:r>
      <w:r w:rsidRPr="00C84318">
        <w:rPr>
          <w:rFonts w:ascii="Franklin Gothic Book" w:eastAsia="Times New Roman" w:hAnsi="Franklin Gothic Book"/>
          <w:sz w:val="14"/>
          <w:szCs w:val="14"/>
        </w:rPr>
        <w:t xml:space="preserve">Some progress has been made towards achieving the performance benchmark, but progress was less than anticipated. </w:t>
      </w:r>
    </w:p>
    <w:p w14:paraId="0197EEB0" w14:textId="77777777" w:rsidR="00C84318" w:rsidRPr="00C84318" w:rsidRDefault="00C84318" w:rsidP="00C84318">
      <w:pPr>
        <w:spacing w:before="20" w:after="20" w:line="180" w:lineRule="atLeast"/>
        <w:jc w:val="both"/>
        <w:rPr>
          <w:rFonts w:ascii="Franklin Gothic Book" w:eastAsia="Times New Roman" w:hAnsi="Franklin Gothic Book"/>
          <w:b/>
          <w:sz w:val="14"/>
          <w:szCs w:val="14"/>
        </w:rPr>
      </w:pPr>
      <w:r w:rsidRPr="00C84318">
        <w:rPr>
          <w:rFonts w:ascii="Franklin Gothic Book" w:eastAsia="Times New Roman" w:hAnsi="Franklin Gothic Book"/>
          <w:b/>
          <w:color w:val="FF0000"/>
          <w:sz w:val="14"/>
          <w:szCs w:val="14"/>
        </w:rPr>
        <w:sym w:font="Webdings" w:char="F067"/>
      </w:r>
      <w:r w:rsidRPr="00C84318">
        <w:rPr>
          <w:rFonts w:ascii="Franklin Gothic Book" w:eastAsia="Times New Roman" w:hAnsi="Franklin Gothic Book"/>
          <w:b/>
          <w:sz w:val="14"/>
          <w:szCs w:val="14"/>
        </w:rPr>
        <w:t> </w:t>
      </w:r>
      <w:r w:rsidRPr="00C84318">
        <w:rPr>
          <w:rFonts w:ascii="Franklin Gothic Book" w:eastAsia="Times New Roman" w:hAnsi="Franklin Gothic Book"/>
          <w:b/>
          <w:sz w:val="14"/>
          <w:szCs w:val="14"/>
        </w:rPr>
        <w:t xml:space="preserve"> Not achieved.</w:t>
      </w:r>
      <w:r w:rsidRPr="00C84318">
        <w:rPr>
          <w:rFonts w:ascii="Franklin Gothic Book" w:eastAsia="Times New Roman" w:hAnsi="Franklin Gothic Book"/>
          <w:sz w:val="14"/>
          <w:szCs w:val="14"/>
        </w:rPr>
        <w:t xml:space="preserve"> Progress towards the performance benchmark has been significantly below expectations</w:t>
      </w:r>
    </w:p>
    <w:p w14:paraId="1BF161F8" w14:textId="77777777" w:rsidR="00416B02" w:rsidRDefault="00416B02" w:rsidP="00416B02">
      <w:pPr>
        <w:pStyle w:val="BodyText"/>
      </w:pPr>
    </w:p>
    <w:p w14:paraId="1648359F" w14:textId="77777777" w:rsidR="00416B02" w:rsidRDefault="00416B02" w:rsidP="00416B02">
      <w:pPr>
        <w:spacing w:after="200" w:line="276" w:lineRule="auto"/>
      </w:pPr>
      <w:r>
        <w:br w:type="page"/>
      </w:r>
    </w:p>
    <w:p w14:paraId="6B3DD606" w14:textId="77777777" w:rsidR="00416B02" w:rsidRPr="00416B02" w:rsidRDefault="00416B02" w:rsidP="00416B02">
      <w:pPr>
        <w:pStyle w:val="BodyText"/>
        <w:sectPr w:rsidR="00416B02" w:rsidRPr="00416B02" w:rsidSect="000D733F">
          <w:headerReference w:type="even" r:id="rId17"/>
          <w:footerReference w:type="first" r:id="rId18"/>
          <w:footnotePr>
            <w:numRestart w:val="eachPage"/>
          </w:footnotePr>
          <w:type w:val="continuous"/>
          <w:pgSz w:w="16838" w:h="11906" w:orient="landscape" w:code="9"/>
          <w:pgMar w:top="1814" w:right="1814" w:bottom="851" w:left="851" w:header="709" w:footer="425" w:gutter="0"/>
          <w:cols w:space="708"/>
          <w:titlePg/>
          <w:docGrid w:linePitch="360"/>
        </w:sectPr>
      </w:pPr>
    </w:p>
    <w:bookmarkEnd w:id="2"/>
    <w:p w14:paraId="42EDF471" w14:textId="77777777" w:rsidR="00AC4026" w:rsidRPr="00AC4026" w:rsidRDefault="00AC4026" w:rsidP="00AC4026">
      <w:pPr>
        <w:keepNext/>
        <w:spacing w:before="360" w:after="120"/>
        <w:outlineLvl w:val="1"/>
        <w:rPr>
          <w:rFonts w:ascii="Helvetica" w:eastAsia="Times New Roman" w:hAnsi="Helvetica" w:cs="Arial"/>
          <w:color w:val="007FAD"/>
          <w:kern w:val="28"/>
          <w:sz w:val="28"/>
          <w:szCs w:val="28"/>
        </w:rPr>
      </w:pPr>
      <w:r w:rsidRPr="00AC4026">
        <w:rPr>
          <w:rFonts w:ascii="Helvetica" w:eastAsia="Times New Roman" w:hAnsi="Helvetica" w:cs="Arial"/>
          <w:color w:val="007FAD"/>
          <w:kern w:val="28"/>
          <w:sz w:val="28"/>
          <w:szCs w:val="28"/>
        </w:rPr>
        <w:lastRenderedPageBreak/>
        <w:t>Annex C - Evaluation and Review Pipeline Planning</w:t>
      </w:r>
    </w:p>
    <w:p w14:paraId="3DC761CD" w14:textId="77777777" w:rsidR="00AC4026" w:rsidRPr="00AC4026" w:rsidRDefault="00AC4026" w:rsidP="00AC4026">
      <w:pPr>
        <w:keepNext/>
        <w:numPr>
          <w:ilvl w:val="2"/>
          <w:numId w:val="0"/>
        </w:numPr>
        <w:spacing w:before="240" w:after="120"/>
        <w:outlineLvl w:val="2"/>
        <w:rPr>
          <w:rFonts w:ascii="Helvetica" w:eastAsia="Times New Roman" w:hAnsi="Helvetica" w:cs="Arial"/>
          <w:b/>
          <w:color w:val="124486"/>
          <w:kern w:val="28"/>
          <w:sz w:val="22"/>
          <w:szCs w:val="22"/>
          <w:lang w:eastAsia="zh-CN"/>
        </w:rPr>
      </w:pPr>
      <w:r w:rsidRPr="00AC4026">
        <w:rPr>
          <w:rFonts w:ascii="Helvetica" w:eastAsia="Times New Roman" w:hAnsi="Helvetica" w:cs="Arial"/>
          <w:b/>
          <w:color w:val="124486"/>
          <w:kern w:val="28"/>
          <w:sz w:val="22"/>
          <w:szCs w:val="22"/>
          <w:lang w:eastAsia="zh-CN"/>
        </w:rPr>
        <w:t xml:space="preserve">List of evaluations completed in the reporting period </w:t>
      </w:r>
    </w:p>
    <w:tbl>
      <w:tblPr>
        <w:tblStyle w:val="APPR2"/>
        <w:tblW w:w="0" w:type="auto"/>
        <w:tblLook w:val="04A0" w:firstRow="1" w:lastRow="0" w:firstColumn="1" w:lastColumn="0" w:noHBand="0" w:noVBand="1"/>
      </w:tblPr>
      <w:tblGrid>
        <w:gridCol w:w="2404"/>
        <w:gridCol w:w="1701"/>
        <w:gridCol w:w="1859"/>
        <w:gridCol w:w="1967"/>
        <w:gridCol w:w="1949"/>
        <w:gridCol w:w="1771"/>
        <w:gridCol w:w="1545"/>
      </w:tblGrid>
      <w:tr w:rsidR="00AC4026" w:rsidRPr="00AC4026" w14:paraId="6DE5C5BC" w14:textId="77777777" w:rsidTr="00CA7B03">
        <w:trPr>
          <w:cnfStyle w:val="100000000000" w:firstRow="1" w:lastRow="0" w:firstColumn="0" w:lastColumn="0" w:oddVBand="0" w:evenVBand="0" w:oddHBand="0" w:evenHBand="0" w:firstRowFirstColumn="0" w:firstRowLastColumn="0" w:lastRowFirstColumn="0" w:lastRowLastColumn="0"/>
        </w:trPr>
        <w:tc>
          <w:tcPr>
            <w:tcW w:w="2362" w:type="dxa"/>
          </w:tcPr>
          <w:p w14:paraId="24FFCBA4" w14:textId="77777777" w:rsidR="00AC4026" w:rsidRPr="00AC4026" w:rsidRDefault="00AC4026" w:rsidP="00AC4026">
            <w:pPr>
              <w:keepLines/>
              <w:spacing w:before="80" w:after="80" w:line="200" w:lineRule="atLeast"/>
              <w:rPr>
                <w:rFonts w:ascii="Franklin Gothic Medium" w:eastAsia="Times New Roman" w:hAnsi="Franklin Gothic Medium"/>
                <w:iCs/>
                <w:sz w:val="17"/>
                <w:szCs w:val="17"/>
                <w:lang w:eastAsia="en-US"/>
              </w:rPr>
            </w:pPr>
            <w:r w:rsidRPr="00AC4026">
              <w:rPr>
                <w:rFonts w:ascii="Franklin Gothic Medium" w:eastAsia="Times New Roman" w:hAnsi="Franklin Gothic Medium"/>
                <w:iCs/>
                <w:sz w:val="17"/>
                <w:szCs w:val="17"/>
                <w:lang w:eastAsia="en-US"/>
              </w:rPr>
              <w:t>Name of Investment</w:t>
            </w:r>
          </w:p>
        </w:tc>
        <w:tc>
          <w:tcPr>
            <w:tcW w:w="1673" w:type="dxa"/>
          </w:tcPr>
          <w:p w14:paraId="04342813" w14:textId="77777777" w:rsidR="00AC4026" w:rsidRPr="00AC4026" w:rsidRDefault="00AC4026" w:rsidP="00AC4026">
            <w:pPr>
              <w:keepLines/>
              <w:spacing w:before="80" w:after="80" w:line="200" w:lineRule="atLeast"/>
              <w:rPr>
                <w:rFonts w:ascii="Franklin Gothic Medium" w:eastAsia="Times New Roman" w:hAnsi="Franklin Gothic Medium"/>
                <w:iCs/>
                <w:sz w:val="17"/>
                <w:szCs w:val="17"/>
                <w:lang w:eastAsia="en-US"/>
              </w:rPr>
            </w:pPr>
            <w:r w:rsidRPr="00AC4026">
              <w:rPr>
                <w:rFonts w:ascii="Franklin Gothic Medium" w:eastAsia="Times New Roman" w:hAnsi="Franklin Gothic Medium"/>
                <w:iCs/>
                <w:sz w:val="17"/>
                <w:szCs w:val="17"/>
                <w:lang w:eastAsia="en-US"/>
              </w:rPr>
              <w:t>AidWorks number</w:t>
            </w:r>
          </w:p>
        </w:tc>
        <w:tc>
          <w:tcPr>
            <w:tcW w:w="1831" w:type="dxa"/>
          </w:tcPr>
          <w:p w14:paraId="5FF21E0B" w14:textId="77777777" w:rsidR="00AC4026" w:rsidRPr="00AC4026" w:rsidRDefault="00AC4026" w:rsidP="00AC4026">
            <w:pPr>
              <w:keepLines/>
              <w:spacing w:before="80" w:after="80" w:line="200" w:lineRule="atLeast"/>
              <w:rPr>
                <w:rFonts w:ascii="Franklin Gothic Medium" w:eastAsia="Times New Roman" w:hAnsi="Franklin Gothic Medium"/>
                <w:iCs/>
                <w:sz w:val="17"/>
                <w:szCs w:val="17"/>
                <w:lang w:eastAsia="en-US"/>
              </w:rPr>
            </w:pPr>
            <w:r w:rsidRPr="00AC4026">
              <w:rPr>
                <w:rFonts w:ascii="Franklin Gothic Medium" w:eastAsia="Times New Roman" w:hAnsi="Franklin Gothic Medium"/>
                <w:iCs/>
                <w:sz w:val="17"/>
                <w:szCs w:val="17"/>
                <w:lang w:eastAsia="en-US"/>
              </w:rPr>
              <w:t>Name of evaluation</w:t>
            </w:r>
          </w:p>
        </w:tc>
        <w:tc>
          <w:tcPr>
            <w:tcW w:w="1939" w:type="dxa"/>
          </w:tcPr>
          <w:p w14:paraId="66776E3A" w14:textId="77777777" w:rsidR="00AC4026" w:rsidRPr="00AC4026" w:rsidRDefault="00AC4026" w:rsidP="00AC4026">
            <w:pPr>
              <w:keepLines/>
              <w:spacing w:before="80" w:after="80" w:line="200" w:lineRule="atLeast"/>
              <w:rPr>
                <w:rFonts w:ascii="Franklin Gothic Medium" w:eastAsia="Times New Roman" w:hAnsi="Franklin Gothic Medium"/>
                <w:iCs/>
                <w:sz w:val="17"/>
                <w:szCs w:val="17"/>
                <w:lang w:eastAsia="en-US"/>
              </w:rPr>
            </w:pPr>
            <w:r w:rsidRPr="00AC4026">
              <w:rPr>
                <w:rFonts w:ascii="Franklin Gothic Medium" w:eastAsia="Times New Roman" w:hAnsi="Franklin Gothic Medium"/>
                <w:iCs/>
                <w:sz w:val="17"/>
                <w:szCs w:val="17"/>
                <w:lang w:eastAsia="en-US"/>
              </w:rPr>
              <w:t>Date finalised</w:t>
            </w:r>
          </w:p>
        </w:tc>
        <w:tc>
          <w:tcPr>
            <w:tcW w:w="1921" w:type="dxa"/>
          </w:tcPr>
          <w:p w14:paraId="0ECC85EF" w14:textId="77777777" w:rsidR="00AC4026" w:rsidRPr="00AC4026" w:rsidRDefault="00AC4026" w:rsidP="00AC4026">
            <w:pPr>
              <w:keepLines/>
              <w:spacing w:before="80" w:after="80" w:line="200" w:lineRule="atLeast"/>
              <w:rPr>
                <w:rFonts w:ascii="Franklin Gothic Medium" w:eastAsia="Times New Roman" w:hAnsi="Franklin Gothic Medium"/>
                <w:iCs/>
                <w:sz w:val="17"/>
                <w:szCs w:val="17"/>
                <w:lang w:eastAsia="en-US"/>
              </w:rPr>
            </w:pPr>
            <w:r w:rsidRPr="00AC4026">
              <w:rPr>
                <w:rFonts w:ascii="Franklin Gothic Medium" w:eastAsia="Times New Roman" w:hAnsi="Franklin Gothic Medium"/>
                <w:iCs/>
                <w:sz w:val="17"/>
                <w:szCs w:val="17"/>
                <w:lang w:eastAsia="en-US"/>
              </w:rPr>
              <w:t>Date Evaluation report Uploaded into AidWorks</w:t>
            </w:r>
          </w:p>
        </w:tc>
        <w:tc>
          <w:tcPr>
            <w:tcW w:w="1743" w:type="dxa"/>
          </w:tcPr>
          <w:p w14:paraId="573AD3A7" w14:textId="77777777" w:rsidR="00AC4026" w:rsidRPr="00AC4026" w:rsidRDefault="00AC4026" w:rsidP="00AC4026">
            <w:pPr>
              <w:keepLines/>
              <w:spacing w:before="80" w:after="80" w:line="200" w:lineRule="atLeast"/>
              <w:rPr>
                <w:rFonts w:ascii="Franklin Gothic Medium" w:eastAsia="Times New Roman" w:hAnsi="Franklin Gothic Medium"/>
                <w:iCs/>
                <w:sz w:val="17"/>
                <w:szCs w:val="17"/>
                <w:lang w:eastAsia="en-US"/>
              </w:rPr>
            </w:pPr>
            <w:r w:rsidRPr="00AC4026">
              <w:rPr>
                <w:rFonts w:ascii="Franklin Gothic Medium" w:eastAsia="Times New Roman" w:hAnsi="Franklin Gothic Medium"/>
                <w:iCs/>
                <w:sz w:val="17"/>
                <w:szCs w:val="17"/>
                <w:lang w:eastAsia="en-US"/>
              </w:rPr>
              <w:t>Date Management response uploaded into AidWorks</w:t>
            </w:r>
          </w:p>
        </w:tc>
        <w:tc>
          <w:tcPr>
            <w:tcW w:w="1503" w:type="dxa"/>
          </w:tcPr>
          <w:p w14:paraId="06D67F7E" w14:textId="77777777" w:rsidR="00AC4026" w:rsidRPr="00AC4026" w:rsidRDefault="00AC4026" w:rsidP="00AC4026">
            <w:pPr>
              <w:keepLines/>
              <w:spacing w:before="80" w:after="80" w:line="200" w:lineRule="atLeast"/>
              <w:rPr>
                <w:rFonts w:ascii="Franklin Gothic Medium" w:eastAsia="Times New Roman" w:hAnsi="Franklin Gothic Medium"/>
                <w:iCs/>
                <w:sz w:val="17"/>
                <w:szCs w:val="17"/>
                <w:lang w:eastAsia="en-US"/>
              </w:rPr>
            </w:pPr>
            <w:r w:rsidRPr="00AC4026">
              <w:rPr>
                <w:rFonts w:ascii="Franklin Gothic Medium" w:eastAsia="Times New Roman" w:hAnsi="Franklin Gothic Medium"/>
                <w:iCs/>
                <w:sz w:val="17"/>
                <w:szCs w:val="17"/>
                <w:lang w:eastAsia="en-US"/>
              </w:rPr>
              <w:t>Published on website</w:t>
            </w:r>
          </w:p>
        </w:tc>
      </w:tr>
      <w:tr w:rsidR="00E21200" w:rsidRPr="00AC4026" w14:paraId="2E833B1D" w14:textId="77777777" w:rsidTr="00CA7B03">
        <w:trPr>
          <w:cnfStyle w:val="100000000000" w:firstRow="1" w:lastRow="0" w:firstColumn="0" w:lastColumn="0" w:oddVBand="0" w:evenVBand="0" w:oddHBand="0" w:evenHBand="0" w:firstRowFirstColumn="0" w:firstRowLastColumn="0" w:lastRowFirstColumn="0" w:lastRowLastColumn="0"/>
        </w:trPr>
        <w:tc>
          <w:tcPr>
            <w:tcW w:w="2362" w:type="dxa"/>
          </w:tcPr>
          <w:p w14:paraId="22DFA9A5" w14:textId="77777777" w:rsidR="00E21200" w:rsidRPr="00AC4026" w:rsidRDefault="00E21200"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BRAC Strategic Partnership Arrangement</w:t>
            </w:r>
          </w:p>
        </w:tc>
        <w:tc>
          <w:tcPr>
            <w:tcW w:w="1673" w:type="dxa"/>
          </w:tcPr>
          <w:p w14:paraId="797BEB97" w14:textId="77777777"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sidRPr="00AC4026">
              <w:rPr>
                <w:rFonts w:ascii="Franklin Gothic Book" w:eastAsia="Times New Roman" w:hAnsi="Franklin Gothic Book"/>
                <w:b w:val="0"/>
                <w:iCs/>
                <w:sz w:val="17"/>
                <w:szCs w:val="17"/>
                <w:lang w:eastAsia="en-US"/>
              </w:rPr>
              <w:t>INJ597</w:t>
            </w:r>
          </w:p>
        </w:tc>
        <w:tc>
          <w:tcPr>
            <w:tcW w:w="1831" w:type="dxa"/>
          </w:tcPr>
          <w:p w14:paraId="2209F917" w14:textId="50186482"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sidRPr="00AC4026">
              <w:rPr>
                <w:rFonts w:ascii="Franklin Gothic Book" w:eastAsia="Times New Roman" w:hAnsi="Franklin Gothic Book"/>
                <w:b w:val="0"/>
                <w:iCs/>
                <w:sz w:val="17"/>
                <w:szCs w:val="17"/>
                <w:lang w:eastAsia="en-US"/>
              </w:rPr>
              <w:t>Mid Term Review-</w:t>
            </w:r>
          </w:p>
        </w:tc>
        <w:tc>
          <w:tcPr>
            <w:tcW w:w="1939" w:type="dxa"/>
          </w:tcPr>
          <w:p w14:paraId="73A5BD4C" w14:textId="24C0E7A2"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Pr>
                <w:rFonts w:ascii="Franklin Gothic Book" w:eastAsia="Times New Roman" w:hAnsi="Franklin Gothic Book"/>
                <w:b w:val="0"/>
                <w:iCs/>
                <w:sz w:val="17"/>
                <w:szCs w:val="17"/>
                <w:lang w:eastAsia="en-US"/>
              </w:rPr>
              <w:t>August 2014</w:t>
            </w:r>
          </w:p>
        </w:tc>
        <w:tc>
          <w:tcPr>
            <w:tcW w:w="1921" w:type="dxa"/>
          </w:tcPr>
          <w:p w14:paraId="385BF390" w14:textId="1782FDD5"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Pr>
                <w:rFonts w:ascii="Franklin Gothic Book" w:eastAsia="Times New Roman" w:hAnsi="Franklin Gothic Book"/>
                <w:b w:val="0"/>
                <w:iCs/>
                <w:sz w:val="17"/>
                <w:szCs w:val="17"/>
                <w:lang w:eastAsia="en-US"/>
              </w:rPr>
              <w:t>June 2015</w:t>
            </w:r>
          </w:p>
        </w:tc>
        <w:tc>
          <w:tcPr>
            <w:tcW w:w="1743" w:type="dxa"/>
          </w:tcPr>
          <w:p w14:paraId="3A9BA4F8" w14:textId="77777777"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sidRPr="00AC4026">
              <w:rPr>
                <w:rFonts w:ascii="Franklin Gothic Book" w:eastAsia="Times New Roman" w:hAnsi="Franklin Gothic Book"/>
                <w:b w:val="0"/>
                <w:iCs/>
                <w:sz w:val="17"/>
                <w:szCs w:val="17"/>
                <w:lang w:eastAsia="en-US"/>
              </w:rPr>
              <w:t>No</w:t>
            </w:r>
          </w:p>
        </w:tc>
        <w:tc>
          <w:tcPr>
            <w:tcW w:w="1503" w:type="dxa"/>
          </w:tcPr>
          <w:p w14:paraId="001486C7" w14:textId="77777777"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sidRPr="00AC4026">
              <w:rPr>
                <w:rFonts w:ascii="Franklin Gothic Book" w:eastAsia="Times New Roman" w:hAnsi="Franklin Gothic Book"/>
                <w:b w:val="0"/>
                <w:iCs/>
                <w:sz w:val="17"/>
                <w:szCs w:val="17"/>
                <w:lang w:eastAsia="en-US"/>
              </w:rPr>
              <w:t>No</w:t>
            </w:r>
          </w:p>
        </w:tc>
      </w:tr>
      <w:tr w:rsidR="00E21200" w:rsidRPr="00AC4026" w14:paraId="59762244" w14:textId="77777777" w:rsidTr="00CA7B03">
        <w:trPr>
          <w:cnfStyle w:val="100000000000" w:firstRow="1" w:lastRow="0" w:firstColumn="0" w:lastColumn="0" w:oddVBand="0" w:evenVBand="0" w:oddHBand="0" w:evenHBand="0" w:firstRowFirstColumn="0" w:firstRowLastColumn="0" w:lastRowFirstColumn="0" w:lastRowLastColumn="0"/>
        </w:trPr>
        <w:tc>
          <w:tcPr>
            <w:tcW w:w="2362" w:type="dxa"/>
          </w:tcPr>
          <w:p w14:paraId="7B7F9190" w14:textId="77777777" w:rsidR="00E21200" w:rsidRPr="00AC4026" w:rsidRDefault="00E21200"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Core Support to icddr’b for 2010/11- 2013/14</w:t>
            </w:r>
          </w:p>
        </w:tc>
        <w:tc>
          <w:tcPr>
            <w:tcW w:w="1673" w:type="dxa"/>
          </w:tcPr>
          <w:p w14:paraId="68003A78" w14:textId="77777777"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sidRPr="00AC4026">
              <w:rPr>
                <w:rFonts w:ascii="Franklin Gothic Book" w:eastAsia="Times New Roman" w:hAnsi="Franklin Gothic Book"/>
                <w:b w:val="0"/>
                <w:iCs/>
                <w:sz w:val="17"/>
                <w:szCs w:val="17"/>
                <w:lang w:eastAsia="en-US"/>
              </w:rPr>
              <w:t>INJ580</w:t>
            </w:r>
          </w:p>
        </w:tc>
        <w:tc>
          <w:tcPr>
            <w:tcW w:w="1831" w:type="dxa"/>
          </w:tcPr>
          <w:p w14:paraId="6BD002DB" w14:textId="77777777"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sidRPr="00AC4026">
              <w:rPr>
                <w:rFonts w:ascii="Franklin Gothic Book" w:eastAsia="Times New Roman" w:hAnsi="Franklin Gothic Book"/>
                <w:b w:val="0"/>
                <w:iCs/>
                <w:sz w:val="17"/>
                <w:szCs w:val="17"/>
                <w:lang w:eastAsia="en-US"/>
              </w:rPr>
              <w:t xml:space="preserve">Core icddr’b Annual Review </w:t>
            </w:r>
          </w:p>
        </w:tc>
        <w:tc>
          <w:tcPr>
            <w:tcW w:w="1939" w:type="dxa"/>
          </w:tcPr>
          <w:p w14:paraId="260A6FAA" w14:textId="17508EE7"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Pr>
                <w:rFonts w:ascii="Franklin Gothic Book" w:eastAsia="Times New Roman" w:hAnsi="Franklin Gothic Book"/>
                <w:b w:val="0"/>
                <w:iCs/>
                <w:sz w:val="17"/>
                <w:szCs w:val="17"/>
                <w:lang w:eastAsia="en-US"/>
              </w:rPr>
              <w:t>August 2014</w:t>
            </w:r>
          </w:p>
        </w:tc>
        <w:tc>
          <w:tcPr>
            <w:tcW w:w="1921" w:type="dxa"/>
          </w:tcPr>
          <w:p w14:paraId="796A9A01" w14:textId="0886E214"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Pr>
                <w:rFonts w:ascii="Franklin Gothic Book" w:eastAsia="Times New Roman" w:hAnsi="Franklin Gothic Book"/>
                <w:b w:val="0"/>
                <w:iCs/>
                <w:sz w:val="17"/>
                <w:szCs w:val="17"/>
                <w:lang w:eastAsia="en-US"/>
              </w:rPr>
              <w:t>September 2015</w:t>
            </w:r>
          </w:p>
        </w:tc>
        <w:tc>
          <w:tcPr>
            <w:tcW w:w="1743" w:type="dxa"/>
          </w:tcPr>
          <w:p w14:paraId="09A322FC" w14:textId="77777777"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sidRPr="00AC4026">
              <w:rPr>
                <w:rFonts w:ascii="Franklin Gothic Book" w:eastAsia="Times New Roman" w:hAnsi="Franklin Gothic Book"/>
                <w:b w:val="0"/>
                <w:iCs/>
                <w:sz w:val="17"/>
                <w:szCs w:val="17"/>
                <w:lang w:eastAsia="en-US"/>
              </w:rPr>
              <w:t>No</w:t>
            </w:r>
          </w:p>
        </w:tc>
        <w:tc>
          <w:tcPr>
            <w:tcW w:w="1503" w:type="dxa"/>
          </w:tcPr>
          <w:p w14:paraId="5281D285" w14:textId="77777777"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sidRPr="00AC4026">
              <w:rPr>
                <w:rFonts w:ascii="Franklin Gothic Book" w:eastAsia="Times New Roman" w:hAnsi="Franklin Gothic Book"/>
                <w:b w:val="0"/>
                <w:iCs/>
                <w:sz w:val="17"/>
                <w:szCs w:val="17"/>
                <w:lang w:eastAsia="en-US"/>
              </w:rPr>
              <w:t>No</w:t>
            </w:r>
          </w:p>
        </w:tc>
      </w:tr>
      <w:tr w:rsidR="00E21200" w:rsidRPr="00AC4026" w14:paraId="701F5B28" w14:textId="77777777" w:rsidTr="00CA7B03">
        <w:trPr>
          <w:cnfStyle w:val="100000000000" w:firstRow="1" w:lastRow="0" w:firstColumn="0" w:lastColumn="0" w:oddVBand="0" w:evenVBand="0" w:oddHBand="0" w:evenHBand="0" w:firstRowFirstColumn="0" w:firstRowLastColumn="0" w:lastRowFirstColumn="0" w:lastRowLastColumn="0"/>
        </w:trPr>
        <w:tc>
          <w:tcPr>
            <w:tcW w:w="2362" w:type="dxa"/>
          </w:tcPr>
          <w:p w14:paraId="2FEB44C6" w14:textId="2AA0E713" w:rsidR="00E21200" w:rsidRPr="00AC4026" w:rsidRDefault="00E21200"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 xml:space="preserve">Support to </w:t>
            </w:r>
            <w:r>
              <w:rPr>
                <w:rFonts w:ascii="Franklin Gothic Book" w:eastAsia="Times New Roman" w:hAnsi="Franklin Gothic Book"/>
                <w:iCs/>
                <w:sz w:val="17"/>
                <w:szCs w:val="17"/>
                <w:lang w:eastAsia="en-US"/>
              </w:rPr>
              <w:t>Primary Education Development Program (</w:t>
            </w:r>
            <w:r w:rsidRPr="00AC4026">
              <w:rPr>
                <w:rFonts w:ascii="Franklin Gothic Book" w:eastAsia="Times New Roman" w:hAnsi="Franklin Gothic Book"/>
                <w:iCs/>
                <w:sz w:val="17"/>
                <w:szCs w:val="17"/>
                <w:lang w:eastAsia="en-US"/>
              </w:rPr>
              <w:t>PEDP3</w:t>
            </w:r>
            <w:r>
              <w:rPr>
                <w:rFonts w:ascii="Franklin Gothic Book" w:eastAsia="Times New Roman" w:hAnsi="Franklin Gothic Book"/>
                <w:iCs/>
                <w:sz w:val="17"/>
                <w:szCs w:val="17"/>
                <w:lang w:eastAsia="en-US"/>
              </w:rPr>
              <w:t>)</w:t>
            </w:r>
          </w:p>
        </w:tc>
        <w:tc>
          <w:tcPr>
            <w:tcW w:w="1673" w:type="dxa"/>
          </w:tcPr>
          <w:p w14:paraId="6FBA31F9" w14:textId="77777777"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sidRPr="00AC4026">
              <w:rPr>
                <w:rFonts w:ascii="Franklin Gothic Book" w:eastAsia="Times New Roman" w:hAnsi="Franklin Gothic Book"/>
                <w:b w:val="0"/>
                <w:iCs/>
                <w:sz w:val="17"/>
                <w:szCs w:val="17"/>
                <w:lang w:eastAsia="en-US"/>
              </w:rPr>
              <w:t>INJ957</w:t>
            </w:r>
          </w:p>
        </w:tc>
        <w:tc>
          <w:tcPr>
            <w:tcW w:w="1831" w:type="dxa"/>
          </w:tcPr>
          <w:p w14:paraId="551C19B0" w14:textId="77777777"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sidRPr="00AC4026">
              <w:rPr>
                <w:rFonts w:ascii="Franklin Gothic Book" w:eastAsia="Times New Roman" w:hAnsi="Franklin Gothic Book"/>
                <w:b w:val="0"/>
                <w:iCs/>
                <w:sz w:val="17"/>
                <w:szCs w:val="17"/>
                <w:lang w:eastAsia="en-US"/>
              </w:rPr>
              <w:t>Mid Term Review</w:t>
            </w:r>
          </w:p>
        </w:tc>
        <w:tc>
          <w:tcPr>
            <w:tcW w:w="1939" w:type="dxa"/>
          </w:tcPr>
          <w:p w14:paraId="32125512" w14:textId="399BC88C"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Pr>
                <w:rFonts w:ascii="Franklin Gothic Book" w:eastAsia="Times New Roman" w:hAnsi="Franklin Gothic Book"/>
                <w:b w:val="0"/>
                <w:iCs/>
                <w:sz w:val="17"/>
                <w:szCs w:val="17"/>
                <w:lang w:eastAsia="en-US"/>
              </w:rPr>
              <w:t>July 2015</w:t>
            </w:r>
          </w:p>
        </w:tc>
        <w:tc>
          <w:tcPr>
            <w:tcW w:w="1921" w:type="dxa"/>
          </w:tcPr>
          <w:p w14:paraId="04566F1B" w14:textId="28696DF0"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Pr>
                <w:rFonts w:ascii="Franklin Gothic Book" w:eastAsia="Times New Roman" w:hAnsi="Franklin Gothic Book"/>
                <w:b w:val="0"/>
                <w:iCs/>
                <w:sz w:val="17"/>
                <w:szCs w:val="17"/>
                <w:lang w:eastAsia="en-US"/>
              </w:rPr>
              <w:t>September 2015</w:t>
            </w:r>
          </w:p>
        </w:tc>
        <w:tc>
          <w:tcPr>
            <w:tcW w:w="1743" w:type="dxa"/>
          </w:tcPr>
          <w:p w14:paraId="02F110F1" w14:textId="77777777"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sidRPr="00AC4026">
              <w:rPr>
                <w:rFonts w:ascii="Franklin Gothic Book" w:eastAsia="Times New Roman" w:hAnsi="Franklin Gothic Book"/>
                <w:b w:val="0"/>
                <w:iCs/>
                <w:sz w:val="17"/>
                <w:szCs w:val="17"/>
                <w:lang w:eastAsia="en-US"/>
              </w:rPr>
              <w:t>No</w:t>
            </w:r>
          </w:p>
        </w:tc>
        <w:tc>
          <w:tcPr>
            <w:tcW w:w="1503" w:type="dxa"/>
          </w:tcPr>
          <w:p w14:paraId="75238E84" w14:textId="77777777"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sidRPr="00AC4026">
              <w:rPr>
                <w:rFonts w:ascii="Franklin Gothic Book" w:eastAsia="Times New Roman" w:hAnsi="Franklin Gothic Book"/>
                <w:b w:val="0"/>
                <w:iCs/>
                <w:sz w:val="17"/>
                <w:szCs w:val="17"/>
                <w:lang w:eastAsia="en-US"/>
              </w:rPr>
              <w:t>No</w:t>
            </w:r>
          </w:p>
        </w:tc>
      </w:tr>
      <w:tr w:rsidR="00E21200" w:rsidRPr="00AC4026" w14:paraId="75E7F5DC" w14:textId="77777777" w:rsidTr="00CA7B03">
        <w:trPr>
          <w:cnfStyle w:val="100000000000" w:firstRow="1" w:lastRow="0" w:firstColumn="0" w:lastColumn="0" w:oddVBand="0" w:evenVBand="0" w:oddHBand="0" w:evenHBand="0" w:firstRowFirstColumn="0" w:firstRowLastColumn="0" w:lastRowFirstColumn="0" w:lastRowLastColumn="0"/>
        </w:trPr>
        <w:tc>
          <w:tcPr>
            <w:tcW w:w="2362" w:type="dxa"/>
          </w:tcPr>
          <w:p w14:paraId="7DF91260" w14:textId="77777777" w:rsidR="00E21200" w:rsidRPr="00AC4026" w:rsidRDefault="00E21200"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Strengthening Government Social Protection Systems for the Poor (SGSP)</w:t>
            </w:r>
          </w:p>
        </w:tc>
        <w:tc>
          <w:tcPr>
            <w:tcW w:w="1673" w:type="dxa"/>
          </w:tcPr>
          <w:p w14:paraId="5742EF06" w14:textId="77777777"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sidRPr="00AC4026">
              <w:rPr>
                <w:rFonts w:ascii="Franklin Gothic Book" w:eastAsia="Times New Roman" w:hAnsi="Franklin Gothic Book"/>
                <w:b w:val="0"/>
                <w:iCs/>
                <w:sz w:val="17"/>
                <w:szCs w:val="17"/>
                <w:lang w:eastAsia="en-US"/>
              </w:rPr>
              <w:t>INL234</w:t>
            </w:r>
          </w:p>
        </w:tc>
        <w:tc>
          <w:tcPr>
            <w:tcW w:w="1831" w:type="dxa"/>
          </w:tcPr>
          <w:p w14:paraId="3DD8A6A6" w14:textId="77777777"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sidRPr="00AC4026">
              <w:rPr>
                <w:rFonts w:ascii="Franklin Gothic Book" w:eastAsia="Times New Roman" w:hAnsi="Franklin Gothic Book"/>
                <w:b w:val="0"/>
                <w:iCs/>
                <w:sz w:val="17"/>
                <w:szCs w:val="17"/>
                <w:lang w:eastAsia="en-US"/>
              </w:rPr>
              <w:t>Annual Review</w:t>
            </w:r>
          </w:p>
        </w:tc>
        <w:tc>
          <w:tcPr>
            <w:tcW w:w="1939" w:type="dxa"/>
          </w:tcPr>
          <w:p w14:paraId="3B7E169B" w14:textId="6FAB6A2C"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Pr>
                <w:rFonts w:ascii="Franklin Gothic Book" w:eastAsia="Times New Roman" w:hAnsi="Franklin Gothic Book"/>
                <w:b w:val="0"/>
                <w:iCs/>
                <w:sz w:val="17"/>
                <w:szCs w:val="17"/>
                <w:lang w:eastAsia="en-US"/>
              </w:rPr>
              <w:t>August 2014</w:t>
            </w:r>
          </w:p>
        </w:tc>
        <w:tc>
          <w:tcPr>
            <w:tcW w:w="1921" w:type="dxa"/>
          </w:tcPr>
          <w:p w14:paraId="6F360C27" w14:textId="1E151FF5"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Pr>
                <w:rFonts w:ascii="Franklin Gothic Book" w:eastAsia="Times New Roman" w:hAnsi="Franklin Gothic Book"/>
                <w:b w:val="0"/>
                <w:iCs/>
                <w:sz w:val="17"/>
                <w:szCs w:val="17"/>
                <w:lang w:eastAsia="en-US"/>
              </w:rPr>
              <w:t>June 2015</w:t>
            </w:r>
          </w:p>
        </w:tc>
        <w:tc>
          <w:tcPr>
            <w:tcW w:w="1743" w:type="dxa"/>
          </w:tcPr>
          <w:p w14:paraId="077D17D4" w14:textId="77777777"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sidRPr="00AC4026">
              <w:rPr>
                <w:rFonts w:ascii="Franklin Gothic Book" w:eastAsia="Times New Roman" w:hAnsi="Franklin Gothic Book"/>
                <w:b w:val="0"/>
                <w:iCs/>
                <w:sz w:val="17"/>
                <w:szCs w:val="17"/>
                <w:lang w:eastAsia="en-US"/>
              </w:rPr>
              <w:t>No</w:t>
            </w:r>
          </w:p>
        </w:tc>
        <w:tc>
          <w:tcPr>
            <w:tcW w:w="1503" w:type="dxa"/>
          </w:tcPr>
          <w:p w14:paraId="6507C39B" w14:textId="77777777"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sidRPr="00AC4026">
              <w:rPr>
                <w:rFonts w:ascii="Franklin Gothic Book" w:eastAsia="Times New Roman" w:hAnsi="Franklin Gothic Book"/>
                <w:b w:val="0"/>
                <w:iCs/>
                <w:sz w:val="17"/>
                <w:szCs w:val="17"/>
                <w:lang w:eastAsia="en-US"/>
              </w:rPr>
              <w:t>No</w:t>
            </w:r>
          </w:p>
        </w:tc>
      </w:tr>
      <w:tr w:rsidR="00E21200" w:rsidRPr="00AC4026" w14:paraId="347CD491" w14:textId="77777777" w:rsidTr="00CA7B03">
        <w:trPr>
          <w:cnfStyle w:val="100000000000" w:firstRow="1" w:lastRow="0" w:firstColumn="0" w:lastColumn="0" w:oddVBand="0" w:evenVBand="0" w:oddHBand="0" w:evenHBand="0" w:firstRowFirstColumn="0" w:firstRowLastColumn="0" w:lastRowFirstColumn="0" w:lastRowLastColumn="0"/>
        </w:trPr>
        <w:tc>
          <w:tcPr>
            <w:tcW w:w="2362" w:type="dxa"/>
          </w:tcPr>
          <w:p w14:paraId="5ECFEFFB" w14:textId="77777777" w:rsidR="00E21200" w:rsidRPr="00AC4026" w:rsidRDefault="00E21200"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 xml:space="preserve">Chars Livelihoods Program </w:t>
            </w:r>
          </w:p>
        </w:tc>
        <w:tc>
          <w:tcPr>
            <w:tcW w:w="1673" w:type="dxa"/>
          </w:tcPr>
          <w:p w14:paraId="6A366226" w14:textId="77777777"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sidRPr="00AC4026">
              <w:rPr>
                <w:rFonts w:ascii="Franklin Gothic Book" w:eastAsia="Times New Roman" w:hAnsi="Franklin Gothic Book"/>
                <w:b w:val="0"/>
                <w:iCs/>
                <w:sz w:val="17"/>
                <w:szCs w:val="17"/>
                <w:lang w:eastAsia="en-US"/>
              </w:rPr>
              <w:t>INL234</w:t>
            </w:r>
          </w:p>
        </w:tc>
        <w:tc>
          <w:tcPr>
            <w:tcW w:w="1831" w:type="dxa"/>
          </w:tcPr>
          <w:p w14:paraId="43603035" w14:textId="77777777"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sidRPr="00AC4026">
              <w:rPr>
                <w:rFonts w:ascii="Franklin Gothic Book" w:eastAsia="Times New Roman" w:hAnsi="Franklin Gothic Book"/>
                <w:b w:val="0"/>
                <w:iCs/>
                <w:sz w:val="17"/>
                <w:szCs w:val="17"/>
                <w:lang w:eastAsia="en-US"/>
              </w:rPr>
              <w:t>Annual Review</w:t>
            </w:r>
          </w:p>
        </w:tc>
        <w:tc>
          <w:tcPr>
            <w:tcW w:w="1939" w:type="dxa"/>
          </w:tcPr>
          <w:p w14:paraId="5C264A60" w14:textId="2B77CB27"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Pr>
                <w:rFonts w:ascii="Franklin Gothic Book" w:eastAsia="Times New Roman" w:hAnsi="Franklin Gothic Book"/>
                <w:b w:val="0"/>
                <w:iCs/>
                <w:sz w:val="17"/>
                <w:szCs w:val="17"/>
                <w:lang w:eastAsia="en-US"/>
              </w:rPr>
              <w:t>February 2015</w:t>
            </w:r>
          </w:p>
        </w:tc>
        <w:tc>
          <w:tcPr>
            <w:tcW w:w="1921" w:type="dxa"/>
          </w:tcPr>
          <w:p w14:paraId="44003F02" w14:textId="52D4BAE6"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Pr>
                <w:rFonts w:ascii="Franklin Gothic Book" w:eastAsia="Times New Roman" w:hAnsi="Franklin Gothic Book"/>
                <w:b w:val="0"/>
                <w:iCs/>
                <w:sz w:val="17"/>
                <w:szCs w:val="17"/>
                <w:lang w:eastAsia="en-US"/>
              </w:rPr>
              <w:t>September 2015</w:t>
            </w:r>
          </w:p>
        </w:tc>
        <w:tc>
          <w:tcPr>
            <w:tcW w:w="1743" w:type="dxa"/>
          </w:tcPr>
          <w:p w14:paraId="587E0C69" w14:textId="16E33A81"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Pr>
                <w:rFonts w:ascii="Franklin Gothic Book" w:eastAsia="Times New Roman" w:hAnsi="Franklin Gothic Book"/>
                <w:b w:val="0"/>
                <w:iCs/>
                <w:sz w:val="17"/>
                <w:szCs w:val="17"/>
                <w:lang w:eastAsia="en-US"/>
              </w:rPr>
              <w:t>No</w:t>
            </w:r>
          </w:p>
        </w:tc>
        <w:tc>
          <w:tcPr>
            <w:tcW w:w="1503" w:type="dxa"/>
          </w:tcPr>
          <w:p w14:paraId="76AF0C6E" w14:textId="77777777" w:rsidR="00E21200" w:rsidRPr="00AC4026" w:rsidRDefault="00E21200" w:rsidP="00AC4026">
            <w:pPr>
              <w:keepLines/>
              <w:spacing w:before="40" w:after="40" w:line="200" w:lineRule="atLeast"/>
              <w:rPr>
                <w:rFonts w:ascii="Franklin Gothic Book" w:eastAsia="Times New Roman" w:hAnsi="Franklin Gothic Book"/>
                <w:b w:val="0"/>
                <w:iCs/>
                <w:sz w:val="17"/>
                <w:szCs w:val="17"/>
                <w:lang w:eastAsia="en-US"/>
              </w:rPr>
            </w:pPr>
            <w:r w:rsidRPr="00AC4026">
              <w:rPr>
                <w:rFonts w:ascii="Franklin Gothic Book" w:eastAsia="Times New Roman" w:hAnsi="Franklin Gothic Book"/>
                <w:b w:val="0"/>
                <w:iCs/>
                <w:sz w:val="17"/>
                <w:szCs w:val="17"/>
                <w:lang w:eastAsia="en-US"/>
              </w:rPr>
              <w:t xml:space="preserve">Yes </w:t>
            </w:r>
          </w:p>
        </w:tc>
      </w:tr>
    </w:tbl>
    <w:p w14:paraId="33F39B37" w14:textId="77777777" w:rsidR="00AC4026" w:rsidRPr="00AC4026" w:rsidRDefault="00AC4026" w:rsidP="00AC4026">
      <w:pPr>
        <w:rPr>
          <w:b/>
        </w:rPr>
      </w:pPr>
    </w:p>
    <w:p w14:paraId="23964CF9" w14:textId="77777777" w:rsidR="00AC4026" w:rsidRPr="00AC4026" w:rsidRDefault="00AC4026" w:rsidP="00AC4026">
      <w:pPr>
        <w:keepNext/>
        <w:numPr>
          <w:ilvl w:val="2"/>
          <w:numId w:val="0"/>
        </w:numPr>
        <w:spacing w:before="240" w:after="120"/>
        <w:outlineLvl w:val="2"/>
        <w:rPr>
          <w:rFonts w:ascii="Helvetica" w:eastAsia="Times New Roman" w:hAnsi="Helvetica" w:cs="Arial"/>
          <w:b/>
          <w:color w:val="124486"/>
          <w:kern w:val="28"/>
          <w:sz w:val="22"/>
          <w:szCs w:val="22"/>
          <w:lang w:eastAsia="zh-CN"/>
        </w:rPr>
      </w:pPr>
      <w:r w:rsidRPr="00AC4026">
        <w:rPr>
          <w:rFonts w:ascii="Helvetica" w:eastAsia="Times New Roman" w:hAnsi="Helvetica" w:cs="Arial"/>
          <w:b/>
          <w:color w:val="124486"/>
          <w:kern w:val="28"/>
          <w:sz w:val="22"/>
          <w:szCs w:val="22"/>
          <w:lang w:eastAsia="zh-CN"/>
        </w:rPr>
        <w:t xml:space="preserve">List of evaluations planned in the next 12 months </w:t>
      </w:r>
    </w:p>
    <w:p w14:paraId="5813A494"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sectPr w:rsidR="00AC4026" w:rsidRPr="00AC4026" w:rsidSect="00AC4026">
          <w:headerReference w:type="even" r:id="rId19"/>
          <w:footerReference w:type="first" r:id="rId20"/>
          <w:type w:val="continuous"/>
          <w:pgSz w:w="16838" w:h="11906" w:orient="landscape" w:code="9"/>
          <w:pgMar w:top="1814" w:right="1814" w:bottom="851" w:left="851" w:header="709" w:footer="425" w:gutter="0"/>
          <w:cols w:space="708"/>
          <w:docGrid w:linePitch="360"/>
        </w:sectPr>
      </w:pPr>
    </w:p>
    <w:tbl>
      <w:tblPr>
        <w:tblStyle w:val="APPR2"/>
        <w:tblW w:w="0" w:type="auto"/>
        <w:tblLook w:val="0600" w:firstRow="0" w:lastRow="0" w:firstColumn="0" w:lastColumn="0" w:noHBand="1" w:noVBand="1"/>
      </w:tblPr>
      <w:tblGrid>
        <w:gridCol w:w="2643"/>
        <w:gridCol w:w="2558"/>
        <w:gridCol w:w="2640"/>
        <w:gridCol w:w="2640"/>
        <w:gridCol w:w="2659"/>
      </w:tblGrid>
      <w:tr w:rsidR="00AC4026" w:rsidRPr="00AC4026" w14:paraId="11E1602A" w14:textId="77777777" w:rsidTr="00307C70">
        <w:tc>
          <w:tcPr>
            <w:tcW w:w="2601" w:type="dxa"/>
          </w:tcPr>
          <w:p w14:paraId="049D9D7B"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lastRenderedPageBreak/>
              <w:t>Name of Investment</w:t>
            </w:r>
          </w:p>
        </w:tc>
        <w:tc>
          <w:tcPr>
            <w:tcW w:w="2530" w:type="dxa"/>
          </w:tcPr>
          <w:p w14:paraId="2DAF37C0"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t>AidWorks number</w:t>
            </w:r>
          </w:p>
        </w:tc>
        <w:tc>
          <w:tcPr>
            <w:tcW w:w="2612" w:type="dxa"/>
          </w:tcPr>
          <w:p w14:paraId="35FA7FD7"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t>Type of evaluation</w:t>
            </w:r>
          </w:p>
        </w:tc>
        <w:tc>
          <w:tcPr>
            <w:tcW w:w="2612" w:type="dxa"/>
          </w:tcPr>
          <w:p w14:paraId="660732B2"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t>Purpose of evaluation</w:t>
            </w:r>
          </w:p>
        </w:tc>
        <w:tc>
          <w:tcPr>
            <w:tcW w:w="2617" w:type="dxa"/>
          </w:tcPr>
          <w:p w14:paraId="3D30BD77"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t>Expected completion date</w:t>
            </w:r>
          </w:p>
        </w:tc>
      </w:tr>
      <w:tr w:rsidR="00AC4026" w:rsidRPr="00AC4026" w14:paraId="087E52D7" w14:textId="77777777" w:rsidTr="00307C70">
        <w:tc>
          <w:tcPr>
            <w:tcW w:w="2601" w:type="dxa"/>
          </w:tcPr>
          <w:p w14:paraId="0E32EE3F" w14:textId="77777777" w:rsidR="00AC4026" w:rsidRPr="00AC4026" w:rsidRDefault="00AC4026" w:rsidP="00AC4026">
            <w:pPr>
              <w:keepLines/>
              <w:spacing w:before="40" w:after="40" w:line="200" w:lineRule="atLeast"/>
              <w:rPr>
                <w:rFonts w:ascii="Franklin Gothic Book" w:eastAsia="Times New Roman" w:hAnsi="Franklin Gothic Book"/>
                <w:b/>
                <w:iCs/>
                <w:sz w:val="17"/>
                <w:szCs w:val="17"/>
                <w:lang w:eastAsia="en-US"/>
              </w:rPr>
            </w:pPr>
            <w:r w:rsidRPr="00AC4026">
              <w:rPr>
                <w:rFonts w:ascii="Franklin Gothic Book" w:eastAsia="Times New Roman" w:hAnsi="Franklin Gothic Book"/>
                <w:b/>
                <w:iCs/>
                <w:sz w:val="17"/>
                <w:szCs w:val="17"/>
                <w:lang w:eastAsia="en-US"/>
              </w:rPr>
              <w:t>Primary Education Development Program (PEDP3)</w:t>
            </w:r>
          </w:p>
        </w:tc>
        <w:tc>
          <w:tcPr>
            <w:tcW w:w="2530" w:type="dxa"/>
          </w:tcPr>
          <w:p w14:paraId="52EAA933"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INJ957</w:t>
            </w:r>
          </w:p>
        </w:tc>
        <w:tc>
          <w:tcPr>
            <w:tcW w:w="2612" w:type="dxa"/>
          </w:tcPr>
          <w:p w14:paraId="0F69D9DB"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Joint Annual Review Mission (JARM)</w:t>
            </w:r>
          </w:p>
        </w:tc>
        <w:tc>
          <w:tcPr>
            <w:tcW w:w="2612" w:type="dxa"/>
          </w:tcPr>
          <w:p w14:paraId="6AD74F3E" w14:textId="77777777" w:rsidR="00AC4026" w:rsidRPr="00AC4026" w:rsidRDefault="00AC4026" w:rsidP="00AC4026">
            <w:pPr>
              <w:keepLines/>
              <w:spacing w:before="40" w:after="40" w:line="200" w:lineRule="atLeast"/>
              <w:rPr>
                <w:rFonts w:ascii="Franklin Gothic Book" w:eastAsia="Times New Roman" w:hAnsi="Franklin Gothic Book"/>
                <w:iCs/>
                <w:color w:val="000000" w:themeColor="text1" w:themeShade="BF"/>
                <w:sz w:val="17"/>
                <w:szCs w:val="17"/>
                <w:lang w:eastAsia="en-US"/>
              </w:rPr>
            </w:pPr>
            <w:r w:rsidRPr="00AC4026">
              <w:rPr>
                <w:rFonts w:ascii="Franklin Gothic Book" w:eastAsia="Times New Roman" w:hAnsi="Franklin Gothic Book"/>
                <w:iCs/>
                <w:color w:val="000000" w:themeColor="text1" w:themeShade="BF"/>
                <w:sz w:val="17"/>
                <w:szCs w:val="17"/>
                <w:lang w:eastAsia="en-US"/>
              </w:rPr>
              <w:t>To review the progress of last year and to review the annual operation plan for the coming year</w:t>
            </w:r>
          </w:p>
        </w:tc>
        <w:tc>
          <w:tcPr>
            <w:tcW w:w="2617" w:type="dxa"/>
          </w:tcPr>
          <w:p w14:paraId="6107EF90"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June 2016</w:t>
            </w:r>
          </w:p>
        </w:tc>
      </w:tr>
      <w:tr w:rsidR="00AC4026" w:rsidRPr="00AC4026" w14:paraId="7CC789B5" w14:textId="77777777" w:rsidTr="00307C70">
        <w:tc>
          <w:tcPr>
            <w:tcW w:w="2601" w:type="dxa"/>
          </w:tcPr>
          <w:p w14:paraId="713CA851" w14:textId="417A724B" w:rsidR="00AC4026" w:rsidRPr="001C1D7C" w:rsidRDefault="00264A35" w:rsidP="00AC4026">
            <w:pPr>
              <w:keepLines/>
              <w:spacing w:before="40" w:after="40" w:line="200" w:lineRule="atLeast"/>
              <w:rPr>
                <w:rFonts w:ascii="Franklin Gothic Book" w:eastAsia="Times New Roman" w:hAnsi="Franklin Gothic Book"/>
                <w:b/>
                <w:iCs/>
                <w:sz w:val="17"/>
                <w:szCs w:val="17"/>
                <w:lang w:eastAsia="en-US"/>
              </w:rPr>
            </w:pPr>
            <w:r w:rsidRPr="001C1D7C">
              <w:rPr>
                <w:rFonts w:ascii="Franklin Gothic Book" w:eastAsia="Times New Roman" w:hAnsi="Franklin Gothic Book"/>
                <w:b/>
                <w:iCs/>
                <w:sz w:val="17"/>
                <w:szCs w:val="17"/>
                <w:lang w:eastAsia="en-US"/>
              </w:rPr>
              <w:t>Strategic Partnership Arrangement (SPA) with BRAC</w:t>
            </w:r>
          </w:p>
        </w:tc>
        <w:tc>
          <w:tcPr>
            <w:tcW w:w="2530" w:type="dxa"/>
          </w:tcPr>
          <w:p w14:paraId="3F121DB1" w14:textId="443591B7" w:rsidR="00AC4026" w:rsidRPr="00AC4026" w:rsidRDefault="006E1B19" w:rsidP="00AC4026">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INJ579</w:t>
            </w:r>
          </w:p>
        </w:tc>
        <w:tc>
          <w:tcPr>
            <w:tcW w:w="2612" w:type="dxa"/>
          </w:tcPr>
          <w:p w14:paraId="3509E94A" w14:textId="0B5A35EB" w:rsidR="00AC4026" w:rsidRPr="00AC4026" w:rsidRDefault="00264A35" w:rsidP="00AC4026">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Independent Completion Report</w:t>
            </w:r>
          </w:p>
        </w:tc>
        <w:tc>
          <w:tcPr>
            <w:tcW w:w="2612" w:type="dxa"/>
          </w:tcPr>
          <w:p w14:paraId="58479B7D" w14:textId="1ED332AB" w:rsidR="00AC4026" w:rsidRPr="00AC4026" w:rsidRDefault="00264A35" w:rsidP="00AC4026">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To access and evaluate the program upon completion</w:t>
            </w:r>
          </w:p>
        </w:tc>
        <w:tc>
          <w:tcPr>
            <w:tcW w:w="2617" w:type="dxa"/>
          </w:tcPr>
          <w:p w14:paraId="4E2501EC" w14:textId="274B89BD" w:rsidR="00AC4026" w:rsidRPr="00AC4026" w:rsidRDefault="00264A35" w:rsidP="00AC4026">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June 2016</w:t>
            </w:r>
          </w:p>
        </w:tc>
      </w:tr>
      <w:tr w:rsidR="00264A35" w:rsidRPr="00AC4026" w14:paraId="20DC9987" w14:textId="77777777" w:rsidTr="00307C70">
        <w:tc>
          <w:tcPr>
            <w:tcW w:w="2601" w:type="dxa"/>
          </w:tcPr>
          <w:p w14:paraId="74EA7B40" w14:textId="49FA93B4" w:rsidR="00264A35" w:rsidRPr="001C1D7C" w:rsidRDefault="00264A35" w:rsidP="00AC4026">
            <w:pPr>
              <w:keepLines/>
              <w:spacing w:before="40" w:after="40" w:line="200" w:lineRule="atLeast"/>
              <w:rPr>
                <w:rFonts w:ascii="Franklin Gothic Book" w:eastAsia="Times New Roman" w:hAnsi="Franklin Gothic Book"/>
                <w:b/>
                <w:iCs/>
                <w:sz w:val="17"/>
                <w:szCs w:val="17"/>
                <w:lang w:eastAsia="en-US"/>
              </w:rPr>
            </w:pPr>
            <w:r w:rsidRPr="001C1D7C">
              <w:rPr>
                <w:rFonts w:ascii="Franklin Gothic Book" w:eastAsia="Times New Roman" w:hAnsi="Franklin Gothic Book"/>
                <w:b/>
                <w:iCs/>
                <w:sz w:val="17"/>
                <w:szCs w:val="17"/>
                <w:lang w:eastAsia="en-US"/>
              </w:rPr>
              <w:t xml:space="preserve">Chars Livelihoods Program </w:t>
            </w:r>
          </w:p>
        </w:tc>
        <w:tc>
          <w:tcPr>
            <w:tcW w:w="2530" w:type="dxa"/>
          </w:tcPr>
          <w:p w14:paraId="62872E79" w14:textId="2D013B0E" w:rsidR="00264A35" w:rsidRPr="00AC4026" w:rsidRDefault="00264A35" w:rsidP="00AC4026">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INJ103 + INL234</w:t>
            </w:r>
          </w:p>
        </w:tc>
        <w:tc>
          <w:tcPr>
            <w:tcW w:w="2612" w:type="dxa"/>
          </w:tcPr>
          <w:p w14:paraId="770ECB45" w14:textId="128BD6EE" w:rsidR="00264A35" w:rsidRDefault="00264A35" w:rsidP="00AC4026">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Partner led evaluation</w:t>
            </w:r>
          </w:p>
        </w:tc>
        <w:tc>
          <w:tcPr>
            <w:tcW w:w="2612" w:type="dxa"/>
          </w:tcPr>
          <w:p w14:paraId="0D9904D0" w14:textId="00E22D5F" w:rsidR="00264A35" w:rsidRDefault="00264A35" w:rsidP="00AC4026">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To demonstrate achievements for accountability purposes and to develop evidence to inform future investments</w:t>
            </w:r>
          </w:p>
        </w:tc>
        <w:tc>
          <w:tcPr>
            <w:tcW w:w="2617" w:type="dxa"/>
          </w:tcPr>
          <w:p w14:paraId="425A64DF" w14:textId="7FF350C7" w:rsidR="00264A35" w:rsidRDefault="00264A35" w:rsidP="00AC4026">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April 2016</w:t>
            </w:r>
          </w:p>
        </w:tc>
      </w:tr>
    </w:tbl>
    <w:p w14:paraId="45AC8D06" w14:textId="77777777" w:rsidR="006E1B19" w:rsidRDefault="006E1B19" w:rsidP="00416B02">
      <w:pPr>
        <w:rPr>
          <w:rFonts w:ascii="Helvetica" w:eastAsia="Times New Roman" w:hAnsi="Helvetica" w:cs="Arial"/>
          <w:color w:val="007FAD"/>
          <w:kern w:val="28"/>
          <w:szCs w:val="20"/>
        </w:rPr>
        <w:sectPr w:rsidR="006E1B19" w:rsidSect="000D733F">
          <w:headerReference w:type="even" r:id="rId21"/>
          <w:footerReference w:type="first" r:id="rId22"/>
          <w:footnotePr>
            <w:numRestart w:val="eachPage"/>
          </w:footnotePr>
          <w:type w:val="continuous"/>
          <w:pgSz w:w="16838" w:h="11906" w:orient="landscape" w:code="9"/>
          <w:pgMar w:top="1814" w:right="1814" w:bottom="851" w:left="851" w:header="709" w:footer="425" w:gutter="0"/>
          <w:cols w:space="708"/>
          <w:titlePg/>
          <w:docGrid w:linePitch="360"/>
        </w:sectPr>
      </w:pPr>
    </w:p>
    <w:p w14:paraId="6A1A7FB4" w14:textId="77777777" w:rsidR="00AC4026" w:rsidRPr="00AC4026" w:rsidRDefault="00AC4026" w:rsidP="00AC4026">
      <w:pPr>
        <w:keepNext/>
        <w:tabs>
          <w:tab w:val="left" w:pos="1560"/>
        </w:tabs>
        <w:spacing w:before="360" w:after="120"/>
        <w:outlineLvl w:val="1"/>
        <w:rPr>
          <w:rFonts w:ascii="Helvetica" w:eastAsia="Times New Roman" w:hAnsi="Helvetica" w:cs="Arial"/>
          <w:color w:val="007FAD"/>
          <w:kern w:val="28"/>
          <w:sz w:val="28"/>
          <w:szCs w:val="28"/>
        </w:rPr>
      </w:pPr>
      <w:r w:rsidRPr="00AC4026">
        <w:rPr>
          <w:rFonts w:ascii="Helvetica" w:eastAsia="Times New Roman" w:hAnsi="Helvetica" w:cs="Arial"/>
          <w:color w:val="007FAD"/>
          <w:kern w:val="28"/>
          <w:sz w:val="28"/>
          <w:szCs w:val="28"/>
        </w:rPr>
        <w:lastRenderedPageBreak/>
        <w:t>Annex D - Aid Quality Check ratings</w:t>
      </w:r>
    </w:p>
    <w:p w14:paraId="15A20AD6" w14:textId="77777777" w:rsidR="00AC4026" w:rsidRPr="00AC4026" w:rsidRDefault="00AC4026" w:rsidP="00AC4026">
      <w:pPr>
        <w:spacing w:after="160" w:line="280" w:lineRule="exact"/>
        <w:rPr>
          <w:rFonts w:ascii="Franklin Gothic Book" w:eastAsia="Times New Roman" w:hAnsi="Franklin Gothic Book"/>
          <w:sz w:val="21"/>
        </w:rPr>
      </w:pPr>
      <w:r w:rsidRPr="00AC4026">
        <w:rPr>
          <w:rFonts w:ascii="Franklin Gothic Book" w:eastAsia="Times New Roman" w:hAnsi="Franklin Gothic Book"/>
          <w:sz w:val="21"/>
        </w:rPr>
        <w:t>The previous investment level performance assessment system utilised Quality at Implementation (QAI) reports. Two criteria, Risks and Safeguards and Innovation and Private sector were not assessed in QAI reports and there have been significant changes in AQC reporting this year. Innovation and Private Sector is not a quality standard.</w:t>
      </w:r>
    </w:p>
    <w:p w14:paraId="0486838B" w14:textId="77777777" w:rsidR="00AC4026" w:rsidRPr="00AC4026" w:rsidRDefault="00AC4026" w:rsidP="00AC4026">
      <w:pPr>
        <w:keepNext/>
        <w:numPr>
          <w:ilvl w:val="2"/>
          <w:numId w:val="0"/>
        </w:numPr>
        <w:spacing w:before="240" w:after="120"/>
        <w:outlineLvl w:val="2"/>
        <w:rPr>
          <w:rFonts w:ascii="Helvetica" w:eastAsia="Times New Roman" w:hAnsi="Helvetica" w:cs="Arial"/>
          <w:b/>
          <w:color w:val="124486"/>
          <w:kern w:val="28"/>
          <w:sz w:val="22"/>
          <w:szCs w:val="22"/>
          <w:lang w:eastAsia="zh-CN"/>
        </w:rPr>
      </w:pPr>
      <w:r w:rsidRPr="00AC4026">
        <w:rPr>
          <w:rFonts w:ascii="Helvetica" w:eastAsia="Times New Roman" w:hAnsi="Helvetica" w:cs="Arial"/>
          <w:b/>
          <w:color w:val="124486"/>
          <w:kern w:val="28"/>
          <w:sz w:val="22"/>
          <w:szCs w:val="22"/>
          <w:lang w:eastAsia="zh-CN"/>
        </w:rPr>
        <w:t>AQC ratings</w:t>
      </w:r>
    </w:p>
    <w:tbl>
      <w:tblPr>
        <w:tblStyle w:val="APPR3"/>
        <w:tblW w:w="5000" w:type="pct"/>
        <w:tblLook w:val="0000" w:firstRow="0" w:lastRow="0" w:firstColumn="0" w:lastColumn="0" w:noHBand="0" w:noVBand="0"/>
      </w:tblPr>
      <w:tblGrid>
        <w:gridCol w:w="2567"/>
        <w:gridCol w:w="1863"/>
        <w:gridCol w:w="1187"/>
        <w:gridCol w:w="1193"/>
        <w:gridCol w:w="1185"/>
        <w:gridCol w:w="1192"/>
        <w:gridCol w:w="1184"/>
        <w:gridCol w:w="1192"/>
        <w:gridCol w:w="1184"/>
        <w:gridCol w:w="1190"/>
      </w:tblGrid>
      <w:tr w:rsidR="00AC4026" w:rsidRPr="00AC4026" w14:paraId="31B0FB82" w14:textId="77777777" w:rsidTr="00307C70">
        <w:trPr>
          <w:cnfStyle w:val="000000010000" w:firstRow="0" w:lastRow="0" w:firstColumn="0" w:lastColumn="0" w:oddVBand="0" w:evenVBand="0" w:oddHBand="0" w:evenHBand="1" w:firstRowFirstColumn="0" w:firstRowLastColumn="0" w:lastRowFirstColumn="0" w:lastRowLastColumn="0"/>
          <w:trHeight w:val="1413"/>
        </w:trPr>
        <w:tc>
          <w:tcPr>
            <w:tcW w:w="906" w:type="pct"/>
          </w:tcPr>
          <w:p w14:paraId="37713022"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noProof/>
                <w:sz w:val="17"/>
                <w:szCs w:val="17"/>
              </w:rPr>
              <w:drawing>
                <wp:anchor distT="0" distB="0" distL="114300" distR="114300" simplePos="0" relativeHeight="251665408" behindDoc="0" locked="0" layoutInCell="1" allowOverlap="1" wp14:anchorId="5BB4C239" wp14:editId="408BE1D8">
                  <wp:simplePos x="0" y="0"/>
                  <wp:positionH relativeFrom="column">
                    <wp:posOffset>0</wp:posOffset>
                  </wp:positionH>
                  <wp:positionV relativeFrom="paragraph">
                    <wp:posOffset>0</wp:posOffset>
                  </wp:positionV>
                  <wp:extent cx="1857375" cy="228600"/>
                  <wp:effectExtent l="0" t="0" r="9525" b="0"/>
                  <wp:wrapNone/>
                  <wp:docPr id="18" name="Picture 1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026">
              <w:rPr>
                <w:rFonts w:ascii="Franklin Gothic Medium" w:eastAsia="Times New Roman" w:hAnsi="Franklin Gothic Medium"/>
                <w:b/>
                <w:iCs/>
                <w:sz w:val="17"/>
                <w:szCs w:val="17"/>
                <w:lang w:eastAsia="en-US"/>
              </w:rPr>
              <w:t>Investment name</w:t>
            </w:r>
          </w:p>
        </w:tc>
        <w:tc>
          <w:tcPr>
            <w:tcW w:w="658" w:type="pct"/>
            <w:textDirection w:val="btLr"/>
          </w:tcPr>
          <w:p w14:paraId="0C504A84"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t>Approved budget and duration</w:t>
            </w:r>
          </w:p>
        </w:tc>
        <w:tc>
          <w:tcPr>
            <w:tcW w:w="416" w:type="pct"/>
            <w:textDirection w:val="btLr"/>
          </w:tcPr>
          <w:p w14:paraId="7F476C56"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t>AQC/QAI year</w:t>
            </w:r>
          </w:p>
        </w:tc>
        <w:tc>
          <w:tcPr>
            <w:tcW w:w="418" w:type="pct"/>
            <w:textDirection w:val="btLr"/>
          </w:tcPr>
          <w:p w14:paraId="72141CE5"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t>Relevance</w:t>
            </w:r>
          </w:p>
        </w:tc>
        <w:tc>
          <w:tcPr>
            <w:tcW w:w="415" w:type="pct"/>
            <w:textDirection w:val="btLr"/>
          </w:tcPr>
          <w:p w14:paraId="08A56E90"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t>Effectiveness</w:t>
            </w:r>
          </w:p>
        </w:tc>
        <w:tc>
          <w:tcPr>
            <w:tcW w:w="418" w:type="pct"/>
            <w:textDirection w:val="btLr"/>
          </w:tcPr>
          <w:p w14:paraId="4D8F370B"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t>Efficiency</w:t>
            </w:r>
          </w:p>
        </w:tc>
        <w:tc>
          <w:tcPr>
            <w:tcW w:w="415" w:type="pct"/>
            <w:textDirection w:val="btLr"/>
          </w:tcPr>
          <w:p w14:paraId="0A3F8BB3"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t>Monitoring and Evaluation</w:t>
            </w:r>
          </w:p>
        </w:tc>
        <w:tc>
          <w:tcPr>
            <w:tcW w:w="418" w:type="pct"/>
            <w:textDirection w:val="btLr"/>
          </w:tcPr>
          <w:p w14:paraId="42DEF851"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t>Sustainability</w:t>
            </w:r>
          </w:p>
        </w:tc>
        <w:tc>
          <w:tcPr>
            <w:tcW w:w="415" w:type="pct"/>
            <w:textDirection w:val="btLr"/>
          </w:tcPr>
          <w:p w14:paraId="7EE90E4B"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t>Gender equality</w:t>
            </w:r>
          </w:p>
        </w:tc>
        <w:tc>
          <w:tcPr>
            <w:tcW w:w="412" w:type="pct"/>
            <w:textDirection w:val="btLr"/>
          </w:tcPr>
          <w:p w14:paraId="4DD64F67"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t>Risks  and Safeguards</w:t>
            </w:r>
          </w:p>
        </w:tc>
      </w:tr>
      <w:tr w:rsidR="00AC4026" w:rsidRPr="00AC4026" w14:paraId="40017F86" w14:textId="77777777" w:rsidTr="00307C70">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14:paraId="6DAD82F0"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Strategic Partnership With BRAC</w:t>
            </w:r>
          </w:p>
        </w:tc>
        <w:tc>
          <w:tcPr>
            <w:tcW w:w="658" w:type="pct"/>
            <w:vMerge w:val="restart"/>
          </w:tcPr>
          <w:p w14:paraId="348533CA"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$180.0m</w:t>
            </w:r>
          </w:p>
          <w:p w14:paraId="752096EF"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21/12/2011- 30/03/2016</w:t>
            </w:r>
          </w:p>
        </w:tc>
        <w:tc>
          <w:tcPr>
            <w:tcW w:w="416" w:type="pct"/>
          </w:tcPr>
          <w:p w14:paraId="7E4B44C2"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2014 AQC</w:t>
            </w:r>
          </w:p>
        </w:tc>
        <w:tc>
          <w:tcPr>
            <w:tcW w:w="418" w:type="pct"/>
            <w:shd w:val="clear" w:color="auto" w:fill="92D050"/>
            <w:noWrap/>
          </w:tcPr>
          <w:p w14:paraId="2899C316"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5" w:type="pct"/>
            <w:shd w:val="clear" w:color="auto" w:fill="92D050"/>
            <w:noWrap/>
          </w:tcPr>
          <w:p w14:paraId="2DDDD92B"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8" w:type="pct"/>
            <w:shd w:val="clear" w:color="auto" w:fill="92D050"/>
            <w:noWrap/>
          </w:tcPr>
          <w:p w14:paraId="32E1069C"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6</w:t>
            </w:r>
          </w:p>
        </w:tc>
        <w:tc>
          <w:tcPr>
            <w:tcW w:w="415" w:type="pct"/>
            <w:shd w:val="clear" w:color="auto" w:fill="92D050"/>
            <w:noWrap/>
          </w:tcPr>
          <w:p w14:paraId="7DC76D27"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8" w:type="pct"/>
            <w:shd w:val="clear" w:color="auto" w:fill="92D050"/>
            <w:noWrap/>
          </w:tcPr>
          <w:p w14:paraId="66B3733E"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5" w:type="pct"/>
            <w:shd w:val="clear" w:color="auto" w:fill="92D050"/>
            <w:noWrap/>
          </w:tcPr>
          <w:p w14:paraId="0D58F7F4"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2" w:type="pct"/>
            <w:shd w:val="clear" w:color="auto" w:fill="92D050"/>
          </w:tcPr>
          <w:p w14:paraId="292D0ABB"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r>
      <w:tr w:rsidR="00AC4026" w:rsidRPr="00AC4026" w14:paraId="180C394C" w14:textId="77777777" w:rsidTr="00307C70">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14:paraId="14861E7C"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p>
        </w:tc>
        <w:tc>
          <w:tcPr>
            <w:tcW w:w="658" w:type="pct"/>
            <w:vMerge/>
          </w:tcPr>
          <w:p w14:paraId="784C369D"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p>
        </w:tc>
        <w:tc>
          <w:tcPr>
            <w:tcW w:w="416" w:type="pct"/>
          </w:tcPr>
          <w:p w14:paraId="1ED80E63"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2013 QAI</w:t>
            </w:r>
          </w:p>
        </w:tc>
        <w:tc>
          <w:tcPr>
            <w:tcW w:w="418" w:type="pct"/>
            <w:shd w:val="clear" w:color="auto" w:fill="92D050"/>
            <w:noWrap/>
          </w:tcPr>
          <w:p w14:paraId="61ACAE6D"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5" w:type="pct"/>
            <w:shd w:val="clear" w:color="auto" w:fill="92D050"/>
            <w:noWrap/>
          </w:tcPr>
          <w:p w14:paraId="38AC69DC"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8" w:type="pct"/>
            <w:shd w:val="clear" w:color="auto" w:fill="92D050"/>
            <w:noWrap/>
          </w:tcPr>
          <w:p w14:paraId="4965E3BB"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5" w:type="pct"/>
            <w:shd w:val="clear" w:color="auto" w:fill="92D050"/>
            <w:noWrap/>
          </w:tcPr>
          <w:p w14:paraId="64DE495C"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8" w:type="pct"/>
            <w:shd w:val="clear" w:color="auto" w:fill="92D050"/>
            <w:noWrap/>
          </w:tcPr>
          <w:p w14:paraId="3EB132C0"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5" w:type="pct"/>
            <w:shd w:val="clear" w:color="auto" w:fill="92D050"/>
            <w:noWrap/>
          </w:tcPr>
          <w:p w14:paraId="2EF4D1E8"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6</w:t>
            </w:r>
          </w:p>
        </w:tc>
        <w:tc>
          <w:tcPr>
            <w:tcW w:w="412" w:type="pct"/>
          </w:tcPr>
          <w:p w14:paraId="0125892D"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n/a</w:t>
            </w:r>
          </w:p>
        </w:tc>
      </w:tr>
      <w:tr w:rsidR="00AC4026" w:rsidRPr="00AC4026" w14:paraId="65B3875F" w14:textId="77777777" w:rsidTr="00307C70">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14:paraId="27FEEA0F"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Primary Education Development Program Phase 3</w:t>
            </w:r>
          </w:p>
        </w:tc>
        <w:tc>
          <w:tcPr>
            <w:tcW w:w="658" w:type="pct"/>
            <w:vMerge w:val="restart"/>
          </w:tcPr>
          <w:p w14:paraId="7966116F"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$49.4m</w:t>
            </w:r>
          </w:p>
          <w:p w14:paraId="5BB7B88F"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20/12/2011- 01/02/2016</w:t>
            </w:r>
          </w:p>
        </w:tc>
        <w:tc>
          <w:tcPr>
            <w:tcW w:w="416" w:type="pct"/>
          </w:tcPr>
          <w:p w14:paraId="32303777"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2014 AQC</w:t>
            </w:r>
          </w:p>
        </w:tc>
        <w:tc>
          <w:tcPr>
            <w:tcW w:w="418" w:type="pct"/>
            <w:shd w:val="clear" w:color="auto" w:fill="92D050"/>
            <w:noWrap/>
          </w:tcPr>
          <w:p w14:paraId="7ECCB12F"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6</w:t>
            </w:r>
          </w:p>
        </w:tc>
        <w:tc>
          <w:tcPr>
            <w:tcW w:w="415" w:type="pct"/>
            <w:shd w:val="clear" w:color="auto" w:fill="92D050"/>
            <w:noWrap/>
          </w:tcPr>
          <w:p w14:paraId="0DB659EE"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8" w:type="pct"/>
            <w:shd w:val="clear" w:color="auto" w:fill="92D050"/>
            <w:noWrap/>
          </w:tcPr>
          <w:p w14:paraId="27A4AAB2"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5" w:type="pct"/>
            <w:shd w:val="clear" w:color="auto" w:fill="92D050"/>
            <w:noWrap/>
          </w:tcPr>
          <w:p w14:paraId="73354115"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8" w:type="pct"/>
            <w:shd w:val="clear" w:color="auto" w:fill="92D050"/>
            <w:noWrap/>
          </w:tcPr>
          <w:p w14:paraId="5D0EBB56"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5" w:type="pct"/>
            <w:shd w:val="clear" w:color="auto" w:fill="FFFF00"/>
            <w:noWrap/>
          </w:tcPr>
          <w:p w14:paraId="1935C410"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12" w:type="pct"/>
            <w:shd w:val="clear" w:color="auto" w:fill="92D050"/>
          </w:tcPr>
          <w:p w14:paraId="3EAF49EB"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r>
      <w:tr w:rsidR="00AC4026" w:rsidRPr="00AC4026" w14:paraId="6F5FC655" w14:textId="77777777" w:rsidTr="00307C70">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14:paraId="335D40E6"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p>
        </w:tc>
        <w:tc>
          <w:tcPr>
            <w:tcW w:w="658" w:type="pct"/>
            <w:vMerge/>
          </w:tcPr>
          <w:p w14:paraId="1B8F74EC"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p>
        </w:tc>
        <w:tc>
          <w:tcPr>
            <w:tcW w:w="416" w:type="pct"/>
          </w:tcPr>
          <w:p w14:paraId="69855281"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2013 QAI</w:t>
            </w:r>
          </w:p>
        </w:tc>
        <w:tc>
          <w:tcPr>
            <w:tcW w:w="418" w:type="pct"/>
            <w:shd w:val="clear" w:color="auto" w:fill="92D050"/>
            <w:noWrap/>
          </w:tcPr>
          <w:p w14:paraId="3ABB17B9"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5" w:type="pct"/>
            <w:shd w:val="clear" w:color="auto" w:fill="92D050"/>
            <w:noWrap/>
          </w:tcPr>
          <w:p w14:paraId="3689ED86"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8" w:type="pct"/>
            <w:shd w:val="clear" w:color="auto" w:fill="FFFF00"/>
            <w:noWrap/>
          </w:tcPr>
          <w:p w14:paraId="6469F4EF"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15" w:type="pct"/>
            <w:shd w:val="clear" w:color="auto" w:fill="92D050"/>
            <w:noWrap/>
          </w:tcPr>
          <w:p w14:paraId="4FE66B0F"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8" w:type="pct"/>
            <w:shd w:val="clear" w:color="auto" w:fill="92D050"/>
            <w:noWrap/>
          </w:tcPr>
          <w:p w14:paraId="55A6106A"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5" w:type="pct"/>
            <w:shd w:val="clear" w:color="auto" w:fill="F79646" w:themeFill="accent6"/>
            <w:noWrap/>
          </w:tcPr>
          <w:p w14:paraId="5ED096E9"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3</w:t>
            </w:r>
          </w:p>
        </w:tc>
        <w:tc>
          <w:tcPr>
            <w:tcW w:w="412" w:type="pct"/>
          </w:tcPr>
          <w:p w14:paraId="033A51C6"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n/a</w:t>
            </w:r>
          </w:p>
        </w:tc>
      </w:tr>
      <w:tr w:rsidR="00AC4026" w:rsidRPr="00AC4026" w14:paraId="7A9C1A44" w14:textId="77777777" w:rsidTr="00307C70">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14:paraId="4848ADEE"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 xml:space="preserve">Social Protection and Extreme Poverty Reduction </w:t>
            </w:r>
          </w:p>
        </w:tc>
        <w:tc>
          <w:tcPr>
            <w:tcW w:w="658" w:type="pct"/>
            <w:vMerge w:val="restart"/>
          </w:tcPr>
          <w:p w14:paraId="27456864"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$9.5m</w:t>
            </w:r>
          </w:p>
          <w:p w14:paraId="2CC29181"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30/02/2014- 30/07/2018</w:t>
            </w:r>
          </w:p>
        </w:tc>
        <w:tc>
          <w:tcPr>
            <w:tcW w:w="416" w:type="pct"/>
          </w:tcPr>
          <w:p w14:paraId="3F54DF26"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2014 AQC</w:t>
            </w:r>
          </w:p>
        </w:tc>
        <w:tc>
          <w:tcPr>
            <w:tcW w:w="418" w:type="pct"/>
            <w:shd w:val="clear" w:color="auto" w:fill="FFFF00"/>
            <w:noWrap/>
          </w:tcPr>
          <w:p w14:paraId="3601941D"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15" w:type="pct"/>
            <w:shd w:val="clear" w:color="auto" w:fill="FFFF00"/>
            <w:noWrap/>
          </w:tcPr>
          <w:p w14:paraId="759BF82B"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18" w:type="pct"/>
            <w:shd w:val="clear" w:color="auto" w:fill="92D050"/>
            <w:noWrap/>
          </w:tcPr>
          <w:p w14:paraId="7B8C8F71"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5" w:type="pct"/>
            <w:shd w:val="clear" w:color="auto" w:fill="92D050"/>
            <w:noWrap/>
          </w:tcPr>
          <w:p w14:paraId="5A67CBC6"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8" w:type="pct"/>
            <w:shd w:val="clear" w:color="auto" w:fill="FFFF00"/>
            <w:noWrap/>
          </w:tcPr>
          <w:p w14:paraId="5B015028"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15" w:type="pct"/>
            <w:shd w:val="clear" w:color="auto" w:fill="92D050"/>
            <w:noWrap/>
          </w:tcPr>
          <w:p w14:paraId="5C6CF794"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2" w:type="pct"/>
            <w:shd w:val="clear" w:color="auto" w:fill="92D050"/>
          </w:tcPr>
          <w:p w14:paraId="5B62DBEE"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r>
      <w:tr w:rsidR="00AC4026" w:rsidRPr="00AC4026" w14:paraId="0CC7F2D5" w14:textId="77777777" w:rsidTr="00307C70">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14:paraId="51A8969E"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p>
        </w:tc>
        <w:tc>
          <w:tcPr>
            <w:tcW w:w="658" w:type="pct"/>
            <w:vMerge/>
          </w:tcPr>
          <w:p w14:paraId="4BA7053D"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p>
        </w:tc>
        <w:tc>
          <w:tcPr>
            <w:tcW w:w="416" w:type="pct"/>
          </w:tcPr>
          <w:p w14:paraId="6180C6D5"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2013 QAI</w:t>
            </w:r>
          </w:p>
        </w:tc>
        <w:tc>
          <w:tcPr>
            <w:tcW w:w="418" w:type="pct"/>
            <w:shd w:val="clear" w:color="auto" w:fill="92D050"/>
            <w:noWrap/>
          </w:tcPr>
          <w:p w14:paraId="2458B2C5"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5" w:type="pct"/>
            <w:shd w:val="clear" w:color="auto" w:fill="92D050"/>
            <w:noWrap/>
          </w:tcPr>
          <w:p w14:paraId="79CEFDCA"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8" w:type="pct"/>
            <w:shd w:val="clear" w:color="auto" w:fill="92D050"/>
            <w:noWrap/>
          </w:tcPr>
          <w:p w14:paraId="14EB2080"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5" w:type="pct"/>
            <w:shd w:val="clear" w:color="auto" w:fill="92D050"/>
            <w:noWrap/>
          </w:tcPr>
          <w:p w14:paraId="1B4A9A8E"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8" w:type="pct"/>
            <w:shd w:val="clear" w:color="auto" w:fill="F79646" w:themeFill="accent6"/>
            <w:noWrap/>
          </w:tcPr>
          <w:p w14:paraId="1817FB13"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3</w:t>
            </w:r>
          </w:p>
        </w:tc>
        <w:tc>
          <w:tcPr>
            <w:tcW w:w="415" w:type="pct"/>
            <w:shd w:val="clear" w:color="auto" w:fill="92D050"/>
            <w:noWrap/>
          </w:tcPr>
          <w:p w14:paraId="6B07D84C"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2" w:type="pct"/>
          </w:tcPr>
          <w:p w14:paraId="2701D7FE"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n/a</w:t>
            </w:r>
          </w:p>
        </w:tc>
      </w:tr>
      <w:tr w:rsidR="00AC4026" w:rsidRPr="00AC4026" w14:paraId="4F32630C" w14:textId="77777777" w:rsidTr="00307C70">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14:paraId="6DBB9AC3"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 xml:space="preserve">World Food Programme in Cox’s Bazar </w:t>
            </w:r>
          </w:p>
        </w:tc>
        <w:tc>
          <w:tcPr>
            <w:tcW w:w="658" w:type="pct"/>
            <w:vMerge w:val="restart"/>
          </w:tcPr>
          <w:p w14:paraId="512D0C52"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$8.5m</w:t>
            </w:r>
          </w:p>
          <w:p w14:paraId="483E8BC4"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04/04/2013- 30/04/2018</w:t>
            </w:r>
          </w:p>
        </w:tc>
        <w:tc>
          <w:tcPr>
            <w:tcW w:w="416" w:type="pct"/>
          </w:tcPr>
          <w:p w14:paraId="2284C036"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2014 AQC</w:t>
            </w:r>
          </w:p>
        </w:tc>
        <w:tc>
          <w:tcPr>
            <w:tcW w:w="418" w:type="pct"/>
            <w:shd w:val="clear" w:color="auto" w:fill="92D050"/>
            <w:noWrap/>
          </w:tcPr>
          <w:p w14:paraId="59CEA192"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5" w:type="pct"/>
            <w:shd w:val="clear" w:color="auto" w:fill="FFFF00"/>
            <w:noWrap/>
          </w:tcPr>
          <w:p w14:paraId="67194297"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18" w:type="pct"/>
            <w:shd w:val="clear" w:color="auto" w:fill="92D050"/>
            <w:noWrap/>
          </w:tcPr>
          <w:p w14:paraId="4F1C91EA"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5" w:type="pct"/>
            <w:shd w:val="clear" w:color="auto" w:fill="FFFF00"/>
            <w:noWrap/>
          </w:tcPr>
          <w:p w14:paraId="1616AFE7"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18" w:type="pct"/>
            <w:shd w:val="clear" w:color="auto" w:fill="FFFF00"/>
            <w:noWrap/>
          </w:tcPr>
          <w:p w14:paraId="7F66E7FD"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15" w:type="pct"/>
            <w:shd w:val="clear" w:color="auto" w:fill="FFFF00"/>
            <w:noWrap/>
          </w:tcPr>
          <w:p w14:paraId="29DEC228" w14:textId="02D514B6"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12" w:type="pct"/>
            <w:shd w:val="clear" w:color="auto" w:fill="92D050"/>
          </w:tcPr>
          <w:p w14:paraId="61CB4C13"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r>
      <w:tr w:rsidR="00AC4026" w:rsidRPr="00AC4026" w14:paraId="417EC440" w14:textId="77777777" w:rsidTr="00E53442">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14:paraId="5B0E9DA6"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p>
        </w:tc>
        <w:tc>
          <w:tcPr>
            <w:tcW w:w="658" w:type="pct"/>
            <w:vMerge/>
          </w:tcPr>
          <w:p w14:paraId="5AC2BE6C"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p>
        </w:tc>
        <w:tc>
          <w:tcPr>
            <w:tcW w:w="416" w:type="pct"/>
          </w:tcPr>
          <w:p w14:paraId="7C101C42"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2013 QAI</w:t>
            </w:r>
          </w:p>
        </w:tc>
        <w:tc>
          <w:tcPr>
            <w:tcW w:w="418" w:type="pct"/>
            <w:shd w:val="clear" w:color="auto" w:fill="92D050"/>
            <w:noWrap/>
          </w:tcPr>
          <w:p w14:paraId="111906D1"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5" w:type="pct"/>
            <w:shd w:val="clear" w:color="auto" w:fill="FFFF00"/>
            <w:noWrap/>
          </w:tcPr>
          <w:p w14:paraId="082736B4"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18" w:type="pct"/>
            <w:shd w:val="clear" w:color="auto" w:fill="92D050"/>
            <w:noWrap/>
          </w:tcPr>
          <w:p w14:paraId="636A4266"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5" w:type="pct"/>
            <w:shd w:val="clear" w:color="auto" w:fill="F79646" w:themeFill="accent6"/>
            <w:noWrap/>
          </w:tcPr>
          <w:p w14:paraId="7E8226EE" w14:textId="4475A578" w:rsidR="00AC4026" w:rsidRPr="00AC4026" w:rsidRDefault="00CC6EFC" w:rsidP="00AC4026">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3</w:t>
            </w:r>
          </w:p>
        </w:tc>
        <w:tc>
          <w:tcPr>
            <w:tcW w:w="418" w:type="pct"/>
            <w:shd w:val="clear" w:color="auto" w:fill="FFFF00"/>
            <w:noWrap/>
          </w:tcPr>
          <w:p w14:paraId="621C7D88"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15" w:type="pct"/>
            <w:shd w:val="clear" w:color="auto" w:fill="92D050"/>
            <w:noWrap/>
          </w:tcPr>
          <w:p w14:paraId="7A08BB05" w14:textId="6EB459CD" w:rsidR="00AC4026" w:rsidRPr="00AC4026" w:rsidRDefault="00CC6EFC" w:rsidP="00AC4026">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5</w:t>
            </w:r>
          </w:p>
        </w:tc>
        <w:tc>
          <w:tcPr>
            <w:tcW w:w="412" w:type="pct"/>
          </w:tcPr>
          <w:p w14:paraId="3BFBAF3E"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n/a</w:t>
            </w:r>
          </w:p>
        </w:tc>
      </w:tr>
      <w:tr w:rsidR="00AC4026" w:rsidRPr="00AC4026" w14:paraId="5B68BB57" w14:textId="77777777" w:rsidTr="00307C70">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14:paraId="373BA637"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 xml:space="preserve">Australian Development Scholarships  </w:t>
            </w:r>
          </w:p>
        </w:tc>
        <w:tc>
          <w:tcPr>
            <w:tcW w:w="658" w:type="pct"/>
            <w:vMerge w:val="restart"/>
          </w:tcPr>
          <w:p w14:paraId="06645317"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 xml:space="preserve">$9.3m </w:t>
            </w:r>
          </w:p>
          <w:p w14:paraId="51D45B4B"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01/04/2010- 30/06/2015</w:t>
            </w:r>
          </w:p>
        </w:tc>
        <w:tc>
          <w:tcPr>
            <w:tcW w:w="416" w:type="pct"/>
          </w:tcPr>
          <w:p w14:paraId="5ABF2017"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2014 AQC</w:t>
            </w:r>
          </w:p>
        </w:tc>
        <w:tc>
          <w:tcPr>
            <w:tcW w:w="418" w:type="pct"/>
            <w:shd w:val="clear" w:color="auto" w:fill="FFFF00"/>
            <w:noWrap/>
          </w:tcPr>
          <w:p w14:paraId="713EF602"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15" w:type="pct"/>
            <w:shd w:val="clear" w:color="auto" w:fill="FFFF00"/>
            <w:noWrap/>
          </w:tcPr>
          <w:p w14:paraId="17709AE6"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18" w:type="pct"/>
            <w:shd w:val="clear" w:color="auto" w:fill="92D050"/>
            <w:noWrap/>
          </w:tcPr>
          <w:p w14:paraId="55F319E2"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5" w:type="pct"/>
            <w:shd w:val="clear" w:color="auto" w:fill="FFFF00"/>
            <w:noWrap/>
          </w:tcPr>
          <w:p w14:paraId="6A34D302"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18" w:type="pct"/>
            <w:shd w:val="clear" w:color="auto" w:fill="FFFF00"/>
            <w:noWrap/>
          </w:tcPr>
          <w:p w14:paraId="078FE0C0"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15" w:type="pct"/>
            <w:shd w:val="clear" w:color="auto" w:fill="FFFF00"/>
            <w:noWrap/>
          </w:tcPr>
          <w:p w14:paraId="35ADE43E"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12" w:type="pct"/>
            <w:shd w:val="clear" w:color="auto" w:fill="FFFF00"/>
          </w:tcPr>
          <w:p w14:paraId="6B19E4BB"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r>
      <w:tr w:rsidR="00AC4026" w:rsidRPr="00AC4026" w14:paraId="76CE7602" w14:textId="77777777" w:rsidTr="00307C70">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14:paraId="5BE7D78A"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p>
        </w:tc>
        <w:tc>
          <w:tcPr>
            <w:tcW w:w="658" w:type="pct"/>
            <w:vMerge/>
          </w:tcPr>
          <w:p w14:paraId="6844A84A"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p>
        </w:tc>
        <w:tc>
          <w:tcPr>
            <w:tcW w:w="416" w:type="pct"/>
          </w:tcPr>
          <w:p w14:paraId="2CF912F3"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2013 QAI</w:t>
            </w:r>
          </w:p>
        </w:tc>
        <w:tc>
          <w:tcPr>
            <w:tcW w:w="418" w:type="pct"/>
            <w:shd w:val="clear" w:color="auto" w:fill="FFFF00"/>
            <w:noWrap/>
          </w:tcPr>
          <w:p w14:paraId="6A58B59D"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15" w:type="pct"/>
            <w:shd w:val="clear" w:color="auto" w:fill="FFFF00"/>
            <w:noWrap/>
          </w:tcPr>
          <w:p w14:paraId="683C30DC"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18" w:type="pct"/>
            <w:shd w:val="clear" w:color="auto" w:fill="92D050"/>
            <w:noWrap/>
          </w:tcPr>
          <w:p w14:paraId="682B462E"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15" w:type="pct"/>
            <w:shd w:val="clear" w:color="auto" w:fill="FFFF00"/>
            <w:noWrap/>
          </w:tcPr>
          <w:p w14:paraId="5F303FE1"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18" w:type="pct"/>
            <w:shd w:val="clear" w:color="auto" w:fill="FFFF00"/>
            <w:noWrap/>
          </w:tcPr>
          <w:p w14:paraId="590F8D87"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15" w:type="pct"/>
            <w:shd w:val="clear" w:color="auto" w:fill="FFFF00"/>
            <w:noWrap/>
          </w:tcPr>
          <w:p w14:paraId="44B5585F"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12" w:type="pct"/>
          </w:tcPr>
          <w:p w14:paraId="7C0C16AA"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n/a</w:t>
            </w:r>
          </w:p>
        </w:tc>
      </w:tr>
    </w:tbl>
    <w:p w14:paraId="69922D79" w14:textId="77777777" w:rsidR="00AC4026" w:rsidRPr="00AC4026" w:rsidRDefault="00AC4026" w:rsidP="00AC4026">
      <w:pPr>
        <w:rPr>
          <w:iCs/>
        </w:rPr>
      </w:pPr>
    </w:p>
    <w:p w14:paraId="7638E7E4" w14:textId="77777777" w:rsidR="00AC4026" w:rsidRPr="00AC4026" w:rsidRDefault="00AC4026" w:rsidP="00AC4026">
      <w:pPr>
        <w:rPr>
          <w:iCs/>
        </w:rPr>
      </w:pPr>
    </w:p>
    <w:p w14:paraId="0025130A" w14:textId="77777777" w:rsidR="00AC4026" w:rsidRPr="00AC4026" w:rsidRDefault="00AC4026" w:rsidP="00AC4026">
      <w:pPr>
        <w:keepNext/>
        <w:numPr>
          <w:ilvl w:val="2"/>
          <w:numId w:val="0"/>
        </w:numPr>
        <w:spacing w:before="240" w:after="120"/>
        <w:outlineLvl w:val="2"/>
        <w:rPr>
          <w:rFonts w:ascii="Helvetica" w:eastAsia="Times New Roman" w:hAnsi="Helvetica" w:cs="Arial"/>
          <w:b/>
          <w:color w:val="124486"/>
          <w:kern w:val="28"/>
          <w:sz w:val="22"/>
          <w:szCs w:val="22"/>
          <w:lang w:eastAsia="zh-CN"/>
        </w:rPr>
      </w:pPr>
      <w:r w:rsidRPr="00AC4026">
        <w:rPr>
          <w:rFonts w:ascii="Helvetica" w:eastAsia="Times New Roman" w:hAnsi="Helvetica" w:cs="Arial"/>
          <w:b/>
          <w:color w:val="124486"/>
          <w:kern w:val="28"/>
          <w:sz w:val="22"/>
          <w:szCs w:val="22"/>
          <w:lang w:eastAsia="zh-CN"/>
        </w:rPr>
        <w:lastRenderedPageBreak/>
        <w:t xml:space="preserve">FAQC ratings </w:t>
      </w:r>
      <w:r w:rsidRPr="00AC4026">
        <w:rPr>
          <w:rFonts w:ascii="Franklin Gothic Book" w:eastAsia="Times New Roman" w:hAnsi="Franklin Gothic Book"/>
          <w:sz w:val="21"/>
        </w:rPr>
        <w:t>(include if relevant)</w:t>
      </w:r>
    </w:p>
    <w:p w14:paraId="295807D4" w14:textId="77777777" w:rsidR="00AC4026" w:rsidRPr="00AC4026" w:rsidRDefault="00AC4026" w:rsidP="00AC4026">
      <w:pPr>
        <w:spacing w:after="160" w:line="280" w:lineRule="exact"/>
        <w:rPr>
          <w:rFonts w:ascii="Franklin Gothic Book" w:eastAsia="Times New Roman" w:hAnsi="Franklin Gothic Book"/>
          <w:sz w:val="21"/>
        </w:rPr>
      </w:pPr>
      <w:r w:rsidRPr="00AC4026">
        <w:rPr>
          <w:rFonts w:ascii="Franklin Gothic Book" w:eastAsia="Times New Roman" w:hAnsi="Franklin Gothic Book"/>
          <w:sz w:val="21"/>
        </w:rPr>
        <w:t>FAQC scores assess performance over the lifetime of the investment and should not be compared to the previous year’s QAI ratings.</w:t>
      </w:r>
    </w:p>
    <w:tbl>
      <w:tblPr>
        <w:tblStyle w:val="APPR3"/>
        <w:tblW w:w="5000" w:type="pct"/>
        <w:tblLook w:val="0000" w:firstRow="0" w:lastRow="0" w:firstColumn="0" w:lastColumn="0" w:noHBand="0" w:noVBand="0"/>
      </w:tblPr>
      <w:tblGrid>
        <w:gridCol w:w="2507"/>
        <w:gridCol w:w="1823"/>
        <w:gridCol w:w="1160"/>
        <w:gridCol w:w="1157"/>
        <w:gridCol w:w="1275"/>
        <w:gridCol w:w="1155"/>
        <w:gridCol w:w="1275"/>
        <w:gridCol w:w="1154"/>
        <w:gridCol w:w="1274"/>
        <w:gridCol w:w="1157"/>
      </w:tblGrid>
      <w:tr w:rsidR="00AC4026" w:rsidRPr="00AC4026" w14:paraId="32A7C744" w14:textId="77777777" w:rsidTr="00307C70">
        <w:trPr>
          <w:cnfStyle w:val="000000010000" w:firstRow="0" w:lastRow="0" w:firstColumn="0" w:lastColumn="0" w:oddVBand="0" w:evenVBand="0" w:oddHBand="0" w:evenHBand="1" w:firstRowFirstColumn="0" w:firstRowLastColumn="0" w:lastRowFirstColumn="0" w:lastRowLastColumn="0"/>
          <w:trHeight w:val="1505"/>
        </w:trPr>
        <w:tc>
          <w:tcPr>
            <w:tcW w:w="884" w:type="pct"/>
          </w:tcPr>
          <w:p w14:paraId="31311567"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noProof/>
                <w:sz w:val="17"/>
                <w:szCs w:val="17"/>
              </w:rPr>
              <w:drawing>
                <wp:anchor distT="0" distB="0" distL="114300" distR="114300" simplePos="0" relativeHeight="251666432" behindDoc="0" locked="0" layoutInCell="1" allowOverlap="1" wp14:anchorId="5163ECD7" wp14:editId="0181D7FD">
                  <wp:simplePos x="0" y="0"/>
                  <wp:positionH relativeFrom="column">
                    <wp:posOffset>0</wp:posOffset>
                  </wp:positionH>
                  <wp:positionV relativeFrom="paragraph">
                    <wp:posOffset>0</wp:posOffset>
                  </wp:positionV>
                  <wp:extent cx="1857375" cy="228600"/>
                  <wp:effectExtent l="0" t="0" r="9525" b="0"/>
                  <wp:wrapNone/>
                  <wp:docPr id="19" name="Picture 1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026">
              <w:rPr>
                <w:rFonts w:ascii="Franklin Gothic Medium" w:eastAsia="Times New Roman" w:hAnsi="Franklin Gothic Medium"/>
                <w:b/>
                <w:iCs/>
                <w:sz w:val="17"/>
                <w:szCs w:val="17"/>
                <w:lang w:eastAsia="en-US"/>
              </w:rPr>
              <w:t>Investment name</w:t>
            </w:r>
          </w:p>
        </w:tc>
        <w:tc>
          <w:tcPr>
            <w:tcW w:w="643" w:type="pct"/>
            <w:textDirection w:val="btLr"/>
          </w:tcPr>
          <w:p w14:paraId="430ED9EC"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t>Approved budget and duration</w:t>
            </w:r>
          </w:p>
        </w:tc>
        <w:tc>
          <w:tcPr>
            <w:tcW w:w="406" w:type="pct"/>
            <w:noWrap/>
            <w:textDirection w:val="btLr"/>
          </w:tcPr>
          <w:p w14:paraId="2BCB13D8"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t>Overall rating</w:t>
            </w:r>
          </w:p>
        </w:tc>
        <w:tc>
          <w:tcPr>
            <w:tcW w:w="405" w:type="pct"/>
            <w:noWrap/>
            <w:textDirection w:val="btLr"/>
          </w:tcPr>
          <w:p w14:paraId="28C50888"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t>Relevance</w:t>
            </w:r>
          </w:p>
        </w:tc>
        <w:tc>
          <w:tcPr>
            <w:tcW w:w="447" w:type="pct"/>
            <w:noWrap/>
            <w:textDirection w:val="btLr"/>
          </w:tcPr>
          <w:p w14:paraId="29E512B0"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t>Effectiveness</w:t>
            </w:r>
          </w:p>
        </w:tc>
        <w:tc>
          <w:tcPr>
            <w:tcW w:w="404" w:type="pct"/>
            <w:noWrap/>
            <w:textDirection w:val="btLr"/>
          </w:tcPr>
          <w:p w14:paraId="540AB624"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t>Efficiency</w:t>
            </w:r>
          </w:p>
        </w:tc>
        <w:tc>
          <w:tcPr>
            <w:tcW w:w="447" w:type="pct"/>
            <w:noWrap/>
            <w:textDirection w:val="btLr"/>
          </w:tcPr>
          <w:p w14:paraId="39FA5281"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t>Monitoring and Evaluation</w:t>
            </w:r>
          </w:p>
        </w:tc>
        <w:tc>
          <w:tcPr>
            <w:tcW w:w="404" w:type="pct"/>
            <w:noWrap/>
            <w:textDirection w:val="btLr"/>
          </w:tcPr>
          <w:p w14:paraId="533BE705"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t>Sustainability</w:t>
            </w:r>
          </w:p>
        </w:tc>
        <w:tc>
          <w:tcPr>
            <w:tcW w:w="447" w:type="pct"/>
            <w:textDirection w:val="btLr"/>
          </w:tcPr>
          <w:p w14:paraId="3C1A8195"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t>Gender equality</w:t>
            </w:r>
          </w:p>
        </w:tc>
        <w:tc>
          <w:tcPr>
            <w:tcW w:w="400" w:type="pct"/>
            <w:textDirection w:val="btLr"/>
          </w:tcPr>
          <w:p w14:paraId="5FEA1801" w14:textId="77777777" w:rsidR="00AC4026" w:rsidRPr="00AC4026" w:rsidRDefault="00AC4026" w:rsidP="00AC4026">
            <w:pPr>
              <w:keepLines/>
              <w:spacing w:before="80" w:after="80" w:line="200" w:lineRule="atLeast"/>
              <w:rPr>
                <w:rFonts w:ascii="Franklin Gothic Medium" w:eastAsia="Times New Roman" w:hAnsi="Franklin Gothic Medium"/>
                <w:b/>
                <w:iCs/>
                <w:sz w:val="17"/>
                <w:szCs w:val="17"/>
                <w:lang w:eastAsia="en-US"/>
              </w:rPr>
            </w:pPr>
            <w:r w:rsidRPr="00AC4026">
              <w:rPr>
                <w:rFonts w:ascii="Franklin Gothic Medium" w:eastAsia="Times New Roman" w:hAnsi="Franklin Gothic Medium"/>
                <w:b/>
                <w:iCs/>
                <w:sz w:val="17"/>
                <w:szCs w:val="17"/>
                <w:lang w:eastAsia="en-US"/>
              </w:rPr>
              <w:t>Risks  and Safeguards</w:t>
            </w:r>
          </w:p>
        </w:tc>
      </w:tr>
      <w:tr w:rsidR="00AC4026" w:rsidRPr="00AC4026" w14:paraId="11AF7850" w14:textId="77777777" w:rsidTr="00307C70">
        <w:trPr>
          <w:cnfStyle w:val="000000010000" w:firstRow="0" w:lastRow="0" w:firstColumn="0" w:lastColumn="0" w:oddVBand="0" w:evenVBand="0" w:oddHBand="0" w:evenHBand="1" w:firstRowFirstColumn="0" w:firstRowLastColumn="0" w:lastRowFirstColumn="0" w:lastRowLastColumn="0"/>
          <w:trHeight w:val="284"/>
        </w:trPr>
        <w:tc>
          <w:tcPr>
            <w:tcW w:w="884" w:type="pct"/>
          </w:tcPr>
          <w:p w14:paraId="69943A91"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Core Support to International Centre for Diarrhoeal Disease Research</w:t>
            </w:r>
          </w:p>
        </w:tc>
        <w:tc>
          <w:tcPr>
            <w:tcW w:w="643" w:type="pct"/>
          </w:tcPr>
          <w:p w14:paraId="7697B5B9"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$15,450,000</w:t>
            </w:r>
          </w:p>
          <w:p w14:paraId="35236D5F"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17/04/2011-</w:t>
            </w:r>
          </w:p>
          <w:p w14:paraId="2B27B665"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30/06/2015</w:t>
            </w:r>
          </w:p>
        </w:tc>
        <w:tc>
          <w:tcPr>
            <w:tcW w:w="406" w:type="pct"/>
            <w:shd w:val="clear" w:color="auto" w:fill="92D050"/>
            <w:noWrap/>
          </w:tcPr>
          <w:p w14:paraId="2D8D1536"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05" w:type="pct"/>
            <w:shd w:val="clear" w:color="auto" w:fill="F79646" w:themeFill="accent6"/>
            <w:noWrap/>
          </w:tcPr>
          <w:p w14:paraId="18738E43"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3</w:t>
            </w:r>
          </w:p>
        </w:tc>
        <w:tc>
          <w:tcPr>
            <w:tcW w:w="447" w:type="pct"/>
            <w:shd w:val="clear" w:color="auto" w:fill="92D050"/>
            <w:noWrap/>
          </w:tcPr>
          <w:p w14:paraId="24256B6C"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04" w:type="pct"/>
            <w:shd w:val="clear" w:color="auto" w:fill="FFFF00"/>
            <w:noWrap/>
          </w:tcPr>
          <w:p w14:paraId="4A96C1DC"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47" w:type="pct"/>
            <w:shd w:val="clear" w:color="auto" w:fill="FFFF00"/>
            <w:noWrap/>
          </w:tcPr>
          <w:p w14:paraId="1497F489"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04" w:type="pct"/>
            <w:shd w:val="clear" w:color="auto" w:fill="92D050"/>
            <w:noWrap/>
          </w:tcPr>
          <w:p w14:paraId="248CD68E"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47" w:type="pct"/>
            <w:shd w:val="clear" w:color="auto" w:fill="92D050"/>
          </w:tcPr>
          <w:p w14:paraId="4A0FD48F"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00" w:type="pct"/>
            <w:shd w:val="clear" w:color="auto" w:fill="92D050"/>
          </w:tcPr>
          <w:p w14:paraId="5C5A5D05"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r>
      <w:tr w:rsidR="00AC4026" w:rsidRPr="00AC4026" w14:paraId="0C87E81D" w14:textId="77777777" w:rsidTr="00307C70">
        <w:trPr>
          <w:cnfStyle w:val="000000010000" w:firstRow="0" w:lastRow="0" w:firstColumn="0" w:lastColumn="0" w:oddVBand="0" w:evenVBand="0" w:oddHBand="0" w:evenHBand="1" w:firstRowFirstColumn="0" w:firstRowLastColumn="0" w:lastRowFirstColumn="0" w:lastRowLastColumn="0"/>
          <w:trHeight w:val="284"/>
        </w:trPr>
        <w:tc>
          <w:tcPr>
            <w:tcW w:w="884" w:type="pct"/>
          </w:tcPr>
          <w:p w14:paraId="13A75355"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Demand for Governance and Accountability</w:t>
            </w:r>
          </w:p>
        </w:tc>
        <w:tc>
          <w:tcPr>
            <w:tcW w:w="643" w:type="pct"/>
          </w:tcPr>
          <w:p w14:paraId="1534952F"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$6,000,000</w:t>
            </w:r>
          </w:p>
          <w:p w14:paraId="1D4BF37C" w14:textId="77777777" w:rsidR="00AC4026" w:rsidRPr="00AC4026" w:rsidRDefault="00AC4026" w:rsidP="00AC4026">
            <w:pPr>
              <w:keepLines/>
              <w:spacing w:before="40" w:after="40" w:line="200" w:lineRule="atLeast"/>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01/05/2013- 30/06/2015</w:t>
            </w:r>
          </w:p>
        </w:tc>
        <w:tc>
          <w:tcPr>
            <w:tcW w:w="406" w:type="pct"/>
            <w:shd w:val="clear" w:color="auto" w:fill="92D050"/>
            <w:noWrap/>
          </w:tcPr>
          <w:p w14:paraId="05C8937F"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05" w:type="pct"/>
            <w:shd w:val="clear" w:color="auto" w:fill="FFFF00"/>
            <w:noWrap/>
          </w:tcPr>
          <w:p w14:paraId="7ACF327E"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47" w:type="pct"/>
            <w:shd w:val="clear" w:color="auto" w:fill="FFFF00"/>
            <w:noWrap/>
          </w:tcPr>
          <w:p w14:paraId="79D11749"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04" w:type="pct"/>
            <w:shd w:val="clear" w:color="auto" w:fill="FFFF00"/>
            <w:noWrap/>
          </w:tcPr>
          <w:p w14:paraId="6577541D"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47" w:type="pct"/>
            <w:shd w:val="clear" w:color="auto" w:fill="FFFF00"/>
            <w:noWrap/>
          </w:tcPr>
          <w:p w14:paraId="2DE2BB79"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04" w:type="pct"/>
            <w:shd w:val="clear" w:color="auto" w:fill="FFFF00"/>
            <w:noWrap/>
          </w:tcPr>
          <w:p w14:paraId="6E3EC9C0"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c>
          <w:tcPr>
            <w:tcW w:w="447" w:type="pct"/>
            <w:shd w:val="clear" w:color="auto" w:fill="92D050"/>
          </w:tcPr>
          <w:p w14:paraId="79CEBED0"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5</w:t>
            </w:r>
          </w:p>
        </w:tc>
        <w:tc>
          <w:tcPr>
            <w:tcW w:w="400" w:type="pct"/>
            <w:shd w:val="clear" w:color="auto" w:fill="FFFF00"/>
          </w:tcPr>
          <w:p w14:paraId="0B7B1957" w14:textId="77777777" w:rsidR="00AC4026" w:rsidRPr="00AC4026" w:rsidRDefault="00AC4026" w:rsidP="00AC4026">
            <w:pPr>
              <w:keepLines/>
              <w:spacing w:before="40" w:after="40" w:line="200" w:lineRule="atLeast"/>
              <w:jc w:val="center"/>
              <w:rPr>
                <w:rFonts w:ascii="Franklin Gothic Book" w:eastAsia="Times New Roman" w:hAnsi="Franklin Gothic Book"/>
                <w:iCs/>
                <w:sz w:val="17"/>
                <w:szCs w:val="17"/>
                <w:lang w:eastAsia="en-US"/>
              </w:rPr>
            </w:pPr>
            <w:r w:rsidRPr="00AC4026">
              <w:rPr>
                <w:rFonts w:ascii="Franklin Gothic Book" w:eastAsia="Times New Roman" w:hAnsi="Franklin Gothic Book"/>
                <w:iCs/>
                <w:sz w:val="17"/>
                <w:szCs w:val="17"/>
                <w:lang w:eastAsia="en-US"/>
              </w:rPr>
              <w:t>4</w:t>
            </w:r>
          </w:p>
        </w:tc>
      </w:tr>
    </w:tbl>
    <w:p w14:paraId="54E05B47" w14:textId="77777777" w:rsidR="00AC4026" w:rsidRPr="00AC4026" w:rsidRDefault="00AC4026" w:rsidP="00AC4026">
      <w:pPr>
        <w:spacing w:before="20" w:after="20" w:line="180" w:lineRule="atLeast"/>
        <w:jc w:val="both"/>
        <w:rPr>
          <w:rFonts w:ascii="Franklin Gothic Book" w:eastAsia="Times New Roman" w:hAnsi="Franklin Gothic Book"/>
          <w:b/>
          <w:sz w:val="14"/>
          <w:szCs w:val="14"/>
        </w:rPr>
      </w:pPr>
    </w:p>
    <w:p w14:paraId="3E1A9C38" w14:textId="77777777" w:rsidR="00AC4026" w:rsidRPr="00AC4026" w:rsidRDefault="00AC4026" w:rsidP="00AC4026">
      <w:pPr>
        <w:spacing w:before="20" w:after="20" w:line="180" w:lineRule="atLeast"/>
        <w:jc w:val="both"/>
        <w:rPr>
          <w:rFonts w:ascii="Franklin Gothic Book" w:eastAsia="Times New Roman" w:hAnsi="Franklin Gothic Book"/>
          <w:b/>
          <w:sz w:val="14"/>
          <w:szCs w:val="14"/>
        </w:rPr>
      </w:pPr>
      <w:r w:rsidRPr="00AC4026">
        <w:rPr>
          <w:rFonts w:ascii="Franklin Gothic Book" w:eastAsia="Times New Roman" w:hAnsi="Franklin Gothic Book"/>
          <w:b/>
          <w:sz w:val="14"/>
          <w:szCs w:val="14"/>
        </w:rPr>
        <w:t>Definitions of rating scale:</w:t>
      </w:r>
      <w:r w:rsidRPr="00AC4026">
        <w:rPr>
          <w:rFonts w:ascii="Franklin Gothic Book" w:eastAsia="Times New Roman" w:hAnsi="Franklin Gothic Book"/>
          <w:b/>
          <w:sz w:val="14"/>
          <w:szCs w:val="14"/>
        </w:rPr>
        <w:tab/>
      </w:r>
    </w:p>
    <w:p w14:paraId="1DE7D9A0" w14:textId="77777777" w:rsidR="00AC4026" w:rsidRPr="00AC4026" w:rsidRDefault="00AC4026" w:rsidP="00AC4026">
      <w:pPr>
        <w:spacing w:before="20" w:after="20" w:line="180" w:lineRule="atLeast"/>
        <w:jc w:val="both"/>
        <w:rPr>
          <w:rFonts w:ascii="Franklin Gothic Book" w:eastAsia="Times New Roman" w:hAnsi="Franklin Gothic Book"/>
          <w:b/>
          <w:sz w:val="14"/>
          <w:szCs w:val="14"/>
        </w:rPr>
      </w:pPr>
      <w:r w:rsidRPr="00AC4026">
        <w:rPr>
          <w:rFonts w:ascii="Franklin Gothic Book" w:eastAsia="Times New Roman" w:hAnsi="Franklin Gothic Book"/>
          <w:b/>
          <w:sz w:val="14"/>
          <w:szCs w:val="14"/>
        </w:rPr>
        <w:t>Satisfactory (4, 5 and 6)</w:t>
      </w:r>
    </w:p>
    <w:p w14:paraId="62949B53" w14:textId="77777777" w:rsidR="00AC4026" w:rsidRPr="00AC4026" w:rsidRDefault="00AC4026" w:rsidP="00AC4026">
      <w:pPr>
        <w:spacing w:before="20" w:after="20" w:line="180" w:lineRule="atLeast"/>
        <w:jc w:val="both"/>
        <w:rPr>
          <w:rFonts w:ascii="Franklin Gothic Book" w:eastAsia="Times New Roman" w:hAnsi="Franklin Gothic Book"/>
          <w:b/>
          <w:sz w:val="14"/>
          <w:szCs w:val="14"/>
        </w:rPr>
      </w:pPr>
      <w:r w:rsidRPr="00AC4026">
        <w:rPr>
          <w:rFonts w:ascii="Franklin Gothic Book" w:eastAsia="Times New Roman" w:hAnsi="Franklin Gothic Book"/>
          <w:b/>
          <w:color w:val="72AF2F"/>
          <w:sz w:val="14"/>
          <w:szCs w:val="14"/>
        </w:rPr>
        <w:sym w:font="Webdings" w:char="F067"/>
      </w:r>
      <w:r w:rsidRPr="00AC4026">
        <w:rPr>
          <w:rFonts w:ascii="Franklin Gothic Book" w:eastAsia="Times New Roman" w:hAnsi="Franklin Gothic Book"/>
          <w:b/>
          <w:sz w:val="14"/>
          <w:szCs w:val="14"/>
        </w:rPr>
        <w:t xml:space="preserve"> = 6 = </w:t>
      </w:r>
      <w:r w:rsidRPr="00AC4026">
        <w:rPr>
          <w:rFonts w:ascii="Franklin Gothic Book" w:eastAsia="Times New Roman" w:hAnsi="Franklin Gothic Book"/>
          <w:sz w:val="14"/>
          <w:szCs w:val="14"/>
        </w:rPr>
        <w:t>Very good; satisfies criteria in all or almost all areas</w:t>
      </w:r>
    </w:p>
    <w:p w14:paraId="7A17B4F0" w14:textId="77777777" w:rsidR="00AC4026" w:rsidRPr="00AC4026" w:rsidRDefault="00AC4026" w:rsidP="00AC4026">
      <w:pPr>
        <w:spacing w:before="20" w:after="20" w:line="180" w:lineRule="atLeast"/>
        <w:jc w:val="both"/>
        <w:rPr>
          <w:rFonts w:ascii="Franklin Gothic Book" w:eastAsia="Times New Roman" w:hAnsi="Franklin Gothic Book"/>
          <w:sz w:val="14"/>
          <w:szCs w:val="14"/>
        </w:rPr>
      </w:pPr>
      <w:r w:rsidRPr="00AC4026">
        <w:rPr>
          <w:rFonts w:ascii="Franklin Gothic Book" w:eastAsia="Times New Roman" w:hAnsi="Franklin Gothic Book"/>
          <w:b/>
          <w:color w:val="72AF2F"/>
          <w:sz w:val="14"/>
          <w:szCs w:val="14"/>
        </w:rPr>
        <w:sym w:font="Webdings" w:char="F067"/>
      </w:r>
      <w:r w:rsidRPr="00AC4026">
        <w:rPr>
          <w:rFonts w:ascii="Franklin Gothic Book" w:eastAsia="Times New Roman" w:hAnsi="Franklin Gothic Book"/>
          <w:b/>
          <w:sz w:val="14"/>
          <w:szCs w:val="14"/>
        </w:rPr>
        <w:t xml:space="preserve"> = 5 = </w:t>
      </w:r>
      <w:r w:rsidRPr="00AC4026">
        <w:rPr>
          <w:rFonts w:ascii="Franklin Gothic Book" w:eastAsia="Times New Roman" w:hAnsi="Franklin Gothic Book"/>
          <w:sz w:val="14"/>
          <w:szCs w:val="14"/>
        </w:rPr>
        <w:t>Good; satisfies criteria in most areas</w:t>
      </w:r>
    </w:p>
    <w:p w14:paraId="7A8549B4" w14:textId="77777777" w:rsidR="00AC4026" w:rsidRPr="00AC4026" w:rsidRDefault="00AC4026" w:rsidP="00AC4026">
      <w:pPr>
        <w:spacing w:before="20" w:after="20" w:line="180" w:lineRule="atLeast"/>
        <w:jc w:val="both"/>
        <w:rPr>
          <w:rFonts w:ascii="Franklin Gothic Book" w:eastAsia="Times New Roman" w:hAnsi="Franklin Gothic Book"/>
          <w:sz w:val="14"/>
          <w:szCs w:val="14"/>
        </w:rPr>
      </w:pPr>
      <w:r w:rsidRPr="00AC4026">
        <w:rPr>
          <w:rFonts w:ascii="Franklin Gothic Book" w:eastAsia="Times New Roman" w:hAnsi="Franklin Gothic Book"/>
          <w:b/>
          <w:color w:val="FFFF00"/>
          <w:sz w:val="14"/>
          <w:szCs w:val="14"/>
        </w:rPr>
        <w:sym w:font="Webdings" w:char="F067"/>
      </w:r>
      <w:r w:rsidRPr="00AC4026">
        <w:rPr>
          <w:rFonts w:ascii="Franklin Gothic Book" w:eastAsia="Times New Roman" w:hAnsi="Franklin Gothic Book"/>
          <w:b/>
          <w:sz w:val="14"/>
          <w:szCs w:val="14"/>
        </w:rPr>
        <w:t xml:space="preserve"> = 4 = </w:t>
      </w:r>
      <w:r w:rsidRPr="00AC4026">
        <w:rPr>
          <w:rFonts w:ascii="Franklin Gothic Book" w:eastAsia="Times New Roman" w:hAnsi="Franklin Gothic Book"/>
          <w:sz w:val="14"/>
          <w:szCs w:val="14"/>
        </w:rPr>
        <w:t>Adequate; on balance, satisfies criteria; does not fail in any major area</w:t>
      </w:r>
    </w:p>
    <w:p w14:paraId="66697B98" w14:textId="77777777" w:rsidR="00AC4026" w:rsidRPr="00AC4026" w:rsidRDefault="00AC4026" w:rsidP="00AC4026">
      <w:pPr>
        <w:spacing w:before="20" w:after="20" w:line="180" w:lineRule="atLeast"/>
        <w:jc w:val="both"/>
        <w:rPr>
          <w:rFonts w:ascii="Franklin Gothic Book" w:eastAsia="Times New Roman" w:hAnsi="Franklin Gothic Book"/>
          <w:sz w:val="14"/>
          <w:szCs w:val="14"/>
        </w:rPr>
      </w:pPr>
      <w:r w:rsidRPr="00AC4026">
        <w:rPr>
          <w:rFonts w:ascii="Franklin Gothic Book" w:eastAsia="Times New Roman" w:hAnsi="Franklin Gothic Book"/>
          <w:sz w:val="14"/>
          <w:szCs w:val="14"/>
        </w:rPr>
        <w:t>Less than satisfactory (1, 2 and 3)</w:t>
      </w:r>
    </w:p>
    <w:p w14:paraId="77B76423" w14:textId="77777777" w:rsidR="00AC4026" w:rsidRPr="00AC4026" w:rsidRDefault="00AC4026" w:rsidP="00AC4026">
      <w:pPr>
        <w:spacing w:before="20" w:after="20" w:line="180" w:lineRule="atLeast"/>
        <w:jc w:val="both"/>
        <w:rPr>
          <w:rFonts w:ascii="Franklin Gothic Book" w:eastAsia="Times New Roman" w:hAnsi="Franklin Gothic Book"/>
          <w:b/>
          <w:sz w:val="14"/>
          <w:szCs w:val="14"/>
        </w:rPr>
      </w:pPr>
      <w:r w:rsidRPr="00AC4026">
        <w:rPr>
          <w:rFonts w:ascii="Franklin Gothic Book" w:eastAsia="Times New Roman" w:hAnsi="Franklin Gothic Book"/>
          <w:b/>
          <w:color w:val="E36C0A"/>
          <w:sz w:val="14"/>
          <w:szCs w:val="14"/>
        </w:rPr>
        <w:sym w:font="Webdings" w:char="F067"/>
      </w:r>
      <w:r w:rsidRPr="00AC4026">
        <w:rPr>
          <w:rFonts w:ascii="Franklin Gothic Book" w:eastAsia="Times New Roman" w:hAnsi="Franklin Gothic Book"/>
          <w:b/>
          <w:color w:val="E36C0A"/>
          <w:sz w:val="14"/>
          <w:szCs w:val="14"/>
        </w:rPr>
        <w:t xml:space="preserve"> </w:t>
      </w:r>
      <w:r w:rsidRPr="00AC4026">
        <w:rPr>
          <w:rFonts w:ascii="Franklin Gothic Book" w:eastAsia="Times New Roman" w:hAnsi="Franklin Gothic Book"/>
          <w:b/>
          <w:sz w:val="14"/>
          <w:szCs w:val="14"/>
        </w:rPr>
        <w:t xml:space="preserve">= 3 = </w:t>
      </w:r>
      <w:r w:rsidRPr="00AC4026">
        <w:rPr>
          <w:rFonts w:ascii="Franklin Gothic Book" w:eastAsia="Times New Roman" w:hAnsi="Franklin Gothic Book"/>
          <w:sz w:val="14"/>
          <w:szCs w:val="14"/>
        </w:rPr>
        <w:t>Less than adequate; on balance does not satisfy criteria but does not fail in any major area</w:t>
      </w:r>
    </w:p>
    <w:p w14:paraId="51897E76" w14:textId="77777777" w:rsidR="00AC4026" w:rsidRPr="00AC4026" w:rsidRDefault="00AC4026" w:rsidP="00AC4026">
      <w:pPr>
        <w:spacing w:before="20" w:after="20" w:line="180" w:lineRule="atLeast"/>
        <w:jc w:val="both"/>
        <w:rPr>
          <w:rFonts w:ascii="Franklin Gothic Book" w:eastAsia="Times New Roman" w:hAnsi="Franklin Gothic Book"/>
          <w:sz w:val="14"/>
          <w:szCs w:val="14"/>
        </w:rPr>
      </w:pPr>
      <w:r w:rsidRPr="00AC4026">
        <w:rPr>
          <w:rFonts w:ascii="Franklin Gothic Book" w:eastAsia="Times New Roman" w:hAnsi="Franklin Gothic Book"/>
          <w:b/>
          <w:color w:val="FF0000"/>
          <w:sz w:val="14"/>
          <w:szCs w:val="14"/>
        </w:rPr>
        <w:sym w:font="Webdings" w:char="F067"/>
      </w:r>
      <w:r w:rsidRPr="00AC4026">
        <w:rPr>
          <w:rFonts w:ascii="Franklin Gothic Book" w:eastAsia="Times New Roman" w:hAnsi="Franklin Gothic Book"/>
          <w:b/>
          <w:sz w:val="14"/>
          <w:szCs w:val="14"/>
        </w:rPr>
        <w:t xml:space="preserve"> = 2 = </w:t>
      </w:r>
      <w:r w:rsidRPr="00AC4026">
        <w:rPr>
          <w:rFonts w:ascii="Franklin Gothic Book" w:eastAsia="Times New Roman" w:hAnsi="Franklin Gothic Book"/>
          <w:sz w:val="14"/>
          <w:szCs w:val="14"/>
        </w:rPr>
        <w:t>Poor; does not satisfy criteria in major areas</w:t>
      </w:r>
    </w:p>
    <w:p w14:paraId="22C55680" w14:textId="77777777" w:rsidR="00AC4026" w:rsidRPr="00AC4026" w:rsidRDefault="00AC4026" w:rsidP="00AC4026">
      <w:pPr>
        <w:spacing w:before="20" w:after="20" w:line="180" w:lineRule="atLeast"/>
        <w:jc w:val="both"/>
        <w:rPr>
          <w:rFonts w:ascii="Franklin Gothic Book" w:eastAsia="Times New Roman" w:hAnsi="Franklin Gothic Book"/>
          <w:b/>
          <w:sz w:val="14"/>
          <w:szCs w:val="14"/>
        </w:rPr>
      </w:pPr>
      <w:r w:rsidRPr="00AC4026">
        <w:rPr>
          <w:rFonts w:ascii="Franklin Gothic Book" w:eastAsia="Times New Roman" w:hAnsi="Franklin Gothic Book"/>
          <w:b/>
          <w:color w:val="FF0000"/>
          <w:sz w:val="14"/>
          <w:szCs w:val="14"/>
        </w:rPr>
        <w:sym w:font="Webdings" w:char="F067"/>
      </w:r>
      <w:r w:rsidRPr="00AC4026">
        <w:rPr>
          <w:rFonts w:ascii="Franklin Gothic Book" w:eastAsia="Times New Roman" w:hAnsi="Franklin Gothic Book"/>
          <w:b/>
          <w:sz w:val="14"/>
          <w:szCs w:val="14"/>
        </w:rPr>
        <w:t xml:space="preserve"> = 1 = </w:t>
      </w:r>
      <w:r w:rsidRPr="00AC4026">
        <w:rPr>
          <w:rFonts w:ascii="Franklin Gothic Book" w:eastAsia="Times New Roman" w:hAnsi="Franklin Gothic Book"/>
          <w:sz w:val="14"/>
          <w:szCs w:val="14"/>
        </w:rPr>
        <w:t>Very poor; does not satisfy criteria in many major areas</w:t>
      </w:r>
    </w:p>
    <w:p w14:paraId="3B6E3861" w14:textId="77777777" w:rsidR="00516D93" w:rsidRPr="00AD75A9" w:rsidRDefault="00516D93">
      <w:pPr>
        <w:spacing w:after="200" w:line="276" w:lineRule="auto"/>
        <w:rPr>
          <w:kern w:val="28"/>
          <w:szCs w:val="20"/>
        </w:rPr>
      </w:pPr>
    </w:p>
    <w:sectPr w:rsidR="00516D93" w:rsidRPr="00AD75A9" w:rsidSect="001C745A">
      <w:headerReference w:type="even" r:id="rId23"/>
      <w:footerReference w:type="first" r:id="rId24"/>
      <w:pgSz w:w="16840" w:h="11907" w:orient="landscape" w:code="9"/>
      <w:pgMar w:top="1871" w:right="2268"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11C15" w14:textId="77777777" w:rsidR="00041C5A" w:rsidRDefault="00041C5A" w:rsidP="0050529F">
      <w:r>
        <w:separator/>
      </w:r>
    </w:p>
    <w:p w14:paraId="61EF2C5E" w14:textId="77777777" w:rsidR="00041C5A" w:rsidRDefault="00041C5A"/>
    <w:p w14:paraId="2F85EAB7" w14:textId="77777777" w:rsidR="00041C5A" w:rsidRDefault="00041C5A"/>
    <w:p w14:paraId="3F8A3CC8" w14:textId="77777777" w:rsidR="00041C5A" w:rsidRDefault="00041C5A"/>
    <w:p w14:paraId="354A9761" w14:textId="77777777" w:rsidR="00041C5A" w:rsidRDefault="00041C5A"/>
    <w:p w14:paraId="099E2C19" w14:textId="77777777" w:rsidR="00041C5A" w:rsidRDefault="00041C5A"/>
    <w:p w14:paraId="140E75FB" w14:textId="77777777" w:rsidR="00041C5A" w:rsidRDefault="00041C5A"/>
  </w:endnote>
  <w:endnote w:type="continuationSeparator" w:id="0">
    <w:p w14:paraId="29B4E154" w14:textId="77777777" w:rsidR="00041C5A" w:rsidRDefault="00041C5A" w:rsidP="0050529F">
      <w:r>
        <w:continuationSeparator/>
      </w:r>
    </w:p>
    <w:p w14:paraId="1B352078" w14:textId="77777777" w:rsidR="00041C5A" w:rsidRDefault="00041C5A"/>
    <w:p w14:paraId="602B63F9" w14:textId="77777777" w:rsidR="00041C5A" w:rsidRDefault="00041C5A"/>
    <w:p w14:paraId="7BA73320" w14:textId="77777777" w:rsidR="00041C5A" w:rsidRDefault="00041C5A"/>
    <w:p w14:paraId="58615380" w14:textId="77777777" w:rsidR="00041C5A" w:rsidRDefault="00041C5A"/>
    <w:p w14:paraId="28CD3F86" w14:textId="77777777" w:rsidR="00041C5A" w:rsidRDefault="00041C5A"/>
    <w:p w14:paraId="650AD257" w14:textId="77777777" w:rsidR="00041C5A" w:rsidRDefault="00041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50926" w14:textId="77777777" w:rsidR="007A71DB" w:rsidRDefault="007A7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25575"/>
      <w:docPartObj>
        <w:docPartGallery w:val="Page Numbers (Bottom of Page)"/>
        <w:docPartUnique/>
      </w:docPartObj>
    </w:sdtPr>
    <w:sdtEndPr>
      <w:rPr>
        <w:noProof/>
      </w:rPr>
    </w:sdtEndPr>
    <w:sdtContent>
      <w:p w14:paraId="37703F6F" w14:textId="77777777" w:rsidR="005A3F72" w:rsidRDefault="005A3F72">
        <w:pPr>
          <w:pStyle w:val="Footer"/>
          <w:jc w:val="right"/>
        </w:pPr>
        <w:r>
          <w:fldChar w:fldCharType="begin"/>
        </w:r>
        <w:r>
          <w:instrText xml:space="preserve"> PAGE   \* MERGEFORMAT </w:instrText>
        </w:r>
        <w:r>
          <w:fldChar w:fldCharType="separate"/>
        </w:r>
        <w:r w:rsidR="002A77DC">
          <w:rPr>
            <w:noProof/>
          </w:rPr>
          <w:t>2</w:t>
        </w:r>
        <w:r>
          <w:rPr>
            <w:noProof/>
          </w:rPr>
          <w:fldChar w:fldCharType="end"/>
        </w:r>
      </w:p>
    </w:sdtContent>
  </w:sdt>
  <w:p w14:paraId="683E56C5" w14:textId="77777777" w:rsidR="005A3F72" w:rsidRDefault="005A3F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03EE6" w14:textId="77777777" w:rsidR="007A71DB" w:rsidRDefault="007A71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BACA9" w14:textId="77777777" w:rsidR="005A3F72" w:rsidRPr="004C4A3E" w:rsidRDefault="005A3F72"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6565E68A" wp14:editId="114A367E">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0" o:spid="_x0000_s1026" alt="Description: 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2A77DC">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2A77DC">
      <w:rPr>
        <w:rFonts w:ascii="Franklin Gothic Medium" w:hAnsi="Franklin Gothic Medium"/>
        <w:noProof/>
        <w:color w:val="54534A"/>
        <w:sz w:val="14"/>
        <w:szCs w:val="14"/>
      </w:rPr>
      <w:t>25</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67194B00" wp14:editId="505F26ED">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1" o:spid="_x0000_s1026" alt="Description: 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6D652976" wp14:editId="5CF48C20">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 o:spid="_x0000_s1026" alt="Description: 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86CF1" w14:textId="77777777" w:rsidR="005A3F72" w:rsidRPr="004C4A3E" w:rsidRDefault="005A3F72"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32992" behindDoc="1" locked="1" layoutInCell="1" allowOverlap="1" wp14:anchorId="4386DFDD" wp14:editId="2846FB93">
              <wp:simplePos x="0" y="0"/>
              <wp:positionH relativeFrom="page">
                <wp:posOffset>0</wp:posOffset>
              </wp:positionH>
              <wp:positionV relativeFrom="page">
                <wp:posOffset>8533130</wp:posOffset>
              </wp:positionV>
              <wp:extent cx="7380000" cy="2181600"/>
              <wp:effectExtent l="0" t="0" r="0" b="9525"/>
              <wp:wrapNone/>
              <wp:docPr id="9" name="Rectangle 9"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AusAID web address graphic" style="position:absolute;margin-left:0;margin-top:671.9pt;width:581.1pt;height:171.8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LQWm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CrC0Fp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31968" behindDoc="1" locked="0" layoutInCell="1" allowOverlap="1" wp14:anchorId="462E0B85" wp14:editId="6F7CD457">
              <wp:simplePos x="0" y="0"/>
              <wp:positionH relativeFrom="column">
                <wp:posOffset>0</wp:posOffset>
              </wp:positionH>
              <wp:positionV relativeFrom="paragraph">
                <wp:posOffset>8498840</wp:posOffset>
              </wp:positionV>
              <wp:extent cx="7379970" cy="2181860"/>
              <wp:effectExtent l="0" t="2540" r="1905" b="0"/>
              <wp:wrapNone/>
              <wp:docPr id="10" name="Rectangle 1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AusAID web address graphic" style="position:absolute;margin-left:0;margin-top:669.2pt;width:581.1pt;height:171.8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wl7K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YsJey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30944" behindDoc="1" locked="0" layoutInCell="1" allowOverlap="1" wp14:anchorId="22EB0472" wp14:editId="2D164030">
              <wp:simplePos x="0" y="0"/>
              <wp:positionH relativeFrom="column">
                <wp:posOffset>0</wp:posOffset>
              </wp:positionH>
              <wp:positionV relativeFrom="paragraph">
                <wp:posOffset>8498840</wp:posOffset>
              </wp:positionV>
              <wp:extent cx="7379970" cy="2181860"/>
              <wp:effectExtent l="0" t="2540" r="1905" b="0"/>
              <wp:wrapNone/>
              <wp:docPr id="13" name="Rectangle 1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alt="AusAID web address graphic" style="position:absolute;margin-left:0;margin-top:669.2pt;width:581.1pt;height:17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MoR+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DxTKEf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5847C" w14:textId="77777777" w:rsidR="005A3F72" w:rsidRPr="004C4A3E" w:rsidRDefault="005A3F72"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8896" behindDoc="1" locked="1" layoutInCell="1" allowOverlap="1" wp14:anchorId="2CB095FF" wp14:editId="0D772078">
              <wp:simplePos x="0" y="0"/>
              <wp:positionH relativeFrom="page">
                <wp:posOffset>0</wp:posOffset>
              </wp:positionH>
              <wp:positionV relativeFrom="page">
                <wp:posOffset>8533130</wp:posOffset>
              </wp:positionV>
              <wp:extent cx="7380000" cy="2181600"/>
              <wp:effectExtent l="0" t="0" r="0" b="9525"/>
              <wp:wrapNone/>
              <wp:docPr id="6" name="Rectangle 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6" o:spid="_x0000_s1026" alt="Description: AusAID web address graphic" style="position:absolute;margin-left:0;margin-top:671.9pt;width:581.1pt;height:171.8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kU1e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F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BkpFNX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24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7872" behindDoc="1" locked="0" layoutInCell="1" allowOverlap="1" wp14:anchorId="2E25645A" wp14:editId="6B87927B">
              <wp:simplePos x="0" y="0"/>
              <wp:positionH relativeFrom="column">
                <wp:posOffset>0</wp:posOffset>
              </wp:positionH>
              <wp:positionV relativeFrom="paragraph">
                <wp:posOffset>8498840</wp:posOffset>
              </wp:positionV>
              <wp:extent cx="7379970" cy="2181860"/>
              <wp:effectExtent l="0" t="2540" r="1905" b="0"/>
              <wp:wrapNone/>
              <wp:docPr id="7"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7" o:spid="_x0000_s1026" alt="Description: AusAID web address graphic" style="position:absolute;margin-left:0;margin-top:669.2pt;width:581.1pt;height:17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1RJC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y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BSNUSQ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6848" behindDoc="1" locked="0" layoutInCell="1" allowOverlap="1" wp14:anchorId="4B0B64F4" wp14:editId="0F2CD09E">
              <wp:simplePos x="0" y="0"/>
              <wp:positionH relativeFrom="column">
                <wp:posOffset>0</wp:posOffset>
              </wp:positionH>
              <wp:positionV relativeFrom="paragraph">
                <wp:posOffset>8498840</wp:posOffset>
              </wp:positionV>
              <wp:extent cx="7379970" cy="2181860"/>
              <wp:effectExtent l="0" t="2540" r="1905" b="0"/>
              <wp:wrapNone/>
              <wp:docPr id="8" name="Rectangle 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8" o:spid="_x0000_s1026" alt="Description: AusAID web address graphic" style="position:absolute;margin-left:0;margin-top:669.2pt;width:581.1pt;height:17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aVq6q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gnFABRSZHqKMj&#10;1FFwFopMj1FGR6ii4C0UmR6ijIouAt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zfjT/AJBUX/XUfyNdJXN+NP8AkFRf9dR/I1y43/d5+h1YL/eIepwtFFFf&#10;JH1gVv6K2ii3/wBLC/asnBlzs9ulYFb+i/2L9m/0vb9qyf8AW52e1dOE/idPmcuM/hdfkaM8mseS&#10;39nCzMAH/Lrgn9a5BiS7FvvZ5+tdhOusmFv7OayEGOlrgcfjXHtncd3XPNbY7db/AD2+RjgNnt8t&#10;/mJWz4Wcrr8AH8QYH8jWNWv4Y/5GG2/4F/6Ca58L/Hh6o6cV/An6M9Hooor7A+Q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m/Gn/IKi/66j+RrpK5&#10;vxp/yCov+uo/ka5cb/u8/Q6sF/vEPU4Wiiivkj6wK2NN8P3GoW32nzUjgyRuOSePaset7RtM1GW2&#10;+1QXn2eDJ5yT09hXRhYKdSzjc58VNwp3UrD0XRdNY5urqeUdRGCgzWA5DOxGcE8ZrrbjV9PihaG9&#10;Y6hLjG4wBMVyLEFiQMDPArXGcqtGLXov6Zlg3J3lJO/d/pohK1/DH/Iw23/Av/QTWRWv4Y/5GG2/&#10;4F/6Caxwv8eHqjbFfwJ+jPR6KKK+wPk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vxp/yCov+uo/ka6Sub8af8gqL/rqP5GuXG/7vP0OrBf7xD1OF&#10;ooor5I+sCrdlc30LgWckwP8Adjyf0qpW/o2uNZ232QWZkBJ+eLh+a3w6TnrKxhiG1DSNzRtW1m5j&#10;xe2Nu8eOWnUKf8/hXIyDEjDAGCeBXXT6MdShaf7XewcZ2XZyP51yDDDEZzg9a6MapJRT+99TmwLi&#10;3Jq3ougla/hj/kYbb/gX/oJrIrX8Mf8AIw23/Av/AEE1z4X+PD1R04r+BP0Z6PRRRX2B8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N+NP+QVF/11&#10;H8jXSVzfjT/kFRf9dR/I1y43/d5+h1YL/eIepwtFFFfJH1gVv6Rrh06xML2jNESczRnDc++KwK3L&#10;OTVL3Q3sLa0EkAPL4565xXThZSjNuL1t2uc2LjGUEpLS/exNMNK1PLf2pcRSH+GcFh+dc8wwxAOc&#10;HrUv2WcyvF5L+YgJZccjHXNQ1Fao56uNmVRpqF1GV0Fa/hj/AJGG2/4F/wCgmsitfwx/yMNt/wAC&#10;/wDQTTwv8eHqg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p7OHUrrw/ajTmeMxSPvwdu/JyCD3xXMVuafpt9daeshvxbWwYhA8hAJ74rqwjfM0k3dd&#10;NPxOTGJcqbaVn11/A2xp94utW99IqrGYALliwAJxz/SuLm2+fJs+7uOPpmugbQ5mUg61bsCOQZDz&#10;XOsu12XIODjIrTGN2S5bdd7meDSu7SvstrCVr+GP+Rhtv+Bf+gmsitfwx/yMNt/wL/0E1hhf48PV&#10;HRiv4E/Rno9FFFfYHy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c340/5BUX/XUfyNdJXN+NP+QVF/11H8jXLjf93n6HVgv94h6nC0UUV8kfWBXR2t&#10;rDqPh+3invIbdoZG8vc3UE85Fc5WjNaQw6Ja3BBM87tjngKOK6MPLl5na6tqc2JjzcqvZ30Lh8P2&#10;wB/4nFof8/WsNl2sVznBxkV0q6FpqLBaT3Egv503LgfKD6VzckZileNuqsVP4VeJp8iXu2+dycLV&#10;521zX+Vhta/hj/kYbb/gX/oJrIrX8Mf8jDbf8C/9BNZ4X+PD1Rpiv4E/Rno9FFFfYHy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c340/5BUX/AF1H&#10;8jXSVzfjT/kFRf8AXUfyNcuN/wB3n6HVgv8AeIepwtFFFfJH1gVvaReB7MW9xpkl5FCxZDGpJUnq&#10;Kwa6eym1BfD9t/ZSncsj+ftXJJzx+FdeDvzt+Xa9zkxnwJefe1jOl1eWXXft5t8tH92Pn5QBWXI5&#10;kkZ26sSx/GuxSyujr0NybYrHNAPtHGACRzXHzKqzyKv3QxA+maeKhOKvJ7tk4WpCTtFbJf8ADDK1&#10;/DH/ACMNt/wL/wBBNZFa/hj/AJGG2/4F/wCgmssL/Hh6o2xX8Cfoz0eiiivsD5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af8AIKi/66j+RrpK&#10;5vxp/wAgqL/rqP5GuXG/7vP0OrBf7xD1OFooor5I+sCug0y21y402P7FOEtwx2jeFOc81z9bOmaW&#10;Z7Q3Vze/ZbUNtBJ5Y+1dOFu52V/k7fic2KsoXdvmr/gX5NL8SSRMj3W5COR5vWsX+yrn+zXvvk8p&#10;H2EZ5zWo+jw3ETnTtW8+VRnyicEj2rAMkgQxl225yVzxmtcQoxtzJ/fcxwzlJPla+6wytfwx/wAj&#10;Dbf8C/8AQTWRWv4Y/wCRhtv+Bf8AoJrDC/x4eqOj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ujtLe2v/D0NvPfQ27xyMyBm7H1Fc5Wkttpx0Qzm5P2&#10;0NxF+P8AhXRhnZy0TVuuhz4lXUdWnformxpum2NheLcHV7ZigO0Bsc4781nX2lWsMEtwuqW8r9di&#10;dT+tY1FVLEQcOXk/Fkxw81Pn5/wQVr+GP+Rhtv8AgX/oJrIrX8Mf8jDbf8C/9BNRhf40PVF4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ho6LaQ3eoAXA&#10;JhjRpHA7gdq0bW10vUlubl4mtY9yRRqpyFY55NZWlXw0++WZk3oQVdfUGr99qNj9hFnpcEqhpBI5&#10;frkdMV3UJU1TvK2l9Or7HBiI1XUtG+ttei7l0WOitdnSRDL9pA2/aNx+9j0zXMSIY5HQ9VJFdTa6&#10;9bNcxyXVikNyww1wRjt1rlpDukY5zkk59aWL9m4pxt12VtPMeE9opNTv03d9fIbWv4Y/5GG2/wCB&#10;f+gmsitfwx/yMNt/wL/0E1jhf48PVG+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dDa3H9j6HBeQW8ck9w7BpHXOwA8CuerT0zWLmwUwLGk8LnPlOMj&#10;PtXRhpqEnd28+xz4mDnBWV/LualhrE+s3S2V7bwyxSAgsqYKcda5uVQkzoDkKxANdej6teW7i3sI&#10;LCJh80h4OK4912uyk5IOM1ti78seZt+bVjDB25pcqSXZO42tfwx/yMNt/wAC/wDQTWRWv4Y/5GG2&#10;/wCBf+gmsML/AB4eqOjFfwJ+jPR6KKK+wPk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5vxp/yCov+uo/ka6Sub8af8gqL/rqP5GuXG/7vP0OrBf7x&#10;D1OFooor5I+sCuh0PWbKytTBLEYpiT/pCqGNc9WtFdpJob2UenmSbdkzKucc5/8ArV0YabhNyT1t&#10;6nNioKcFFrS/exfvNOutTUy22qLer12FtpH4VzZBUkHqOKcjPG+ULKw9OCKYTnmprVI1He1n6lUa&#10;cqa5W7rpoFa/hj/kYbb/AIF/6CayK1/DH/Iw23/Av/QTTwv8eHqgxX8Cfoz0eiiivsD5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ub8af8gqL/rqP&#10;5Gukrm/Gn/IKi/66j+Rrlxv+7z9DqwX+8Q9ThaKKK+SPrArprK6vbfQLZtLjDP5jCfCbjnPH6VzN&#10;b+lf29NYiPT/AJYEY/N8oyfqetdeEk1NpX26bnJjIpwTdtH12NGO0lbxBDP9kKxXMGZxt4Ukc1yU&#10;yhJ5FX7qsQPpmunktfFMkTI8pKkc4da5ZlKsVbqDg1eMei91rVvUzwa1b5k9EtBK1/DH/Iw23/Av&#10;/QTWRWv4Y/5GG2/4F/6Cawwv8eHqjoxX8Cfoz0eiiivsD5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8af8AIKi/66j+RrpK5vxp/wAgqL/rqP5G&#10;uXG/7vP0OrBf7xD1OFooor5I+sCumtbO81Lw3bJauYzDI2QW2iQE9fwrmaeJpAgQSOFByAGOK3oV&#10;VTb5lo0YV6UqiXK7NO5uHw/rIGfNX/v/AFgsCrMG6g4NO82T/no//fVMpVZwlblTXq7jpQnG/O0/&#10;RWCtjwuM+ILb23f+gmseuo8G2TPdy3jA7I12qfUmtMFBzrxS7kY2ahQk32O2ooor60+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m/Gf/ACCov+uo&#10;/ka6SmSRRyqBIiuB2YZrGvT9rTcL7mtCp7Kop22PJKMV6v8AYrX/AJ94v++BR9itf+feL/vgV5H9&#10;jy/n/A9f+2F/J+J5RijFer/YrX/n3i/74FH2K1/594v++BR/Y8v5/wAA/thfyfieUYpVVmOFUkns&#10;BXq32K1/594v++BTkt4Yj8kSL9FAoWTvrP8AAHnC/k/E4HTPDN7fOrSoYIe7MOT9BXeWlpDZWyW8&#10;CbY1HFT0V6WGwdPDr3d+55uJxdTEP3tuwUUUV1nK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" stroked="f" strokecolor="#4a7ebb" strokeweight="1.5pt">
              <v:fill r:id="rId2" o:title="AusAID web address graphic" recolor="t" type="frame"/>
              <v:shadow opacity="22938f" offset="0"/>
              <v:textbox inset=",7.2pt,,7.2pt"/>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3581D" w14:textId="77777777" w:rsidR="005A3F72" w:rsidRPr="004C4A3E" w:rsidRDefault="005A3F72"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37088" behindDoc="1" locked="1" layoutInCell="1" allowOverlap="1" wp14:anchorId="2C6D586F" wp14:editId="79E652E4">
              <wp:simplePos x="0" y="0"/>
              <wp:positionH relativeFrom="page">
                <wp:posOffset>0</wp:posOffset>
              </wp:positionH>
              <wp:positionV relativeFrom="page">
                <wp:posOffset>8533130</wp:posOffset>
              </wp:positionV>
              <wp:extent cx="7380000" cy="2181600"/>
              <wp:effectExtent l="0" t="0" r="0" b="9525"/>
              <wp:wrapNone/>
              <wp:docPr id="15" name="Rectangle 1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alt="AusAID web address graphic" style="position:absolute;margin-left:0;margin-top:671.9pt;width:581.1pt;height:171.8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Bj8+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2cGPz6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36064" behindDoc="1" locked="0" layoutInCell="1" allowOverlap="1" wp14:anchorId="1406FA5A" wp14:editId="6ABF1C8B">
              <wp:simplePos x="0" y="0"/>
              <wp:positionH relativeFrom="column">
                <wp:posOffset>0</wp:posOffset>
              </wp:positionH>
              <wp:positionV relativeFrom="paragraph">
                <wp:posOffset>8498840</wp:posOffset>
              </wp:positionV>
              <wp:extent cx="7379970" cy="2181860"/>
              <wp:effectExtent l="0" t="2540" r="1905" b="0"/>
              <wp:wrapNone/>
              <wp:docPr id="16" name="Rectangle 1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alt="AusAID web address graphic" style="position:absolute;margin-left:0;margin-top:669.2pt;width:581.1pt;height:171.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PizO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LT4sz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35040" behindDoc="1" locked="0" layoutInCell="1" allowOverlap="1" wp14:anchorId="40B6F622" wp14:editId="460D56EF">
              <wp:simplePos x="0" y="0"/>
              <wp:positionH relativeFrom="column">
                <wp:posOffset>0</wp:posOffset>
              </wp:positionH>
              <wp:positionV relativeFrom="paragraph">
                <wp:posOffset>8498840</wp:posOffset>
              </wp:positionV>
              <wp:extent cx="7379970" cy="2181860"/>
              <wp:effectExtent l="0" t="2540" r="1905" b="0"/>
              <wp:wrapNone/>
              <wp:docPr id="17" name="Rectangle 1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alt="AusAID web address graphic" style="position:absolute;margin-left:0;margin-top:669.2pt;width:581.1pt;height:171.8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kZle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s5GZX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81A0A" w14:textId="77777777" w:rsidR="00041C5A" w:rsidRDefault="00041C5A" w:rsidP="0050529F">
      <w:r>
        <w:separator/>
      </w:r>
    </w:p>
    <w:p w14:paraId="0C2BCBED" w14:textId="77777777" w:rsidR="00041C5A" w:rsidRDefault="00041C5A"/>
    <w:p w14:paraId="073AF1DB" w14:textId="77777777" w:rsidR="00041C5A" w:rsidRDefault="00041C5A"/>
    <w:p w14:paraId="7B5D1F38" w14:textId="77777777" w:rsidR="00041C5A" w:rsidRDefault="00041C5A"/>
    <w:p w14:paraId="3E839E2E" w14:textId="77777777" w:rsidR="00041C5A" w:rsidRDefault="00041C5A"/>
    <w:p w14:paraId="5A5827D8" w14:textId="77777777" w:rsidR="00041C5A" w:rsidRDefault="00041C5A"/>
    <w:p w14:paraId="02FD8135" w14:textId="77777777" w:rsidR="00041C5A" w:rsidRDefault="00041C5A"/>
  </w:footnote>
  <w:footnote w:type="continuationSeparator" w:id="0">
    <w:p w14:paraId="43C8E347" w14:textId="77777777" w:rsidR="00041C5A" w:rsidRDefault="00041C5A" w:rsidP="0050529F">
      <w:r>
        <w:continuationSeparator/>
      </w:r>
    </w:p>
    <w:p w14:paraId="0CC3FC0E" w14:textId="77777777" w:rsidR="00041C5A" w:rsidRDefault="00041C5A"/>
    <w:p w14:paraId="55A94FB8" w14:textId="77777777" w:rsidR="00041C5A" w:rsidRDefault="00041C5A"/>
    <w:p w14:paraId="5B642D3E" w14:textId="77777777" w:rsidR="00041C5A" w:rsidRDefault="00041C5A"/>
    <w:p w14:paraId="2D2896D7" w14:textId="77777777" w:rsidR="00041C5A" w:rsidRDefault="00041C5A"/>
    <w:p w14:paraId="092F7E7D" w14:textId="77777777" w:rsidR="00041C5A" w:rsidRDefault="00041C5A"/>
    <w:p w14:paraId="7E1446B7" w14:textId="77777777" w:rsidR="00041C5A" w:rsidRDefault="00041C5A"/>
  </w:footnote>
  <w:footnote w:id="1">
    <w:p w14:paraId="535E367D" w14:textId="367C02CA" w:rsidR="005A3F72" w:rsidRDefault="005A3F72" w:rsidP="00327D90">
      <w:pPr>
        <w:pStyle w:val="FootnoteText"/>
        <w:spacing w:line="200" w:lineRule="exact"/>
      </w:pPr>
      <w:r>
        <w:rPr>
          <w:rStyle w:val="FootnoteReference"/>
        </w:rPr>
        <w:footnoteRef/>
      </w:r>
      <w:r>
        <w:t xml:space="preserve"> The Bangladesh program’s new Aid Investment Plan (AIP) was finalised in September 2015.  The 2014-15 APPR reports against the previous country strategy, while recognising that the period also included substantial adjustments to how we managed investments and where we focussed our priorities, to better align with the directions of the new AIP.</w:t>
      </w:r>
    </w:p>
  </w:footnote>
  <w:footnote w:id="2">
    <w:p w14:paraId="087602EE" w14:textId="3940E612" w:rsidR="005A3F72" w:rsidRDefault="005A3F72" w:rsidP="0063480E">
      <w:pPr>
        <w:pStyle w:val="FootnoteText"/>
        <w:spacing w:line="200" w:lineRule="exact"/>
      </w:pPr>
      <w:r>
        <w:rPr>
          <w:rStyle w:val="FootnoteReference"/>
        </w:rPr>
        <w:footnoteRef/>
      </w:r>
      <w:r>
        <w:t xml:space="preserve"> The next Bangladesh Household Income and Expenditure Survey (HIES) is due to be completed in 2015.</w:t>
      </w:r>
    </w:p>
  </w:footnote>
  <w:footnote w:id="3">
    <w:p w14:paraId="118CBB14" w14:textId="50A4F5E8" w:rsidR="005A3F72" w:rsidRDefault="005A3F72" w:rsidP="007539D7">
      <w:pPr>
        <w:pStyle w:val="FootnoteText"/>
        <w:spacing w:line="200" w:lineRule="exact"/>
      </w:pPr>
      <w:r>
        <w:rPr>
          <w:rStyle w:val="FootnoteReference"/>
        </w:rPr>
        <w:footnoteRef/>
      </w:r>
      <w:r>
        <w:t xml:space="preserve"> The World Bank, July 2015.</w:t>
      </w:r>
    </w:p>
  </w:footnote>
  <w:footnote w:id="4">
    <w:p w14:paraId="428E5143" w14:textId="58C1E1F9" w:rsidR="005A3F72" w:rsidRDefault="005A3F72" w:rsidP="00942B47">
      <w:pPr>
        <w:pStyle w:val="FootnoteText"/>
        <w:spacing w:line="200" w:lineRule="exact"/>
      </w:pPr>
      <w:r>
        <w:rPr>
          <w:rStyle w:val="FootnoteReference"/>
        </w:rPr>
        <w:footnoteRef/>
      </w:r>
      <w:r>
        <w:t xml:space="preserve"> The World Bank, July 2015.</w:t>
      </w:r>
    </w:p>
  </w:footnote>
  <w:footnote w:id="5">
    <w:p w14:paraId="1A03F2F9" w14:textId="3FC2FB8C" w:rsidR="005A3F72" w:rsidRDefault="005A3F72" w:rsidP="00B549A6">
      <w:pPr>
        <w:pStyle w:val="FootnoteText"/>
        <w:spacing w:line="200" w:lineRule="exact"/>
      </w:pPr>
      <w:r>
        <w:rPr>
          <w:rStyle w:val="FootnoteReference"/>
        </w:rPr>
        <w:footnoteRef/>
      </w:r>
      <w:r>
        <w:t xml:space="preserve"> UNDP, Human Development Trends, 2014.</w:t>
      </w:r>
    </w:p>
  </w:footnote>
  <w:footnote w:id="6">
    <w:p w14:paraId="6D6B8C4C" w14:textId="09D3027B" w:rsidR="005A3F72" w:rsidRDefault="005A3F72" w:rsidP="00F15F35">
      <w:pPr>
        <w:pStyle w:val="FootnoteText"/>
        <w:spacing w:line="200" w:lineRule="exact"/>
      </w:pPr>
      <w:r>
        <w:rPr>
          <w:rStyle w:val="FootnoteReference"/>
        </w:rPr>
        <w:footnoteRef/>
      </w:r>
      <w:r>
        <w:t xml:space="preserve"> </w:t>
      </w:r>
      <w:r w:rsidRPr="00D23EB8">
        <w:t>The Centre for Policy Development h</w:t>
      </w:r>
      <w:r>
        <w:t xml:space="preserve">as estimated GDP losses of 0.55 per cent </w:t>
      </w:r>
      <w:r w:rsidRPr="00D23EB8">
        <w:t xml:space="preserve">while the World Bank puts the figure closer to 1.0 </w:t>
      </w:r>
      <w:r>
        <w:t xml:space="preserve">per cent </w:t>
      </w:r>
      <w:r w:rsidRPr="00D23EB8">
        <w:t>of GDP</w:t>
      </w:r>
      <w:r>
        <w:t>.</w:t>
      </w:r>
    </w:p>
  </w:footnote>
  <w:footnote w:id="7">
    <w:p w14:paraId="51F23F49" w14:textId="43C14EA5" w:rsidR="005A3F72" w:rsidRDefault="005A3F72" w:rsidP="00FE1440">
      <w:pPr>
        <w:pStyle w:val="FootnoteText"/>
        <w:spacing w:line="200" w:lineRule="exact"/>
      </w:pPr>
      <w:r>
        <w:rPr>
          <w:rStyle w:val="FootnoteReference"/>
        </w:rPr>
        <w:footnoteRef/>
      </w:r>
      <w:r>
        <w:t xml:space="preserve"> World Bank, Bangladesh Development Update, April 2015.</w:t>
      </w:r>
    </w:p>
  </w:footnote>
  <w:footnote w:id="8">
    <w:p w14:paraId="0514C339" w14:textId="01EFB14D" w:rsidR="005A3F72" w:rsidRDefault="005A3F72">
      <w:pPr>
        <w:pStyle w:val="FootnoteText"/>
      </w:pPr>
      <w:r>
        <w:rPr>
          <w:rStyle w:val="FootnoteReference"/>
        </w:rPr>
        <w:footnoteRef/>
      </w:r>
      <w:r>
        <w:t xml:space="preserve"> </w:t>
      </w:r>
      <w:r w:rsidRPr="00FA077E">
        <w:t>According to the Annual</w:t>
      </w:r>
      <w:r>
        <w:t xml:space="preserve"> Sector Performance Report 2014.</w:t>
      </w:r>
    </w:p>
  </w:footnote>
  <w:footnote w:id="9">
    <w:p w14:paraId="269CB8AB" w14:textId="2BA0DB9F" w:rsidR="005A3F72" w:rsidRDefault="005A3F72" w:rsidP="0081530F">
      <w:pPr>
        <w:pStyle w:val="FootnoteText"/>
        <w:spacing w:line="200" w:lineRule="exact"/>
      </w:pPr>
      <w:r>
        <w:rPr>
          <w:rStyle w:val="FootnoteReference"/>
        </w:rPr>
        <w:footnoteRef/>
      </w:r>
      <w:r>
        <w:t xml:space="preserve"> The final reports are yet to be published.</w:t>
      </w:r>
    </w:p>
  </w:footnote>
  <w:footnote w:id="10">
    <w:p w14:paraId="08921FAD" w14:textId="5D147D18" w:rsidR="005A3F72" w:rsidRPr="00AB4300" w:rsidRDefault="005A3F72" w:rsidP="00FB1470">
      <w:pPr>
        <w:pStyle w:val="FootnoteText"/>
        <w:spacing w:line="200" w:lineRule="exact"/>
        <w:rPr>
          <w:szCs w:val="16"/>
        </w:rPr>
      </w:pPr>
      <w:r>
        <w:rPr>
          <w:rStyle w:val="FootnoteReference"/>
        </w:rPr>
        <w:footnoteRef/>
      </w:r>
      <w:r>
        <w:t xml:space="preserve"> </w:t>
      </w:r>
      <w:r>
        <w:rPr>
          <w:szCs w:val="16"/>
        </w:rPr>
        <w:t>Just under</w:t>
      </w:r>
      <w:r w:rsidRPr="00AB4300">
        <w:rPr>
          <w:szCs w:val="16"/>
        </w:rPr>
        <w:t xml:space="preserve"> 3,000,000 students completed pre-primary and primary school from July 2009- December 2014.</w:t>
      </w:r>
    </w:p>
  </w:footnote>
  <w:footnote w:id="11">
    <w:p w14:paraId="4B343E7E" w14:textId="0CDAFF33" w:rsidR="005A3F72" w:rsidRDefault="005A3F72" w:rsidP="00BD5F26">
      <w:pPr>
        <w:pStyle w:val="FootnoteText"/>
        <w:spacing w:line="200" w:lineRule="exact"/>
      </w:pPr>
      <w:r>
        <w:rPr>
          <w:rStyle w:val="FootnoteReference"/>
        </w:rPr>
        <w:footnoteRef/>
      </w:r>
      <w:r>
        <w:t xml:space="preserve"> BRAC Education Program Progress Report, March 2015.</w:t>
      </w:r>
    </w:p>
  </w:footnote>
  <w:footnote w:id="12">
    <w:p w14:paraId="68D5EBA3" w14:textId="77777777" w:rsidR="005A3F72" w:rsidRPr="00AB4300" w:rsidRDefault="005A3F72" w:rsidP="00FB1470">
      <w:pPr>
        <w:pStyle w:val="FootnoteText"/>
        <w:spacing w:line="200" w:lineRule="exact"/>
        <w:rPr>
          <w:szCs w:val="16"/>
        </w:rPr>
      </w:pPr>
      <w:r w:rsidRPr="00AB4300">
        <w:rPr>
          <w:rStyle w:val="FootnoteReference"/>
          <w:szCs w:val="16"/>
        </w:rPr>
        <w:footnoteRef/>
      </w:r>
      <w:r w:rsidRPr="00AB4300">
        <w:rPr>
          <w:szCs w:val="16"/>
        </w:rPr>
        <w:t xml:space="preserve"> The pass rate for girls was 99.99 per cent and 80.29 per cent of students received an A or above.</w:t>
      </w:r>
    </w:p>
  </w:footnote>
  <w:footnote w:id="13">
    <w:p w14:paraId="3015A482" w14:textId="644274C7" w:rsidR="005A3F72" w:rsidRDefault="005A3F72" w:rsidP="0057239D">
      <w:pPr>
        <w:pStyle w:val="FootnoteText"/>
        <w:spacing w:line="200" w:lineRule="exact"/>
      </w:pPr>
      <w:r>
        <w:rPr>
          <w:rStyle w:val="FootnoteReference"/>
        </w:rPr>
        <w:footnoteRef/>
      </w:r>
      <w:r>
        <w:t xml:space="preserve"> BRAC Education Program Progress Report, March 2015.</w:t>
      </w:r>
    </w:p>
  </w:footnote>
  <w:footnote w:id="14">
    <w:p w14:paraId="78BFD36D" w14:textId="4024485F" w:rsidR="005A3F72" w:rsidRDefault="005A3F72" w:rsidP="008E717A">
      <w:pPr>
        <w:pStyle w:val="FootnoteText"/>
        <w:spacing w:line="200" w:lineRule="exact"/>
      </w:pPr>
      <w:r>
        <w:rPr>
          <w:rStyle w:val="FootnoteReference"/>
        </w:rPr>
        <w:footnoteRef/>
      </w:r>
      <w:r>
        <w:t xml:space="preserve"> BRAC Education Program, Annual Report, 2014.</w:t>
      </w:r>
    </w:p>
  </w:footnote>
  <w:footnote w:id="15">
    <w:p w14:paraId="555AA6CB" w14:textId="537FE432" w:rsidR="005A3F72" w:rsidRDefault="005A3F72" w:rsidP="000977B5">
      <w:pPr>
        <w:pStyle w:val="FootnoteText"/>
        <w:spacing w:line="200" w:lineRule="exact"/>
      </w:pPr>
      <w:r>
        <w:rPr>
          <w:rStyle w:val="FootnoteReference"/>
        </w:rPr>
        <w:footnoteRef/>
      </w:r>
      <w:r>
        <w:t xml:space="preserve"> See discussion above on ‘expenditure’ for further details on Australia’s withdrawal from the health sector. </w:t>
      </w:r>
    </w:p>
  </w:footnote>
  <w:footnote w:id="16">
    <w:p w14:paraId="1653B889" w14:textId="77777777" w:rsidR="005A3F72" w:rsidRPr="00AB4300" w:rsidRDefault="005A3F72" w:rsidP="00067532">
      <w:pPr>
        <w:pStyle w:val="FootnoteText"/>
        <w:spacing w:line="200" w:lineRule="exact"/>
        <w:rPr>
          <w:szCs w:val="16"/>
        </w:rPr>
      </w:pPr>
      <w:r>
        <w:rPr>
          <w:rStyle w:val="FootnoteReference"/>
        </w:rPr>
        <w:footnoteRef/>
      </w:r>
      <w:r>
        <w:t xml:space="preserve"> </w:t>
      </w:r>
      <w:r w:rsidRPr="00AB4300">
        <w:rPr>
          <w:szCs w:val="16"/>
        </w:rPr>
        <w:t>The overall target of 936,000 additional births attended by a skilled birth attendant has been achieved with the current total at 1,383,000.</w:t>
      </w:r>
    </w:p>
  </w:footnote>
  <w:footnote w:id="17">
    <w:p w14:paraId="075221EA" w14:textId="2BBD8B1C" w:rsidR="005A3F72" w:rsidRDefault="005A3F72" w:rsidP="006B4511">
      <w:pPr>
        <w:pStyle w:val="FootnoteText"/>
        <w:spacing w:line="200" w:lineRule="exact"/>
      </w:pPr>
      <w:r>
        <w:rPr>
          <w:rStyle w:val="FootnoteReference"/>
        </w:rPr>
        <w:footnoteRef/>
      </w:r>
      <w:r>
        <w:t xml:space="preserve"> </w:t>
      </w:r>
      <w:r w:rsidRPr="00AB4300">
        <w:rPr>
          <w:szCs w:val="16"/>
          <w:lang w:val="en-US"/>
        </w:rPr>
        <w:t>Cumulative count from 2010.</w:t>
      </w:r>
    </w:p>
  </w:footnote>
  <w:footnote w:id="18">
    <w:p w14:paraId="190D39E8" w14:textId="387E0786" w:rsidR="005A3F72" w:rsidRPr="00AB4300" w:rsidRDefault="005A3F72" w:rsidP="00AB4300">
      <w:pPr>
        <w:pStyle w:val="FootnoteText"/>
        <w:spacing w:line="200" w:lineRule="exact"/>
        <w:rPr>
          <w:szCs w:val="16"/>
        </w:rPr>
      </w:pPr>
      <w:r w:rsidRPr="00AB4300">
        <w:rPr>
          <w:rStyle w:val="FootnoteReference"/>
          <w:szCs w:val="16"/>
        </w:rPr>
        <w:footnoteRef/>
      </w:r>
      <w:r w:rsidRPr="00AB4300">
        <w:rPr>
          <w:szCs w:val="16"/>
        </w:rPr>
        <w:t xml:space="preserve"> </w:t>
      </w:r>
      <w:r>
        <w:rPr>
          <w:szCs w:val="16"/>
        </w:rPr>
        <w:t>Strategic Partnership Arrangement, Mid Term Review, 2015.</w:t>
      </w:r>
    </w:p>
  </w:footnote>
  <w:footnote w:id="19">
    <w:p w14:paraId="2B734ABB" w14:textId="77777777" w:rsidR="005A3F72" w:rsidRPr="00AB4300" w:rsidRDefault="005A3F72" w:rsidP="00FB1470">
      <w:pPr>
        <w:pStyle w:val="FootnoteText"/>
        <w:spacing w:line="200" w:lineRule="exact"/>
        <w:rPr>
          <w:szCs w:val="16"/>
          <w:lang w:val="en-US"/>
        </w:rPr>
      </w:pPr>
      <w:r w:rsidRPr="00AB4300">
        <w:rPr>
          <w:rStyle w:val="FootnoteReference"/>
          <w:szCs w:val="16"/>
        </w:rPr>
        <w:footnoteRef/>
      </w:r>
      <w:r w:rsidRPr="00AB4300">
        <w:rPr>
          <w:szCs w:val="16"/>
        </w:rPr>
        <w:t xml:space="preserve"> </w:t>
      </w:r>
      <w:r w:rsidRPr="00AB4300">
        <w:rPr>
          <w:szCs w:val="16"/>
          <w:lang w:val="en-US"/>
        </w:rPr>
        <w:t>Banerjee et al: “</w:t>
      </w:r>
      <w:r w:rsidRPr="00AB4300">
        <w:rPr>
          <w:rFonts w:eastAsiaTheme="minorEastAsia" w:cs="Lucida Grande"/>
          <w:bCs/>
          <w:color w:val="262626"/>
          <w:szCs w:val="16"/>
          <w:lang w:val="en-US"/>
        </w:rPr>
        <w:t>A multifaceted program causes lasting progress for the very poor: Evidence from six countries”, Science, May 2015.</w:t>
      </w:r>
    </w:p>
  </w:footnote>
  <w:footnote w:id="20">
    <w:p w14:paraId="29CD0EB8" w14:textId="414C3890" w:rsidR="005A3F72" w:rsidRDefault="005A3F72" w:rsidP="000C41E8">
      <w:pPr>
        <w:pStyle w:val="FootnoteText"/>
        <w:spacing w:line="200" w:lineRule="exact"/>
      </w:pPr>
      <w:r>
        <w:rPr>
          <w:rStyle w:val="FootnoteReference"/>
        </w:rPr>
        <w:footnoteRef/>
      </w:r>
      <w:r>
        <w:t xml:space="preserve"> </w:t>
      </w:r>
      <w:hyperlink r:id="rId1" w:history="1">
        <w:r w:rsidRPr="00494D4F">
          <w:rPr>
            <w:rStyle w:val="Hyperlink"/>
            <w:sz w:val="16"/>
          </w:rPr>
          <w:t>https://www.youtube.com/watch?v=p_4mtDSXnuM</w:t>
        </w:r>
      </w:hyperlink>
      <w:r>
        <w:t xml:space="preserve"> </w:t>
      </w:r>
    </w:p>
  </w:footnote>
  <w:footnote w:id="21">
    <w:p w14:paraId="60C71837" w14:textId="45BC3390" w:rsidR="005A3F72" w:rsidRDefault="005A3F72" w:rsidP="00E4445A">
      <w:pPr>
        <w:pStyle w:val="FootnoteText"/>
        <w:spacing w:line="200" w:lineRule="exact"/>
      </w:pPr>
      <w:r>
        <w:rPr>
          <w:rStyle w:val="FootnoteReference"/>
        </w:rPr>
        <w:footnoteRef/>
      </w:r>
      <w:r>
        <w:t xml:space="preserve"> </w:t>
      </w:r>
      <w:r>
        <w:rPr>
          <w:szCs w:val="16"/>
        </w:rPr>
        <w:t>Chars Livelihoods Program</w:t>
      </w:r>
      <w:r w:rsidRPr="00967480">
        <w:rPr>
          <w:szCs w:val="16"/>
        </w:rPr>
        <w:t>, Annual Review. 201</w:t>
      </w:r>
      <w:r>
        <w:rPr>
          <w:szCs w:val="16"/>
        </w:rPr>
        <w:t>4</w:t>
      </w:r>
      <w:r w:rsidRPr="00967480">
        <w:rPr>
          <w:szCs w:val="16"/>
        </w:rPr>
        <w:t>.</w:t>
      </w:r>
    </w:p>
  </w:footnote>
  <w:footnote w:id="22">
    <w:p w14:paraId="35B07C36" w14:textId="3A7A757B" w:rsidR="005A3F72" w:rsidRDefault="005A3F72" w:rsidP="0057239D">
      <w:pPr>
        <w:pStyle w:val="FootnoteText"/>
        <w:spacing w:line="200" w:lineRule="exact"/>
      </w:pPr>
      <w:r w:rsidRPr="006B4511">
        <w:rPr>
          <w:rStyle w:val="FootnoteReference"/>
          <w:szCs w:val="16"/>
        </w:rPr>
        <w:footnoteRef/>
      </w:r>
      <w:r w:rsidRPr="00967480">
        <w:rPr>
          <w:szCs w:val="16"/>
        </w:rPr>
        <w:t xml:space="preserve"> Bangladesh Poverty </w:t>
      </w:r>
      <w:r>
        <w:rPr>
          <w:szCs w:val="16"/>
        </w:rPr>
        <w:t>A</w:t>
      </w:r>
      <w:r w:rsidRPr="00967480">
        <w:rPr>
          <w:szCs w:val="16"/>
        </w:rPr>
        <w:t xml:space="preserve">ssessment: </w:t>
      </w:r>
      <w:r w:rsidRPr="00967480">
        <w:rPr>
          <w:color w:val="000000"/>
          <w:kern w:val="36"/>
          <w:szCs w:val="16"/>
        </w:rPr>
        <w:t>assessing a decade of progress in reducing poverty, 2000-2010</w:t>
      </w:r>
      <w:r>
        <w:rPr>
          <w:color w:val="000000"/>
          <w:kern w:val="36"/>
          <w:szCs w:val="16"/>
        </w:rPr>
        <w:t>, World Bank, 2013.</w:t>
      </w:r>
    </w:p>
  </w:footnote>
  <w:footnote w:id="23">
    <w:p w14:paraId="7EF9A766" w14:textId="5D0612BE" w:rsidR="005A3F72" w:rsidRDefault="005A3F72" w:rsidP="00FF1021">
      <w:pPr>
        <w:pStyle w:val="FootnoteText"/>
        <w:spacing w:line="200" w:lineRule="exact"/>
      </w:pPr>
      <w:r>
        <w:rPr>
          <w:rStyle w:val="FootnoteReference"/>
        </w:rPr>
        <w:footnoteRef/>
      </w:r>
      <w:r>
        <w:t xml:space="preserve"> See discussion above on ‘expenditure’ for further details of Australia’s withdrawal from these programs.</w:t>
      </w:r>
    </w:p>
  </w:footnote>
  <w:footnote w:id="24">
    <w:p w14:paraId="0106AC6C" w14:textId="77777777" w:rsidR="005A3F72" w:rsidRPr="00426808" w:rsidRDefault="005A3F72">
      <w:pPr>
        <w:pStyle w:val="FootnoteText"/>
        <w:rPr>
          <w:szCs w:val="16"/>
        </w:rPr>
      </w:pPr>
      <w:r>
        <w:rPr>
          <w:rStyle w:val="FootnoteReference"/>
        </w:rPr>
        <w:footnoteRef/>
      </w:r>
      <w:r>
        <w:t xml:space="preserve"> </w:t>
      </w:r>
      <w:r w:rsidRPr="00426808">
        <w:rPr>
          <w:szCs w:val="16"/>
        </w:rPr>
        <w:t>Performance Assessment Framework.</w:t>
      </w:r>
    </w:p>
  </w:footnote>
  <w:footnote w:id="25">
    <w:p w14:paraId="78115F75" w14:textId="77777777" w:rsidR="005A3F72" w:rsidRPr="00426808" w:rsidRDefault="005A3F72" w:rsidP="00FA077E">
      <w:pPr>
        <w:pStyle w:val="FootnoteText"/>
        <w:spacing w:line="200" w:lineRule="exact"/>
        <w:rPr>
          <w:szCs w:val="16"/>
        </w:rPr>
      </w:pPr>
      <w:r w:rsidRPr="00426808">
        <w:rPr>
          <w:rStyle w:val="FootnoteReference"/>
          <w:szCs w:val="16"/>
        </w:rPr>
        <w:footnoteRef/>
      </w:r>
      <w:r w:rsidRPr="00426808">
        <w:rPr>
          <w:szCs w:val="16"/>
        </w:rPr>
        <w:t xml:space="preserve"> </w:t>
      </w:r>
      <w:r w:rsidRPr="00426808">
        <w:rPr>
          <w:rFonts w:cstheme="minorHAnsi"/>
          <w:szCs w:val="16"/>
        </w:rPr>
        <w:t>Ward-level community group of the poor, especially women, serving as a forum to raise concerns, claim rights and entitlements.</w:t>
      </w:r>
    </w:p>
  </w:footnote>
  <w:footnote w:id="26">
    <w:p w14:paraId="74EE7637" w14:textId="4CDFB77C" w:rsidR="005A3F72" w:rsidRDefault="005A3F72" w:rsidP="00FA077E">
      <w:pPr>
        <w:pStyle w:val="FootnoteText"/>
        <w:spacing w:line="200" w:lineRule="exact"/>
      </w:pPr>
      <w:r>
        <w:rPr>
          <w:rStyle w:val="FootnoteReference"/>
        </w:rPr>
        <w:footnoteRef/>
      </w:r>
      <w:r>
        <w:t xml:space="preserve"> A union i</w:t>
      </w:r>
      <w:r w:rsidRPr="00FA077E">
        <w:t>s the smallest rural administrative and local government unit in Bangladesh. Each Union is made up of nine Wards, with one village usually designated as a Ward.</w:t>
      </w:r>
    </w:p>
  </w:footnote>
  <w:footnote w:id="27">
    <w:p w14:paraId="7B3A1343" w14:textId="77777777" w:rsidR="005A3F72" w:rsidRPr="00AB4300" w:rsidRDefault="005A3F72" w:rsidP="00426808">
      <w:pPr>
        <w:pStyle w:val="FootnoteText"/>
        <w:spacing w:line="200" w:lineRule="exact"/>
        <w:rPr>
          <w:szCs w:val="16"/>
        </w:rPr>
      </w:pPr>
      <w:r>
        <w:rPr>
          <w:rStyle w:val="FootnoteReference"/>
        </w:rPr>
        <w:footnoteRef/>
      </w:r>
      <w:r>
        <w:t xml:space="preserve"> </w:t>
      </w:r>
      <w:r w:rsidRPr="00AB4300">
        <w:rPr>
          <w:szCs w:val="16"/>
        </w:rPr>
        <w:t>Performance Assessment Framework.</w:t>
      </w:r>
    </w:p>
  </w:footnote>
  <w:footnote w:id="28">
    <w:p w14:paraId="5A272495" w14:textId="24CBA773" w:rsidR="005A3F72" w:rsidRDefault="005A3F72" w:rsidP="0057239D">
      <w:pPr>
        <w:pStyle w:val="FootnoteText"/>
        <w:spacing w:line="200" w:lineRule="exact"/>
      </w:pPr>
      <w:r>
        <w:rPr>
          <w:rStyle w:val="FootnoteReference"/>
        </w:rPr>
        <w:footnoteRef/>
      </w:r>
      <w:r>
        <w:t xml:space="preserve"> The final report is yet to be published.</w:t>
      </w:r>
    </w:p>
  </w:footnote>
  <w:footnote w:id="29">
    <w:p w14:paraId="49B23D6F" w14:textId="0E391C22" w:rsidR="005A3F72" w:rsidRDefault="005A3F72" w:rsidP="0005194E">
      <w:pPr>
        <w:pStyle w:val="FootnoteText"/>
        <w:spacing w:line="200" w:lineRule="exact"/>
      </w:pPr>
      <w:r>
        <w:rPr>
          <w:rStyle w:val="FootnoteReference"/>
        </w:rPr>
        <w:footnoteRef/>
      </w:r>
      <w:r>
        <w:t xml:space="preserve"> Thirty long term awards funded by the bilateral program and the remainder from global resources.</w:t>
      </w:r>
    </w:p>
  </w:footnote>
  <w:footnote w:id="30">
    <w:p w14:paraId="1676042B" w14:textId="6D970426" w:rsidR="005A3F72" w:rsidRDefault="005A3F72" w:rsidP="0005194E">
      <w:pPr>
        <w:pStyle w:val="FootnoteText"/>
        <w:spacing w:line="200" w:lineRule="exact"/>
      </w:pPr>
      <w:r>
        <w:rPr>
          <w:rStyle w:val="FootnoteReference"/>
        </w:rPr>
        <w:footnoteRef/>
      </w:r>
      <w:r>
        <w:t xml:space="preserve"> The final report is yet to be published.</w:t>
      </w:r>
    </w:p>
  </w:footnote>
  <w:footnote w:id="31">
    <w:p w14:paraId="052AF4DF" w14:textId="7369575C" w:rsidR="005A3F72" w:rsidRDefault="005A3F72" w:rsidP="003D00FF">
      <w:pPr>
        <w:pStyle w:val="FootnoteText"/>
        <w:spacing w:line="200" w:lineRule="exact"/>
      </w:pPr>
      <w:r>
        <w:rPr>
          <w:rStyle w:val="FootnoteReference"/>
        </w:rPr>
        <w:footnoteRef/>
      </w:r>
      <w:r>
        <w:t xml:space="preserve"> See South - East Asia Regional aid program for results, </w:t>
      </w:r>
      <w:hyperlink r:id="rId2" w:history="1">
        <w:r w:rsidRPr="00494D4F">
          <w:rPr>
            <w:rStyle w:val="Hyperlink"/>
            <w:sz w:val="16"/>
          </w:rPr>
          <w:t>http://dfat.gov.au/geo/east-asia/development-assistance/Pages/development-assistance-in-east-asia.aspx</w:t>
        </w:r>
      </w:hyperlink>
      <w:r>
        <w:t xml:space="preserve"> </w:t>
      </w:r>
    </w:p>
  </w:footnote>
  <w:footnote w:id="32">
    <w:p w14:paraId="0426FEBB" w14:textId="057354AB" w:rsidR="005A3F72" w:rsidRDefault="005A3F72" w:rsidP="0093547C">
      <w:pPr>
        <w:pStyle w:val="FootnoteText"/>
        <w:spacing w:line="200" w:lineRule="exact"/>
      </w:pPr>
      <w:r>
        <w:rPr>
          <w:rStyle w:val="FootnoteReference"/>
        </w:rPr>
        <w:footnoteRef/>
      </w:r>
      <w:r>
        <w:t xml:space="preserve"> The assessment period for the indicators does not directly correspond to the APPR reporting period. The unmet indicators will be reviewed again in October 2015 and are expected to be achieved in line with program timeframes.</w:t>
      </w:r>
    </w:p>
  </w:footnote>
  <w:footnote w:id="33">
    <w:p w14:paraId="7E01F822" w14:textId="115B2D55" w:rsidR="005A3F72" w:rsidRPr="00AF5589" w:rsidRDefault="005A3F72" w:rsidP="005176D9">
      <w:pPr>
        <w:pStyle w:val="FootnoteText"/>
        <w:spacing w:line="200" w:lineRule="exact"/>
      </w:pPr>
      <w:r>
        <w:rPr>
          <w:rStyle w:val="FootnoteReference"/>
        </w:rPr>
        <w:footnoteRef/>
      </w:r>
      <w:r>
        <w:t xml:space="preserve"> </w:t>
      </w:r>
      <w:r>
        <w:rPr>
          <w:szCs w:val="16"/>
        </w:rPr>
        <w:t>Actual number of children who</w:t>
      </w:r>
      <w:r w:rsidRPr="00AB4300">
        <w:rPr>
          <w:szCs w:val="16"/>
        </w:rPr>
        <w:t xml:space="preserve"> completed a course of primary or pre-primary education was 369,494.</w:t>
      </w:r>
    </w:p>
  </w:footnote>
  <w:footnote w:id="34">
    <w:p w14:paraId="2C9927DD" w14:textId="285FF37A" w:rsidR="005A3F72" w:rsidRPr="00AF5589" w:rsidRDefault="005A3F72" w:rsidP="005176D9">
      <w:pPr>
        <w:pStyle w:val="FootnoteText"/>
        <w:spacing w:line="200" w:lineRule="exact"/>
      </w:pPr>
      <w:r>
        <w:rPr>
          <w:rStyle w:val="FootnoteReference"/>
        </w:rPr>
        <w:footnoteRef/>
      </w:r>
      <w:r>
        <w:t xml:space="preserve"> A total of 64 Scholarships were awarded with women receiving exactly 50 per cent or 32 scholarships.</w:t>
      </w:r>
    </w:p>
  </w:footnote>
  <w:footnote w:id="35">
    <w:p w14:paraId="0A9B1857" w14:textId="438AFA98" w:rsidR="005A3F72" w:rsidRPr="000977B5" w:rsidRDefault="005A3F72" w:rsidP="005176D9">
      <w:pPr>
        <w:pStyle w:val="FootnoteText"/>
        <w:spacing w:line="200" w:lineRule="exact"/>
        <w:rPr>
          <w:szCs w:val="16"/>
        </w:rPr>
      </w:pPr>
      <w:r>
        <w:rPr>
          <w:rStyle w:val="FootnoteReference"/>
        </w:rPr>
        <w:footnoteRef/>
      </w:r>
      <w:r>
        <w:t xml:space="preserve"> </w:t>
      </w:r>
      <w:r w:rsidRPr="000977B5">
        <w:rPr>
          <w:iCs/>
          <w:szCs w:val="16"/>
          <w:lang w:eastAsia="en-US"/>
        </w:rPr>
        <w:t>A total of 280,000 women and their families have moved out of extreme poverty since 2011.</w:t>
      </w:r>
    </w:p>
  </w:footnote>
  <w:footnote w:id="36">
    <w:p w14:paraId="7B0166EB" w14:textId="040989A0" w:rsidR="005A3F72" w:rsidRPr="00AF5589" w:rsidRDefault="005A3F72" w:rsidP="005176D9">
      <w:pPr>
        <w:pStyle w:val="FootnoteText"/>
        <w:spacing w:line="200" w:lineRule="exact"/>
      </w:pPr>
      <w:r>
        <w:rPr>
          <w:rStyle w:val="FootnoteReference"/>
        </w:rPr>
        <w:footnoteRef/>
      </w:r>
      <w:r>
        <w:t xml:space="preserve"> 90 per cent of malnourished women and children were found to have improved their nutritional status.</w:t>
      </w:r>
    </w:p>
  </w:footnote>
  <w:footnote w:id="37">
    <w:p w14:paraId="7FD630BD" w14:textId="5EBDB8AE" w:rsidR="005A3F72" w:rsidRPr="00AF5589" w:rsidRDefault="005A3F72" w:rsidP="00613C79">
      <w:pPr>
        <w:pStyle w:val="FootnoteText"/>
        <w:spacing w:line="200" w:lineRule="exact"/>
      </w:pPr>
      <w:r>
        <w:rPr>
          <w:rStyle w:val="FootnoteReference"/>
        </w:rPr>
        <w:footnoteRef/>
      </w:r>
      <w:r w:rsidRPr="00613C79">
        <w:rPr>
          <w:szCs w:val="16"/>
        </w:rPr>
        <w:t xml:space="preserve"> A total of </w:t>
      </w:r>
      <w:r w:rsidRPr="00613C79">
        <w:rPr>
          <w:iCs/>
          <w:szCs w:val="16"/>
          <w:lang w:eastAsia="en-US"/>
        </w:rPr>
        <w:t>16,390 community committee members were assisted by BRAC’s Community Empowerment Program</w:t>
      </w:r>
      <w:r>
        <w:rPr>
          <w:iCs/>
          <w:szCs w:val="16"/>
          <w:lang w:eastAsia="en-US"/>
        </w:rPr>
        <w:t>.</w:t>
      </w:r>
    </w:p>
  </w:footnote>
  <w:footnote w:id="38">
    <w:p w14:paraId="60DF202C" w14:textId="70A2844C" w:rsidR="005A3F72" w:rsidRDefault="005A3F72" w:rsidP="0057239D">
      <w:pPr>
        <w:pStyle w:val="FootnoteText"/>
        <w:spacing w:line="200" w:lineRule="exact"/>
      </w:pPr>
      <w:r>
        <w:rPr>
          <w:rStyle w:val="FootnoteReference"/>
        </w:rPr>
        <w:footnoteRef/>
      </w:r>
      <w:r>
        <w:t xml:space="preserve"> </w:t>
      </w:r>
      <w:r w:rsidRPr="00ED1AE9">
        <w:rPr>
          <w:i/>
        </w:rPr>
        <w:t>Millennium Development Goals, Bangla</w:t>
      </w:r>
      <w:r w:rsidRPr="000977B5">
        <w:rPr>
          <w:i/>
        </w:rPr>
        <w:t>desh Progress Report</w:t>
      </w:r>
      <w:r>
        <w:t>, Planning Commission and UNDP Bangladesh, 2013.</w:t>
      </w:r>
    </w:p>
  </w:footnote>
  <w:footnote w:id="39">
    <w:p w14:paraId="6DA796A1" w14:textId="639F7912" w:rsidR="005A3F72" w:rsidRDefault="005A3F72" w:rsidP="009C3F95">
      <w:pPr>
        <w:pStyle w:val="FootnoteText"/>
        <w:spacing w:line="200" w:lineRule="exact"/>
      </w:pPr>
      <w:r>
        <w:rPr>
          <w:rStyle w:val="FootnoteReference"/>
        </w:rPr>
        <w:footnoteRef/>
      </w:r>
      <w:r>
        <w:t xml:space="preserve"> </w:t>
      </w:r>
      <w:r w:rsidRPr="009C3F95">
        <w:t>To date, 29 of 36 indicators have been achieved</w:t>
      </w:r>
      <w:r w:rsidRPr="0093547C">
        <w:t xml:space="preserve"> </w:t>
      </w:r>
      <w:r>
        <w:t>with the others to be achieved over the remaining program timeframe</w:t>
      </w:r>
      <w:r w:rsidRPr="009C3F95">
        <w:t>.</w:t>
      </w:r>
    </w:p>
  </w:footnote>
  <w:footnote w:id="40">
    <w:p w14:paraId="40688ED3" w14:textId="0DEF111A" w:rsidR="005A3F72" w:rsidRDefault="005A3F72" w:rsidP="0057239D">
      <w:pPr>
        <w:pStyle w:val="FootnoteText"/>
        <w:spacing w:line="200" w:lineRule="exact"/>
      </w:pPr>
      <w:r>
        <w:rPr>
          <w:rStyle w:val="FootnoteReference"/>
        </w:rPr>
        <w:footnoteRef/>
      </w:r>
      <w:r>
        <w:t xml:space="preserve"> </w:t>
      </w:r>
      <w:hyperlink r:id="rId3" w:history="1">
        <w:r w:rsidRPr="00494D4F">
          <w:rPr>
            <w:rStyle w:val="Hyperlink"/>
            <w:sz w:val="16"/>
          </w:rPr>
          <w:t>https://www.facebook.com/AustralianHighCommissionDhaka</w:t>
        </w:r>
      </w:hyperlink>
      <w:r>
        <w:t xml:space="preserve"> </w:t>
      </w:r>
    </w:p>
  </w:footnote>
  <w:footnote w:id="41">
    <w:p w14:paraId="2C1BA1D1" w14:textId="4A5DB657" w:rsidR="005A3F72" w:rsidRDefault="005A3F72" w:rsidP="00DC2C3D">
      <w:pPr>
        <w:pStyle w:val="FootnoteText"/>
        <w:spacing w:line="200" w:lineRule="exact"/>
      </w:pPr>
      <w:r>
        <w:rPr>
          <w:rStyle w:val="FootnoteReference"/>
        </w:rPr>
        <w:footnoteRef/>
      </w:r>
      <w:r>
        <w:t xml:space="preserve"> In house capabilities supplemented through World Bank support on fiduciary, safeguards, and quality enhancement and through UNICEF technical support.</w:t>
      </w:r>
    </w:p>
  </w:footnote>
  <w:footnote w:id="42">
    <w:p w14:paraId="3D2E0DD3" w14:textId="1224E66D" w:rsidR="005A3F72" w:rsidRDefault="005A3F72" w:rsidP="0057239D">
      <w:pPr>
        <w:pStyle w:val="FootnoteText"/>
        <w:spacing w:line="200" w:lineRule="exact"/>
      </w:pPr>
      <w:r>
        <w:rPr>
          <w:rStyle w:val="FootnoteReference"/>
        </w:rPr>
        <w:footnoteRef/>
      </w:r>
      <w:r>
        <w:t xml:space="preserve"> BRAC Annual Report, 2014.</w:t>
      </w:r>
    </w:p>
  </w:footnote>
  <w:footnote w:id="43">
    <w:p w14:paraId="514AA0DD" w14:textId="5BBBBE95" w:rsidR="005A3F72" w:rsidRDefault="005A3F72" w:rsidP="00DB5321">
      <w:pPr>
        <w:pStyle w:val="FootnoteText"/>
        <w:spacing w:line="200" w:lineRule="exact"/>
      </w:pPr>
      <w:r>
        <w:rPr>
          <w:rStyle w:val="FootnoteReference"/>
        </w:rPr>
        <w:footnoteRef/>
      </w:r>
      <w:r>
        <w:t xml:space="preserve"> OECD Aid Charts, 2011-13. </w:t>
      </w:r>
    </w:p>
  </w:footnote>
  <w:footnote w:id="44">
    <w:p w14:paraId="7F99A3E3" w14:textId="68ADE8E4" w:rsidR="005A3F72" w:rsidRDefault="005A3F72" w:rsidP="00DB5321">
      <w:pPr>
        <w:pStyle w:val="FootnoteText"/>
        <w:spacing w:line="200" w:lineRule="exact"/>
      </w:pPr>
      <w:r>
        <w:rPr>
          <w:rStyle w:val="FootnoteReference"/>
        </w:rPr>
        <w:footnoteRef/>
      </w:r>
      <w:r>
        <w:t xml:space="preserve"> This report is yet to be published.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D0223" w14:textId="77777777" w:rsidR="007A71DB" w:rsidRDefault="007A7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B72D" w14:textId="77777777" w:rsidR="007A71DB" w:rsidRDefault="007A71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9EAE0" w14:textId="77777777" w:rsidR="007A71DB" w:rsidRDefault="007A71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6F318" w14:textId="77777777" w:rsidR="005A3F72" w:rsidRDefault="005A3F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ACFD4" w14:textId="77777777" w:rsidR="005A3F72" w:rsidRDefault="005A3F7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A620D" w14:textId="77777777" w:rsidR="005A3F72" w:rsidRDefault="005A3F7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7BD41" w14:textId="77777777" w:rsidR="005A3F72" w:rsidRDefault="005A3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CE2C2B"/>
    <w:multiLevelType w:val="hybridMultilevel"/>
    <w:tmpl w:val="2A5674F8"/>
    <w:lvl w:ilvl="0" w:tplc="93860590">
      <w:start w:val="1"/>
      <w:numFmt w:val="decimal"/>
      <w:lvlText w:val="%1."/>
      <w:lvlJc w:val="left"/>
      <w:pPr>
        <w:ind w:left="360" w:hanging="360"/>
      </w:pPr>
      <w:rPr>
        <w:rFonts w:cs="Times New Roman"/>
      </w:rPr>
    </w:lvl>
    <w:lvl w:ilvl="1" w:tplc="FC306806">
      <w:start w:val="1"/>
      <w:numFmt w:val="lowerLetter"/>
      <w:lvlText w:val="%2."/>
      <w:lvlJc w:val="left"/>
      <w:pPr>
        <w:ind w:left="1440" w:hanging="360"/>
      </w:pPr>
      <w:rPr>
        <w:rFonts w:cs="Times New Roman"/>
      </w:rPr>
    </w:lvl>
    <w:lvl w:ilvl="2" w:tplc="19846714">
      <w:numFmt w:val="bullet"/>
      <w:lvlText w:val="•"/>
      <w:lvlJc w:val="left"/>
      <w:pPr>
        <w:ind w:left="2700" w:hanging="720"/>
      </w:pPr>
      <w:rPr>
        <w:rFonts w:ascii="Arial" w:eastAsia="Times New Roman" w:hAnsi="Arial" w:cs="Arial" w:hint="default"/>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CC8571D"/>
    <w:multiLevelType w:val="hybridMultilevel"/>
    <w:tmpl w:val="7DDA85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7">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8">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9">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nsid w:val="31845DBB"/>
    <w:multiLevelType w:val="hybridMultilevel"/>
    <w:tmpl w:val="26EC7E4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3279E"/>
    <w:multiLevelType w:val="hybridMultilevel"/>
    <w:tmpl w:val="483ED530"/>
    <w:lvl w:ilvl="0" w:tplc="F6B4E198">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5">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78A3DCB"/>
    <w:multiLevelType w:val="hybridMultilevel"/>
    <w:tmpl w:val="CF0E0178"/>
    <w:lvl w:ilvl="0" w:tplc="5C14EAAE">
      <w:start w:val="2"/>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FA7980"/>
    <w:multiLevelType w:val="hybridMultilevel"/>
    <w:tmpl w:val="E56E2D34"/>
    <w:lvl w:ilvl="0" w:tplc="5C14EAAE">
      <w:start w:val="2"/>
      <w:numFmt w:val="bullet"/>
      <w:lvlText w:val="-"/>
      <w:lvlJc w:val="left"/>
      <w:pPr>
        <w:ind w:left="1080" w:hanging="360"/>
      </w:pPr>
      <w:rPr>
        <w:rFonts w:ascii="Franklin Gothic Book" w:eastAsia="Times New Roman" w:hAnsi="Franklin Gothic Book"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5CE0385"/>
    <w:multiLevelType w:val="hybridMultilevel"/>
    <w:tmpl w:val="E1FAC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A0563E1"/>
    <w:multiLevelType w:val="hybridMultilevel"/>
    <w:tmpl w:val="1742BEA2"/>
    <w:lvl w:ilvl="0" w:tplc="5C14EAAE">
      <w:start w:val="2"/>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0"/>
  </w:num>
  <w:num w:numId="3">
    <w:abstractNumId w:val="5"/>
  </w:num>
  <w:num w:numId="4">
    <w:abstractNumId w:val="18"/>
  </w:num>
  <w:num w:numId="5">
    <w:abstractNumId w:val="15"/>
  </w:num>
  <w:num w:numId="6">
    <w:abstractNumId w:val="13"/>
  </w:num>
  <w:num w:numId="7">
    <w:abstractNumId w:val="23"/>
  </w:num>
  <w:num w:numId="8">
    <w:abstractNumId w:val="4"/>
  </w:num>
  <w:num w:numId="9">
    <w:abstractNumId w:val="8"/>
  </w:num>
  <w:num w:numId="10">
    <w:abstractNumId w:val="24"/>
  </w:num>
  <w:num w:numId="11">
    <w:abstractNumId w:val="26"/>
  </w:num>
  <w:num w:numId="12">
    <w:abstractNumId w:val="0"/>
  </w:num>
  <w:num w:numId="13">
    <w:abstractNumId w:val="2"/>
  </w:num>
  <w:num w:numId="14">
    <w:abstractNumId w:val="22"/>
  </w:num>
  <w:num w:numId="15">
    <w:abstractNumId w:val="1"/>
  </w:num>
  <w:num w:numId="16">
    <w:abstractNumId w:val="11"/>
  </w:num>
  <w:num w:numId="17">
    <w:abstractNumId w:val="9"/>
  </w:num>
  <w:num w:numId="18">
    <w:abstractNumId w:val="7"/>
  </w:num>
  <w:num w:numId="19">
    <w:abstractNumId w:val="19"/>
  </w:num>
  <w:num w:numId="20">
    <w:abstractNumId w:val="26"/>
  </w:num>
  <w:num w:numId="21">
    <w:abstractNumId w:val="26"/>
  </w:num>
  <w:num w:numId="22">
    <w:abstractNumId w:val="26"/>
  </w:num>
  <w:num w:numId="23">
    <w:abstractNumId w:val="26"/>
  </w:num>
  <w:num w:numId="24">
    <w:abstractNumId w:val="26"/>
  </w:num>
  <w:num w:numId="25">
    <w:abstractNumId w:val="16"/>
  </w:num>
  <w:num w:numId="26">
    <w:abstractNumId w:val="25"/>
  </w:num>
  <w:num w:numId="27">
    <w:abstractNumId w:val="6"/>
  </w:num>
  <w:num w:numId="28">
    <w:abstractNumId w:val="12"/>
  </w:num>
  <w:num w:numId="29">
    <w:abstractNumId w:val="17"/>
  </w:num>
  <w:num w:numId="30">
    <w:abstractNumId w:val="26"/>
  </w:num>
  <w:num w:numId="31">
    <w:abstractNumId w:val="26"/>
  </w:num>
  <w:num w:numId="32">
    <w:abstractNumId w:val="26"/>
  </w:num>
  <w:num w:numId="33">
    <w:abstractNumId w:val="26"/>
  </w:num>
  <w:num w:numId="34">
    <w:abstractNumId w:val="26"/>
  </w:num>
  <w:num w:numId="35">
    <w:abstractNumId w:val="14"/>
  </w:num>
  <w:num w:numId="36">
    <w:abstractNumId w:val="26"/>
  </w:num>
  <w:num w:numId="37">
    <w:abstractNumId w:val="26"/>
  </w:num>
  <w:num w:numId="38">
    <w:abstractNumId w:val="3"/>
  </w:num>
  <w:num w:numId="39">
    <w:abstractNumId w:val="26"/>
  </w:num>
  <w:num w:numId="40">
    <w:abstractNumId w:val="26"/>
  </w:num>
  <w:num w:numId="4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A92"/>
    <w:rsid w:val="00002E28"/>
    <w:rsid w:val="000039CF"/>
    <w:rsid w:val="00004E18"/>
    <w:rsid w:val="00007347"/>
    <w:rsid w:val="00007B71"/>
    <w:rsid w:val="00007E94"/>
    <w:rsid w:val="000142A2"/>
    <w:rsid w:val="000142E5"/>
    <w:rsid w:val="000143D9"/>
    <w:rsid w:val="000148D3"/>
    <w:rsid w:val="0001584D"/>
    <w:rsid w:val="000176D8"/>
    <w:rsid w:val="00017DAF"/>
    <w:rsid w:val="00020121"/>
    <w:rsid w:val="00021A9E"/>
    <w:rsid w:val="000234F0"/>
    <w:rsid w:val="00025C3C"/>
    <w:rsid w:val="00027629"/>
    <w:rsid w:val="00030111"/>
    <w:rsid w:val="00031100"/>
    <w:rsid w:val="00031EB5"/>
    <w:rsid w:val="0003231A"/>
    <w:rsid w:val="00032CAC"/>
    <w:rsid w:val="000356C9"/>
    <w:rsid w:val="00040AF6"/>
    <w:rsid w:val="00041C5A"/>
    <w:rsid w:val="000426DF"/>
    <w:rsid w:val="0005194E"/>
    <w:rsid w:val="000529AD"/>
    <w:rsid w:val="0005378F"/>
    <w:rsid w:val="0005506B"/>
    <w:rsid w:val="000550B0"/>
    <w:rsid w:val="00055E78"/>
    <w:rsid w:val="0005637C"/>
    <w:rsid w:val="00057589"/>
    <w:rsid w:val="00057D09"/>
    <w:rsid w:val="00065B6C"/>
    <w:rsid w:val="00065CAD"/>
    <w:rsid w:val="00067532"/>
    <w:rsid w:val="00070266"/>
    <w:rsid w:val="0007149C"/>
    <w:rsid w:val="00071B95"/>
    <w:rsid w:val="0007395B"/>
    <w:rsid w:val="000745CB"/>
    <w:rsid w:val="000745E2"/>
    <w:rsid w:val="00075EB3"/>
    <w:rsid w:val="0007703B"/>
    <w:rsid w:val="000774FD"/>
    <w:rsid w:val="00077E2A"/>
    <w:rsid w:val="000818C0"/>
    <w:rsid w:val="00081F4E"/>
    <w:rsid w:val="00083AFE"/>
    <w:rsid w:val="000905A8"/>
    <w:rsid w:val="00091878"/>
    <w:rsid w:val="00094DDD"/>
    <w:rsid w:val="000957FC"/>
    <w:rsid w:val="00095CF5"/>
    <w:rsid w:val="000977B5"/>
    <w:rsid w:val="000979A0"/>
    <w:rsid w:val="00097B02"/>
    <w:rsid w:val="000A1618"/>
    <w:rsid w:val="000A3573"/>
    <w:rsid w:val="000A4247"/>
    <w:rsid w:val="000A460F"/>
    <w:rsid w:val="000A4EB4"/>
    <w:rsid w:val="000A714B"/>
    <w:rsid w:val="000B0391"/>
    <w:rsid w:val="000B1079"/>
    <w:rsid w:val="000B3121"/>
    <w:rsid w:val="000B68F6"/>
    <w:rsid w:val="000B6BE5"/>
    <w:rsid w:val="000B6FEA"/>
    <w:rsid w:val="000B75E8"/>
    <w:rsid w:val="000C258A"/>
    <w:rsid w:val="000C29BF"/>
    <w:rsid w:val="000C374F"/>
    <w:rsid w:val="000C41E8"/>
    <w:rsid w:val="000C4A7A"/>
    <w:rsid w:val="000C6080"/>
    <w:rsid w:val="000C60A8"/>
    <w:rsid w:val="000D151B"/>
    <w:rsid w:val="000D1993"/>
    <w:rsid w:val="000D2CDD"/>
    <w:rsid w:val="000D32CF"/>
    <w:rsid w:val="000D4CC0"/>
    <w:rsid w:val="000D6FB2"/>
    <w:rsid w:val="000D733F"/>
    <w:rsid w:val="000D7952"/>
    <w:rsid w:val="000E027D"/>
    <w:rsid w:val="000E4573"/>
    <w:rsid w:val="000E67B4"/>
    <w:rsid w:val="000E7297"/>
    <w:rsid w:val="000E7A8D"/>
    <w:rsid w:val="000F25CD"/>
    <w:rsid w:val="000F2D94"/>
    <w:rsid w:val="00100485"/>
    <w:rsid w:val="00100AA2"/>
    <w:rsid w:val="00106185"/>
    <w:rsid w:val="00106BDC"/>
    <w:rsid w:val="0010729C"/>
    <w:rsid w:val="001101DD"/>
    <w:rsid w:val="00110735"/>
    <w:rsid w:val="00110E51"/>
    <w:rsid w:val="00112E97"/>
    <w:rsid w:val="001139DE"/>
    <w:rsid w:val="00114208"/>
    <w:rsid w:val="00114751"/>
    <w:rsid w:val="001154CA"/>
    <w:rsid w:val="001171DE"/>
    <w:rsid w:val="00120FC7"/>
    <w:rsid w:val="00122038"/>
    <w:rsid w:val="00122299"/>
    <w:rsid w:val="001227C3"/>
    <w:rsid w:val="0012429A"/>
    <w:rsid w:val="00124A09"/>
    <w:rsid w:val="00125002"/>
    <w:rsid w:val="001258C6"/>
    <w:rsid w:val="0012793C"/>
    <w:rsid w:val="00131FF0"/>
    <w:rsid w:val="00132003"/>
    <w:rsid w:val="00132643"/>
    <w:rsid w:val="00133AAD"/>
    <w:rsid w:val="001343F7"/>
    <w:rsid w:val="00135806"/>
    <w:rsid w:val="00135828"/>
    <w:rsid w:val="001366B4"/>
    <w:rsid w:val="00136CC1"/>
    <w:rsid w:val="001375E3"/>
    <w:rsid w:val="001410A2"/>
    <w:rsid w:val="00141A30"/>
    <w:rsid w:val="00143053"/>
    <w:rsid w:val="0014411B"/>
    <w:rsid w:val="001448E7"/>
    <w:rsid w:val="00147846"/>
    <w:rsid w:val="0015043E"/>
    <w:rsid w:val="00152DFD"/>
    <w:rsid w:val="0015477F"/>
    <w:rsid w:val="00154EF9"/>
    <w:rsid w:val="00155BFC"/>
    <w:rsid w:val="00157858"/>
    <w:rsid w:val="001612CE"/>
    <w:rsid w:val="00161E58"/>
    <w:rsid w:val="001624FB"/>
    <w:rsid w:val="0016544D"/>
    <w:rsid w:val="001657F1"/>
    <w:rsid w:val="00167331"/>
    <w:rsid w:val="0016740F"/>
    <w:rsid w:val="00171BB2"/>
    <w:rsid w:val="00173565"/>
    <w:rsid w:val="00173C6E"/>
    <w:rsid w:val="00175E4C"/>
    <w:rsid w:val="001772FD"/>
    <w:rsid w:val="00177BE7"/>
    <w:rsid w:val="00177FF9"/>
    <w:rsid w:val="00180B19"/>
    <w:rsid w:val="00180F3A"/>
    <w:rsid w:val="0018196F"/>
    <w:rsid w:val="001829BB"/>
    <w:rsid w:val="0018305E"/>
    <w:rsid w:val="0018353A"/>
    <w:rsid w:val="00190082"/>
    <w:rsid w:val="00192498"/>
    <w:rsid w:val="001943B6"/>
    <w:rsid w:val="00194806"/>
    <w:rsid w:val="001A2101"/>
    <w:rsid w:val="001A3172"/>
    <w:rsid w:val="001A374B"/>
    <w:rsid w:val="001A4980"/>
    <w:rsid w:val="001A7224"/>
    <w:rsid w:val="001B0020"/>
    <w:rsid w:val="001B1A0C"/>
    <w:rsid w:val="001B2948"/>
    <w:rsid w:val="001B41CD"/>
    <w:rsid w:val="001B714C"/>
    <w:rsid w:val="001B71CA"/>
    <w:rsid w:val="001C1D7C"/>
    <w:rsid w:val="001C1EA0"/>
    <w:rsid w:val="001C31B9"/>
    <w:rsid w:val="001C507E"/>
    <w:rsid w:val="001C700E"/>
    <w:rsid w:val="001C7117"/>
    <w:rsid w:val="001C7293"/>
    <w:rsid w:val="001C745A"/>
    <w:rsid w:val="001C7DDD"/>
    <w:rsid w:val="001D20FC"/>
    <w:rsid w:val="001D210A"/>
    <w:rsid w:val="001D3496"/>
    <w:rsid w:val="001D3ACF"/>
    <w:rsid w:val="001D6059"/>
    <w:rsid w:val="001D6515"/>
    <w:rsid w:val="001D7E98"/>
    <w:rsid w:val="001E272A"/>
    <w:rsid w:val="001E3452"/>
    <w:rsid w:val="001E4BDE"/>
    <w:rsid w:val="001E6635"/>
    <w:rsid w:val="001E6C02"/>
    <w:rsid w:val="001F12A2"/>
    <w:rsid w:val="001F5CB1"/>
    <w:rsid w:val="001F61A8"/>
    <w:rsid w:val="001F7480"/>
    <w:rsid w:val="00201174"/>
    <w:rsid w:val="00202880"/>
    <w:rsid w:val="00202C34"/>
    <w:rsid w:val="00202E4E"/>
    <w:rsid w:val="00203BCC"/>
    <w:rsid w:val="00205E0B"/>
    <w:rsid w:val="00205F2B"/>
    <w:rsid w:val="002108E8"/>
    <w:rsid w:val="002115BD"/>
    <w:rsid w:val="002126BA"/>
    <w:rsid w:val="00212B27"/>
    <w:rsid w:val="0021515C"/>
    <w:rsid w:val="002155FC"/>
    <w:rsid w:val="00216ADA"/>
    <w:rsid w:val="002227A9"/>
    <w:rsid w:val="002235DA"/>
    <w:rsid w:val="00223901"/>
    <w:rsid w:val="00223C0A"/>
    <w:rsid w:val="00226DEE"/>
    <w:rsid w:val="00227B01"/>
    <w:rsid w:val="00231D45"/>
    <w:rsid w:val="002335A9"/>
    <w:rsid w:val="002343CF"/>
    <w:rsid w:val="00235D29"/>
    <w:rsid w:val="002363D9"/>
    <w:rsid w:val="00236B8C"/>
    <w:rsid w:val="002373C6"/>
    <w:rsid w:val="00237AB5"/>
    <w:rsid w:val="00237C4B"/>
    <w:rsid w:val="0024009A"/>
    <w:rsid w:val="00240D59"/>
    <w:rsid w:val="00242C0A"/>
    <w:rsid w:val="00243071"/>
    <w:rsid w:val="002441D5"/>
    <w:rsid w:val="00244927"/>
    <w:rsid w:val="00245755"/>
    <w:rsid w:val="00246E5F"/>
    <w:rsid w:val="00254374"/>
    <w:rsid w:val="00254436"/>
    <w:rsid w:val="00255C91"/>
    <w:rsid w:val="00256A0A"/>
    <w:rsid w:val="00261E78"/>
    <w:rsid w:val="002636C8"/>
    <w:rsid w:val="00263F5F"/>
    <w:rsid w:val="00264A35"/>
    <w:rsid w:val="002660AA"/>
    <w:rsid w:val="00267839"/>
    <w:rsid w:val="00270898"/>
    <w:rsid w:val="00272AF0"/>
    <w:rsid w:val="00273C6F"/>
    <w:rsid w:val="00275C42"/>
    <w:rsid w:val="00282FEF"/>
    <w:rsid w:val="002849B4"/>
    <w:rsid w:val="002911A4"/>
    <w:rsid w:val="00291F1C"/>
    <w:rsid w:val="00292397"/>
    <w:rsid w:val="00297FA7"/>
    <w:rsid w:val="002A15F4"/>
    <w:rsid w:val="002A1935"/>
    <w:rsid w:val="002A197D"/>
    <w:rsid w:val="002A1A79"/>
    <w:rsid w:val="002A21D1"/>
    <w:rsid w:val="002A22F7"/>
    <w:rsid w:val="002A2EE3"/>
    <w:rsid w:val="002A449A"/>
    <w:rsid w:val="002A4D70"/>
    <w:rsid w:val="002A6E97"/>
    <w:rsid w:val="002A77DC"/>
    <w:rsid w:val="002B1CB1"/>
    <w:rsid w:val="002B1F66"/>
    <w:rsid w:val="002B31B3"/>
    <w:rsid w:val="002B433A"/>
    <w:rsid w:val="002B61A8"/>
    <w:rsid w:val="002B6EBE"/>
    <w:rsid w:val="002B79D4"/>
    <w:rsid w:val="002C1E00"/>
    <w:rsid w:val="002C2721"/>
    <w:rsid w:val="002C5722"/>
    <w:rsid w:val="002C639B"/>
    <w:rsid w:val="002C69B6"/>
    <w:rsid w:val="002C70A6"/>
    <w:rsid w:val="002D1328"/>
    <w:rsid w:val="002D2322"/>
    <w:rsid w:val="002D5D7B"/>
    <w:rsid w:val="002D6914"/>
    <w:rsid w:val="002D6DF0"/>
    <w:rsid w:val="002D7FFA"/>
    <w:rsid w:val="002E0E23"/>
    <w:rsid w:val="002E3B38"/>
    <w:rsid w:val="002E55EA"/>
    <w:rsid w:val="002E5604"/>
    <w:rsid w:val="002F1B63"/>
    <w:rsid w:val="002F2E20"/>
    <w:rsid w:val="002F479A"/>
    <w:rsid w:val="002F54F3"/>
    <w:rsid w:val="002F5A14"/>
    <w:rsid w:val="00301D48"/>
    <w:rsid w:val="00302B9E"/>
    <w:rsid w:val="00303038"/>
    <w:rsid w:val="0030318A"/>
    <w:rsid w:val="00303AEF"/>
    <w:rsid w:val="00306734"/>
    <w:rsid w:val="00307C70"/>
    <w:rsid w:val="00310426"/>
    <w:rsid w:val="00310974"/>
    <w:rsid w:val="00313E45"/>
    <w:rsid w:val="00315135"/>
    <w:rsid w:val="00315AAF"/>
    <w:rsid w:val="00315D13"/>
    <w:rsid w:val="003167E5"/>
    <w:rsid w:val="00320FCE"/>
    <w:rsid w:val="00321F9E"/>
    <w:rsid w:val="003223F8"/>
    <w:rsid w:val="0032292A"/>
    <w:rsid w:val="00322B24"/>
    <w:rsid w:val="00322D92"/>
    <w:rsid w:val="0032486D"/>
    <w:rsid w:val="003260C0"/>
    <w:rsid w:val="003266E1"/>
    <w:rsid w:val="00326B5A"/>
    <w:rsid w:val="003275D0"/>
    <w:rsid w:val="003279FD"/>
    <w:rsid w:val="00327D90"/>
    <w:rsid w:val="003305E3"/>
    <w:rsid w:val="00330982"/>
    <w:rsid w:val="003326BE"/>
    <w:rsid w:val="003327F8"/>
    <w:rsid w:val="00332E7B"/>
    <w:rsid w:val="00335F19"/>
    <w:rsid w:val="003363C7"/>
    <w:rsid w:val="00341177"/>
    <w:rsid w:val="00341311"/>
    <w:rsid w:val="00342BF7"/>
    <w:rsid w:val="00343B25"/>
    <w:rsid w:val="00343F99"/>
    <w:rsid w:val="00345B8E"/>
    <w:rsid w:val="00351ACA"/>
    <w:rsid w:val="00352AE5"/>
    <w:rsid w:val="00357648"/>
    <w:rsid w:val="00357AF7"/>
    <w:rsid w:val="00360662"/>
    <w:rsid w:val="00370CD8"/>
    <w:rsid w:val="00371F53"/>
    <w:rsid w:val="00372D2E"/>
    <w:rsid w:val="00372E1B"/>
    <w:rsid w:val="003743C8"/>
    <w:rsid w:val="00383294"/>
    <w:rsid w:val="00383F3F"/>
    <w:rsid w:val="0038400C"/>
    <w:rsid w:val="00384342"/>
    <w:rsid w:val="003849ED"/>
    <w:rsid w:val="00385A4C"/>
    <w:rsid w:val="00392981"/>
    <w:rsid w:val="00394EDD"/>
    <w:rsid w:val="00395CFA"/>
    <w:rsid w:val="00397FFE"/>
    <w:rsid w:val="003A0376"/>
    <w:rsid w:val="003A2059"/>
    <w:rsid w:val="003A27D2"/>
    <w:rsid w:val="003A2D7B"/>
    <w:rsid w:val="003A344F"/>
    <w:rsid w:val="003A74BF"/>
    <w:rsid w:val="003B122C"/>
    <w:rsid w:val="003B2268"/>
    <w:rsid w:val="003B2756"/>
    <w:rsid w:val="003B5F7E"/>
    <w:rsid w:val="003B6F2C"/>
    <w:rsid w:val="003C1FF5"/>
    <w:rsid w:val="003C288C"/>
    <w:rsid w:val="003C31EE"/>
    <w:rsid w:val="003C7721"/>
    <w:rsid w:val="003D00FF"/>
    <w:rsid w:val="003D081D"/>
    <w:rsid w:val="003D0F83"/>
    <w:rsid w:val="003D15F8"/>
    <w:rsid w:val="003D2E2F"/>
    <w:rsid w:val="003D44F4"/>
    <w:rsid w:val="003E0E66"/>
    <w:rsid w:val="003E32C4"/>
    <w:rsid w:val="003E4982"/>
    <w:rsid w:val="003E4AD4"/>
    <w:rsid w:val="003E63B3"/>
    <w:rsid w:val="003E6E05"/>
    <w:rsid w:val="003E7AA9"/>
    <w:rsid w:val="003F3FE3"/>
    <w:rsid w:val="003F520B"/>
    <w:rsid w:val="00403152"/>
    <w:rsid w:val="00403AAA"/>
    <w:rsid w:val="004053CD"/>
    <w:rsid w:val="00405631"/>
    <w:rsid w:val="00405831"/>
    <w:rsid w:val="00406000"/>
    <w:rsid w:val="0041067C"/>
    <w:rsid w:val="00412707"/>
    <w:rsid w:val="00412E5C"/>
    <w:rsid w:val="00413539"/>
    <w:rsid w:val="0041396D"/>
    <w:rsid w:val="00415A92"/>
    <w:rsid w:val="00416B02"/>
    <w:rsid w:val="0041730D"/>
    <w:rsid w:val="00420E02"/>
    <w:rsid w:val="004228CD"/>
    <w:rsid w:val="0042527A"/>
    <w:rsid w:val="00426354"/>
    <w:rsid w:val="00426808"/>
    <w:rsid w:val="004278E6"/>
    <w:rsid w:val="004309E9"/>
    <w:rsid w:val="00436BA1"/>
    <w:rsid w:val="00437C95"/>
    <w:rsid w:val="00441E77"/>
    <w:rsid w:val="00443639"/>
    <w:rsid w:val="004450BD"/>
    <w:rsid w:val="004453CE"/>
    <w:rsid w:val="00445A3B"/>
    <w:rsid w:val="00445C4E"/>
    <w:rsid w:val="00445C7F"/>
    <w:rsid w:val="00445FE0"/>
    <w:rsid w:val="00446742"/>
    <w:rsid w:val="0045086F"/>
    <w:rsid w:val="004514F3"/>
    <w:rsid w:val="00451A9F"/>
    <w:rsid w:val="0045475F"/>
    <w:rsid w:val="0045669C"/>
    <w:rsid w:val="00462000"/>
    <w:rsid w:val="00466C98"/>
    <w:rsid w:val="00467C3F"/>
    <w:rsid w:val="00467CE4"/>
    <w:rsid w:val="00470C08"/>
    <w:rsid w:val="00476FCA"/>
    <w:rsid w:val="0047710F"/>
    <w:rsid w:val="00481777"/>
    <w:rsid w:val="00487376"/>
    <w:rsid w:val="00490BDE"/>
    <w:rsid w:val="00491EA7"/>
    <w:rsid w:val="00494504"/>
    <w:rsid w:val="004957EC"/>
    <w:rsid w:val="00496F8D"/>
    <w:rsid w:val="004A1ECD"/>
    <w:rsid w:val="004A2EC3"/>
    <w:rsid w:val="004A568F"/>
    <w:rsid w:val="004A71D7"/>
    <w:rsid w:val="004A7400"/>
    <w:rsid w:val="004A7988"/>
    <w:rsid w:val="004B201A"/>
    <w:rsid w:val="004B26E1"/>
    <w:rsid w:val="004B41B9"/>
    <w:rsid w:val="004B4A44"/>
    <w:rsid w:val="004B64F3"/>
    <w:rsid w:val="004C0954"/>
    <w:rsid w:val="004C1FAD"/>
    <w:rsid w:val="004C2AAE"/>
    <w:rsid w:val="004C33EA"/>
    <w:rsid w:val="004C36CF"/>
    <w:rsid w:val="004C40E6"/>
    <w:rsid w:val="004C4A3E"/>
    <w:rsid w:val="004C59EA"/>
    <w:rsid w:val="004C65C6"/>
    <w:rsid w:val="004C660D"/>
    <w:rsid w:val="004C7E92"/>
    <w:rsid w:val="004D0699"/>
    <w:rsid w:val="004D1529"/>
    <w:rsid w:val="004D19CE"/>
    <w:rsid w:val="004D23F6"/>
    <w:rsid w:val="004D2ED0"/>
    <w:rsid w:val="004D4522"/>
    <w:rsid w:val="004D60F1"/>
    <w:rsid w:val="004D690D"/>
    <w:rsid w:val="004D740B"/>
    <w:rsid w:val="004E01E9"/>
    <w:rsid w:val="004E249D"/>
    <w:rsid w:val="004E3C74"/>
    <w:rsid w:val="004E3E40"/>
    <w:rsid w:val="004E570D"/>
    <w:rsid w:val="004E6400"/>
    <w:rsid w:val="004E642E"/>
    <w:rsid w:val="004E6924"/>
    <w:rsid w:val="004E6A61"/>
    <w:rsid w:val="004E6E33"/>
    <w:rsid w:val="004E702A"/>
    <w:rsid w:val="004E7AF7"/>
    <w:rsid w:val="004F0C2D"/>
    <w:rsid w:val="004F3D7E"/>
    <w:rsid w:val="004F4630"/>
    <w:rsid w:val="004F521E"/>
    <w:rsid w:val="004F6FEE"/>
    <w:rsid w:val="00500EB4"/>
    <w:rsid w:val="00501CD2"/>
    <w:rsid w:val="00503974"/>
    <w:rsid w:val="00503DE4"/>
    <w:rsid w:val="0050439B"/>
    <w:rsid w:val="0050529F"/>
    <w:rsid w:val="00506A51"/>
    <w:rsid w:val="00507234"/>
    <w:rsid w:val="005110C3"/>
    <w:rsid w:val="00511A0F"/>
    <w:rsid w:val="00511A48"/>
    <w:rsid w:val="0051480B"/>
    <w:rsid w:val="00514B5E"/>
    <w:rsid w:val="005157C1"/>
    <w:rsid w:val="00515954"/>
    <w:rsid w:val="00515B83"/>
    <w:rsid w:val="00515E3D"/>
    <w:rsid w:val="00516D93"/>
    <w:rsid w:val="005176D9"/>
    <w:rsid w:val="005208AC"/>
    <w:rsid w:val="0052286C"/>
    <w:rsid w:val="00522AB9"/>
    <w:rsid w:val="005265B9"/>
    <w:rsid w:val="005307E8"/>
    <w:rsid w:val="0053175E"/>
    <w:rsid w:val="00533533"/>
    <w:rsid w:val="00534CCB"/>
    <w:rsid w:val="00535C99"/>
    <w:rsid w:val="00535E24"/>
    <w:rsid w:val="00537E02"/>
    <w:rsid w:val="005404A4"/>
    <w:rsid w:val="005411A1"/>
    <w:rsid w:val="00542718"/>
    <w:rsid w:val="00543224"/>
    <w:rsid w:val="005440F6"/>
    <w:rsid w:val="005441BE"/>
    <w:rsid w:val="00544CCD"/>
    <w:rsid w:val="0054557A"/>
    <w:rsid w:val="00545C5F"/>
    <w:rsid w:val="00546DD6"/>
    <w:rsid w:val="00547869"/>
    <w:rsid w:val="0055172C"/>
    <w:rsid w:val="00551A58"/>
    <w:rsid w:val="00552935"/>
    <w:rsid w:val="00553892"/>
    <w:rsid w:val="0055569F"/>
    <w:rsid w:val="005574D8"/>
    <w:rsid w:val="0055771D"/>
    <w:rsid w:val="005609B0"/>
    <w:rsid w:val="00560D15"/>
    <w:rsid w:val="00565055"/>
    <w:rsid w:val="00565635"/>
    <w:rsid w:val="00567FCF"/>
    <w:rsid w:val="00570765"/>
    <w:rsid w:val="00570A53"/>
    <w:rsid w:val="00571521"/>
    <w:rsid w:val="00572371"/>
    <w:rsid w:val="0057239D"/>
    <w:rsid w:val="005732BD"/>
    <w:rsid w:val="005733F9"/>
    <w:rsid w:val="00573E59"/>
    <w:rsid w:val="0057490F"/>
    <w:rsid w:val="00575295"/>
    <w:rsid w:val="00581979"/>
    <w:rsid w:val="00581C01"/>
    <w:rsid w:val="0058242D"/>
    <w:rsid w:val="00582C22"/>
    <w:rsid w:val="005845CB"/>
    <w:rsid w:val="0058498A"/>
    <w:rsid w:val="0058540A"/>
    <w:rsid w:val="00586350"/>
    <w:rsid w:val="00586790"/>
    <w:rsid w:val="00586CDB"/>
    <w:rsid w:val="005901D2"/>
    <w:rsid w:val="00591A40"/>
    <w:rsid w:val="0059461A"/>
    <w:rsid w:val="00597520"/>
    <w:rsid w:val="0059783E"/>
    <w:rsid w:val="005A18C5"/>
    <w:rsid w:val="005A3ED5"/>
    <w:rsid w:val="005A3F72"/>
    <w:rsid w:val="005A511C"/>
    <w:rsid w:val="005A7CF6"/>
    <w:rsid w:val="005B143A"/>
    <w:rsid w:val="005B3E81"/>
    <w:rsid w:val="005B42EE"/>
    <w:rsid w:val="005B4657"/>
    <w:rsid w:val="005B4F7A"/>
    <w:rsid w:val="005B537E"/>
    <w:rsid w:val="005B7C71"/>
    <w:rsid w:val="005C310A"/>
    <w:rsid w:val="005C4A6B"/>
    <w:rsid w:val="005C661F"/>
    <w:rsid w:val="005D0C0F"/>
    <w:rsid w:val="005D254B"/>
    <w:rsid w:val="005D2A59"/>
    <w:rsid w:val="005D431C"/>
    <w:rsid w:val="005D6297"/>
    <w:rsid w:val="005F0C00"/>
    <w:rsid w:val="005F15ED"/>
    <w:rsid w:val="005F33F2"/>
    <w:rsid w:val="005F460C"/>
    <w:rsid w:val="005F51F6"/>
    <w:rsid w:val="005F74D0"/>
    <w:rsid w:val="00600404"/>
    <w:rsid w:val="0060117A"/>
    <w:rsid w:val="0060380D"/>
    <w:rsid w:val="00611C67"/>
    <w:rsid w:val="00612E14"/>
    <w:rsid w:val="00613C79"/>
    <w:rsid w:val="0061710F"/>
    <w:rsid w:val="006174E8"/>
    <w:rsid w:val="00617F30"/>
    <w:rsid w:val="006231CF"/>
    <w:rsid w:val="0062598A"/>
    <w:rsid w:val="00625A52"/>
    <w:rsid w:val="0062686B"/>
    <w:rsid w:val="00631936"/>
    <w:rsid w:val="00633263"/>
    <w:rsid w:val="00633A74"/>
    <w:rsid w:val="0063480E"/>
    <w:rsid w:val="00637549"/>
    <w:rsid w:val="00641C2B"/>
    <w:rsid w:val="00642A6F"/>
    <w:rsid w:val="00642E50"/>
    <w:rsid w:val="00646049"/>
    <w:rsid w:val="0064779F"/>
    <w:rsid w:val="00647FBA"/>
    <w:rsid w:val="0065268F"/>
    <w:rsid w:val="0065391A"/>
    <w:rsid w:val="00654293"/>
    <w:rsid w:val="006554EE"/>
    <w:rsid w:val="0065679C"/>
    <w:rsid w:val="00657108"/>
    <w:rsid w:val="00661783"/>
    <w:rsid w:val="00663306"/>
    <w:rsid w:val="00663909"/>
    <w:rsid w:val="00663E95"/>
    <w:rsid w:val="006659FF"/>
    <w:rsid w:val="006671BC"/>
    <w:rsid w:val="00671186"/>
    <w:rsid w:val="0067299B"/>
    <w:rsid w:val="00672E61"/>
    <w:rsid w:val="00673287"/>
    <w:rsid w:val="00674A45"/>
    <w:rsid w:val="00680679"/>
    <w:rsid w:val="0068146D"/>
    <w:rsid w:val="00682DB1"/>
    <w:rsid w:val="006833A8"/>
    <w:rsid w:val="00683FFB"/>
    <w:rsid w:val="0068768A"/>
    <w:rsid w:val="00687B2F"/>
    <w:rsid w:val="00687C15"/>
    <w:rsid w:val="00690740"/>
    <w:rsid w:val="00690BEA"/>
    <w:rsid w:val="006937D8"/>
    <w:rsid w:val="00695279"/>
    <w:rsid w:val="00697C69"/>
    <w:rsid w:val="006A0A59"/>
    <w:rsid w:val="006A4971"/>
    <w:rsid w:val="006A5742"/>
    <w:rsid w:val="006B0F12"/>
    <w:rsid w:val="006B1F29"/>
    <w:rsid w:val="006B33A7"/>
    <w:rsid w:val="006B4511"/>
    <w:rsid w:val="006C1260"/>
    <w:rsid w:val="006C2232"/>
    <w:rsid w:val="006C6800"/>
    <w:rsid w:val="006D0BC5"/>
    <w:rsid w:val="006D2239"/>
    <w:rsid w:val="006D2CF2"/>
    <w:rsid w:val="006D2E37"/>
    <w:rsid w:val="006D34BE"/>
    <w:rsid w:val="006D34C3"/>
    <w:rsid w:val="006D58F2"/>
    <w:rsid w:val="006D6292"/>
    <w:rsid w:val="006E0699"/>
    <w:rsid w:val="006E1B19"/>
    <w:rsid w:val="006E2B9F"/>
    <w:rsid w:val="006E327C"/>
    <w:rsid w:val="006E7795"/>
    <w:rsid w:val="006E7821"/>
    <w:rsid w:val="006E79E6"/>
    <w:rsid w:val="006E7E9F"/>
    <w:rsid w:val="006E7FA8"/>
    <w:rsid w:val="006F00DB"/>
    <w:rsid w:val="006F4623"/>
    <w:rsid w:val="006F4B40"/>
    <w:rsid w:val="006F773D"/>
    <w:rsid w:val="00701FEA"/>
    <w:rsid w:val="007040D1"/>
    <w:rsid w:val="00704FD9"/>
    <w:rsid w:val="00705629"/>
    <w:rsid w:val="00705A00"/>
    <w:rsid w:val="007069F7"/>
    <w:rsid w:val="00706DE1"/>
    <w:rsid w:val="00710059"/>
    <w:rsid w:val="00710337"/>
    <w:rsid w:val="00710FFF"/>
    <w:rsid w:val="007110C9"/>
    <w:rsid w:val="0071214F"/>
    <w:rsid w:val="00712349"/>
    <w:rsid w:val="00712FCE"/>
    <w:rsid w:val="007131CA"/>
    <w:rsid w:val="00714BA3"/>
    <w:rsid w:val="00715180"/>
    <w:rsid w:val="0071537B"/>
    <w:rsid w:val="00715F87"/>
    <w:rsid w:val="007167AE"/>
    <w:rsid w:val="00720485"/>
    <w:rsid w:val="00721098"/>
    <w:rsid w:val="0072495B"/>
    <w:rsid w:val="007311E0"/>
    <w:rsid w:val="00731F65"/>
    <w:rsid w:val="007360D3"/>
    <w:rsid w:val="0073644C"/>
    <w:rsid w:val="007368FD"/>
    <w:rsid w:val="00736D2D"/>
    <w:rsid w:val="00737186"/>
    <w:rsid w:val="00737641"/>
    <w:rsid w:val="00737C72"/>
    <w:rsid w:val="00741656"/>
    <w:rsid w:val="007452F9"/>
    <w:rsid w:val="0074660C"/>
    <w:rsid w:val="00747B69"/>
    <w:rsid w:val="00750E77"/>
    <w:rsid w:val="00751449"/>
    <w:rsid w:val="0075387D"/>
    <w:rsid w:val="007539D7"/>
    <w:rsid w:val="00755707"/>
    <w:rsid w:val="00755D95"/>
    <w:rsid w:val="00755DD3"/>
    <w:rsid w:val="00755FAD"/>
    <w:rsid w:val="007567EB"/>
    <w:rsid w:val="00756B0E"/>
    <w:rsid w:val="00757BAA"/>
    <w:rsid w:val="00762AC9"/>
    <w:rsid w:val="00762B9C"/>
    <w:rsid w:val="00763999"/>
    <w:rsid w:val="00765900"/>
    <w:rsid w:val="00766491"/>
    <w:rsid w:val="00766BCF"/>
    <w:rsid w:val="00767F39"/>
    <w:rsid w:val="007705BC"/>
    <w:rsid w:val="007726E1"/>
    <w:rsid w:val="00773C87"/>
    <w:rsid w:val="007746A3"/>
    <w:rsid w:val="00774F4B"/>
    <w:rsid w:val="00775276"/>
    <w:rsid w:val="0079256F"/>
    <w:rsid w:val="00792FC9"/>
    <w:rsid w:val="0079307B"/>
    <w:rsid w:val="00793700"/>
    <w:rsid w:val="007941CF"/>
    <w:rsid w:val="00796F48"/>
    <w:rsid w:val="007A2A5E"/>
    <w:rsid w:val="007A2F01"/>
    <w:rsid w:val="007A3C6A"/>
    <w:rsid w:val="007A5821"/>
    <w:rsid w:val="007A6B87"/>
    <w:rsid w:val="007A71DB"/>
    <w:rsid w:val="007B0EBF"/>
    <w:rsid w:val="007B12EF"/>
    <w:rsid w:val="007B51E2"/>
    <w:rsid w:val="007B5EE2"/>
    <w:rsid w:val="007B6F81"/>
    <w:rsid w:val="007B7950"/>
    <w:rsid w:val="007C08B4"/>
    <w:rsid w:val="007D02A7"/>
    <w:rsid w:val="007D0A64"/>
    <w:rsid w:val="007D2796"/>
    <w:rsid w:val="007D5D8D"/>
    <w:rsid w:val="007D608D"/>
    <w:rsid w:val="007D7EE0"/>
    <w:rsid w:val="007E0E8A"/>
    <w:rsid w:val="007E10A5"/>
    <w:rsid w:val="007E2A95"/>
    <w:rsid w:val="007E3D71"/>
    <w:rsid w:val="007F0036"/>
    <w:rsid w:val="007F0F6C"/>
    <w:rsid w:val="007F2841"/>
    <w:rsid w:val="007F3E30"/>
    <w:rsid w:val="0080096B"/>
    <w:rsid w:val="00800B90"/>
    <w:rsid w:val="00802A66"/>
    <w:rsid w:val="00805ADD"/>
    <w:rsid w:val="008103A0"/>
    <w:rsid w:val="00810DE3"/>
    <w:rsid w:val="00811BA4"/>
    <w:rsid w:val="0081530F"/>
    <w:rsid w:val="00816C86"/>
    <w:rsid w:val="0081723A"/>
    <w:rsid w:val="00821541"/>
    <w:rsid w:val="00821A06"/>
    <w:rsid w:val="008220F3"/>
    <w:rsid w:val="00822273"/>
    <w:rsid w:val="008235DB"/>
    <w:rsid w:val="00823FCA"/>
    <w:rsid w:val="0082631D"/>
    <w:rsid w:val="00826FE4"/>
    <w:rsid w:val="00827103"/>
    <w:rsid w:val="00830647"/>
    <w:rsid w:val="00830E80"/>
    <w:rsid w:val="00832911"/>
    <w:rsid w:val="00832941"/>
    <w:rsid w:val="00833071"/>
    <w:rsid w:val="00833A0F"/>
    <w:rsid w:val="00833EB7"/>
    <w:rsid w:val="0084092F"/>
    <w:rsid w:val="00843333"/>
    <w:rsid w:val="0084491B"/>
    <w:rsid w:val="00844C87"/>
    <w:rsid w:val="00845E3F"/>
    <w:rsid w:val="00850A87"/>
    <w:rsid w:val="00850D14"/>
    <w:rsid w:val="00852CAE"/>
    <w:rsid w:val="008532FB"/>
    <w:rsid w:val="008540F0"/>
    <w:rsid w:val="008568C0"/>
    <w:rsid w:val="00862786"/>
    <w:rsid w:val="00864874"/>
    <w:rsid w:val="00871CA1"/>
    <w:rsid w:val="00874F47"/>
    <w:rsid w:val="00877D87"/>
    <w:rsid w:val="00880255"/>
    <w:rsid w:val="008810FA"/>
    <w:rsid w:val="008846D8"/>
    <w:rsid w:val="00884878"/>
    <w:rsid w:val="00885B9C"/>
    <w:rsid w:val="00886D18"/>
    <w:rsid w:val="00887B22"/>
    <w:rsid w:val="00892303"/>
    <w:rsid w:val="00896927"/>
    <w:rsid w:val="00897807"/>
    <w:rsid w:val="00897E16"/>
    <w:rsid w:val="008A144E"/>
    <w:rsid w:val="008A310A"/>
    <w:rsid w:val="008A6603"/>
    <w:rsid w:val="008A6E74"/>
    <w:rsid w:val="008A7D09"/>
    <w:rsid w:val="008B3F21"/>
    <w:rsid w:val="008B5F65"/>
    <w:rsid w:val="008C0FBD"/>
    <w:rsid w:val="008C3C33"/>
    <w:rsid w:val="008C4903"/>
    <w:rsid w:val="008C5617"/>
    <w:rsid w:val="008C6687"/>
    <w:rsid w:val="008C6B8E"/>
    <w:rsid w:val="008C6F56"/>
    <w:rsid w:val="008C70BD"/>
    <w:rsid w:val="008C79C7"/>
    <w:rsid w:val="008C7A69"/>
    <w:rsid w:val="008C7AC8"/>
    <w:rsid w:val="008D0242"/>
    <w:rsid w:val="008D14E2"/>
    <w:rsid w:val="008D23EE"/>
    <w:rsid w:val="008D27EF"/>
    <w:rsid w:val="008D280D"/>
    <w:rsid w:val="008D28DF"/>
    <w:rsid w:val="008D2DC8"/>
    <w:rsid w:val="008D34F9"/>
    <w:rsid w:val="008D3D46"/>
    <w:rsid w:val="008D444D"/>
    <w:rsid w:val="008D745E"/>
    <w:rsid w:val="008E29AB"/>
    <w:rsid w:val="008E44A5"/>
    <w:rsid w:val="008E4EF2"/>
    <w:rsid w:val="008E717A"/>
    <w:rsid w:val="008F06F2"/>
    <w:rsid w:val="008F1E28"/>
    <w:rsid w:val="008F30C1"/>
    <w:rsid w:val="008F4C4B"/>
    <w:rsid w:val="008F5D80"/>
    <w:rsid w:val="008F6125"/>
    <w:rsid w:val="008F7B8C"/>
    <w:rsid w:val="009006D2"/>
    <w:rsid w:val="00906A81"/>
    <w:rsid w:val="009103F3"/>
    <w:rsid w:val="00911606"/>
    <w:rsid w:val="009126A4"/>
    <w:rsid w:val="0091457F"/>
    <w:rsid w:val="009163AF"/>
    <w:rsid w:val="00916D52"/>
    <w:rsid w:val="009213B6"/>
    <w:rsid w:val="00923D3D"/>
    <w:rsid w:val="00924080"/>
    <w:rsid w:val="00924CCB"/>
    <w:rsid w:val="0092520A"/>
    <w:rsid w:val="00927978"/>
    <w:rsid w:val="00927F55"/>
    <w:rsid w:val="00932FAD"/>
    <w:rsid w:val="00934EBE"/>
    <w:rsid w:val="0093547C"/>
    <w:rsid w:val="00936ECF"/>
    <w:rsid w:val="009370CF"/>
    <w:rsid w:val="00937307"/>
    <w:rsid w:val="00942B47"/>
    <w:rsid w:val="00943371"/>
    <w:rsid w:val="00943961"/>
    <w:rsid w:val="009445BA"/>
    <w:rsid w:val="00945130"/>
    <w:rsid w:val="00945B0A"/>
    <w:rsid w:val="00946F68"/>
    <w:rsid w:val="009475F3"/>
    <w:rsid w:val="00950DE1"/>
    <w:rsid w:val="00951562"/>
    <w:rsid w:val="00951651"/>
    <w:rsid w:val="00951841"/>
    <w:rsid w:val="00953CAB"/>
    <w:rsid w:val="00954EF3"/>
    <w:rsid w:val="0095603B"/>
    <w:rsid w:val="00957948"/>
    <w:rsid w:val="00960296"/>
    <w:rsid w:val="009668EF"/>
    <w:rsid w:val="00967480"/>
    <w:rsid w:val="00967B12"/>
    <w:rsid w:val="009713CF"/>
    <w:rsid w:val="009729A9"/>
    <w:rsid w:val="00973E90"/>
    <w:rsid w:val="009740E6"/>
    <w:rsid w:val="009741D6"/>
    <w:rsid w:val="009744C7"/>
    <w:rsid w:val="009761F8"/>
    <w:rsid w:val="00976AF1"/>
    <w:rsid w:val="00976FB3"/>
    <w:rsid w:val="0098030D"/>
    <w:rsid w:val="00981B13"/>
    <w:rsid w:val="00981E62"/>
    <w:rsid w:val="009920C9"/>
    <w:rsid w:val="009928E1"/>
    <w:rsid w:val="0099488A"/>
    <w:rsid w:val="00994D57"/>
    <w:rsid w:val="00996460"/>
    <w:rsid w:val="0099677B"/>
    <w:rsid w:val="009972BC"/>
    <w:rsid w:val="009A1E07"/>
    <w:rsid w:val="009A25EB"/>
    <w:rsid w:val="009A290D"/>
    <w:rsid w:val="009A420A"/>
    <w:rsid w:val="009B3194"/>
    <w:rsid w:val="009B5190"/>
    <w:rsid w:val="009B5381"/>
    <w:rsid w:val="009B5C2B"/>
    <w:rsid w:val="009B654F"/>
    <w:rsid w:val="009C074F"/>
    <w:rsid w:val="009C16DF"/>
    <w:rsid w:val="009C1FDC"/>
    <w:rsid w:val="009C2407"/>
    <w:rsid w:val="009C36D2"/>
    <w:rsid w:val="009C3F95"/>
    <w:rsid w:val="009C4804"/>
    <w:rsid w:val="009C5A7E"/>
    <w:rsid w:val="009C6B2A"/>
    <w:rsid w:val="009D054C"/>
    <w:rsid w:val="009D104E"/>
    <w:rsid w:val="009D1FDF"/>
    <w:rsid w:val="009D3524"/>
    <w:rsid w:val="009D5236"/>
    <w:rsid w:val="009E1667"/>
    <w:rsid w:val="009E1BCC"/>
    <w:rsid w:val="009E1CA8"/>
    <w:rsid w:val="009E28E1"/>
    <w:rsid w:val="009E38C1"/>
    <w:rsid w:val="009E6780"/>
    <w:rsid w:val="009E7701"/>
    <w:rsid w:val="009E79EC"/>
    <w:rsid w:val="009F08A4"/>
    <w:rsid w:val="009F3569"/>
    <w:rsid w:val="009F4D99"/>
    <w:rsid w:val="009F50F0"/>
    <w:rsid w:val="00A01327"/>
    <w:rsid w:val="00A018E7"/>
    <w:rsid w:val="00A03911"/>
    <w:rsid w:val="00A03B4F"/>
    <w:rsid w:val="00A05140"/>
    <w:rsid w:val="00A06FC9"/>
    <w:rsid w:val="00A10DE1"/>
    <w:rsid w:val="00A11D59"/>
    <w:rsid w:val="00A123C7"/>
    <w:rsid w:val="00A13029"/>
    <w:rsid w:val="00A14E44"/>
    <w:rsid w:val="00A14E66"/>
    <w:rsid w:val="00A17361"/>
    <w:rsid w:val="00A20730"/>
    <w:rsid w:val="00A22538"/>
    <w:rsid w:val="00A232AC"/>
    <w:rsid w:val="00A27E2B"/>
    <w:rsid w:val="00A33B7B"/>
    <w:rsid w:val="00A34039"/>
    <w:rsid w:val="00A3552E"/>
    <w:rsid w:val="00A35E94"/>
    <w:rsid w:val="00A36449"/>
    <w:rsid w:val="00A36E9F"/>
    <w:rsid w:val="00A414EE"/>
    <w:rsid w:val="00A417FA"/>
    <w:rsid w:val="00A4222C"/>
    <w:rsid w:val="00A42760"/>
    <w:rsid w:val="00A443C7"/>
    <w:rsid w:val="00A456EE"/>
    <w:rsid w:val="00A458B3"/>
    <w:rsid w:val="00A45B60"/>
    <w:rsid w:val="00A45E73"/>
    <w:rsid w:val="00A50CFC"/>
    <w:rsid w:val="00A51FD0"/>
    <w:rsid w:val="00A5551F"/>
    <w:rsid w:val="00A61B0C"/>
    <w:rsid w:val="00A62E17"/>
    <w:rsid w:val="00A65CAA"/>
    <w:rsid w:val="00A662CF"/>
    <w:rsid w:val="00A76444"/>
    <w:rsid w:val="00A766FD"/>
    <w:rsid w:val="00A80353"/>
    <w:rsid w:val="00A820E7"/>
    <w:rsid w:val="00A82891"/>
    <w:rsid w:val="00A82DF8"/>
    <w:rsid w:val="00A92021"/>
    <w:rsid w:val="00A9333E"/>
    <w:rsid w:val="00A93AEC"/>
    <w:rsid w:val="00A94EC5"/>
    <w:rsid w:val="00A9554E"/>
    <w:rsid w:val="00AA2144"/>
    <w:rsid w:val="00AA31F2"/>
    <w:rsid w:val="00AA406C"/>
    <w:rsid w:val="00AA4F9F"/>
    <w:rsid w:val="00AA5E1B"/>
    <w:rsid w:val="00AA6DFB"/>
    <w:rsid w:val="00AA7256"/>
    <w:rsid w:val="00AA7D67"/>
    <w:rsid w:val="00AB0987"/>
    <w:rsid w:val="00AB0FD3"/>
    <w:rsid w:val="00AB3900"/>
    <w:rsid w:val="00AB4300"/>
    <w:rsid w:val="00AB50E6"/>
    <w:rsid w:val="00AB62CB"/>
    <w:rsid w:val="00AB7215"/>
    <w:rsid w:val="00AC005D"/>
    <w:rsid w:val="00AC028E"/>
    <w:rsid w:val="00AC14DE"/>
    <w:rsid w:val="00AC4026"/>
    <w:rsid w:val="00AC538A"/>
    <w:rsid w:val="00AC56C2"/>
    <w:rsid w:val="00AC5E19"/>
    <w:rsid w:val="00AC6F49"/>
    <w:rsid w:val="00AD2723"/>
    <w:rsid w:val="00AD445D"/>
    <w:rsid w:val="00AD6F47"/>
    <w:rsid w:val="00AD75A9"/>
    <w:rsid w:val="00AE18AD"/>
    <w:rsid w:val="00AE2781"/>
    <w:rsid w:val="00AE5C52"/>
    <w:rsid w:val="00AE6D76"/>
    <w:rsid w:val="00AE6E0A"/>
    <w:rsid w:val="00AE7A7F"/>
    <w:rsid w:val="00AF045F"/>
    <w:rsid w:val="00AF0D1F"/>
    <w:rsid w:val="00AF0FA2"/>
    <w:rsid w:val="00AF0FDD"/>
    <w:rsid w:val="00AF5A70"/>
    <w:rsid w:val="00AF5B12"/>
    <w:rsid w:val="00AF5C5C"/>
    <w:rsid w:val="00AF77CE"/>
    <w:rsid w:val="00AF7869"/>
    <w:rsid w:val="00B03AEA"/>
    <w:rsid w:val="00B03FB1"/>
    <w:rsid w:val="00B13EBD"/>
    <w:rsid w:val="00B15829"/>
    <w:rsid w:val="00B16BCA"/>
    <w:rsid w:val="00B17A9D"/>
    <w:rsid w:val="00B206FA"/>
    <w:rsid w:val="00B21C2F"/>
    <w:rsid w:val="00B22615"/>
    <w:rsid w:val="00B249B7"/>
    <w:rsid w:val="00B25007"/>
    <w:rsid w:val="00B255A6"/>
    <w:rsid w:val="00B2764E"/>
    <w:rsid w:val="00B300DD"/>
    <w:rsid w:val="00B30285"/>
    <w:rsid w:val="00B30939"/>
    <w:rsid w:val="00B30E77"/>
    <w:rsid w:val="00B33F27"/>
    <w:rsid w:val="00B34B88"/>
    <w:rsid w:val="00B37A25"/>
    <w:rsid w:val="00B44032"/>
    <w:rsid w:val="00B44B9D"/>
    <w:rsid w:val="00B456CC"/>
    <w:rsid w:val="00B478EF"/>
    <w:rsid w:val="00B47CB9"/>
    <w:rsid w:val="00B5077C"/>
    <w:rsid w:val="00B50A48"/>
    <w:rsid w:val="00B51BAD"/>
    <w:rsid w:val="00B5368B"/>
    <w:rsid w:val="00B5371A"/>
    <w:rsid w:val="00B53E4E"/>
    <w:rsid w:val="00B549A6"/>
    <w:rsid w:val="00B55BE4"/>
    <w:rsid w:val="00B564A3"/>
    <w:rsid w:val="00B56514"/>
    <w:rsid w:val="00B56551"/>
    <w:rsid w:val="00B57AE9"/>
    <w:rsid w:val="00B57CA2"/>
    <w:rsid w:val="00B61C85"/>
    <w:rsid w:val="00B634F9"/>
    <w:rsid w:val="00B638BD"/>
    <w:rsid w:val="00B64DB8"/>
    <w:rsid w:val="00B65EB5"/>
    <w:rsid w:val="00B6609B"/>
    <w:rsid w:val="00B66555"/>
    <w:rsid w:val="00B6755E"/>
    <w:rsid w:val="00B71672"/>
    <w:rsid w:val="00B7188E"/>
    <w:rsid w:val="00B724DC"/>
    <w:rsid w:val="00B72CEC"/>
    <w:rsid w:val="00B73156"/>
    <w:rsid w:val="00B73650"/>
    <w:rsid w:val="00B74929"/>
    <w:rsid w:val="00B7716B"/>
    <w:rsid w:val="00B777E6"/>
    <w:rsid w:val="00B80134"/>
    <w:rsid w:val="00B80707"/>
    <w:rsid w:val="00B861D4"/>
    <w:rsid w:val="00B8737A"/>
    <w:rsid w:val="00B87675"/>
    <w:rsid w:val="00B910DF"/>
    <w:rsid w:val="00B922B9"/>
    <w:rsid w:val="00B92B2F"/>
    <w:rsid w:val="00B95043"/>
    <w:rsid w:val="00B9749F"/>
    <w:rsid w:val="00BA3026"/>
    <w:rsid w:val="00BA3805"/>
    <w:rsid w:val="00BA3EFF"/>
    <w:rsid w:val="00BA4972"/>
    <w:rsid w:val="00BA5FE7"/>
    <w:rsid w:val="00BB1C24"/>
    <w:rsid w:val="00BB2580"/>
    <w:rsid w:val="00BB27EC"/>
    <w:rsid w:val="00BB36D7"/>
    <w:rsid w:val="00BB37EE"/>
    <w:rsid w:val="00BB530B"/>
    <w:rsid w:val="00BB58D3"/>
    <w:rsid w:val="00BC179B"/>
    <w:rsid w:val="00BC432E"/>
    <w:rsid w:val="00BC5DDE"/>
    <w:rsid w:val="00BC6774"/>
    <w:rsid w:val="00BC6C8B"/>
    <w:rsid w:val="00BC6CF2"/>
    <w:rsid w:val="00BC6EEF"/>
    <w:rsid w:val="00BC7980"/>
    <w:rsid w:val="00BD28C5"/>
    <w:rsid w:val="00BD2FEE"/>
    <w:rsid w:val="00BD4D43"/>
    <w:rsid w:val="00BD5F26"/>
    <w:rsid w:val="00BD63CA"/>
    <w:rsid w:val="00BD7695"/>
    <w:rsid w:val="00BE0D5C"/>
    <w:rsid w:val="00BE0EE1"/>
    <w:rsid w:val="00BE1159"/>
    <w:rsid w:val="00BE4BDF"/>
    <w:rsid w:val="00BE5F38"/>
    <w:rsid w:val="00BE5FED"/>
    <w:rsid w:val="00BE65E4"/>
    <w:rsid w:val="00BE75C0"/>
    <w:rsid w:val="00BE78BA"/>
    <w:rsid w:val="00BE7D81"/>
    <w:rsid w:val="00BF0AA7"/>
    <w:rsid w:val="00BF2222"/>
    <w:rsid w:val="00BF2CA1"/>
    <w:rsid w:val="00BF2F97"/>
    <w:rsid w:val="00C00765"/>
    <w:rsid w:val="00C00E26"/>
    <w:rsid w:val="00C01BD1"/>
    <w:rsid w:val="00C03A2E"/>
    <w:rsid w:val="00C06287"/>
    <w:rsid w:val="00C11C79"/>
    <w:rsid w:val="00C12309"/>
    <w:rsid w:val="00C20BE8"/>
    <w:rsid w:val="00C20D5E"/>
    <w:rsid w:val="00C23583"/>
    <w:rsid w:val="00C312CC"/>
    <w:rsid w:val="00C36C67"/>
    <w:rsid w:val="00C4066A"/>
    <w:rsid w:val="00C40D0E"/>
    <w:rsid w:val="00C43739"/>
    <w:rsid w:val="00C4462E"/>
    <w:rsid w:val="00C466F0"/>
    <w:rsid w:val="00C469FC"/>
    <w:rsid w:val="00C46B7B"/>
    <w:rsid w:val="00C51DF7"/>
    <w:rsid w:val="00C5255D"/>
    <w:rsid w:val="00C5641D"/>
    <w:rsid w:val="00C56BAB"/>
    <w:rsid w:val="00C57697"/>
    <w:rsid w:val="00C57E14"/>
    <w:rsid w:val="00C57EB2"/>
    <w:rsid w:val="00C602B7"/>
    <w:rsid w:val="00C60D92"/>
    <w:rsid w:val="00C6107C"/>
    <w:rsid w:val="00C62716"/>
    <w:rsid w:val="00C65930"/>
    <w:rsid w:val="00C7097F"/>
    <w:rsid w:val="00C75AB0"/>
    <w:rsid w:val="00C82AA4"/>
    <w:rsid w:val="00C8305C"/>
    <w:rsid w:val="00C84318"/>
    <w:rsid w:val="00C844D6"/>
    <w:rsid w:val="00C85FF6"/>
    <w:rsid w:val="00C9326B"/>
    <w:rsid w:val="00C94419"/>
    <w:rsid w:val="00C95691"/>
    <w:rsid w:val="00C96A47"/>
    <w:rsid w:val="00C970CE"/>
    <w:rsid w:val="00CA113C"/>
    <w:rsid w:val="00CA15DE"/>
    <w:rsid w:val="00CA1ECD"/>
    <w:rsid w:val="00CA4C7F"/>
    <w:rsid w:val="00CA686A"/>
    <w:rsid w:val="00CA73B3"/>
    <w:rsid w:val="00CA7B03"/>
    <w:rsid w:val="00CB1255"/>
    <w:rsid w:val="00CB13B7"/>
    <w:rsid w:val="00CB1E88"/>
    <w:rsid w:val="00CB67DE"/>
    <w:rsid w:val="00CB7087"/>
    <w:rsid w:val="00CB723D"/>
    <w:rsid w:val="00CC41EE"/>
    <w:rsid w:val="00CC6EFC"/>
    <w:rsid w:val="00CC7037"/>
    <w:rsid w:val="00CD01CD"/>
    <w:rsid w:val="00CD061B"/>
    <w:rsid w:val="00CD0BF5"/>
    <w:rsid w:val="00CD0FA4"/>
    <w:rsid w:val="00CD1089"/>
    <w:rsid w:val="00CD1BCD"/>
    <w:rsid w:val="00CD41F8"/>
    <w:rsid w:val="00CD5966"/>
    <w:rsid w:val="00CD6D61"/>
    <w:rsid w:val="00CD7949"/>
    <w:rsid w:val="00CD7D66"/>
    <w:rsid w:val="00CD7FFC"/>
    <w:rsid w:val="00CE1DFB"/>
    <w:rsid w:val="00CE2C6E"/>
    <w:rsid w:val="00CE2D75"/>
    <w:rsid w:val="00CE43D0"/>
    <w:rsid w:val="00CE60AE"/>
    <w:rsid w:val="00CE6C66"/>
    <w:rsid w:val="00CE799B"/>
    <w:rsid w:val="00CF046A"/>
    <w:rsid w:val="00CF321C"/>
    <w:rsid w:val="00CF4FE6"/>
    <w:rsid w:val="00CF556F"/>
    <w:rsid w:val="00CF5974"/>
    <w:rsid w:val="00D0030F"/>
    <w:rsid w:val="00D00760"/>
    <w:rsid w:val="00D0445F"/>
    <w:rsid w:val="00D0608D"/>
    <w:rsid w:val="00D061D5"/>
    <w:rsid w:val="00D06E87"/>
    <w:rsid w:val="00D06EFC"/>
    <w:rsid w:val="00D074BF"/>
    <w:rsid w:val="00D07CD3"/>
    <w:rsid w:val="00D1197E"/>
    <w:rsid w:val="00D1215C"/>
    <w:rsid w:val="00D122E5"/>
    <w:rsid w:val="00D1619E"/>
    <w:rsid w:val="00D2022A"/>
    <w:rsid w:val="00D20673"/>
    <w:rsid w:val="00D206B3"/>
    <w:rsid w:val="00D219C1"/>
    <w:rsid w:val="00D22C33"/>
    <w:rsid w:val="00D23D6B"/>
    <w:rsid w:val="00D23EB8"/>
    <w:rsid w:val="00D27373"/>
    <w:rsid w:val="00D32833"/>
    <w:rsid w:val="00D336C3"/>
    <w:rsid w:val="00D33DA7"/>
    <w:rsid w:val="00D3507E"/>
    <w:rsid w:val="00D354D0"/>
    <w:rsid w:val="00D41D9A"/>
    <w:rsid w:val="00D44306"/>
    <w:rsid w:val="00D461E5"/>
    <w:rsid w:val="00D472D8"/>
    <w:rsid w:val="00D5255B"/>
    <w:rsid w:val="00D538F6"/>
    <w:rsid w:val="00D53A9D"/>
    <w:rsid w:val="00D5457D"/>
    <w:rsid w:val="00D54EF5"/>
    <w:rsid w:val="00D551E2"/>
    <w:rsid w:val="00D55995"/>
    <w:rsid w:val="00D564B3"/>
    <w:rsid w:val="00D56FF4"/>
    <w:rsid w:val="00D61E55"/>
    <w:rsid w:val="00D6213A"/>
    <w:rsid w:val="00D70223"/>
    <w:rsid w:val="00D73760"/>
    <w:rsid w:val="00D74036"/>
    <w:rsid w:val="00D753D8"/>
    <w:rsid w:val="00D763C0"/>
    <w:rsid w:val="00D765AC"/>
    <w:rsid w:val="00D802BD"/>
    <w:rsid w:val="00D808EE"/>
    <w:rsid w:val="00D872D9"/>
    <w:rsid w:val="00D87A84"/>
    <w:rsid w:val="00D87FE7"/>
    <w:rsid w:val="00D91885"/>
    <w:rsid w:val="00D93663"/>
    <w:rsid w:val="00D94097"/>
    <w:rsid w:val="00D95DDC"/>
    <w:rsid w:val="00D96B60"/>
    <w:rsid w:val="00DA0634"/>
    <w:rsid w:val="00DA157D"/>
    <w:rsid w:val="00DA3E6F"/>
    <w:rsid w:val="00DA62C5"/>
    <w:rsid w:val="00DA7CB8"/>
    <w:rsid w:val="00DA7DA7"/>
    <w:rsid w:val="00DB0410"/>
    <w:rsid w:val="00DB06E8"/>
    <w:rsid w:val="00DB0871"/>
    <w:rsid w:val="00DB0CB2"/>
    <w:rsid w:val="00DB2F1B"/>
    <w:rsid w:val="00DB4242"/>
    <w:rsid w:val="00DB441D"/>
    <w:rsid w:val="00DB5321"/>
    <w:rsid w:val="00DC08BC"/>
    <w:rsid w:val="00DC1F63"/>
    <w:rsid w:val="00DC231E"/>
    <w:rsid w:val="00DC2659"/>
    <w:rsid w:val="00DC2C3D"/>
    <w:rsid w:val="00DD1011"/>
    <w:rsid w:val="00DE13C9"/>
    <w:rsid w:val="00DE221F"/>
    <w:rsid w:val="00DE3A2A"/>
    <w:rsid w:val="00DE45C7"/>
    <w:rsid w:val="00DE50F0"/>
    <w:rsid w:val="00DE55E6"/>
    <w:rsid w:val="00DE5DBB"/>
    <w:rsid w:val="00DF169D"/>
    <w:rsid w:val="00DF2726"/>
    <w:rsid w:val="00DF382A"/>
    <w:rsid w:val="00DF7AE1"/>
    <w:rsid w:val="00E0241F"/>
    <w:rsid w:val="00E04482"/>
    <w:rsid w:val="00E04D37"/>
    <w:rsid w:val="00E05840"/>
    <w:rsid w:val="00E07968"/>
    <w:rsid w:val="00E07E73"/>
    <w:rsid w:val="00E10BA8"/>
    <w:rsid w:val="00E12448"/>
    <w:rsid w:val="00E13180"/>
    <w:rsid w:val="00E14683"/>
    <w:rsid w:val="00E15678"/>
    <w:rsid w:val="00E207DB"/>
    <w:rsid w:val="00E21200"/>
    <w:rsid w:val="00E21EFB"/>
    <w:rsid w:val="00E2267F"/>
    <w:rsid w:val="00E235D4"/>
    <w:rsid w:val="00E2556F"/>
    <w:rsid w:val="00E25FBA"/>
    <w:rsid w:val="00E270B7"/>
    <w:rsid w:val="00E27C9F"/>
    <w:rsid w:val="00E3011F"/>
    <w:rsid w:val="00E33F3B"/>
    <w:rsid w:val="00E36A50"/>
    <w:rsid w:val="00E416AB"/>
    <w:rsid w:val="00E41B22"/>
    <w:rsid w:val="00E41EB3"/>
    <w:rsid w:val="00E420C2"/>
    <w:rsid w:val="00E42E1B"/>
    <w:rsid w:val="00E43C87"/>
    <w:rsid w:val="00E4445A"/>
    <w:rsid w:val="00E44BDB"/>
    <w:rsid w:val="00E457BF"/>
    <w:rsid w:val="00E528EB"/>
    <w:rsid w:val="00E52933"/>
    <w:rsid w:val="00E53442"/>
    <w:rsid w:val="00E5370B"/>
    <w:rsid w:val="00E56811"/>
    <w:rsid w:val="00E56A3E"/>
    <w:rsid w:val="00E605F5"/>
    <w:rsid w:val="00E6139F"/>
    <w:rsid w:val="00E61E1E"/>
    <w:rsid w:val="00E6200C"/>
    <w:rsid w:val="00E62387"/>
    <w:rsid w:val="00E648A3"/>
    <w:rsid w:val="00E64B3B"/>
    <w:rsid w:val="00E67D97"/>
    <w:rsid w:val="00E71A05"/>
    <w:rsid w:val="00E742BC"/>
    <w:rsid w:val="00E80AB0"/>
    <w:rsid w:val="00E81E68"/>
    <w:rsid w:val="00E82073"/>
    <w:rsid w:val="00E8435E"/>
    <w:rsid w:val="00E90B9D"/>
    <w:rsid w:val="00E90C6E"/>
    <w:rsid w:val="00E923F1"/>
    <w:rsid w:val="00E93762"/>
    <w:rsid w:val="00E96A6F"/>
    <w:rsid w:val="00EA1B79"/>
    <w:rsid w:val="00EA22C7"/>
    <w:rsid w:val="00EA42B1"/>
    <w:rsid w:val="00EA4BDE"/>
    <w:rsid w:val="00EA4F34"/>
    <w:rsid w:val="00EA6D03"/>
    <w:rsid w:val="00EB0D89"/>
    <w:rsid w:val="00EB1650"/>
    <w:rsid w:val="00EB1D3D"/>
    <w:rsid w:val="00EB3D8A"/>
    <w:rsid w:val="00EB4AF9"/>
    <w:rsid w:val="00EB6139"/>
    <w:rsid w:val="00EB711D"/>
    <w:rsid w:val="00EB7A1F"/>
    <w:rsid w:val="00EC0476"/>
    <w:rsid w:val="00EC0DCF"/>
    <w:rsid w:val="00EC5A53"/>
    <w:rsid w:val="00EC71ED"/>
    <w:rsid w:val="00EC7486"/>
    <w:rsid w:val="00EC7861"/>
    <w:rsid w:val="00ED04F4"/>
    <w:rsid w:val="00ED1AE9"/>
    <w:rsid w:val="00ED2536"/>
    <w:rsid w:val="00ED27A5"/>
    <w:rsid w:val="00ED28CA"/>
    <w:rsid w:val="00ED6790"/>
    <w:rsid w:val="00ED7B38"/>
    <w:rsid w:val="00EE0057"/>
    <w:rsid w:val="00EE0BC3"/>
    <w:rsid w:val="00EE0E84"/>
    <w:rsid w:val="00EE120A"/>
    <w:rsid w:val="00EE208F"/>
    <w:rsid w:val="00EE308D"/>
    <w:rsid w:val="00EE44C9"/>
    <w:rsid w:val="00EE7DD3"/>
    <w:rsid w:val="00EF087C"/>
    <w:rsid w:val="00EF2769"/>
    <w:rsid w:val="00EF366A"/>
    <w:rsid w:val="00EF4DF3"/>
    <w:rsid w:val="00F0253B"/>
    <w:rsid w:val="00F02F28"/>
    <w:rsid w:val="00F0799D"/>
    <w:rsid w:val="00F11D85"/>
    <w:rsid w:val="00F12744"/>
    <w:rsid w:val="00F13F24"/>
    <w:rsid w:val="00F1419E"/>
    <w:rsid w:val="00F1472A"/>
    <w:rsid w:val="00F15F35"/>
    <w:rsid w:val="00F16EEB"/>
    <w:rsid w:val="00F209D8"/>
    <w:rsid w:val="00F2348E"/>
    <w:rsid w:val="00F26B28"/>
    <w:rsid w:val="00F27ED1"/>
    <w:rsid w:val="00F30B3E"/>
    <w:rsid w:val="00F30CF8"/>
    <w:rsid w:val="00F31315"/>
    <w:rsid w:val="00F32A1A"/>
    <w:rsid w:val="00F36BFC"/>
    <w:rsid w:val="00F40408"/>
    <w:rsid w:val="00F42301"/>
    <w:rsid w:val="00F42F5E"/>
    <w:rsid w:val="00F43820"/>
    <w:rsid w:val="00F43B6E"/>
    <w:rsid w:val="00F43BA3"/>
    <w:rsid w:val="00F46297"/>
    <w:rsid w:val="00F46ABC"/>
    <w:rsid w:val="00F5172B"/>
    <w:rsid w:val="00F53655"/>
    <w:rsid w:val="00F53C1E"/>
    <w:rsid w:val="00F55290"/>
    <w:rsid w:val="00F55956"/>
    <w:rsid w:val="00F56CA9"/>
    <w:rsid w:val="00F6071E"/>
    <w:rsid w:val="00F614AD"/>
    <w:rsid w:val="00F616C5"/>
    <w:rsid w:val="00F62CFC"/>
    <w:rsid w:val="00F639E2"/>
    <w:rsid w:val="00F65284"/>
    <w:rsid w:val="00F711FF"/>
    <w:rsid w:val="00F71512"/>
    <w:rsid w:val="00F74363"/>
    <w:rsid w:val="00F74FA5"/>
    <w:rsid w:val="00F7658C"/>
    <w:rsid w:val="00F769FF"/>
    <w:rsid w:val="00F77E6A"/>
    <w:rsid w:val="00F81423"/>
    <w:rsid w:val="00F81D93"/>
    <w:rsid w:val="00F831FB"/>
    <w:rsid w:val="00F86C62"/>
    <w:rsid w:val="00F87B17"/>
    <w:rsid w:val="00F907B5"/>
    <w:rsid w:val="00F9211D"/>
    <w:rsid w:val="00F93164"/>
    <w:rsid w:val="00F93332"/>
    <w:rsid w:val="00F93549"/>
    <w:rsid w:val="00F940A3"/>
    <w:rsid w:val="00F9413F"/>
    <w:rsid w:val="00F94A2D"/>
    <w:rsid w:val="00F94D21"/>
    <w:rsid w:val="00F94F18"/>
    <w:rsid w:val="00FA077E"/>
    <w:rsid w:val="00FA11D0"/>
    <w:rsid w:val="00FA14EB"/>
    <w:rsid w:val="00FA2D11"/>
    <w:rsid w:val="00FA344A"/>
    <w:rsid w:val="00FA39DE"/>
    <w:rsid w:val="00FA406D"/>
    <w:rsid w:val="00FA44DE"/>
    <w:rsid w:val="00FA4570"/>
    <w:rsid w:val="00FA690F"/>
    <w:rsid w:val="00FB0AE8"/>
    <w:rsid w:val="00FB1470"/>
    <w:rsid w:val="00FB3748"/>
    <w:rsid w:val="00FB5056"/>
    <w:rsid w:val="00FB5AB4"/>
    <w:rsid w:val="00FB70A9"/>
    <w:rsid w:val="00FC015B"/>
    <w:rsid w:val="00FC019D"/>
    <w:rsid w:val="00FC19A6"/>
    <w:rsid w:val="00FC1F38"/>
    <w:rsid w:val="00FC3C87"/>
    <w:rsid w:val="00FD0CB0"/>
    <w:rsid w:val="00FD1315"/>
    <w:rsid w:val="00FD19F3"/>
    <w:rsid w:val="00FD52B2"/>
    <w:rsid w:val="00FD7BD8"/>
    <w:rsid w:val="00FD7D88"/>
    <w:rsid w:val="00FE1101"/>
    <w:rsid w:val="00FE1440"/>
    <w:rsid w:val="00FE1536"/>
    <w:rsid w:val="00FE25EE"/>
    <w:rsid w:val="00FE4491"/>
    <w:rsid w:val="00FE5718"/>
    <w:rsid w:val="00FE68CD"/>
    <w:rsid w:val="00FF061A"/>
    <w:rsid w:val="00FF1021"/>
    <w:rsid w:val="00FF2137"/>
    <w:rsid w:val="00FF2D07"/>
    <w:rsid w:val="00FF3DA4"/>
    <w:rsid w:val="00FF4305"/>
    <w:rsid w:val="00FF5ED0"/>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AF1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0"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3D00FF"/>
    <w:pPr>
      <w:spacing w:before="240"/>
      <w:outlineLvl w:val="2"/>
    </w:pPr>
    <w:rPr>
      <w:b/>
      <w:color w:val="11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3D00FF"/>
    <w:rPr>
      <w:rFonts w:ascii="Helvetica" w:eastAsia="Times New Roman" w:hAnsi="Helvetica" w:cs="Arial"/>
      <w:b/>
      <w:color w:val="11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aliases w:val="ftref,BVI fnr,BVI fnr Car Car,BVI fnr Car,BVI fnr Car Car Car Car,BVI fnr Car Car Car Car Char,16 Point,Superscript 6 Point,fr,FnR-ANZDEC,(NECG) Footnote Reference,Fußnotenzeichen DISS,de nota al pie,Ref,Footnote Ref in FtNote,SUPERS"/>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link w:val="ListParagraphChar"/>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1">
    <w:name w:val="APPR1"/>
    <w:basedOn w:val="TableNormal"/>
    <w:uiPriority w:val="99"/>
    <w:rsid w:val="00C84318"/>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DFATTable1">
    <w:name w:val="DFAT Table1"/>
    <w:basedOn w:val="TableNormal"/>
    <w:uiPriority w:val="99"/>
    <w:rsid w:val="00C84318"/>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APPR2">
    <w:name w:val="APPR2"/>
    <w:basedOn w:val="TableNormal"/>
    <w:uiPriority w:val="99"/>
    <w:rsid w:val="00AC402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3">
    <w:name w:val="APPR3"/>
    <w:basedOn w:val="TableNormal"/>
    <w:uiPriority w:val="99"/>
    <w:rsid w:val="00AC402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ListParagraphChar">
    <w:name w:val="List Paragraph Char"/>
    <w:link w:val="ListParagraph"/>
    <w:locked/>
    <w:rsid w:val="00AA7D67"/>
    <w:rPr>
      <w:rFonts w:ascii="Times New Roman" w:eastAsia="Times New Roman" w:hAnsi="Times New Roman" w:cs="Times New Roman"/>
      <w:szCs w:val="24"/>
    </w:rPr>
  </w:style>
  <w:style w:type="paragraph" w:styleId="PlainText">
    <w:name w:val="Plain Text"/>
    <w:basedOn w:val="Normal"/>
    <w:link w:val="PlainTextChar"/>
    <w:uiPriority w:val="99"/>
    <w:unhideWhenUsed/>
    <w:rsid w:val="00710FFF"/>
    <w:rPr>
      <w:rFonts w:ascii="Calibri" w:eastAsiaTheme="minorEastAsia" w:hAnsi="Calibri" w:cs="Calibri"/>
      <w:sz w:val="22"/>
      <w:szCs w:val="22"/>
    </w:rPr>
  </w:style>
  <w:style w:type="character" w:customStyle="1" w:styleId="PlainTextChar">
    <w:name w:val="Plain Text Char"/>
    <w:basedOn w:val="DefaultParagraphFont"/>
    <w:link w:val="PlainText"/>
    <w:uiPriority w:val="99"/>
    <w:rsid w:val="00710FFF"/>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0"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3D00FF"/>
    <w:pPr>
      <w:spacing w:before="240"/>
      <w:outlineLvl w:val="2"/>
    </w:pPr>
    <w:rPr>
      <w:b/>
      <w:color w:val="11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3D00FF"/>
    <w:rPr>
      <w:rFonts w:ascii="Helvetica" w:eastAsia="Times New Roman" w:hAnsi="Helvetica" w:cs="Arial"/>
      <w:b/>
      <w:color w:val="11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aliases w:val="ftref,BVI fnr,BVI fnr Car Car,BVI fnr Car,BVI fnr Car Car Car Car,BVI fnr Car Car Car Car Char,16 Point,Superscript 6 Point,fr,FnR-ANZDEC,(NECG) Footnote Reference,Fußnotenzeichen DISS,de nota al pie,Ref,Footnote Ref in FtNote,SUPERS"/>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link w:val="ListParagraphChar"/>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1">
    <w:name w:val="APPR1"/>
    <w:basedOn w:val="TableNormal"/>
    <w:uiPriority w:val="99"/>
    <w:rsid w:val="00C84318"/>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DFATTable1">
    <w:name w:val="DFAT Table1"/>
    <w:basedOn w:val="TableNormal"/>
    <w:uiPriority w:val="99"/>
    <w:rsid w:val="00C84318"/>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APPR2">
    <w:name w:val="APPR2"/>
    <w:basedOn w:val="TableNormal"/>
    <w:uiPriority w:val="99"/>
    <w:rsid w:val="00AC402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3">
    <w:name w:val="APPR3"/>
    <w:basedOn w:val="TableNormal"/>
    <w:uiPriority w:val="99"/>
    <w:rsid w:val="00AC402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ListParagraphChar">
    <w:name w:val="List Paragraph Char"/>
    <w:link w:val="ListParagraph"/>
    <w:locked/>
    <w:rsid w:val="00AA7D67"/>
    <w:rPr>
      <w:rFonts w:ascii="Times New Roman" w:eastAsia="Times New Roman" w:hAnsi="Times New Roman" w:cs="Times New Roman"/>
      <w:szCs w:val="24"/>
    </w:rPr>
  </w:style>
  <w:style w:type="paragraph" w:styleId="PlainText">
    <w:name w:val="Plain Text"/>
    <w:basedOn w:val="Normal"/>
    <w:link w:val="PlainTextChar"/>
    <w:uiPriority w:val="99"/>
    <w:unhideWhenUsed/>
    <w:rsid w:val="00710FFF"/>
    <w:rPr>
      <w:rFonts w:ascii="Calibri" w:eastAsiaTheme="minorEastAsia" w:hAnsi="Calibri" w:cs="Calibri"/>
      <w:sz w:val="22"/>
      <w:szCs w:val="22"/>
    </w:rPr>
  </w:style>
  <w:style w:type="character" w:customStyle="1" w:styleId="PlainTextChar">
    <w:name w:val="Plain Text Char"/>
    <w:basedOn w:val="DefaultParagraphFont"/>
    <w:link w:val="PlainText"/>
    <w:uiPriority w:val="99"/>
    <w:rsid w:val="00710FFF"/>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44455603">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660621538">
      <w:bodyDiv w:val="1"/>
      <w:marLeft w:val="0"/>
      <w:marRight w:val="0"/>
      <w:marTop w:val="0"/>
      <w:marBottom w:val="0"/>
      <w:divBdr>
        <w:top w:val="none" w:sz="0" w:space="0" w:color="auto"/>
        <w:left w:val="none" w:sz="0" w:space="0" w:color="auto"/>
        <w:bottom w:val="none" w:sz="0" w:space="0" w:color="auto"/>
        <w:right w:val="none" w:sz="0" w:space="0" w:color="auto"/>
      </w:divBdr>
      <w:divsChild>
        <w:div w:id="2114663222">
          <w:marLeft w:val="0"/>
          <w:marRight w:val="0"/>
          <w:marTop w:val="0"/>
          <w:marBottom w:val="0"/>
          <w:divBdr>
            <w:top w:val="none" w:sz="0" w:space="0" w:color="auto"/>
            <w:left w:val="none" w:sz="0" w:space="0" w:color="auto"/>
            <w:bottom w:val="none" w:sz="0" w:space="0" w:color="auto"/>
            <w:right w:val="none" w:sz="0" w:space="0" w:color="auto"/>
          </w:divBdr>
          <w:divsChild>
            <w:div w:id="1180193317">
              <w:marLeft w:val="0"/>
              <w:marRight w:val="0"/>
              <w:marTop w:val="0"/>
              <w:marBottom w:val="0"/>
              <w:divBdr>
                <w:top w:val="none" w:sz="0" w:space="0" w:color="auto"/>
                <w:left w:val="none" w:sz="0" w:space="0" w:color="auto"/>
                <w:bottom w:val="none" w:sz="0" w:space="0" w:color="auto"/>
                <w:right w:val="none" w:sz="0" w:space="0" w:color="auto"/>
              </w:divBdr>
              <w:divsChild>
                <w:div w:id="1185943398">
                  <w:marLeft w:val="0"/>
                  <w:marRight w:val="0"/>
                  <w:marTop w:val="0"/>
                  <w:marBottom w:val="0"/>
                  <w:divBdr>
                    <w:top w:val="none" w:sz="0" w:space="0" w:color="auto"/>
                    <w:left w:val="none" w:sz="0" w:space="0" w:color="auto"/>
                    <w:bottom w:val="none" w:sz="0" w:space="0" w:color="auto"/>
                    <w:right w:val="none" w:sz="0" w:space="0" w:color="auto"/>
                  </w:divBdr>
                  <w:divsChild>
                    <w:div w:id="824857307">
                      <w:marLeft w:val="0"/>
                      <w:marRight w:val="0"/>
                      <w:marTop w:val="0"/>
                      <w:marBottom w:val="0"/>
                      <w:divBdr>
                        <w:top w:val="none" w:sz="0" w:space="0" w:color="auto"/>
                        <w:left w:val="none" w:sz="0" w:space="0" w:color="auto"/>
                        <w:bottom w:val="none" w:sz="0" w:space="0" w:color="auto"/>
                        <w:right w:val="none" w:sz="0" w:space="0" w:color="auto"/>
                      </w:divBdr>
                      <w:divsChild>
                        <w:div w:id="751203100">
                          <w:marLeft w:val="0"/>
                          <w:marRight w:val="0"/>
                          <w:marTop w:val="0"/>
                          <w:marBottom w:val="0"/>
                          <w:divBdr>
                            <w:top w:val="none" w:sz="0" w:space="0" w:color="auto"/>
                            <w:left w:val="none" w:sz="0" w:space="0" w:color="auto"/>
                            <w:bottom w:val="none" w:sz="0" w:space="0" w:color="auto"/>
                            <w:right w:val="none" w:sz="0" w:space="0" w:color="auto"/>
                          </w:divBdr>
                          <w:divsChild>
                            <w:div w:id="1014113814">
                              <w:marLeft w:val="0"/>
                              <w:marRight w:val="0"/>
                              <w:marTop w:val="0"/>
                              <w:marBottom w:val="0"/>
                              <w:divBdr>
                                <w:top w:val="single" w:sz="2" w:space="0" w:color="9D0909"/>
                                <w:left w:val="none" w:sz="0" w:space="0" w:color="auto"/>
                                <w:bottom w:val="none" w:sz="0" w:space="0" w:color="auto"/>
                                <w:right w:val="none" w:sz="0" w:space="0" w:color="auto"/>
                              </w:divBdr>
                              <w:divsChild>
                                <w:div w:id="884368486">
                                  <w:marLeft w:val="0"/>
                                  <w:marRight w:val="0"/>
                                  <w:marTop w:val="0"/>
                                  <w:marBottom w:val="0"/>
                                  <w:divBdr>
                                    <w:top w:val="single" w:sz="12" w:space="0" w:color="9D0909"/>
                                    <w:left w:val="none" w:sz="0" w:space="0" w:color="auto"/>
                                    <w:bottom w:val="none" w:sz="0" w:space="0" w:color="auto"/>
                                    <w:right w:val="none" w:sz="0" w:space="0" w:color="auto"/>
                                  </w:divBdr>
                                  <w:divsChild>
                                    <w:div w:id="532304650">
                                      <w:marLeft w:val="0"/>
                                      <w:marRight w:val="0"/>
                                      <w:marTop w:val="0"/>
                                      <w:marBottom w:val="0"/>
                                      <w:divBdr>
                                        <w:top w:val="none" w:sz="0" w:space="0" w:color="auto"/>
                                        <w:left w:val="single" w:sz="6" w:space="0" w:color="D9DCCF"/>
                                        <w:bottom w:val="none" w:sz="0" w:space="0" w:color="auto"/>
                                        <w:right w:val="single" w:sz="6" w:space="0" w:color="D9DCCF"/>
                                      </w:divBdr>
                                      <w:divsChild>
                                        <w:div w:id="1504127467">
                                          <w:marLeft w:val="0"/>
                                          <w:marRight w:val="0"/>
                                          <w:marTop w:val="0"/>
                                          <w:marBottom w:val="0"/>
                                          <w:divBdr>
                                            <w:top w:val="none" w:sz="0" w:space="0" w:color="auto"/>
                                            <w:left w:val="none" w:sz="0" w:space="0" w:color="auto"/>
                                            <w:bottom w:val="none" w:sz="0" w:space="0" w:color="auto"/>
                                            <w:right w:val="none" w:sz="0" w:space="0" w:color="auto"/>
                                          </w:divBdr>
                                          <w:divsChild>
                                            <w:div w:id="1433934415">
                                              <w:marLeft w:val="0"/>
                                              <w:marRight w:val="0"/>
                                              <w:marTop w:val="0"/>
                                              <w:marBottom w:val="0"/>
                                              <w:divBdr>
                                                <w:top w:val="none" w:sz="0" w:space="0" w:color="auto"/>
                                                <w:left w:val="none" w:sz="0" w:space="0" w:color="auto"/>
                                                <w:bottom w:val="none" w:sz="0" w:space="0" w:color="auto"/>
                                                <w:right w:val="none" w:sz="0" w:space="0" w:color="auto"/>
                                              </w:divBdr>
                                              <w:divsChild>
                                                <w:div w:id="8133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368584">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3590774">
      <w:bodyDiv w:val="1"/>
      <w:marLeft w:val="0"/>
      <w:marRight w:val="0"/>
      <w:marTop w:val="0"/>
      <w:marBottom w:val="0"/>
      <w:divBdr>
        <w:top w:val="none" w:sz="0" w:space="0" w:color="auto"/>
        <w:left w:val="none" w:sz="0" w:space="0" w:color="auto"/>
        <w:bottom w:val="none" w:sz="0" w:space="0" w:color="auto"/>
        <w:right w:val="none" w:sz="0" w:space="0" w:color="auto"/>
      </w:divBdr>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3950179">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498764031">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110349">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customXml" Target="../customXml/item3.xml"/><Relationship Id="rId10" Type="http://schemas.openxmlformats.org/officeDocument/2006/relationships/image" Target="media/image2.wmf"/><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customXml" Target="../customXml/item2.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facebook.com/AustralianHighCommissionDhaka" TargetMode="External"/><Relationship Id="rId2" Type="http://schemas.openxmlformats.org/officeDocument/2006/relationships/hyperlink" Target="http://dfat.gov.au/geo/east-asia/development-assistance/Pages/development-assistance-in-east-asia.aspx" TargetMode="External"/><Relationship Id="rId1" Type="http://schemas.openxmlformats.org/officeDocument/2006/relationships/hyperlink" Target="https://www.youtube.com/watch?v=p_4mtDSXnu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079A91-64D8-43D2-8BF3-55B3AAA54CCA}"/>
</file>

<file path=customXml/itemProps2.xml><?xml version="1.0" encoding="utf-8"?>
<ds:datastoreItem xmlns:ds="http://schemas.openxmlformats.org/officeDocument/2006/customXml" ds:itemID="{4DF118F4-8D39-4322-9F11-BE08D646D7F7}"/>
</file>

<file path=customXml/itemProps3.xml><?xml version="1.0" encoding="utf-8"?>
<ds:datastoreItem xmlns:ds="http://schemas.openxmlformats.org/officeDocument/2006/customXml" ds:itemID="{2BC46BA1-9E2A-4B30-A648-F60E54670F78}"/>
</file>

<file path=customXml/itemProps4.xml><?xml version="1.0" encoding="utf-8"?>
<ds:datastoreItem xmlns:ds="http://schemas.openxmlformats.org/officeDocument/2006/customXml" ds:itemID="{21DDA5D6-D67A-4E03-BB4A-BEB4C1A0162F}"/>
</file>

<file path=docProps/app.xml><?xml version="1.0" encoding="utf-8"?>
<Properties xmlns="http://schemas.openxmlformats.org/officeDocument/2006/extended-properties" xmlns:vt="http://schemas.openxmlformats.org/officeDocument/2006/docPropsVTypes">
  <Template>29BB843E</Template>
  <TotalTime>0</TotalTime>
  <Pages>30</Pages>
  <Words>10516</Words>
  <Characters>60683</Characters>
  <Application>Microsoft Office Word</Application>
  <DocSecurity>0</DocSecurity>
  <Lines>1348</Lines>
  <Paragraphs>603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2015-10-29T04:38:00Z</dcterms:created>
  <dcterms:modified xsi:type="dcterms:W3CDTF">2015-10-29T04:39:00Z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978400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