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59" w:rsidRDefault="00AF0459" w:rsidP="00AF0459">
      <w:pPr>
        <w:pStyle w:val="Title"/>
        <w:ind w:left="2694" w:right="-624"/>
        <w:rPr>
          <w:noProof/>
          <w:color w:val="FFFFFF"/>
          <w:spacing w:val="0"/>
          <w:sz w:val="50"/>
          <w:szCs w:val="50"/>
          <w:lang w:val="en-US" w:eastAsia="en-US"/>
        </w:rPr>
      </w:pPr>
      <w:bookmarkStart w:id="0" w:name="_GoBack"/>
      <w:bookmarkEnd w:id="0"/>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Default="00AF0459" w:rsidP="00AF0459">
      <w:pPr>
        <w:pStyle w:val="Title"/>
        <w:ind w:left="2694" w:right="-624"/>
        <w:rPr>
          <w:noProof/>
          <w:color w:val="FFFFFF"/>
          <w:spacing w:val="0"/>
          <w:sz w:val="50"/>
          <w:szCs w:val="50"/>
          <w:lang w:val="en-US" w:eastAsia="en-US"/>
        </w:rPr>
      </w:pPr>
    </w:p>
    <w:p w:rsidR="00AF0459" w:rsidRPr="001227C3" w:rsidRDefault="00AF0459" w:rsidP="00AF0459">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59264" behindDoc="1" locked="1" layoutInCell="1" allowOverlap="1" wp14:anchorId="50EA55AE" wp14:editId="48E5E07B">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0459" w:rsidRPr="001227C3" w:rsidRDefault="00AF0459" w:rsidP="00AF0459">
      <w:pPr>
        <w:pStyle w:val="Subtitle"/>
        <w:ind w:left="2694" w:right="-624"/>
        <w:rPr>
          <w:noProof/>
          <w:color w:val="FFFFFF"/>
          <w:spacing w:val="0"/>
          <w:sz w:val="32"/>
          <w:szCs w:val="32"/>
          <w:lang w:val="en-US" w:eastAsia="en-US"/>
        </w:rPr>
      </w:pPr>
      <w:r>
        <w:rPr>
          <w:noProof/>
          <w:color w:val="FFFFFF"/>
          <w:spacing w:val="0"/>
          <w:sz w:val="32"/>
          <w:szCs w:val="32"/>
          <w:lang w:val="en-US" w:eastAsia="en-US"/>
        </w:rPr>
        <w:t>Bangladesh</w:t>
      </w:r>
    </w:p>
    <w:p w:rsidR="00AF0459" w:rsidRDefault="00B30199" w:rsidP="00AF0459">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October</w:t>
      </w:r>
      <w:r w:rsidR="00AF0459" w:rsidRPr="001227C3">
        <w:rPr>
          <w:rFonts w:ascii="Helvetica" w:eastAsia="Times New Roman" w:hAnsi="Helvetica"/>
          <w:noProof/>
          <w:color w:val="FFFFFF"/>
          <w:kern w:val="28"/>
          <w:sz w:val="24"/>
          <w:lang w:val="en-US" w:eastAsia="en-US"/>
        </w:rPr>
        <w:t xml:space="preserve"> 2014</w:t>
      </w:r>
    </w:p>
    <w:p w:rsidR="00AF0459" w:rsidRPr="00237CCA" w:rsidRDefault="00AF0459" w:rsidP="00836739">
      <w:pPr>
        <w:pStyle w:val="Heading3"/>
        <w:jc w:val="both"/>
        <w:rPr>
          <w:rStyle w:val="BodyTextChar"/>
          <w:rFonts w:eastAsia="SimSun" w:cs="Times New Roman"/>
          <w:b w:val="0"/>
          <w:color w:val="auto"/>
          <w:kern w:val="0"/>
          <w:szCs w:val="21"/>
          <w:lang w:eastAsia="en-AU"/>
        </w:rPr>
      </w:pPr>
      <w:bookmarkStart w:id="1" w:name="_Toc373853205"/>
      <w:r w:rsidRPr="00237CCA">
        <w:rPr>
          <w:b w:val="0"/>
          <w:color w:val="007FAD"/>
          <w:sz w:val="32"/>
          <w:szCs w:val="32"/>
          <w:lang w:eastAsia="en-AU"/>
        </w:rPr>
        <w:lastRenderedPageBreak/>
        <w:t>Key Messages</w:t>
      </w:r>
      <w:bookmarkEnd w:id="1"/>
      <w:r w:rsidRPr="00237CCA">
        <w:rPr>
          <w:b w:val="0"/>
          <w:color w:val="007FAD"/>
          <w:sz w:val="32"/>
          <w:szCs w:val="32"/>
          <w:lang w:eastAsia="en-AU"/>
        </w:rPr>
        <w:tab/>
      </w:r>
      <w:r w:rsidRPr="00237CCA">
        <w:rPr>
          <w:rFonts w:ascii="Franklin Gothic Book" w:hAnsi="Franklin Gothic Book"/>
          <w:sz w:val="21"/>
          <w:szCs w:val="21"/>
        </w:rPr>
        <w:tab/>
      </w:r>
      <w:r w:rsidRPr="00237CCA">
        <w:rPr>
          <w:rFonts w:ascii="Franklin Gothic Book" w:hAnsi="Franklin Gothic Book"/>
          <w:sz w:val="21"/>
          <w:szCs w:val="21"/>
        </w:rPr>
        <w:tab/>
      </w:r>
      <w:r w:rsidRPr="00237CCA">
        <w:rPr>
          <w:rFonts w:ascii="Franklin Gothic Book" w:hAnsi="Franklin Gothic Book"/>
          <w:sz w:val="21"/>
          <w:szCs w:val="21"/>
        </w:rPr>
        <w:tab/>
      </w:r>
      <w:r w:rsidRPr="00237CCA">
        <w:rPr>
          <w:rFonts w:ascii="Franklin Gothic Book" w:hAnsi="Franklin Gothic Book"/>
          <w:sz w:val="21"/>
          <w:szCs w:val="21"/>
        </w:rPr>
        <w:tab/>
      </w:r>
      <w:r w:rsidRPr="00237CCA">
        <w:rPr>
          <w:rFonts w:ascii="Franklin Gothic Book" w:hAnsi="Franklin Gothic Book"/>
          <w:sz w:val="21"/>
          <w:szCs w:val="21"/>
        </w:rPr>
        <w:tab/>
      </w:r>
    </w:p>
    <w:p w:rsidR="00126DF2" w:rsidRPr="00237CCA" w:rsidRDefault="00126DF2" w:rsidP="00A75086">
      <w:pPr>
        <w:pStyle w:val="BodyText"/>
        <w:jc w:val="both"/>
        <w:rPr>
          <w:szCs w:val="21"/>
        </w:rPr>
      </w:pPr>
      <w:r w:rsidRPr="00237CCA">
        <w:rPr>
          <w:rFonts w:eastAsia="SimSun"/>
          <w:szCs w:val="21"/>
        </w:rPr>
        <w:t>This report summarises the aid program’s progress in 2013–14 against the Australia – Bangladesh Aid Program Strategy (2012–16).</w:t>
      </w:r>
      <w:r w:rsidR="00EC5AFD" w:rsidRPr="00237CCA">
        <w:rPr>
          <w:rStyle w:val="FootnoteReference"/>
          <w:rFonts w:eastAsia="SimSun"/>
          <w:szCs w:val="21"/>
        </w:rPr>
        <w:footnoteReference w:id="2"/>
      </w:r>
      <w:r w:rsidRPr="00237CCA">
        <w:rPr>
          <w:rFonts w:eastAsia="SimSun"/>
          <w:szCs w:val="21"/>
        </w:rPr>
        <w:t xml:space="preserve"> The goal of Australian aid to Bangladesh is to help accelerate gains in poverty reduction and human development in support of the country’s vision for sustainable economic and social development. </w:t>
      </w:r>
      <w:r w:rsidR="00A1022D">
        <w:rPr>
          <w:rFonts w:eastAsia="SimSun"/>
          <w:szCs w:val="21"/>
        </w:rPr>
        <w:t xml:space="preserve"> </w:t>
      </w:r>
    </w:p>
    <w:p w:rsidR="00AF0459" w:rsidRPr="00237CCA" w:rsidRDefault="006B66EE" w:rsidP="00836739">
      <w:pPr>
        <w:pStyle w:val="BodyText"/>
        <w:jc w:val="both"/>
        <w:rPr>
          <w:rFonts w:eastAsia="SimSun"/>
          <w:szCs w:val="21"/>
        </w:rPr>
      </w:pPr>
      <w:r w:rsidRPr="006B66EE">
        <w:rPr>
          <w:rFonts w:eastAsia="SimSun"/>
          <w:szCs w:val="21"/>
        </w:rPr>
        <w:t xml:space="preserve">Australian aid to Bangladesh </w:t>
      </w:r>
      <w:r w:rsidR="00C61F64">
        <w:rPr>
          <w:rFonts w:eastAsia="SimSun"/>
          <w:szCs w:val="21"/>
        </w:rPr>
        <w:t>made good progress towards this goal</w:t>
      </w:r>
      <w:r w:rsidR="00C61F64" w:rsidRPr="00C61F64">
        <w:rPr>
          <w:rFonts w:eastAsia="SimSun"/>
          <w:szCs w:val="21"/>
        </w:rPr>
        <w:t xml:space="preserve"> </w:t>
      </w:r>
      <w:r w:rsidR="00C61F64" w:rsidRPr="006B66EE">
        <w:rPr>
          <w:rFonts w:eastAsia="SimSun"/>
          <w:szCs w:val="21"/>
        </w:rPr>
        <w:t>in 2013</w:t>
      </w:r>
      <w:r w:rsidR="0012248E" w:rsidRPr="00237CCA">
        <w:rPr>
          <w:rFonts w:eastAsia="SimSun"/>
          <w:szCs w:val="21"/>
        </w:rPr>
        <w:t>–</w:t>
      </w:r>
      <w:r w:rsidR="00C61F64" w:rsidRPr="006B66EE">
        <w:rPr>
          <w:rFonts w:eastAsia="SimSun"/>
          <w:szCs w:val="21"/>
        </w:rPr>
        <w:t>14</w:t>
      </w:r>
      <w:r w:rsidR="00E11957">
        <w:rPr>
          <w:rFonts w:eastAsia="SimSun"/>
          <w:szCs w:val="21"/>
        </w:rPr>
        <w:t>.</w:t>
      </w:r>
      <w:r w:rsidR="000D27CE">
        <w:rPr>
          <w:rStyle w:val="FootnoteReference"/>
          <w:rFonts w:eastAsia="SimSun"/>
          <w:szCs w:val="21"/>
        </w:rPr>
        <w:footnoteReference w:id="3"/>
      </w:r>
      <w:r w:rsidR="00E11957">
        <w:rPr>
          <w:rFonts w:eastAsia="SimSun"/>
          <w:szCs w:val="21"/>
        </w:rPr>
        <w:t xml:space="preserve">  </w:t>
      </w:r>
      <w:r w:rsidR="00126DF2" w:rsidRPr="00237CCA">
        <w:rPr>
          <w:rFonts w:eastAsia="SimSun"/>
          <w:szCs w:val="21"/>
        </w:rPr>
        <w:t xml:space="preserve">Key messages from this report </w:t>
      </w:r>
      <w:r w:rsidR="001A6766">
        <w:rPr>
          <w:rFonts w:eastAsia="SimSun"/>
          <w:szCs w:val="21"/>
        </w:rPr>
        <w:t>include:</w:t>
      </w:r>
    </w:p>
    <w:p w:rsidR="00A1022D" w:rsidRPr="00B40EFF" w:rsidRDefault="00170471" w:rsidP="00170471">
      <w:pPr>
        <w:pStyle w:val="ListBullet"/>
        <w:jc w:val="both"/>
        <w:rPr>
          <w:szCs w:val="21"/>
        </w:rPr>
      </w:pPr>
      <w:r w:rsidRPr="00234BD3">
        <w:rPr>
          <w:szCs w:val="21"/>
        </w:rPr>
        <w:t>Banglades</w:t>
      </w:r>
      <w:r>
        <w:rPr>
          <w:szCs w:val="21"/>
        </w:rPr>
        <w:t xml:space="preserve">h’s economy weathered the protracted period of instability associated with the </w:t>
      </w:r>
      <w:r w:rsidRPr="00B40EFF">
        <w:rPr>
          <w:szCs w:val="21"/>
        </w:rPr>
        <w:t>2014 elections</w:t>
      </w:r>
      <w:r w:rsidR="007F2FCC" w:rsidRPr="00B40EFF">
        <w:rPr>
          <w:szCs w:val="21"/>
        </w:rPr>
        <w:t xml:space="preserve"> reasonably well, recording </w:t>
      </w:r>
      <w:r w:rsidR="00C02E13" w:rsidRPr="00B40EFF">
        <w:rPr>
          <w:szCs w:val="21"/>
        </w:rPr>
        <w:t xml:space="preserve">six per cent </w:t>
      </w:r>
      <w:r w:rsidRPr="00B40EFF">
        <w:rPr>
          <w:szCs w:val="21"/>
        </w:rPr>
        <w:t>economic growth for the year.</w:t>
      </w:r>
      <w:r w:rsidRPr="00B40EFF">
        <w:rPr>
          <w:rStyle w:val="FootnoteReference"/>
          <w:szCs w:val="21"/>
        </w:rPr>
        <w:footnoteReference w:id="4"/>
      </w:r>
      <w:r w:rsidRPr="00B40EFF">
        <w:rPr>
          <w:szCs w:val="21"/>
        </w:rPr>
        <w:t xml:space="preserve">  </w:t>
      </w:r>
    </w:p>
    <w:p w:rsidR="00170471" w:rsidRPr="00B40EFF" w:rsidRDefault="00E82695" w:rsidP="00170471">
      <w:pPr>
        <w:pStyle w:val="ListBullet"/>
        <w:jc w:val="both"/>
        <w:rPr>
          <w:szCs w:val="21"/>
        </w:rPr>
      </w:pPr>
      <w:r w:rsidRPr="006C29D6">
        <w:rPr>
          <w:szCs w:val="21"/>
        </w:rPr>
        <w:t>Australia contributed</w:t>
      </w:r>
      <w:r w:rsidR="003031F2" w:rsidRPr="006C29D6">
        <w:rPr>
          <w:szCs w:val="21"/>
        </w:rPr>
        <w:t xml:space="preserve"> to </w:t>
      </w:r>
      <w:r w:rsidR="00D31417" w:rsidRPr="006C29D6">
        <w:rPr>
          <w:szCs w:val="21"/>
        </w:rPr>
        <w:t xml:space="preserve">progress against </w:t>
      </w:r>
      <w:r w:rsidR="003031F2" w:rsidRPr="006C29D6">
        <w:rPr>
          <w:szCs w:val="21"/>
        </w:rPr>
        <w:t>the country’s MDG</w:t>
      </w:r>
      <w:r w:rsidR="00D31417" w:rsidRPr="006C29D6">
        <w:rPr>
          <w:szCs w:val="21"/>
        </w:rPr>
        <w:t xml:space="preserve"> targets</w:t>
      </w:r>
      <w:r w:rsidR="003031F2" w:rsidRPr="006C29D6">
        <w:rPr>
          <w:szCs w:val="21"/>
        </w:rPr>
        <w:t xml:space="preserve"> </w:t>
      </w:r>
      <w:r w:rsidR="00D31417" w:rsidRPr="006C29D6">
        <w:rPr>
          <w:szCs w:val="21"/>
        </w:rPr>
        <w:t>by</w:t>
      </w:r>
      <w:r w:rsidRPr="006C29D6">
        <w:rPr>
          <w:szCs w:val="21"/>
        </w:rPr>
        <w:t xml:space="preserve"> improv</w:t>
      </w:r>
      <w:r w:rsidR="00D31417" w:rsidRPr="006C29D6">
        <w:rPr>
          <w:szCs w:val="21"/>
        </w:rPr>
        <w:t>ing</w:t>
      </w:r>
      <w:r w:rsidRPr="006C29D6">
        <w:rPr>
          <w:szCs w:val="21"/>
        </w:rPr>
        <w:t xml:space="preserve"> the impact of service delivery and by providing economic opportunities for women living in poverty.</w:t>
      </w:r>
      <w:r w:rsidRPr="00B40EFF">
        <w:rPr>
          <w:szCs w:val="21"/>
        </w:rPr>
        <w:t xml:space="preserve"> However</w:t>
      </w:r>
      <w:r w:rsidR="0012248E">
        <w:rPr>
          <w:szCs w:val="21"/>
        </w:rPr>
        <w:t>,</w:t>
      </w:r>
      <w:r w:rsidRPr="00B40EFF">
        <w:rPr>
          <w:szCs w:val="21"/>
        </w:rPr>
        <w:t xml:space="preserve"> t</w:t>
      </w:r>
      <w:r w:rsidR="00170471" w:rsidRPr="00B40EFF">
        <w:rPr>
          <w:szCs w:val="21"/>
        </w:rPr>
        <w:t xml:space="preserve">he job is </w:t>
      </w:r>
      <w:r w:rsidR="007F2FCC" w:rsidRPr="00B40EFF">
        <w:rPr>
          <w:szCs w:val="21"/>
        </w:rPr>
        <w:t xml:space="preserve">far from </w:t>
      </w:r>
      <w:r w:rsidR="00170471" w:rsidRPr="00B40EFF">
        <w:rPr>
          <w:szCs w:val="21"/>
        </w:rPr>
        <w:t>finished</w:t>
      </w:r>
      <w:r w:rsidR="00C02E13">
        <w:rPr>
          <w:szCs w:val="21"/>
        </w:rPr>
        <w:t>,</w:t>
      </w:r>
      <w:r w:rsidR="00170471" w:rsidRPr="00B40EFF">
        <w:rPr>
          <w:szCs w:val="21"/>
        </w:rPr>
        <w:t xml:space="preserve"> and </w:t>
      </w:r>
      <w:r w:rsidR="007F2FCC" w:rsidRPr="00B40EFF">
        <w:rPr>
          <w:szCs w:val="21"/>
        </w:rPr>
        <w:t xml:space="preserve">may well have been </w:t>
      </w:r>
      <w:r w:rsidR="00170471" w:rsidRPr="00B40EFF">
        <w:rPr>
          <w:szCs w:val="21"/>
        </w:rPr>
        <w:t xml:space="preserve">slowed by the events of 2013. </w:t>
      </w:r>
    </w:p>
    <w:p w:rsidR="00170471" w:rsidRDefault="00170471" w:rsidP="00170471">
      <w:pPr>
        <w:pStyle w:val="ListBullet"/>
        <w:rPr>
          <w:szCs w:val="21"/>
        </w:rPr>
      </w:pPr>
      <w:r w:rsidRPr="00B40EFF">
        <w:rPr>
          <w:szCs w:val="21"/>
        </w:rPr>
        <w:t>Australian aid delivered strong results despite challenges</w:t>
      </w:r>
      <w:r w:rsidR="00731DBF" w:rsidRPr="00B40EFF">
        <w:rPr>
          <w:szCs w:val="21"/>
        </w:rPr>
        <w:t xml:space="preserve"> in the operating environment</w:t>
      </w:r>
      <w:r w:rsidRPr="00B40EFF">
        <w:rPr>
          <w:szCs w:val="21"/>
        </w:rPr>
        <w:t>. Important progress was made in primary education, where Australia is a lead</w:t>
      </w:r>
      <w:r>
        <w:rPr>
          <w:szCs w:val="21"/>
        </w:rPr>
        <w:t xml:space="preserve"> donor providing policy advocacy and technical advice on</w:t>
      </w:r>
      <w:r w:rsidRPr="00771A6B">
        <w:rPr>
          <w:szCs w:val="21"/>
        </w:rPr>
        <w:t xml:space="preserve"> </w:t>
      </w:r>
      <w:r>
        <w:rPr>
          <w:szCs w:val="21"/>
        </w:rPr>
        <w:t xml:space="preserve">national </w:t>
      </w:r>
      <w:r w:rsidRPr="00237CCA">
        <w:rPr>
          <w:szCs w:val="21"/>
        </w:rPr>
        <w:t xml:space="preserve">reforms </w:t>
      </w:r>
      <w:r>
        <w:rPr>
          <w:szCs w:val="21"/>
        </w:rPr>
        <w:t>for</w:t>
      </w:r>
      <w:r w:rsidRPr="00237CCA">
        <w:rPr>
          <w:szCs w:val="21"/>
        </w:rPr>
        <w:t xml:space="preserve"> student assessment and teacher training</w:t>
      </w:r>
      <w:r>
        <w:rPr>
          <w:szCs w:val="21"/>
        </w:rPr>
        <w:t xml:space="preserve">. </w:t>
      </w:r>
      <w:r w:rsidR="00731DBF">
        <w:rPr>
          <w:szCs w:val="21"/>
        </w:rPr>
        <w:t xml:space="preserve">In education and other areas </w:t>
      </w:r>
      <w:r w:rsidRPr="00237CCA">
        <w:rPr>
          <w:szCs w:val="21"/>
        </w:rPr>
        <w:t>Australian support</w:t>
      </w:r>
      <w:r w:rsidR="007948BE">
        <w:rPr>
          <w:szCs w:val="21"/>
        </w:rPr>
        <w:t xml:space="preserve"> </w:t>
      </w:r>
      <w:r w:rsidR="00231E72">
        <w:rPr>
          <w:szCs w:val="21"/>
        </w:rPr>
        <w:t>provided</w:t>
      </w:r>
      <w:r w:rsidR="007948BE">
        <w:rPr>
          <w:szCs w:val="21"/>
        </w:rPr>
        <w:t>:</w:t>
      </w:r>
      <w:r w:rsidR="00231E72">
        <w:rPr>
          <w:szCs w:val="21"/>
        </w:rPr>
        <w:t xml:space="preserve"> </w:t>
      </w:r>
      <w:r w:rsidR="00CA784D">
        <w:rPr>
          <w:szCs w:val="21"/>
        </w:rPr>
        <w:t>over one</w:t>
      </w:r>
      <w:r w:rsidR="0012248E">
        <w:rPr>
          <w:szCs w:val="21"/>
        </w:rPr>
        <w:t> </w:t>
      </w:r>
      <w:r>
        <w:rPr>
          <w:szCs w:val="21"/>
        </w:rPr>
        <w:t>million text books</w:t>
      </w:r>
      <w:r w:rsidR="00231E72">
        <w:rPr>
          <w:szCs w:val="21"/>
        </w:rPr>
        <w:t xml:space="preserve"> to schools</w:t>
      </w:r>
      <w:r w:rsidR="007F2FCC">
        <w:rPr>
          <w:szCs w:val="21"/>
        </w:rPr>
        <w:t>;</w:t>
      </w:r>
      <w:r>
        <w:rPr>
          <w:szCs w:val="21"/>
        </w:rPr>
        <w:t xml:space="preserve"> </w:t>
      </w:r>
      <w:r w:rsidR="007F2FCC">
        <w:rPr>
          <w:szCs w:val="21"/>
        </w:rPr>
        <w:t xml:space="preserve">opportunities </w:t>
      </w:r>
      <w:r w:rsidR="00231E72">
        <w:rPr>
          <w:szCs w:val="21"/>
        </w:rPr>
        <w:t>to around 107,000 extremely poor</w:t>
      </w:r>
      <w:r w:rsidR="00231E72" w:rsidRPr="00237CCA">
        <w:rPr>
          <w:szCs w:val="21"/>
        </w:rPr>
        <w:t xml:space="preserve"> </w:t>
      </w:r>
      <w:r w:rsidR="00231E72">
        <w:rPr>
          <w:szCs w:val="21"/>
        </w:rPr>
        <w:t xml:space="preserve">people </w:t>
      </w:r>
      <w:r w:rsidR="007F2FCC">
        <w:rPr>
          <w:szCs w:val="21"/>
        </w:rPr>
        <w:t>to generate an income;</w:t>
      </w:r>
      <w:r>
        <w:rPr>
          <w:szCs w:val="21"/>
        </w:rPr>
        <w:t xml:space="preserve"> made schools more accessible to over 12,000 children with disabilities, and</w:t>
      </w:r>
      <w:r w:rsidR="00731DBF">
        <w:rPr>
          <w:szCs w:val="21"/>
        </w:rPr>
        <w:t>;</w:t>
      </w:r>
      <w:r>
        <w:rPr>
          <w:szCs w:val="21"/>
        </w:rPr>
        <w:t xml:space="preserve"> ensured that nearly 600,000 women had their deliveries attended by skilled birth attendants</w:t>
      </w:r>
      <w:r w:rsidRPr="00237CCA">
        <w:rPr>
          <w:szCs w:val="21"/>
        </w:rPr>
        <w:t>.</w:t>
      </w:r>
    </w:p>
    <w:p w:rsidR="00E978EA" w:rsidRPr="00237CCA" w:rsidRDefault="00373112" w:rsidP="00836739">
      <w:pPr>
        <w:pStyle w:val="ListBullet"/>
        <w:jc w:val="both"/>
        <w:rPr>
          <w:szCs w:val="21"/>
        </w:rPr>
      </w:pPr>
      <w:r>
        <w:rPr>
          <w:szCs w:val="21"/>
        </w:rPr>
        <w:t xml:space="preserve">Australia </w:t>
      </w:r>
      <w:r w:rsidR="00E978EA">
        <w:rPr>
          <w:szCs w:val="21"/>
        </w:rPr>
        <w:t>continued to consolidate the program</w:t>
      </w:r>
      <w:r w:rsidR="00731DBF">
        <w:rPr>
          <w:szCs w:val="21"/>
        </w:rPr>
        <w:t xml:space="preserve">. This was in response </w:t>
      </w:r>
      <w:r w:rsidR="00E978EA">
        <w:rPr>
          <w:szCs w:val="21"/>
        </w:rPr>
        <w:t>to revised budget projections</w:t>
      </w:r>
      <w:r w:rsidR="00F37C45">
        <w:rPr>
          <w:szCs w:val="21"/>
        </w:rPr>
        <w:t>,</w:t>
      </w:r>
      <w:r w:rsidR="00E978EA">
        <w:rPr>
          <w:szCs w:val="21"/>
        </w:rPr>
        <w:t xml:space="preserve"> as well as to improve manageability and value for money</w:t>
      </w:r>
      <w:r w:rsidR="00D66591">
        <w:rPr>
          <w:szCs w:val="21"/>
        </w:rPr>
        <w:t>.</w:t>
      </w:r>
    </w:p>
    <w:p w:rsidR="00234BD3" w:rsidRDefault="00234BD3" w:rsidP="00836739">
      <w:pPr>
        <w:pStyle w:val="ListBullet"/>
        <w:jc w:val="both"/>
        <w:rPr>
          <w:szCs w:val="21"/>
        </w:rPr>
      </w:pPr>
      <w:r w:rsidRPr="00234BD3">
        <w:rPr>
          <w:szCs w:val="21"/>
        </w:rPr>
        <w:t>A new Aid Investment Plan for Australian aid to Bangladesh</w:t>
      </w:r>
      <w:r w:rsidR="00C61F64">
        <w:rPr>
          <w:szCs w:val="21"/>
        </w:rPr>
        <w:t xml:space="preserve"> </w:t>
      </w:r>
      <w:r w:rsidR="003118FF" w:rsidRPr="00234BD3">
        <w:rPr>
          <w:szCs w:val="21"/>
        </w:rPr>
        <w:t xml:space="preserve">will be finalised </w:t>
      </w:r>
      <w:r w:rsidRPr="00234BD3">
        <w:rPr>
          <w:szCs w:val="21"/>
        </w:rPr>
        <w:t>by July 2015.</w:t>
      </w:r>
      <w:r>
        <w:rPr>
          <w:rStyle w:val="FootnoteReference"/>
          <w:szCs w:val="21"/>
        </w:rPr>
        <w:footnoteReference w:id="5"/>
      </w:r>
      <w:r w:rsidRPr="00234BD3">
        <w:rPr>
          <w:szCs w:val="21"/>
        </w:rPr>
        <w:t xml:space="preserve"> The Plan will include performance benchmarks and mutual obligations to ensure the program continues delivering value for money. Future Australian aid to Bangladesh will build on a strong foundation of effective and efficient aid investments to deliver an aid program that contributes to sustainable economic growth and poverty reduction in our region.</w:t>
      </w:r>
      <w:r w:rsidRPr="00237CCA" w:rsidDel="002521B0">
        <w:rPr>
          <w:szCs w:val="21"/>
        </w:rPr>
        <w:t xml:space="preserve"> </w:t>
      </w:r>
    </w:p>
    <w:p w:rsidR="001D26BD" w:rsidRDefault="001D26BD" w:rsidP="00836739">
      <w:pPr>
        <w:pStyle w:val="Heading3"/>
        <w:jc w:val="both"/>
        <w:rPr>
          <w:b w:val="0"/>
          <w:color w:val="007FAD"/>
          <w:sz w:val="32"/>
          <w:szCs w:val="32"/>
          <w:lang w:eastAsia="en-AU"/>
        </w:rPr>
      </w:pPr>
    </w:p>
    <w:p w:rsidR="00A75086" w:rsidRDefault="00A75086" w:rsidP="00A75086">
      <w:pPr>
        <w:pStyle w:val="BodyText"/>
      </w:pPr>
    </w:p>
    <w:p w:rsidR="00A75086" w:rsidRPr="00A75086" w:rsidRDefault="00A75086" w:rsidP="00A75086">
      <w:pPr>
        <w:pStyle w:val="BodyText"/>
      </w:pPr>
    </w:p>
    <w:p w:rsidR="00B30199" w:rsidRDefault="00B30199" w:rsidP="00836739">
      <w:pPr>
        <w:pStyle w:val="Heading3"/>
        <w:jc w:val="both"/>
        <w:rPr>
          <w:b w:val="0"/>
          <w:color w:val="007FAD"/>
          <w:sz w:val="32"/>
          <w:szCs w:val="32"/>
          <w:lang w:eastAsia="en-AU"/>
        </w:rPr>
      </w:pPr>
    </w:p>
    <w:p w:rsidR="00AF0459" w:rsidRPr="00237CCA" w:rsidRDefault="00AF0459" w:rsidP="00836739">
      <w:pPr>
        <w:pStyle w:val="Heading3"/>
        <w:jc w:val="both"/>
        <w:rPr>
          <w:rStyle w:val="BodyTextChar"/>
          <w:rFonts w:eastAsia="SimSun" w:cs="Times New Roman"/>
          <w:b w:val="0"/>
          <w:color w:val="auto"/>
          <w:kern w:val="0"/>
          <w:szCs w:val="21"/>
          <w:lang w:eastAsia="en-AU"/>
        </w:rPr>
      </w:pPr>
      <w:r w:rsidRPr="00237CCA">
        <w:rPr>
          <w:b w:val="0"/>
          <w:color w:val="007FAD"/>
          <w:sz w:val="32"/>
          <w:szCs w:val="32"/>
          <w:lang w:eastAsia="en-AU"/>
        </w:rPr>
        <w:lastRenderedPageBreak/>
        <w:t xml:space="preserve">Context </w:t>
      </w:r>
      <w:r w:rsidRPr="00237CCA">
        <w:rPr>
          <w:rFonts w:ascii="Franklin Gothic Book" w:hAnsi="Franklin Gothic Book"/>
          <w:sz w:val="21"/>
          <w:szCs w:val="21"/>
        </w:rPr>
        <w:tab/>
      </w:r>
      <w:r w:rsidRPr="00237CCA">
        <w:rPr>
          <w:rFonts w:ascii="Franklin Gothic Book" w:hAnsi="Franklin Gothic Book"/>
          <w:sz w:val="21"/>
          <w:szCs w:val="21"/>
        </w:rPr>
        <w:tab/>
      </w:r>
      <w:r w:rsidRPr="00237CCA">
        <w:rPr>
          <w:rStyle w:val="BodyTextChar"/>
          <w:szCs w:val="21"/>
        </w:rPr>
        <w:tab/>
      </w:r>
      <w:r w:rsidRPr="00237CCA">
        <w:rPr>
          <w:rStyle w:val="BodyTextChar"/>
          <w:szCs w:val="21"/>
        </w:rPr>
        <w:tab/>
      </w:r>
      <w:r w:rsidRPr="00237CCA">
        <w:rPr>
          <w:rStyle w:val="BodyTextChar"/>
          <w:szCs w:val="21"/>
        </w:rPr>
        <w:tab/>
      </w:r>
      <w:r w:rsidRPr="00237CCA">
        <w:rPr>
          <w:rStyle w:val="BodyTextChar"/>
          <w:szCs w:val="21"/>
        </w:rPr>
        <w:tab/>
      </w:r>
      <w:r w:rsidRPr="00237CCA">
        <w:rPr>
          <w:rStyle w:val="BodyTextChar"/>
          <w:szCs w:val="21"/>
        </w:rPr>
        <w:tab/>
      </w:r>
    </w:p>
    <w:p w:rsidR="007E5BA1" w:rsidRPr="00237CCA" w:rsidRDefault="007E5BA1" w:rsidP="00836739">
      <w:pPr>
        <w:pStyle w:val="BodyText"/>
        <w:jc w:val="both"/>
        <w:rPr>
          <w:rFonts w:eastAsia="SimSun"/>
          <w:szCs w:val="21"/>
        </w:rPr>
      </w:pPr>
      <w:r w:rsidRPr="00237CCA">
        <w:rPr>
          <w:rFonts w:eastAsia="SimSun"/>
          <w:b/>
          <w:szCs w:val="21"/>
        </w:rPr>
        <w:t>National elections</w:t>
      </w:r>
      <w:r w:rsidRPr="00237CCA">
        <w:rPr>
          <w:rFonts w:eastAsia="SimSun"/>
          <w:szCs w:val="21"/>
        </w:rPr>
        <w:t xml:space="preserve"> in 2014 saw a return of the Awami </w:t>
      </w:r>
      <w:r w:rsidR="003118FF">
        <w:rPr>
          <w:rFonts w:eastAsia="SimSun"/>
          <w:szCs w:val="21"/>
        </w:rPr>
        <w:t>L</w:t>
      </w:r>
      <w:r w:rsidRPr="00237CCA">
        <w:rPr>
          <w:rFonts w:eastAsia="SimSun"/>
          <w:szCs w:val="21"/>
        </w:rPr>
        <w:t>eague</w:t>
      </w:r>
      <w:r w:rsidR="000779F7">
        <w:rPr>
          <w:rFonts w:eastAsia="SimSun"/>
          <w:szCs w:val="21"/>
        </w:rPr>
        <w:t xml:space="preserve">, </w:t>
      </w:r>
      <w:r w:rsidRPr="00237CCA">
        <w:rPr>
          <w:rFonts w:eastAsia="SimSun"/>
          <w:szCs w:val="21"/>
        </w:rPr>
        <w:t xml:space="preserve">the first time an incumbent </w:t>
      </w:r>
      <w:r w:rsidR="00DE10DE">
        <w:rPr>
          <w:rFonts w:eastAsia="SimSun"/>
          <w:szCs w:val="21"/>
        </w:rPr>
        <w:t xml:space="preserve">government </w:t>
      </w:r>
      <w:r w:rsidRPr="00237CCA">
        <w:rPr>
          <w:rFonts w:eastAsia="SimSun"/>
          <w:szCs w:val="21"/>
        </w:rPr>
        <w:t xml:space="preserve">has been returned </w:t>
      </w:r>
      <w:r w:rsidR="00DE10DE">
        <w:rPr>
          <w:rFonts w:eastAsia="SimSun"/>
          <w:szCs w:val="21"/>
        </w:rPr>
        <w:t xml:space="preserve">for </w:t>
      </w:r>
      <w:r w:rsidR="00E340CA">
        <w:rPr>
          <w:rFonts w:eastAsia="SimSun"/>
          <w:szCs w:val="21"/>
        </w:rPr>
        <w:t xml:space="preserve">consecutive terms </w:t>
      </w:r>
      <w:r w:rsidRPr="00237CCA">
        <w:rPr>
          <w:rFonts w:eastAsia="SimSun"/>
          <w:szCs w:val="21"/>
        </w:rPr>
        <w:t>in Bangladesh since independence in 1971.</w:t>
      </w:r>
      <w:r w:rsidR="00A24389">
        <w:rPr>
          <w:rStyle w:val="FootnoteReference"/>
          <w:rFonts w:eastAsia="SimSun"/>
          <w:szCs w:val="21"/>
        </w:rPr>
        <w:footnoteReference w:id="6"/>
      </w:r>
      <w:r w:rsidRPr="00237CCA">
        <w:rPr>
          <w:rFonts w:eastAsia="SimSun"/>
          <w:szCs w:val="21"/>
        </w:rPr>
        <w:t xml:space="preserve"> </w:t>
      </w:r>
      <w:r w:rsidR="000779F7">
        <w:rPr>
          <w:rFonts w:eastAsia="SimSun"/>
          <w:szCs w:val="21"/>
        </w:rPr>
        <w:t>I</w:t>
      </w:r>
      <w:r w:rsidR="00234BD3" w:rsidRPr="00237CCA">
        <w:rPr>
          <w:rFonts w:eastAsia="SimSun"/>
          <w:szCs w:val="21"/>
        </w:rPr>
        <w:t xml:space="preserve">ntense </w:t>
      </w:r>
      <w:r w:rsidR="00234BD3" w:rsidRPr="00237CCA">
        <w:rPr>
          <w:rFonts w:eastAsia="SimSun"/>
          <w:b/>
          <w:szCs w:val="21"/>
        </w:rPr>
        <w:t>violence and instability</w:t>
      </w:r>
      <w:r w:rsidR="00234BD3" w:rsidRPr="00237CCA">
        <w:rPr>
          <w:rFonts w:eastAsia="SimSun"/>
          <w:szCs w:val="21"/>
        </w:rPr>
        <w:t xml:space="preserve"> </w:t>
      </w:r>
      <w:r w:rsidR="00DE10DE">
        <w:rPr>
          <w:rFonts w:eastAsia="SimSun"/>
          <w:szCs w:val="21"/>
        </w:rPr>
        <w:t>in the 12 months prior to</w:t>
      </w:r>
      <w:r w:rsidR="00234BD3" w:rsidRPr="00237CCA">
        <w:rPr>
          <w:rFonts w:eastAsia="SimSun"/>
          <w:szCs w:val="21"/>
        </w:rPr>
        <w:t xml:space="preserve"> the elections</w:t>
      </w:r>
      <w:r w:rsidR="00234BD3">
        <w:rPr>
          <w:rFonts w:eastAsia="SimSun"/>
          <w:szCs w:val="21"/>
        </w:rPr>
        <w:t xml:space="preserve">, including </w:t>
      </w:r>
      <w:r w:rsidR="00234BD3">
        <w:rPr>
          <w:szCs w:val="21"/>
        </w:rPr>
        <w:t>frequent country-wide strikes</w:t>
      </w:r>
      <w:r w:rsidR="004F4A32">
        <w:rPr>
          <w:szCs w:val="21"/>
        </w:rPr>
        <w:t xml:space="preserve"> (</w:t>
      </w:r>
      <w:r w:rsidR="004F4A32" w:rsidRPr="00E34155">
        <w:rPr>
          <w:i/>
          <w:szCs w:val="21"/>
        </w:rPr>
        <w:t>hartals</w:t>
      </w:r>
      <w:r w:rsidR="004F4A32">
        <w:rPr>
          <w:szCs w:val="21"/>
        </w:rPr>
        <w:t>)</w:t>
      </w:r>
      <w:r w:rsidR="001A6766">
        <w:rPr>
          <w:szCs w:val="21"/>
        </w:rPr>
        <w:t xml:space="preserve">, </w:t>
      </w:r>
      <w:r w:rsidR="00234BD3">
        <w:rPr>
          <w:szCs w:val="21"/>
        </w:rPr>
        <w:t xml:space="preserve">which restricted movement significantly across the country </w:t>
      </w:r>
      <w:r w:rsidR="00F37C45">
        <w:rPr>
          <w:szCs w:val="21"/>
        </w:rPr>
        <w:t xml:space="preserve">— </w:t>
      </w:r>
      <w:r w:rsidR="00234BD3">
        <w:rPr>
          <w:szCs w:val="21"/>
        </w:rPr>
        <w:t xml:space="preserve">and resulted in at least </w:t>
      </w:r>
      <w:r w:rsidR="004E2E8C">
        <w:rPr>
          <w:rFonts w:eastAsia="SimSun"/>
          <w:szCs w:val="21"/>
        </w:rPr>
        <w:t>500</w:t>
      </w:r>
      <w:r w:rsidR="004E2E8C" w:rsidRPr="00237CCA">
        <w:rPr>
          <w:rFonts w:eastAsia="SimSun"/>
          <w:szCs w:val="21"/>
        </w:rPr>
        <w:t xml:space="preserve"> </w:t>
      </w:r>
      <w:r w:rsidR="00234BD3" w:rsidRPr="00237CCA">
        <w:rPr>
          <w:rFonts w:eastAsia="SimSun"/>
          <w:szCs w:val="21"/>
        </w:rPr>
        <w:t>deaths</w:t>
      </w:r>
      <w:r w:rsidR="004E2E8C">
        <w:rPr>
          <w:rStyle w:val="FootnoteReference"/>
          <w:rFonts w:eastAsia="SimSun"/>
          <w:szCs w:val="21"/>
        </w:rPr>
        <w:footnoteReference w:id="7"/>
      </w:r>
      <w:r w:rsidR="00234BD3" w:rsidRPr="00237CCA">
        <w:rPr>
          <w:rFonts w:eastAsia="SimSun"/>
          <w:szCs w:val="21"/>
        </w:rPr>
        <w:t xml:space="preserve"> </w:t>
      </w:r>
      <w:r w:rsidR="00F37C45">
        <w:rPr>
          <w:rFonts w:eastAsia="SimSun"/>
          <w:szCs w:val="21"/>
        </w:rPr>
        <w:t>—</w:t>
      </w:r>
      <w:r w:rsidR="00F37C45" w:rsidRPr="00237CCA">
        <w:rPr>
          <w:rFonts w:eastAsia="SimSun"/>
          <w:szCs w:val="21"/>
        </w:rPr>
        <w:t xml:space="preserve"> </w:t>
      </w:r>
      <w:r w:rsidR="00234BD3" w:rsidRPr="00237CCA">
        <w:rPr>
          <w:rFonts w:eastAsia="SimSun"/>
          <w:szCs w:val="21"/>
        </w:rPr>
        <w:t xml:space="preserve">subsided quickly after the </w:t>
      </w:r>
      <w:r w:rsidR="004F4A32" w:rsidRPr="00237CCA">
        <w:rPr>
          <w:rFonts w:eastAsia="SimSun"/>
          <w:szCs w:val="21"/>
        </w:rPr>
        <w:t xml:space="preserve">5 </w:t>
      </w:r>
      <w:r w:rsidR="00234BD3" w:rsidRPr="00237CCA">
        <w:rPr>
          <w:rFonts w:eastAsia="SimSun"/>
          <w:szCs w:val="21"/>
        </w:rPr>
        <w:t xml:space="preserve">January poll. </w:t>
      </w:r>
      <w:r w:rsidRPr="00237CCA">
        <w:rPr>
          <w:rFonts w:eastAsia="SimSun"/>
          <w:szCs w:val="21"/>
        </w:rPr>
        <w:t xml:space="preserve">While a more </w:t>
      </w:r>
      <w:r w:rsidR="004F4A32">
        <w:rPr>
          <w:rFonts w:eastAsia="SimSun"/>
          <w:szCs w:val="21"/>
        </w:rPr>
        <w:t>inclusive</w:t>
      </w:r>
      <w:r w:rsidRPr="00237CCA">
        <w:rPr>
          <w:rFonts w:eastAsia="SimSun"/>
          <w:szCs w:val="21"/>
        </w:rPr>
        <w:t xml:space="preserve"> result may have provided confidence in longer term stability, the absence of </w:t>
      </w:r>
      <w:r w:rsidRPr="00E34155">
        <w:rPr>
          <w:rFonts w:eastAsia="SimSun"/>
          <w:i/>
          <w:szCs w:val="21"/>
        </w:rPr>
        <w:t>hartals</w:t>
      </w:r>
      <w:r w:rsidRPr="00237CCA">
        <w:rPr>
          <w:rFonts w:eastAsia="SimSun"/>
          <w:szCs w:val="21"/>
        </w:rPr>
        <w:t xml:space="preserve"> following the election has </w:t>
      </w:r>
      <w:r w:rsidR="000C2516">
        <w:rPr>
          <w:rFonts w:eastAsia="SimSun"/>
          <w:szCs w:val="21"/>
        </w:rPr>
        <w:t>provided</w:t>
      </w:r>
      <w:r w:rsidR="00212674" w:rsidRPr="00237CCA">
        <w:rPr>
          <w:rFonts w:eastAsia="SimSun"/>
          <w:szCs w:val="21"/>
        </w:rPr>
        <w:t xml:space="preserve"> </w:t>
      </w:r>
      <w:r w:rsidRPr="00237CCA">
        <w:rPr>
          <w:rFonts w:eastAsia="SimSun"/>
          <w:szCs w:val="21"/>
        </w:rPr>
        <w:t xml:space="preserve">business and government programs with an environment more conducive to productive activity. </w:t>
      </w:r>
    </w:p>
    <w:p w:rsidR="003031F2" w:rsidRDefault="00C42118" w:rsidP="003031F2">
      <w:pPr>
        <w:pStyle w:val="BodyText"/>
        <w:jc w:val="both"/>
        <w:rPr>
          <w:szCs w:val="21"/>
        </w:rPr>
      </w:pPr>
      <w:r w:rsidRPr="00237CCA">
        <w:rPr>
          <w:rFonts w:eastAsia="SimSun"/>
          <w:szCs w:val="21"/>
        </w:rPr>
        <w:t>Despite instability for much of 2013, the country record</w:t>
      </w:r>
      <w:r w:rsidR="003031F2">
        <w:rPr>
          <w:rFonts w:eastAsia="SimSun"/>
          <w:szCs w:val="21"/>
        </w:rPr>
        <w:t>ed</w:t>
      </w:r>
      <w:r w:rsidRPr="00237CCA">
        <w:rPr>
          <w:rFonts w:eastAsia="SimSun"/>
          <w:szCs w:val="21"/>
        </w:rPr>
        <w:t xml:space="preserve"> solid </w:t>
      </w:r>
      <w:r w:rsidR="003031F2">
        <w:rPr>
          <w:rFonts w:eastAsia="SimSun"/>
          <w:szCs w:val="21"/>
        </w:rPr>
        <w:t xml:space="preserve">annual </w:t>
      </w:r>
      <w:r w:rsidRPr="00237CCA">
        <w:rPr>
          <w:rFonts w:eastAsia="SimSun"/>
          <w:b/>
          <w:szCs w:val="21"/>
        </w:rPr>
        <w:t>economic growth</w:t>
      </w:r>
      <w:r w:rsidRPr="00237CCA">
        <w:rPr>
          <w:rFonts w:eastAsia="SimSun"/>
          <w:szCs w:val="21"/>
        </w:rPr>
        <w:t xml:space="preserve"> </w:t>
      </w:r>
      <w:r w:rsidR="007F2FCC">
        <w:rPr>
          <w:rFonts w:eastAsia="SimSun"/>
          <w:szCs w:val="21"/>
        </w:rPr>
        <w:t xml:space="preserve">of </w:t>
      </w:r>
      <w:r w:rsidR="00F37C45">
        <w:rPr>
          <w:rFonts w:eastAsia="SimSun"/>
          <w:szCs w:val="21"/>
        </w:rPr>
        <w:t>six per cent</w:t>
      </w:r>
      <w:r w:rsidRPr="00237CCA">
        <w:rPr>
          <w:rFonts w:eastAsia="SimSun"/>
          <w:szCs w:val="21"/>
        </w:rPr>
        <w:t xml:space="preserve">. Steadily rising GNI per capita crossed </w:t>
      </w:r>
      <w:r w:rsidR="00A24389">
        <w:rPr>
          <w:rFonts w:eastAsia="SimSun"/>
          <w:szCs w:val="21"/>
        </w:rPr>
        <w:t xml:space="preserve">the </w:t>
      </w:r>
      <w:r w:rsidRPr="00237CCA">
        <w:rPr>
          <w:rFonts w:eastAsia="SimSun"/>
          <w:szCs w:val="21"/>
        </w:rPr>
        <w:t>(lower) middle income country threshold in June 2013.</w:t>
      </w:r>
      <w:r w:rsidR="00A24389" w:rsidRPr="00237CCA">
        <w:rPr>
          <w:rStyle w:val="FootnoteReference"/>
          <w:rFonts w:eastAsia="SimSun"/>
          <w:szCs w:val="21"/>
        </w:rPr>
        <w:footnoteReference w:id="8"/>
      </w:r>
      <w:r w:rsidRPr="00237CCA">
        <w:rPr>
          <w:rFonts w:eastAsia="SimSun"/>
          <w:szCs w:val="21"/>
        </w:rPr>
        <w:t xml:space="preserve"> </w:t>
      </w:r>
      <w:r w:rsidRPr="00237CCA">
        <w:rPr>
          <w:rFonts w:eastAsia="SimSun"/>
          <w:b/>
          <w:szCs w:val="21"/>
        </w:rPr>
        <w:t>Ready Made Garments</w:t>
      </w:r>
      <w:r w:rsidRPr="00237CCA">
        <w:rPr>
          <w:rFonts w:eastAsia="SimSun"/>
          <w:szCs w:val="21"/>
        </w:rPr>
        <w:t xml:space="preserve"> are still the country’s biggest export sector with US</w:t>
      </w:r>
      <w:r w:rsidR="001E29D2">
        <w:rPr>
          <w:rFonts w:eastAsia="SimSun"/>
          <w:szCs w:val="21"/>
        </w:rPr>
        <w:t xml:space="preserve">D </w:t>
      </w:r>
      <w:r w:rsidRPr="00237CCA">
        <w:rPr>
          <w:rFonts w:eastAsia="SimSun"/>
          <w:szCs w:val="21"/>
        </w:rPr>
        <w:t xml:space="preserve">22 billion in revenue </w:t>
      </w:r>
      <w:r w:rsidR="000779F7">
        <w:rPr>
          <w:rFonts w:eastAsia="SimSun"/>
          <w:szCs w:val="21"/>
        </w:rPr>
        <w:t>during the year</w:t>
      </w:r>
      <w:r w:rsidRPr="00237CCA">
        <w:rPr>
          <w:rFonts w:eastAsia="SimSun"/>
          <w:szCs w:val="21"/>
        </w:rPr>
        <w:t>. At 12</w:t>
      </w:r>
      <w:r w:rsidR="00F37C45">
        <w:rPr>
          <w:rFonts w:eastAsia="SimSun"/>
          <w:szCs w:val="21"/>
        </w:rPr>
        <w:t>—</w:t>
      </w:r>
      <w:r w:rsidRPr="00237CCA">
        <w:rPr>
          <w:rFonts w:eastAsia="SimSun"/>
          <w:szCs w:val="21"/>
        </w:rPr>
        <w:t>14 per cent of GDP</w:t>
      </w:r>
      <w:r w:rsidR="003118FF">
        <w:rPr>
          <w:rFonts w:eastAsia="SimSun"/>
          <w:szCs w:val="21"/>
        </w:rPr>
        <w:t>,</w:t>
      </w:r>
      <w:r w:rsidRPr="00237CCA">
        <w:rPr>
          <w:rFonts w:eastAsia="SimSun"/>
          <w:szCs w:val="21"/>
        </w:rPr>
        <w:t xml:space="preserve"> </w:t>
      </w:r>
      <w:r w:rsidRPr="00237CCA">
        <w:rPr>
          <w:rFonts w:eastAsia="SimSun"/>
          <w:b/>
          <w:szCs w:val="21"/>
        </w:rPr>
        <w:t>remittances</w:t>
      </w:r>
      <w:r w:rsidRPr="00237CCA">
        <w:rPr>
          <w:rFonts w:eastAsia="SimSun"/>
          <w:szCs w:val="21"/>
        </w:rPr>
        <w:t xml:space="preserve"> from the seven million Bangladeshis working overseas</w:t>
      </w:r>
      <w:r w:rsidRPr="00F2695C">
        <w:rPr>
          <w:rFonts w:eastAsia="SimSun"/>
          <w:vertAlign w:val="superscript"/>
        </w:rPr>
        <w:footnoteReference w:id="9"/>
      </w:r>
      <w:r w:rsidRPr="00237CCA">
        <w:rPr>
          <w:rFonts w:eastAsia="SimSun"/>
          <w:szCs w:val="21"/>
        </w:rPr>
        <w:t xml:space="preserve"> are the </w:t>
      </w:r>
      <w:r w:rsidR="00346257">
        <w:rPr>
          <w:rFonts w:eastAsia="SimSun"/>
          <w:szCs w:val="21"/>
        </w:rPr>
        <w:t xml:space="preserve">country’s </w:t>
      </w:r>
      <w:r w:rsidRPr="00237CCA">
        <w:rPr>
          <w:rFonts w:eastAsia="SimSun"/>
          <w:szCs w:val="21"/>
        </w:rPr>
        <w:t>largest form of revenue, although levels declined compared with the previous year.</w:t>
      </w:r>
      <w:r w:rsidR="00F37C45" w:rsidRPr="00237CCA">
        <w:rPr>
          <w:rStyle w:val="FootnoteReference"/>
          <w:rFonts w:eastAsia="SimSun"/>
          <w:szCs w:val="21"/>
        </w:rPr>
        <w:footnoteReference w:id="10"/>
      </w:r>
      <w:r w:rsidRPr="00237CCA">
        <w:rPr>
          <w:rFonts w:eastAsia="SimSun"/>
          <w:szCs w:val="21"/>
        </w:rPr>
        <w:t xml:space="preserve"> The Government exceeded its own targets for building foreign exchange reserves and is increasing the amount of tax revenue it collects, albeit from a low base.</w:t>
      </w:r>
    </w:p>
    <w:p w:rsidR="00B666AA" w:rsidRDefault="00B666AA" w:rsidP="003031F2">
      <w:pPr>
        <w:pStyle w:val="BodyText"/>
        <w:jc w:val="both"/>
        <w:rPr>
          <w:szCs w:val="21"/>
        </w:rPr>
      </w:pPr>
      <w:r w:rsidRPr="00BE4D46">
        <w:rPr>
          <w:szCs w:val="21"/>
        </w:rPr>
        <w:t xml:space="preserve">Bangladesh has made impressive </w:t>
      </w:r>
      <w:r w:rsidRPr="002C578F">
        <w:rPr>
          <w:b/>
          <w:szCs w:val="21"/>
        </w:rPr>
        <w:t>progress against the MDGs</w:t>
      </w:r>
      <w:r w:rsidRPr="00237CCA">
        <w:rPr>
          <w:szCs w:val="21"/>
        </w:rPr>
        <w:t>.</w:t>
      </w:r>
      <w:r w:rsidR="00A24389" w:rsidRPr="00F2695C">
        <w:rPr>
          <w:vertAlign w:val="superscript"/>
        </w:rPr>
        <w:footnoteReference w:id="11"/>
      </w:r>
      <w:r w:rsidRPr="00237CCA">
        <w:rPr>
          <w:szCs w:val="21"/>
        </w:rPr>
        <w:t xml:space="preserve"> </w:t>
      </w:r>
      <w:r w:rsidRPr="003031F2">
        <w:rPr>
          <w:szCs w:val="21"/>
        </w:rPr>
        <w:t>As the 2015 deadline for the MDG’s approaches Bangladesh can report that it is on track to achieve the goal of halving poverty levels by 2015</w:t>
      </w:r>
      <w:r w:rsidRPr="00237CCA">
        <w:rPr>
          <w:szCs w:val="21"/>
        </w:rPr>
        <w:t>.</w:t>
      </w:r>
      <w:r w:rsidR="00A24389" w:rsidRPr="00237CCA">
        <w:rPr>
          <w:rStyle w:val="FootnoteReference"/>
          <w:szCs w:val="21"/>
        </w:rPr>
        <w:footnoteReference w:id="12"/>
      </w:r>
      <w:r w:rsidRPr="00237CCA">
        <w:rPr>
          <w:szCs w:val="21"/>
        </w:rPr>
        <w:t xml:space="preserve"> </w:t>
      </w:r>
      <w:r w:rsidR="00BE4D46" w:rsidRPr="00237CCA">
        <w:rPr>
          <w:szCs w:val="21"/>
        </w:rPr>
        <w:t>Bangladesh has outperformed neighbouring countries on many health indices, including measures of equity.</w:t>
      </w:r>
      <w:r w:rsidR="00BE4D46" w:rsidRPr="00237CCA">
        <w:rPr>
          <w:rStyle w:val="FootnoteReference"/>
          <w:szCs w:val="21"/>
        </w:rPr>
        <w:footnoteReference w:id="13"/>
      </w:r>
      <w:r w:rsidR="00BE4D46" w:rsidRPr="00237CCA">
        <w:rPr>
          <w:szCs w:val="21"/>
        </w:rPr>
        <w:t xml:space="preserve"> Education statistics have continued to improve, with net enrolment at 96.85 per cent in 2012 (</w:t>
      </w:r>
      <w:r w:rsidR="00BE4D46">
        <w:rPr>
          <w:szCs w:val="21"/>
        </w:rPr>
        <w:t>from 87.2 per cent in 2005</w:t>
      </w:r>
      <w:r w:rsidR="00BE4D46" w:rsidRPr="00237CCA">
        <w:rPr>
          <w:szCs w:val="21"/>
        </w:rPr>
        <w:t>) and more girls in primary school than boys</w:t>
      </w:r>
      <w:r w:rsidR="00BE4D46">
        <w:rPr>
          <w:szCs w:val="21"/>
        </w:rPr>
        <w:t xml:space="preserve"> </w:t>
      </w:r>
      <w:r w:rsidR="005665CA">
        <w:rPr>
          <w:szCs w:val="21"/>
        </w:rPr>
        <w:t>(</w:t>
      </w:r>
      <w:r w:rsidR="00BE4D46">
        <w:rPr>
          <w:szCs w:val="21"/>
        </w:rPr>
        <w:t>98.1 per cent to 95.4 per cent</w:t>
      </w:r>
      <w:r w:rsidR="005665CA">
        <w:rPr>
          <w:szCs w:val="21"/>
        </w:rPr>
        <w:t>)</w:t>
      </w:r>
      <w:r w:rsidR="00BE4D46">
        <w:rPr>
          <w:szCs w:val="21"/>
        </w:rPr>
        <w:t>.</w:t>
      </w:r>
      <w:r w:rsidR="005665CA">
        <w:rPr>
          <w:rStyle w:val="FootnoteReference"/>
          <w:szCs w:val="21"/>
        </w:rPr>
        <w:footnoteReference w:id="14"/>
      </w:r>
      <w:r w:rsidR="005665CA">
        <w:rPr>
          <w:szCs w:val="21"/>
        </w:rPr>
        <w:t xml:space="preserve"> </w:t>
      </w:r>
      <w:r w:rsidR="00BE4D46" w:rsidRPr="003031F2">
        <w:rPr>
          <w:szCs w:val="21"/>
        </w:rPr>
        <w:t>M</w:t>
      </w:r>
      <w:r w:rsidRPr="00BE4D46">
        <w:rPr>
          <w:szCs w:val="21"/>
        </w:rPr>
        <w:t>ore women are entering the formal economy</w:t>
      </w:r>
      <w:r w:rsidRPr="00234BD3">
        <w:rPr>
          <w:szCs w:val="21"/>
        </w:rPr>
        <w:t>.</w:t>
      </w:r>
      <w:r w:rsidR="005665CA" w:rsidRPr="00237CCA">
        <w:rPr>
          <w:rStyle w:val="FootnoteReference"/>
          <w:szCs w:val="21"/>
        </w:rPr>
        <w:footnoteReference w:id="15"/>
      </w:r>
    </w:p>
    <w:p w:rsidR="00234BD3" w:rsidRPr="00B40EFF" w:rsidRDefault="00B666AA" w:rsidP="00836739">
      <w:pPr>
        <w:pStyle w:val="BodyText"/>
        <w:jc w:val="both"/>
        <w:rPr>
          <w:rFonts w:eastAsia="SimSun"/>
          <w:szCs w:val="21"/>
        </w:rPr>
      </w:pPr>
      <w:r w:rsidRPr="00234BD3">
        <w:rPr>
          <w:szCs w:val="21"/>
        </w:rPr>
        <w:t xml:space="preserve">However, </w:t>
      </w:r>
      <w:r w:rsidRPr="00346257">
        <w:rPr>
          <w:szCs w:val="21"/>
        </w:rPr>
        <w:t xml:space="preserve">significant </w:t>
      </w:r>
      <w:r w:rsidR="00547585" w:rsidRPr="00346257">
        <w:rPr>
          <w:szCs w:val="21"/>
        </w:rPr>
        <w:t>development</w:t>
      </w:r>
      <w:r w:rsidR="00547585" w:rsidRPr="009B2417">
        <w:rPr>
          <w:b/>
          <w:szCs w:val="21"/>
        </w:rPr>
        <w:t xml:space="preserve"> </w:t>
      </w:r>
      <w:r w:rsidRPr="009B2417">
        <w:rPr>
          <w:b/>
          <w:szCs w:val="21"/>
        </w:rPr>
        <w:t>challenges remain</w:t>
      </w:r>
      <w:r w:rsidR="00D31417">
        <w:rPr>
          <w:b/>
          <w:szCs w:val="21"/>
        </w:rPr>
        <w:t>.</w:t>
      </w:r>
      <w:r w:rsidR="00D31417" w:rsidRPr="006C29D6">
        <w:rPr>
          <w:szCs w:val="21"/>
        </w:rPr>
        <w:t xml:space="preserve"> </w:t>
      </w:r>
      <w:r w:rsidR="00A74ABF">
        <w:rPr>
          <w:szCs w:val="21"/>
        </w:rPr>
        <w:t xml:space="preserve">Around 43 per cent of the population live on less than $1.25 </w:t>
      </w:r>
      <w:r w:rsidR="00F37C45">
        <w:rPr>
          <w:szCs w:val="21"/>
        </w:rPr>
        <w:t xml:space="preserve">per </w:t>
      </w:r>
      <w:r w:rsidR="00A74ABF">
        <w:rPr>
          <w:szCs w:val="21"/>
        </w:rPr>
        <w:t>day</w:t>
      </w:r>
      <w:r w:rsidR="00A74ABF">
        <w:rPr>
          <w:rStyle w:val="FootnoteReference"/>
          <w:szCs w:val="21"/>
        </w:rPr>
        <w:footnoteReference w:id="16"/>
      </w:r>
      <w:r w:rsidR="00A74ABF">
        <w:rPr>
          <w:szCs w:val="21"/>
        </w:rPr>
        <w:t xml:space="preserve"> and millions more who live just </w:t>
      </w:r>
      <w:r w:rsidRPr="00234BD3">
        <w:rPr>
          <w:szCs w:val="21"/>
        </w:rPr>
        <w:t>above th</w:t>
      </w:r>
      <w:r w:rsidR="00A74ABF">
        <w:rPr>
          <w:szCs w:val="21"/>
        </w:rPr>
        <w:t xml:space="preserve">is </w:t>
      </w:r>
      <w:r w:rsidRPr="00234BD3">
        <w:rPr>
          <w:szCs w:val="21"/>
        </w:rPr>
        <w:t>poverty line are still vulnerable to economic and natural shocks</w:t>
      </w:r>
      <w:r w:rsidR="00A74ABF">
        <w:rPr>
          <w:szCs w:val="21"/>
        </w:rPr>
        <w:t xml:space="preserve">. </w:t>
      </w:r>
      <w:r>
        <w:rPr>
          <w:rFonts w:eastAsia="SimSun"/>
          <w:szCs w:val="21"/>
        </w:rPr>
        <w:t>T</w:t>
      </w:r>
      <w:r w:rsidR="00597D28">
        <w:rPr>
          <w:rFonts w:eastAsia="SimSun"/>
          <w:szCs w:val="21"/>
        </w:rPr>
        <w:t>he security environment reduced mobility throughout 2013</w:t>
      </w:r>
      <w:r w:rsidR="001A7C0E">
        <w:rPr>
          <w:rFonts w:eastAsia="SimSun"/>
          <w:szCs w:val="21"/>
        </w:rPr>
        <w:t xml:space="preserve"> </w:t>
      </w:r>
      <w:r w:rsidR="001A7C0E" w:rsidRPr="00237CCA">
        <w:rPr>
          <w:szCs w:val="21"/>
        </w:rPr>
        <w:t>(75 days</w:t>
      </w:r>
      <w:r w:rsidR="001A7C0E">
        <w:rPr>
          <w:szCs w:val="21"/>
        </w:rPr>
        <w:t xml:space="preserve"> of </w:t>
      </w:r>
      <w:r w:rsidR="001A7C0E" w:rsidRPr="00E34155">
        <w:rPr>
          <w:i/>
          <w:szCs w:val="21"/>
        </w:rPr>
        <w:t>hartal</w:t>
      </w:r>
      <w:r w:rsidR="00FA6788">
        <w:rPr>
          <w:szCs w:val="21"/>
        </w:rPr>
        <w:t xml:space="preserve"> were reported </w:t>
      </w:r>
      <w:r w:rsidR="001A7C0E" w:rsidRPr="00237CCA">
        <w:rPr>
          <w:szCs w:val="21"/>
        </w:rPr>
        <w:t>in the year</w:t>
      </w:r>
      <w:r w:rsidR="001A7C0E" w:rsidRPr="00237CCA">
        <w:rPr>
          <w:rStyle w:val="FootnoteReference"/>
          <w:szCs w:val="21"/>
        </w:rPr>
        <w:footnoteReference w:id="17"/>
      </w:r>
      <w:r w:rsidR="001A7C0E" w:rsidRPr="00237CCA">
        <w:rPr>
          <w:szCs w:val="21"/>
        </w:rPr>
        <w:t>)</w:t>
      </w:r>
      <w:r w:rsidR="001A7C0E">
        <w:rPr>
          <w:szCs w:val="21"/>
        </w:rPr>
        <w:t>,</w:t>
      </w:r>
      <w:r w:rsidR="00547585">
        <w:rPr>
          <w:rFonts w:eastAsia="SimSun"/>
          <w:szCs w:val="21"/>
        </w:rPr>
        <w:t xml:space="preserve"> restrict</w:t>
      </w:r>
      <w:r w:rsidR="008C6B76">
        <w:rPr>
          <w:rFonts w:eastAsia="SimSun"/>
          <w:szCs w:val="21"/>
        </w:rPr>
        <w:t>ing opportunities for</w:t>
      </w:r>
      <w:r w:rsidR="00547585">
        <w:rPr>
          <w:rFonts w:eastAsia="SimSun"/>
          <w:szCs w:val="21"/>
        </w:rPr>
        <w:t xml:space="preserve"> aid staff</w:t>
      </w:r>
      <w:r w:rsidR="008C6B76">
        <w:rPr>
          <w:rFonts w:eastAsia="SimSun"/>
          <w:szCs w:val="21"/>
        </w:rPr>
        <w:t xml:space="preserve"> to meet with partners and monitor programs</w:t>
      </w:r>
      <w:r w:rsidR="00547585">
        <w:rPr>
          <w:rFonts w:eastAsia="SimSun"/>
          <w:szCs w:val="21"/>
        </w:rPr>
        <w:t>.</w:t>
      </w:r>
      <w:r w:rsidR="008C6B76">
        <w:rPr>
          <w:rFonts w:eastAsia="SimSun"/>
          <w:szCs w:val="21"/>
        </w:rPr>
        <w:t xml:space="preserve"> Businesses reported reduced activity as a result of the instability.</w:t>
      </w:r>
      <w:r w:rsidR="008C6B76">
        <w:rPr>
          <w:rStyle w:val="FootnoteReference"/>
          <w:rFonts w:eastAsia="SimSun"/>
          <w:szCs w:val="21"/>
        </w:rPr>
        <w:footnoteReference w:id="18"/>
      </w:r>
      <w:r w:rsidR="008C6B76">
        <w:rPr>
          <w:rFonts w:eastAsia="SimSun"/>
          <w:szCs w:val="21"/>
        </w:rPr>
        <w:t xml:space="preserve"> </w:t>
      </w:r>
      <w:r w:rsidR="009A637A">
        <w:rPr>
          <w:rFonts w:eastAsia="SimSun"/>
          <w:szCs w:val="21"/>
        </w:rPr>
        <w:t xml:space="preserve">The situation </w:t>
      </w:r>
      <w:r w:rsidR="00597D28">
        <w:rPr>
          <w:rFonts w:eastAsia="SimSun"/>
          <w:szCs w:val="21"/>
        </w:rPr>
        <w:t>had a disproportionate impact on the poor,</w:t>
      </w:r>
      <w:r w:rsidR="00547585">
        <w:rPr>
          <w:rFonts w:eastAsia="SimSun"/>
          <w:szCs w:val="21"/>
        </w:rPr>
        <w:t xml:space="preserve"> exposing </w:t>
      </w:r>
      <w:r w:rsidR="00547585">
        <w:rPr>
          <w:rFonts w:eastAsia="SimSun"/>
          <w:szCs w:val="21"/>
        </w:rPr>
        <w:lastRenderedPageBreak/>
        <w:t>them to higher security risks</w:t>
      </w:r>
      <w:r w:rsidR="009A637A">
        <w:rPr>
          <w:rFonts w:eastAsia="SimSun"/>
          <w:szCs w:val="21"/>
        </w:rPr>
        <w:t>, price rises,</w:t>
      </w:r>
      <w:r w:rsidR="00547585">
        <w:rPr>
          <w:rFonts w:eastAsia="SimSun"/>
          <w:szCs w:val="21"/>
        </w:rPr>
        <w:t xml:space="preserve"> and </w:t>
      </w:r>
      <w:r w:rsidR="005B4384">
        <w:rPr>
          <w:rFonts w:eastAsia="SimSun"/>
          <w:szCs w:val="21"/>
        </w:rPr>
        <w:t>limited</w:t>
      </w:r>
      <w:r w:rsidR="00547585">
        <w:rPr>
          <w:rFonts w:eastAsia="SimSun"/>
          <w:szCs w:val="21"/>
        </w:rPr>
        <w:t xml:space="preserve"> </w:t>
      </w:r>
      <w:r w:rsidR="00597D28">
        <w:rPr>
          <w:rFonts w:eastAsia="SimSun"/>
          <w:szCs w:val="21"/>
        </w:rPr>
        <w:t xml:space="preserve">opportunities to earn an </w:t>
      </w:r>
      <w:r w:rsidR="00597D28" w:rsidRPr="00B40EFF">
        <w:rPr>
          <w:rFonts w:eastAsia="SimSun"/>
          <w:szCs w:val="21"/>
        </w:rPr>
        <w:t>income</w:t>
      </w:r>
      <w:r w:rsidR="005B4384" w:rsidRPr="00B40EFF">
        <w:rPr>
          <w:rFonts w:eastAsia="SimSun"/>
          <w:szCs w:val="21"/>
        </w:rPr>
        <w:t xml:space="preserve"> due to their reduced mobility</w:t>
      </w:r>
      <w:r w:rsidR="00597D28" w:rsidRPr="00B40EFF">
        <w:rPr>
          <w:rFonts w:eastAsia="SimSun"/>
          <w:szCs w:val="21"/>
        </w:rPr>
        <w:t xml:space="preserve">. </w:t>
      </w:r>
      <w:r w:rsidR="00337167" w:rsidRPr="00B40EFF">
        <w:rPr>
          <w:rFonts w:eastAsia="SimSun"/>
          <w:szCs w:val="21"/>
        </w:rPr>
        <w:t xml:space="preserve">Only 20 per cent of the </w:t>
      </w:r>
      <w:r w:rsidR="001D3E05">
        <w:rPr>
          <w:rFonts w:eastAsia="SimSun"/>
          <w:szCs w:val="21"/>
        </w:rPr>
        <w:t xml:space="preserve">Government’s </w:t>
      </w:r>
      <w:r w:rsidR="00337167" w:rsidRPr="00B40EFF">
        <w:rPr>
          <w:rFonts w:eastAsia="SimSun"/>
          <w:szCs w:val="21"/>
        </w:rPr>
        <w:t>annual development budget was spent in the second half of 2013 (33 per cent were donor funds)</w:t>
      </w:r>
      <w:r w:rsidR="00597D28" w:rsidRPr="00B40EFF">
        <w:rPr>
          <w:rFonts w:eastAsia="SimSun"/>
          <w:szCs w:val="21"/>
        </w:rPr>
        <w:t>,</w:t>
      </w:r>
      <w:r w:rsidR="008020A9" w:rsidRPr="00B40EFF">
        <w:rPr>
          <w:rStyle w:val="FootnoteReference"/>
          <w:rFonts w:eastAsia="SimSun"/>
          <w:szCs w:val="21"/>
        </w:rPr>
        <w:footnoteReference w:id="19"/>
      </w:r>
      <w:r w:rsidR="00597D28" w:rsidRPr="00B40EFF">
        <w:rPr>
          <w:rFonts w:eastAsia="SimSun"/>
          <w:szCs w:val="21"/>
        </w:rPr>
        <w:t xml:space="preserve"> meaning less progress on government programs targeting the poor.</w:t>
      </w:r>
      <w:r w:rsidR="008C7FB1" w:rsidRPr="00B40EFF">
        <w:rPr>
          <w:rFonts w:eastAsia="SimSun"/>
          <w:szCs w:val="21"/>
        </w:rPr>
        <w:t xml:space="preserve"> </w:t>
      </w:r>
      <w:r w:rsidR="00D97590" w:rsidRPr="006C29D6">
        <w:rPr>
          <w:rFonts w:eastAsia="SimSun"/>
          <w:szCs w:val="21"/>
        </w:rPr>
        <w:t>Low</w:t>
      </w:r>
      <w:r w:rsidR="008C7FB1" w:rsidRPr="006C29D6">
        <w:rPr>
          <w:rFonts w:eastAsia="SimSun"/>
          <w:szCs w:val="21"/>
        </w:rPr>
        <w:t xml:space="preserve"> levels of </w:t>
      </w:r>
      <w:r w:rsidR="00D97590" w:rsidRPr="006C29D6">
        <w:rPr>
          <w:rFonts w:eastAsia="SimSun"/>
          <w:szCs w:val="21"/>
        </w:rPr>
        <w:t xml:space="preserve">workforce </w:t>
      </w:r>
      <w:r w:rsidR="008C7FB1" w:rsidRPr="006C29D6">
        <w:rPr>
          <w:rFonts w:eastAsia="SimSun"/>
          <w:szCs w:val="21"/>
        </w:rPr>
        <w:t>capacity</w:t>
      </w:r>
      <w:r w:rsidR="005E4383" w:rsidRPr="006C29D6">
        <w:rPr>
          <w:rFonts w:eastAsia="SimSun"/>
          <w:szCs w:val="21"/>
        </w:rPr>
        <w:t xml:space="preserve">, </w:t>
      </w:r>
      <w:r w:rsidR="00D97590" w:rsidRPr="006C29D6">
        <w:rPr>
          <w:rFonts w:eastAsia="SimSun"/>
          <w:szCs w:val="21"/>
        </w:rPr>
        <w:t xml:space="preserve">a mixed </w:t>
      </w:r>
      <w:r w:rsidR="005E4383" w:rsidRPr="006C29D6">
        <w:rPr>
          <w:rFonts w:eastAsia="SimSun"/>
          <w:szCs w:val="21"/>
        </w:rPr>
        <w:t>attitude toward the role of NGOs</w:t>
      </w:r>
      <w:r w:rsidR="008C7FB1" w:rsidRPr="006C29D6">
        <w:rPr>
          <w:rFonts w:eastAsia="SimSun"/>
          <w:szCs w:val="21"/>
        </w:rPr>
        <w:t xml:space="preserve"> and </w:t>
      </w:r>
      <w:r w:rsidR="00D31417" w:rsidRPr="006C29D6">
        <w:rPr>
          <w:rFonts w:eastAsia="SimSun"/>
          <w:szCs w:val="21"/>
        </w:rPr>
        <w:t>weak governance</w:t>
      </w:r>
      <w:r w:rsidR="008C7FB1" w:rsidRPr="006C29D6">
        <w:rPr>
          <w:rFonts w:eastAsia="SimSun"/>
          <w:szCs w:val="21"/>
        </w:rPr>
        <w:t xml:space="preserve"> </w:t>
      </w:r>
      <w:r w:rsidR="00D97590" w:rsidRPr="006C29D6">
        <w:rPr>
          <w:rFonts w:eastAsia="SimSun"/>
          <w:szCs w:val="21"/>
        </w:rPr>
        <w:t xml:space="preserve">all </w:t>
      </w:r>
      <w:r w:rsidR="008C7FB1" w:rsidRPr="006C29D6">
        <w:rPr>
          <w:rFonts w:eastAsia="SimSun"/>
          <w:szCs w:val="21"/>
        </w:rPr>
        <w:t xml:space="preserve">continue </w:t>
      </w:r>
      <w:r w:rsidR="009D0140" w:rsidRPr="006C29D6">
        <w:rPr>
          <w:rFonts w:eastAsia="SimSun"/>
          <w:szCs w:val="21"/>
        </w:rPr>
        <w:t>to challenge donor engagement in Bangladesh.</w:t>
      </w:r>
      <w:r w:rsidR="009D0140" w:rsidRPr="006C29D6">
        <w:rPr>
          <w:rStyle w:val="FootnoteReference"/>
          <w:rFonts w:eastAsia="SimSun"/>
          <w:szCs w:val="21"/>
        </w:rPr>
        <w:footnoteReference w:id="20"/>
      </w:r>
      <w:r w:rsidR="00D31417" w:rsidRPr="00B40EFF">
        <w:rPr>
          <w:rFonts w:eastAsia="SimSun"/>
          <w:szCs w:val="21"/>
        </w:rPr>
        <w:t xml:space="preserve"> The appetite for policy dialogue on reform in some areas was limited in an election year.</w:t>
      </w:r>
    </w:p>
    <w:p w:rsidR="00D54F16" w:rsidRDefault="009A637A" w:rsidP="00836739">
      <w:pPr>
        <w:pStyle w:val="BodyText"/>
        <w:jc w:val="both"/>
        <w:rPr>
          <w:rFonts w:eastAsia="SimSun"/>
          <w:szCs w:val="21"/>
        </w:rPr>
      </w:pPr>
      <w:r w:rsidRPr="00B40EFF">
        <w:rPr>
          <w:rFonts w:eastAsia="SimSun"/>
          <w:b/>
          <w:szCs w:val="21"/>
        </w:rPr>
        <w:t>I</w:t>
      </w:r>
      <w:r w:rsidR="009D3DE9" w:rsidRPr="00B40EFF">
        <w:rPr>
          <w:rFonts w:eastAsia="SimSun"/>
          <w:b/>
          <w:szCs w:val="21"/>
        </w:rPr>
        <w:t>nequality</w:t>
      </w:r>
      <w:r w:rsidR="009D3DE9" w:rsidRPr="00B40EFF">
        <w:rPr>
          <w:rFonts w:eastAsia="SimSun"/>
          <w:szCs w:val="21"/>
        </w:rPr>
        <w:t xml:space="preserve"> </w:t>
      </w:r>
      <w:r w:rsidRPr="00B40EFF">
        <w:rPr>
          <w:rFonts w:eastAsia="SimSun"/>
          <w:szCs w:val="21"/>
        </w:rPr>
        <w:t xml:space="preserve">remains a critical issue with significant costs to human development and economic growth </w:t>
      </w:r>
      <w:r w:rsidR="009D3DE9" w:rsidRPr="00B40EFF">
        <w:rPr>
          <w:rFonts w:eastAsia="SimSun"/>
          <w:szCs w:val="21"/>
        </w:rPr>
        <w:t>in Banglades</w:t>
      </w:r>
      <w:r w:rsidRPr="00B40EFF">
        <w:rPr>
          <w:rFonts w:eastAsia="SimSun"/>
          <w:szCs w:val="21"/>
        </w:rPr>
        <w:t xml:space="preserve">h. </w:t>
      </w:r>
      <w:r w:rsidR="00A74ABF" w:rsidRPr="006C29D6">
        <w:rPr>
          <w:rFonts w:eastAsia="SimSun"/>
          <w:szCs w:val="21"/>
        </w:rPr>
        <w:t>Despite progress, poverty rates remain the highest amongst South Asian countries</w:t>
      </w:r>
      <w:r w:rsidRPr="006C29D6">
        <w:rPr>
          <w:rFonts w:eastAsia="SimSun"/>
          <w:szCs w:val="21"/>
        </w:rPr>
        <w:t>.</w:t>
      </w:r>
      <w:r w:rsidR="00FA6788" w:rsidRPr="006C29D6">
        <w:rPr>
          <w:rStyle w:val="FootnoteReference"/>
          <w:rFonts w:eastAsia="SimSun"/>
          <w:szCs w:val="21"/>
        </w:rPr>
        <w:footnoteReference w:id="21"/>
      </w:r>
      <w:r w:rsidRPr="00B40EFF">
        <w:rPr>
          <w:rFonts w:eastAsia="SimSun"/>
          <w:szCs w:val="21"/>
        </w:rPr>
        <w:t xml:space="preserve"> Children in this situation often miss out on an education as a result</w:t>
      </w:r>
      <w:r w:rsidR="00AE4C5A" w:rsidRPr="00B40EFF">
        <w:rPr>
          <w:rFonts w:eastAsia="SimSun"/>
          <w:szCs w:val="21"/>
        </w:rPr>
        <w:t>. Of those children who do go to school a</w:t>
      </w:r>
      <w:r w:rsidR="00591D71" w:rsidRPr="00B40EFF">
        <w:rPr>
          <w:rFonts w:eastAsia="SimSun"/>
          <w:szCs w:val="21"/>
        </w:rPr>
        <w:t>round one quarter (</w:t>
      </w:r>
      <w:r w:rsidR="000D3A95" w:rsidRPr="00B40EFF">
        <w:rPr>
          <w:rFonts w:eastAsia="SimSun"/>
          <w:szCs w:val="21"/>
        </w:rPr>
        <w:t>higher in disadvantaged areas</w:t>
      </w:r>
      <w:r w:rsidR="00591D71" w:rsidRPr="00B40EFF">
        <w:rPr>
          <w:rFonts w:eastAsia="SimSun"/>
          <w:szCs w:val="21"/>
        </w:rPr>
        <w:t>)</w:t>
      </w:r>
      <w:r w:rsidR="000D3A95" w:rsidRPr="00B40EFF">
        <w:rPr>
          <w:rFonts w:eastAsia="SimSun"/>
          <w:szCs w:val="21"/>
        </w:rPr>
        <w:t xml:space="preserve"> </w:t>
      </w:r>
      <w:r w:rsidR="00CD71B4" w:rsidRPr="00B40EFF">
        <w:rPr>
          <w:rFonts w:eastAsia="SimSun"/>
          <w:szCs w:val="21"/>
        </w:rPr>
        <w:t>drop out before they reach grade five</w:t>
      </w:r>
      <w:r w:rsidR="008F449F" w:rsidRPr="00B40EFF">
        <w:rPr>
          <w:rFonts w:eastAsia="SimSun"/>
          <w:szCs w:val="21"/>
        </w:rPr>
        <w:t xml:space="preserve"> and only a quarter of students </w:t>
      </w:r>
      <w:r w:rsidR="00AE4C5A" w:rsidRPr="00B40EFF">
        <w:rPr>
          <w:rFonts w:eastAsia="SimSun"/>
          <w:szCs w:val="21"/>
        </w:rPr>
        <w:t xml:space="preserve">achieve </w:t>
      </w:r>
      <w:r w:rsidR="006842D6" w:rsidRPr="00B40EFF">
        <w:rPr>
          <w:rFonts w:eastAsia="SimSun"/>
          <w:szCs w:val="21"/>
        </w:rPr>
        <w:t xml:space="preserve">expected competencies in Bangla </w:t>
      </w:r>
      <w:r w:rsidR="004F4A32">
        <w:rPr>
          <w:rFonts w:eastAsia="SimSun"/>
          <w:szCs w:val="21"/>
        </w:rPr>
        <w:t xml:space="preserve">language </w:t>
      </w:r>
      <w:r w:rsidR="006842D6" w:rsidRPr="00B40EFF">
        <w:rPr>
          <w:rFonts w:eastAsia="SimSun"/>
          <w:szCs w:val="21"/>
        </w:rPr>
        <w:t>and maths</w:t>
      </w:r>
      <w:r w:rsidR="008F449F" w:rsidRPr="00B40EFF">
        <w:rPr>
          <w:rFonts w:eastAsia="SimSun"/>
          <w:szCs w:val="21"/>
        </w:rPr>
        <w:t>.</w:t>
      </w:r>
      <w:r w:rsidR="008020A9" w:rsidRPr="00B40EFF">
        <w:rPr>
          <w:rStyle w:val="FootnoteReference"/>
          <w:rFonts w:eastAsia="SimSun"/>
          <w:szCs w:val="21"/>
        </w:rPr>
        <w:footnoteReference w:id="22"/>
      </w:r>
      <w:r w:rsidR="008F449F" w:rsidRPr="00B40EFF">
        <w:rPr>
          <w:rFonts w:eastAsia="SimSun"/>
          <w:szCs w:val="21"/>
        </w:rPr>
        <w:t xml:space="preserve"> This means many </w:t>
      </w:r>
      <w:r w:rsidR="000A3AA1" w:rsidRPr="00B40EFF">
        <w:rPr>
          <w:rFonts w:eastAsia="SimSun"/>
          <w:szCs w:val="21"/>
        </w:rPr>
        <w:t>young</w:t>
      </w:r>
      <w:r w:rsidR="000A3AA1" w:rsidRPr="00237CCA">
        <w:rPr>
          <w:rFonts w:eastAsia="SimSun"/>
          <w:szCs w:val="21"/>
        </w:rPr>
        <w:t xml:space="preserve"> Bangladeshis</w:t>
      </w:r>
      <w:r w:rsidR="009D3DE9" w:rsidRPr="00237CCA">
        <w:rPr>
          <w:rFonts w:eastAsia="SimSun"/>
          <w:szCs w:val="21"/>
        </w:rPr>
        <w:t xml:space="preserve"> are not </w:t>
      </w:r>
      <w:r w:rsidR="000A3AA1" w:rsidRPr="00237CCA">
        <w:rPr>
          <w:rFonts w:eastAsia="SimSun"/>
          <w:szCs w:val="21"/>
        </w:rPr>
        <w:t xml:space="preserve">adequately </w:t>
      </w:r>
      <w:r w:rsidR="009D3DE9" w:rsidRPr="00237CCA">
        <w:rPr>
          <w:rFonts w:eastAsia="SimSun"/>
          <w:szCs w:val="21"/>
        </w:rPr>
        <w:t xml:space="preserve">equipped </w:t>
      </w:r>
      <w:r w:rsidR="000A3AA1" w:rsidRPr="00237CCA">
        <w:rPr>
          <w:rFonts w:eastAsia="SimSun"/>
          <w:szCs w:val="21"/>
        </w:rPr>
        <w:t xml:space="preserve">to take </w:t>
      </w:r>
      <w:r w:rsidR="009D3DE9" w:rsidRPr="00237CCA">
        <w:rPr>
          <w:rFonts w:eastAsia="SimSun"/>
          <w:szCs w:val="21"/>
        </w:rPr>
        <w:t xml:space="preserve">up the </w:t>
      </w:r>
      <w:r w:rsidR="007E5BA1" w:rsidRPr="00237CCA">
        <w:rPr>
          <w:rFonts w:eastAsia="SimSun"/>
          <w:szCs w:val="21"/>
        </w:rPr>
        <w:t>growing number of skilled jobs that the</w:t>
      </w:r>
      <w:r w:rsidR="00070DD5" w:rsidRPr="00237CCA">
        <w:rPr>
          <w:rFonts w:eastAsia="SimSun"/>
          <w:szCs w:val="21"/>
        </w:rPr>
        <w:t xml:space="preserve"> expanding</w:t>
      </w:r>
      <w:r w:rsidR="007E5BA1" w:rsidRPr="00237CCA">
        <w:rPr>
          <w:rFonts w:eastAsia="SimSun"/>
          <w:szCs w:val="21"/>
        </w:rPr>
        <w:t xml:space="preserve"> economy is producing.</w:t>
      </w:r>
      <w:r w:rsidR="006842D6">
        <w:rPr>
          <w:rFonts w:eastAsia="SimSun"/>
          <w:szCs w:val="21"/>
        </w:rPr>
        <w:t xml:space="preserve"> </w:t>
      </w:r>
      <w:r w:rsidR="00D97590">
        <w:rPr>
          <w:rFonts w:eastAsia="SimSun"/>
          <w:szCs w:val="21"/>
        </w:rPr>
        <w:t>On health, o</w:t>
      </w:r>
      <w:r w:rsidR="00BE4D46">
        <w:rPr>
          <w:szCs w:val="21"/>
        </w:rPr>
        <w:t xml:space="preserve">ut of pocket payments for </w:t>
      </w:r>
      <w:r w:rsidR="00D97590">
        <w:rPr>
          <w:szCs w:val="21"/>
        </w:rPr>
        <w:t>medical</w:t>
      </w:r>
      <w:r w:rsidR="00AE4C5A">
        <w:rPr>
          <w:szCs w:val="21"/>
        </w:rPr>
        <w:t xml:space="preserve"> services, which accounts for two thirds of household health expenditure, </w:t>
      </w:r>
      <w:r w:rsidR="00BE4D46">
        <w:rPr>
          <w:szCs w:val="21"/>
        </w:rPr>
        <w:t xml:space="preserve">are a key factor in people </w:t>
      </w:r>
      <w:r w:rsidR="00BE4D46" w:rsidRPr="00237CCA">
        <w:rPr>
          <w:szCs w:val="21"/>
        </w:rPr>
        <w:t>falling into poverty</w:t>
      </w:r>
      <w:r w:rsidR="00BE4D46">
        <w:rPr>
          <w:szCs w:val="21"/>
        </w:rPr>
        <w:t>.</w:t>
      </w:r>
      <w:r w:rsidR="00BE4D46">
        <w:rPr>
          <w:rStyle w:val="FootnoteReference"/>
          <w:szCs w:val="21"/>
        </w:rPr>
        <w:footnoteReference w:id="23"/>
      </w:r>
      <w:r w:rsidR="00BE4D46">
        <w:rPr>
          <w:szCs w:val="21"/>
        </w:rPr>
        <w:t xml:space="preserve"> </w:t>
      </w:r>
      <w:r w:rsidR="00BE4D46" w:rsidRPr="00237CCA">
        <w:rPr>
          <w:szCs w:val="21"/>
        </w:rPr>
        <w:t>Nutrition indicators are not improving in line with other health indicators – 4</w:t>
      </w:r>
      <w:r w:rsidR="00BE4D46">
        <w:rPr>
          <w:szCs w:val="21"/>
        </w:rPr>
        <w:t>1</w:t>
      </w:r>
      <w:r w:rsidR="00BE4D46" w:rsidRPr="00237CCA">
        <w:rPr>
          <w:szCs w:val="21"/>
        </w:rPr>
        <w:t xml:space="preserve"> per cent of children and a third of women are </w:t>
      </w:r>
      <w:r w:rsidR="00BE4D46">
        <w:rPr>
          <w:szCs w:val="21"/>
        </w:rPr>
        <w:t xml:space="preserve">stunted. This has not improved </w:t>
      </w:r>
      <w:r w:rsidR="00BE4D46" w:rsidRPr="00836739">
        <w:rPr>
          <w:szCs w:val="21"/>
        </w:rPr>
        <w:t>over the last decade</w:t>
      </w:r>
      <w:r w:rsidR="00BE4D46" w:rsidRPr="00237CCA">
        <w:rPr>
          <w:i/>
          <w:szCs w:val="21"/>
        </w:rPr>
        <w:t xml:space="preserve">. </w:t>
      </w:r>
      <w:r w:rsidRPr="00237CCA">
        <w:rPr>
          <w:rFonts w:eastAsia="SimSun"/>
          <w:szCs w:val="21"/>
        </w:rPr>
        <w:t>Women face discrimination in access to job opportunities</w:t>
      </w:r>
      <w:r w:rsidRPr="00237CCA">
        <w:rPr>
          <w:rStyle w:val="FootnoteReference"/>
          <w:rFonts w:eastAsia="SimSun"/>
          <w:szCs w:val="21"/>
        </w:rPr>
        <w:footnoteReference w:id="24"/>
      </w:r>
      <w:r w:rsidR="001A6766">
        <w:rPr>
          <w:rFonts w:eastAsia="SimSun"/>
          <w:szCs w:val="21"/>
        </w:rPr>
        <w:t xml:space="preserve"> and</w:t>
      </w:r>
      <w:r w:rsidR="005B4384">
        <w:rPr>
          <w:rFonts w:eastAsia="SimSun"/>
          <w:szCs w:val="21"/>
        </w:rPr>
        <w:t xml:space="preserve"> </w:t>
      </w:r>
      <w:r w:rsidRPr="00237CCA">
        <w:rPr>
          <w:rFonts w:eastAsia="SimSun"/>
          <w:szCs w:val="21"/>
        </w:rPr>
        <w:t>suffer from</w:t>
      </w:r>
      <w:r>
        <w:rPr>
          <w:rFonts w:eastAsia="SimSun"/>
          <w:szCs w:val="21"/>
        </w:rPr>
        <w:t xml:space="preserve"> high rates of</w:t>
      </w:r>
      <w:r w:rsidRPr="00237CCA">
        <w:rPr>
          <w:rFonts w:eastAsia="SimSun"/>
          <w:szCs w:val="21"/>
        </w:rPr>
        <w:t xml:space="preserve"> gender based violence.</w:t>
      </w:r>
      <w:r>
        <w:rPr>
          <w:rStyle w:val="FootnoteReference"/>
          <w:rFonts w:eastAsia="SimSun"/>
          <w:szCs w:val="21"/>
        </w:rPr>
        <w:footnoteReference w:id="25"/>
      </w:r>
      <w:r w:rsidRPr="00237CCA">
        <w:rPr>
          <w:rFonts w:eastAsia="SimSun"/>
          <w:szCs w:val="21"/>
        </w:rPr>
        <w:t xml:space="preserve"> </w:t>
      </w:r>
      <w:r w:rsidR="00D54F16" w:rsidRPr="00237CCA">
        <w:rPr>
          <w:rFonts w:eastAsia="SimSun"/>
          <w:szCs w:val="21"/>
        </w:rPr>
        <w:t>Trade barriers with Bangladesh’s neighbouring countries continue to hold the country back from greater economic growth.</w:t>
      </w:r>
      <w:r w:rsidR="000C2516">
        <w:rPr>
          <w:rFonts w:eastAsia="SimSun"/>
          <w:szCs w:val="21"/>
        </w:rPr>
        <w:t xml:space="preserve">  </w:t>
      </w:r>
    </w:p>
    <w:p w:rsidR="00AE4C5A" w:rsidRPr="00D97590" w:rsidRDefault="00D97590" w:rsidP="00AE4C5A">
      <w:pPr>
        <w:pStyle w:val="BodyText"/>
        <w:jc w:val="both"/>
        <w:rPr>
          <w:rFonts w:eastAsia="SimSun"/>
          <w:szCs w:val="21"/>
        </w:rPr>
      </w:pPr>
      <w:r w:rsidRPr="00A75086">
        <w:rPr>
          <w:szCs w:val="21"/>
        </w:rPr>
        <w:t xml:space="preserve">Despite these challenges, </w:t>
      </w:r>
      <w:r w:rsidR="00AE4C5A" w:rsidRPr="002C578F">
        <w:rPr>
          <w:rFonts w:eastAsia="SimSun"/>
          <w:b/>
          <w:szCs w:val="21"/>
        </w:rPr>
        <w:t>Bangladesh is modernising</w:t>
      </w:r>
      <w:r w:rsidR="00AE4C5A" w:rsidRPr="00D97590">
        <w:rPr>
          <w:rFonts w:eastAsia="SimSun"/>
          <w:szCs w:val="21"/>
        </w:rPr>
        <w:t xml:space="preserve">. Development assistance can help make the economic growth underpinning this transition more </w:t>
      </w:r>
      <w:r w:rsidR="00AE4C5A" w:rsidRPr="00A75086">
        <w:rPr>
          <w:rFonts w:eastAsia="SimSun"/>
          <w:szCs w:val="21"/>
        </w:rPr>
        <w:t>inclusive</w:t>
      </w:r>
      <w:r w:rsidR="00AE4C5A" w:rsidRPr="00D97590">
        <w:rPr>
          <w:rFonts w:eastAsia="SimSun"/>
          <w:szCs w:val="21"/>
        </w:rPr>
        <w:t>. Bangladesh has growing resources to progress its own development. Official Development Assistance (ODA) accounts for only around two per cent of Bangladesh’s GDP.</w:t>
      </w:r>
      <w:r w:rsidR="00AE4C5A" w:rsidRPr="00D97590">
        <w:rPr>
          <w:rStyle w:val="FootnoteReference"/>
          <w:rFonts w:eastAsia="SimSun"/>
          <w:szCs w:val="21"/>
        </w:rPr>
        <w:footnoteReference w:id="26"/>
      </w:r>
      <w:r>
        <w:rPr>
          <w:rFonts w:eastAsia="SimSun"/>
          <w:szCs w:val="21"/>
        </w:rPr>
        <w:t xml:space="preserve"> </w:t>
      </w:r>
      <w:r w:rsidR="002C578F">
        <w:rPr>
          <w:rFonts w:eastAsia="SimSun"/>
          <w:szCs w:val="21"/>
        </w:rPr>
        <w:t>Australia</w:t>
      </w:r>
      <w:r w:rsidR="00944528">
        <w:rPr>
          <w:rFonts w:eastAsia="SimSun"/>
          <w:szCs w:val="21"/>
        </w:rPr>
        <w:t xml:space="preserve"> is selective and focuses on areas </w:t>
      </w:r>
      <w:r w:rsidR="002C578F" w:rsidRPr="002C578F">
        <w:rPr>
          <w:rFonts w:eastAsia="SimSun"/>
          <w:szCs w:val="21"/>
        </w:rPr>
        <w:t>where we have a competitive advantage</w:t>
      </w:r>
      <w:r w:rsidR="002C578F">
        <w:rPr>
          <w:rFonts w:eastAsia="SimSun"/>
          <w:szCs w:val="21"/>
        </w:rPr>
        <w:t>. We are</w:t>
      </w:r>
      <w:r w:rsidR="00AE4C5A" w:rsidRPr="00D97590">
        <w:rPr>
          <w:rFonts w:eastAsia="SimSun"/>
          <w:szCs w:val="21"/>
        </w:rPr>
        <w:t xml:space="preserve"> helping to build on Bangladesh’s success by working with the Government</w:t>
      </w:r>
      <w:r w:rsidR="00C02E13">
        <w:rPr>
          <w:rFonts w:eastAsia="SimSun"/>
          <w:szCs w:val="21"/>
        </w:rPr>
        <w:t xml:space="preserve"> of Bangladesh</w:t>
      </w:r>
      <w:r w:rsidR="00AE4C5A" w:rsidRPr="00D97590">
        <w:rPr>
          <w:rFonts w:eastAsia="SimSun"/>
          <w:szCs w:val="21"/>
        </w:rPr>
        <w:t>, development partners and civil society organisations to mobilise domestic resources more efficiently, effectively and inclusively.</w:t>
      </w:r>
      <w:r w:rsidR="00AD7241" w:rsidRPr="00D97590">
        <w:rPr>
          <w:rStyle w:val="FootnoteReference"/>
          <w:rFonts w:eastAsia="SimSun"/>
          <w:szCs w:val="21"/>
        </w:rPr>
        <w:footnoteReference w:id="27"/>
      </w:r>
      <w:r w:rsidR="00AE4C5A" w:rsidRPr="00D97590">
        <w:rPr>
          <w:rFonts w:eastAsia="SimSun"/>
          <w:szCs w:val="21"/>
        </w:rPr>
        <w:t xml:space="preserve"> With its large population and strong NGO community, Bangladesh is known as a hub of innovation in development. </w:t>
      </w:r>
      <w:r w:rsidR="004F4A32">
        <w:rPr>
          <w:rFonts w:eastAsia="SimSun"/>
          <w:szCs w:val="21"/>
        </w:rPr>
        <w:t>It is t</w:t>
      </w:r>
      <w:r w:rsidR="00AE4C5A" w:rsidRPr="00D97590">
        <w:rPr>
          <w:rFonts w:eastAsia="SimSun"/>
          <w:szCs w:val="21"/>
        </w:rPr>
        <w:t>he birthplace of microfinance and Grameen Bank, the developer of oral rehydration therapy (</w:t>
      </w:r>
      <w:r w:rsidR="008020A9">
        <w:rPr>
          <w:rFonts w:eastAsia="SimSun"/>
          <w:szCs w:val="21"/>
        </w:rPr>
        <w:t>In</w:t>
      </w:r>
      <w:r w:rsidR="002E3D2A">
        <w:rPr>
          <w:rFonts w:eastAsia="SimSun"/>
          <w:szCs w:val="21"/>
        </w:rPr>
        <w:t>t</w:t>
      </w:r>
      <w:r w:rsidR="008020A9">
        <w:rPr>
          <w:rFonts w:eastAsia="SimSun"/>
          <w:szCs w:val="21"/>
        </w:rPr>
        <w:t>ernational Centre for Diarrhoeal Disease Research, Bangladesh, ‘</w:t>
      </w:r>
      <w:r w:rsidR="00AE4C5A" w:rsidRPr="00D97590">
        <w:rPr>
          <w:rFonts w:eastAsia="SimSun"/>
          <w:szCs w:val="21"/>
        </w:rPr>
        <w:t>icddr,b</w:t>
      </w:r>
      <w:r w:rsidR="008020A9">
        <w:rPr>
          <w:rFonts w:eastAsia="SimSun"/>
          <w:szCs w:val="21"/>
        </w:rPr>
        <w:t>’</w:t>
      </w:r>
      <w:r w:rsidR="00AE4C5A" w:rsidRPr="00D97590">
        <w:rPr>
          <w:rFonts w:eastAsia="SimSun"/>
          <w:szCs w:val="21"/>
        </w:rPr>
        <w:t xml:space="preserve">), as well as the </w:t>
      </w:r>
      <w:r w:rsidR="004F4A32">
        <w:rPr>
          <w:rFonts w:eastAsia="SimSun"/>
          <w:szCs w:val="21"/>
        </w:rPr>
        <w:t xml:space="preserve">home of the </w:t>
      </w:r>
      <w:r w:rsidR="00AE4C5A" w:rsidRPr="00D97590">
        <w:rPr>
          <w:rFonts w:eastAsia="SimSun"/>
          <w:szCs w:val="21"/>
        </w:rPr>
        <w:t xml:space="preserve">world’s largest NGO, BRAC, which counts the world’s largest mobile banking </w:t>
      </w:r>
      <w:r w:rsidR="00D31417">
        <w:rPr>
          <w:rFonts w:eastAsia="SimSun"/>
          <w:szCs w:val="21"/>
        </w:rPr>
        <w:t xml:space="preserve">network </w:t>
      </w:r>
      <w:r w:rsidR="00AE4C5A" w:rsidRPr="00D97590">
        <w:rPr>
          <w:rFonts w:eastAsia="SimSun"/>
          <w:szCs w:val="21"/>
        </w:rPr>
        <w:t xml:space="preserve">amongst its achievements. </w:t>
      </w:r>
    </w:p>
    <w:p w:rsidR="00A834AC" w:rsidRPr="00237CCA" w:rsidRDefault="005A2CAC" w:rsidP="00836739">
      <w:pPr>
        <w:pStyle w:val="BodyText"/>
        <w:jc w:val="both"/>
        <w:rPr>
          <w:rFonts w:eastAsia="SimSun"/>
          <w:szCs w:val="21"/>
        </w:rPr>
      </w:pPr>
      <w:r w:rsidRPr="009B2417">
        <w:rPr>
          <w:rFonts w:eastAsia="SimSun"/>
          <w:b/>
          <w:szCs w:val="21"/>
        </w:rPr>
        <w:lastRenderedPageBreak/>
        <w:t>Australian aid</w:t>
      </w:r>
      <w:r w:rsidR="001D3E05">
        <w:rPr>
          <w:rFonts w:eastAsia="SimSun"/>
          <w:b/>
          <w:szCs w:val="21"/>
        </w:rPr>
        <w:t xml:space="preserve"> </w:t>
      </w:r>
      <w:r w:rsidR="001D3E05" w:rsidRPr="001D3E05">
        <w:rPr>
          <w:rFonts w:eastAsia="SimSun"/>
          <w:szCs w:val="21"/>
        </w:rPr>
        <w:t>is delivered through a number of key partnerships, both non-government (such as a substantial partnership with BRAC) and Government (for example through participation in and support for the Government’s primary education sector program).</w:t>
      </w:r>
      <w:r w:rsidR="001D3E05">
        <w:rPr>
          <w:rFonts w:eastAsia="SimSun"/>
          <w:b/>
          <w:szCs w:val="21"/>
        </w:rPr>
        <w:t xml:space="preserve"> </w:t>
      </w:r>
      <w:r w:rsidR="001D3E05" w:rsidRPr="001D3E05">
        <w:rPr>
          <w:rFonts w:eastAsia="SimSun"/>
          <w:szCs w:val="21"/>
        </w:rPr>
        <w:t>Australia</w:t>
      </w:r>
      <w:r w:rsidR="001D3E05">
        <w:rPr>
          <w:rFonts w:eastAsia="SimSun"/>
          <w:b/>
          <w:szCs w:val="21"/>
        </w:rPr>
        <w:t xml:space="preserve"> </w:t>
      </w:r>
      <w:r w:rsidRPr="005A2CAC">
        <w:rPr>
          <w:rFonts w:eastAsia="SimSun"/>
          <w:szCs w:val="21"/>
        </w:rPr>
        <w:t xml:space="preserve">anticipated </w:t>
      </w:r>
      <w:r w:rsidRPr="00B40EFF">
        <w:rPr>
          <w:rFonts w:eastAsia="SimSun"/>
          <w:szCs w:val="21"/>
        </w:rPr>
        <w:t>problems</w:t>
      </w:r>
      <w:r w:rsidR="00AE4C5A" w:rsidRPr="00B40EFF">
        <w:rPr>
          <w:rFonts w:eastAsia="SimSun"/>
          <w:szCs w:val="21"/>
        </w:rPr>
        <w:t xml:space="preserve"> in the operating environment</w:t>
      </w:r>
      <w:r w:rsidR="009B5743" w:rsidRPr="00B40EFF">
        <w:rPr>
          <w:rFonts w:eastAsia="SimSun"/>
          <w:szCs w:val="21"/>
        </w:rPr>
        <w:t xml:space="preserve"> during the year </w:t>
      </w:r>
      <w:r w:rsidR="00AE4C5A" w:rsidRPr="006C29D6">
        <w:rPr>
          <w:rFonts w:eastAsia="SimSun"/>
          <w:szCs w:val="21"/>
        </w:rPr>
        <w:t xml:space="preserve">and modified expectations </w:t>
      </w:r>
      <w:r w:rsidR="009B5743" w:rsidRPr="006C29D6">
        <w:rPr>
          <w:rFonts w:eastAsia="SimSun"/>
          <w:szCs w:val="21"/>
        </w:rPr>
        <w:t>accordingly</w:t>
      </w:r>
      <w:r w:rsidR="00AE4C5A" w:rsidRPr="006C29D6">
        <w:rPr>
          <w:rFonts w:eastAsia="SimSun"/>
          <w:szCs w:val="21"/>
        </w:rPr>
        <w:t>.</w:t>
      </w:r>
      <w:r w:rsidR="00AE4C5A" w:rsidRPr="00B40EFF">
        <w:rPr>
          <w:rFonts w:eastAsia="SimSun"/>
          <w:szCs w:val="21"/>
        </w:rPr>
        <w:t xml:space="preserve"> </w:t>
      </w:r>
      <w:r w:rsidR="009A637A" w:rsidRPr="00B40EFF">
        <w:rPr>
          <w:rFonts w:eastAsia="SimSun"/>
          <w:szCs w:val="21"/>
        </w:rPr>
        <w:t>Our</w:t>
      </w:r>
      <w:r w:rsidR="00A834AC" w:rsidRPr="00B40EFF">
        <w:rPr>
          <w:rFonts w:eastAsia="SimSun"/>
          <w:szCs w:val="21"/>
        </w:rPr>
        <w:t xml:space="preserve"> support for both government and non-government partners proved an effective way to </w:t>
      </w:r>
      <w:r w:rsidR="009A637A" w:rsidRPr="00B40EFF">
        <w:rPr>
          <w:rFonts w:eastAsia="SimSun"/>
          <w:szCs w:val="21"/>
        </w:rPr>
        <w:t xml:space="preserve">hedge our </w:t>
      </w:r>
      <w:r w:rsidR="007A6116" w:rsidRPr="006C29D6">
        <w:rPr>
          <w:rFonts w:eastAsia="SimSun"/>
          <w:szCs w:val="21"/>
        </w:rPr>
        <w:t>engagement</w:t>
      </w:r>
      <w:r w:rsidR="00AD7241" w:rsidRPr="006C29D6">
        <w:rPr>
          <w:rFonts w:eastAsia="SimSun"/>
          <w:szCs w:val="21"/>
        </w:rPr>
        <w:t>,</w:t>
      </w:r>
      <w:r w:rsidR="008005CC" w:rsidRPr="006C29D6">
        <w:rPr>
          <w:rFonts w:eastAsia="SimSun"/>
          <w:szCs w:val="21"/>
        </w:rPr>
        <w:t xml:space="preserve"> maintaining service delivery</w:t>
      </w:r>
      <w:r w:rsidR="00AD7241" w:rsidRPr="006C29D6">
        <w:rPr>
          <w:rFonts w:eastAsia="SimSun"/>
          <w:szCs w:val="21"/>
        </w:rPr>
        <w:t xml:space="preserve"> in a difficult context where </w:t>
      </w:r>
      <w:r w:rsidR="008005CC" w:rsidRPr="006C29D6">
        <w:rPr>
          <w:rFonts w:eastAsia="SimSun"/>
          <w:szCs w:val="21"/>
        </w:rPr>
        <w:t xml:space="preserve">opportunities for policy influence were impacted by reduced </w:t>
      </w:r>
      <w:r w:rsidR="00D31417" w:rsidRPr="006C29D6">
        <w:rPr>
          <w:rFonts w:eastAsia="SimSun"/>
          <w:szCs w:val="21"/>
        </w:rPr>
        <w:t>political engagement on non-election issues.</w:t>
      </w:r>
      <w:r w:rsidR="00944528">
        <w:rPr>
          <w:rFonts w:eastAsia="SimSun"/>
          <w:szCs w:val="21"/>
        </w:rPr>
        <w:t xml:space="preserve"> </w:t>
      </w:r>
      <w:r w:rsidR="00AD7241" w:rsidRPr="00B40EFF">
        <w:rPr>
          <w:rFonts w:eastAsia="SimSun"/>
          <w:szCs w:val="21"/>
        </w:rPr>
        <w:t>In spite of the challenges</w:t>
      </w:r>
      <w:r w:rsidR="008005CC" w:rsidRPr="00B40EFF">
        <w:rPr>
          <w:rFonts w:eastAsia="SimSun"/>
          <w:szCs w:val="21"/>
        </w:rPr>
        <w:t>, s</w:t>
      </w:r>
      <w:r w:rsidR="00A834AC" w:rsidRPr="00B40EFF">
        <w:rPr>
          <w:rFonts w:eastAsia="SimSun"/>
          <w:szCs w:val="21"/>
        </w:rPr>
        <w:t>teps</w:t>
      </w:r>
      <w:r w:rsidR="003118FF" w:rsidRPr="00B40EFF">
        <w:rPr>
          <w:rFonts w:eastAsia="SimSun"/>
          <w:szCs w:val="21"/>
        </w:rPr>
        <w:t xml:space="preserve"> taken</w:t>
      </w:r>
      <w:r w:rsidR="00A834AC" w:rsidRPr="00B40EFF">
        <w:rPr>
          <w:rFonts w:eastAsia="SimSun"/>
          <w:szCs w:val="21"/>
        </w:rPr>
        <w:t xml:space="preserve"> by the Government</w:t>
      </w:r>
      <w:r w:rsidR="00C02E13">
        <w:rPr>
          <w:rFonts w:eastAsia="SimSun"/>
          <w:szCs w:val="21"/>
        </w:rPr>
        <w:t xml:space="preserve"> of Bangladesh</w:t>
      </w:r>
      <w:r w:rsidR="00346257" w:rsidRPr="00B40EFF">
        <w:rPr>
          <w:rFonts w:eastAsia="SimSun"/>
          <w:szCs w:val="21"/>
        </w:rPr>
        <w:t>, with support from donors including Australia,</w:t>
      </w:r>
      <w:r w:rsidR="00A834AC" w:rsidRPr="00B40EFF">
        <w:rPr>
          <w:rFonts w:eastAsia="SimSun"/>
          <w:szCs w:val="21"/>
        </w:rPr>
        <w:t xml:space="preserve"> to improve the quality </w:t>
      </w:r>
      <w:r w:rsidR="009A637A" w:rsidRPr="00B40EFF">
        <w:rPr>
          <w:rFonts w:eastAsia="SimSun"/>
          <w:szCs w:val="21"/>
        </w:rPr>
        <w:t xml:space="preserve">of </w:t>
      </w:r>
      <w:r w:rsidR="00A834AC" w:rsidRPr="00B40EFF">
        <w:rPr>
          <w:rFonts w:eastAsia="SimSun"/>
          <w:szCs w:val="21"/>
        </w:rPr>
        <w:t>primary education services</w:t>
      </w:r>
      <w:r w:rsidR="00E57225">
        <w:rPr>
          <w:rFonts w:eastAsia="SimSun"/>
          <w:szCs w:val="21"/>
        </w:rPr>
        <w:t>,</w:t>
      </w:r>
      <w:r w:rsidR="00A834AC" w:rsidRPr="00B40EFF">
        <w:rPr>
          <w:rFonts w:eastAsia="SimSun"/>
          <w:szCs w:val="21"/>
        </w:rPr>
        <w:t xml:space="preserve"> proved that positive change </w:t>
      </w:r>
      <w:r w:rsidR="008005CC" w:rsidRPr="00B40EFF">
        <w:rPr>
          <w:rFonts w:eastAsia="SimSun"/>
          <w:szCs w:val="21"/>
        </w:rPr>
        <w:t xml:space="preserve">was </w:t>
      </w:r>
      <w:r w:rsidR="00A834AC" w:rsidRPr="00B40EFF">
        <w:rPr>
          <w:rFonts w:eastAsia="SimSun"/>
          <w:szCs w:val="21"/>
        </w:rPr>
        <w:t xml:space="preserve">still possible in </w:t>
      </w:r>
      <w:r w:rsidR="00AD7241" w:rsidRPr="00B40EFF">
        <w:rPr>
          <w:rFonts w:eastAsia="SimSun"/>
          <w:szCs w:val="21"/>
        </w:rPr>
        <w:t xml:space="preserve">difficult </w:t>
      </w:r>
      <w:r w:rsidR="00872D57" w:rsidRPr="00B40EFF">
        <w:rPr>
          <w:rFonts w:eastAsia="SimSun"/>
          <w:szCs w:val="21"/>
        </w:rPr>
        <w:t>political</w:t>
      </w:r>
      <w:r w:rsidR="00A834AC" w:rsidRPr="00B40EFF">
        <w:rPr>
          <w:rFonts w:eastAsia="SimSun"/>
          <w:szCs w:val="21"/>
        </w:rPr>
        <w:t xml:space="preserve"> environments. To accommodate a reduced aid budget and</w:t>
      </w:r>
      <w:r w:rsidR="00A834AC" w:rsidRPr="00237CCA">
        <w:rPr>
          <w:rFonts w:eastAsia="SimSun"/>
          <w:szCs w:val="21"/>
        </w:rPr>
        <w:t xml:space="preserve"> to ensure our aid remained invested in areas where we can have the most impact, Australia </w:t>
      </w:r>
      <w:r w:rsidR="00346257">
        <w:rPr>
          <w:rFonts w:eastAsia="SimSun"/>
          <w:szCs w:val="21"/>
        </w:rPr>
        <w:t>withdrew</w:t>
      </w:r>
      <w:r w:rsidR="00A834AC" w:rsidRPr="00237CCA">
        <w:rPr>
          <w:rFonts w:eastAsia="SimSun"/>
          <w:szCs w:val="21"/>
        </w:rPr>
        <w:t xml:space="preserve"> support for the Government</w:t>
      </w:r>
      <w:r w:rsidR="00C02E13">
        <w:rPr>
          <w:rFonts w:eastAsia="SimSun"/>
          <w:szCs w:val="21"/>
        </w:rPr>
        <w:t xml:space="preserve"> of Bangladesh</w:t>
      </w:r>
      <w:r w:rsidR="00A834AC" w:rsidRPr="00237CCA">
        <w:rPr>
          <w:rFonts w:eastAsia="SimSun"/>
          <w:szCs w:val="21"/>
        </w:rPr>
        <w:t>’s health program</w:t>
      </w:r>
      <w:r w:rsidR="00A834AC">
        <w:rPr>
          <w:rFonts w:eastAsia="SimSun"/>
          <w:szCs w:val="21"/>
        </w:rPr>
        <w:t xml:space="preserve"> in early 2014 (results for the period we remained engaged are reported here)</w:t>
      </w:r>
      <w:r w:rsidR="00A834AC" w:rsidRPr="00237CCA">
        <w:rPr>
          <w:rFonts w:eastAsia="SimSun"/>
          <w:szCs w:val="21"/>
        </w:rPr>
        <w:t>.</w:t>
      </w:r>
      <w:r w:rsidR="009A637A" w:rsidRPr="009A637A">
        <w:rPr>
          <w:rFonts w:eastAsia="SimSun"/>
          <w:szCs w:val="21"/>
        </w:rPr>
        <w:t xml:space="preserve"> </w:t>
      </w:r>
      <w:r w:rsidR="009A637A" w:rsidRPr="00237CCA">
        <w:rPr>
          <w:rFonts w:eastAsia="SimSun"/>
          <w:szCs w:val="21"/>
        </w:rPr>
        <w:t xml:space="preserve">Australia’s new policy on aid, with its emphasis on </w:t>
      </w:r>
      <w:r w:rsidR="005B4384">
        <w:rPr>
          <w:rFonts w:eastAsia="SimSun"/>
          <w:szCs w:val="21"/>
        </w:rPr>
        <w:t xml:space="preserve">inclusive </w:t>
      </w:r>
      <w:r w:rsidR="009A637A" w:rsidRPr="00237CCA">
        <w:rPr>
          <w:rFonts w:eastAsia="SimSun"/>
          <w:szCs w:val="21"/>
        </w:rPr>
        <w:t>economic growth, is consistent with other bilateral donors such as the United Kingdom, Canada and the United States.</w:t>
      </w:r>
    </w:p>
    <w:p w:rsidR="00AF0459" w:rsidRPr="00237CCA" w:rsidRDefault="00AF0459" w:rsidP="00836739">
      <w:pPr>
        <w:pStyle w:val="Heading3"/>
        <w:jc w:val="both"/>
        <w:rPr>
          <w:b w:val="0"/>
          <w:color w:val="007FAD"/>
          <w:sz w:val="32"/>
          <w:szCs w:val="32"/>
          <w:lang w:eastAsia="en-AU"/>
        </w:rPr>
      </w:pPr>
      <w:r w:rsidRPr="00237CCA">
        <w:rPr>
          <w:b w:val="0"/>
          <w:color w:val="007FAD"/>
          <w:sz w:val="32"/>
          <w:szCs w:val="32"/>
          <w:lang w:eastAsia="en-AU"/>
        </w:rPr>
        <w:t>Expenditure</w:t>
      </w:r>
    </w:p>
    <w:p w:rsidR="00AF0459" w:rsidRPr="00237CCA" w:rsidRDefault="00AF0459" w:rsidP="00746619">
      <w:pPr>
        <w:pStyle w:val="Caption"/>
        <w:jc w:val="both"/>
        <w:rPr>
          <w:sz w:val="21"/>
          <w:szCs w:val="21"/>
        </w:rPr>
      </w:pPr>
      <w:bookmarkStart w:id="2" w:name="_Toc373853206"/>
      <w:r w:rsidRPr="00237CCA">
        <w:rPr>
          <w:sz w:val="21"/>
          <w:szCs w:val="21"/>
        </w:rPr>
        <w:t xml:space="preserve">Table </w:t>
      </w:r>
      <w:r w:rsidR="00AC08BD" w:rsidRPr="00237CCA">
        <w:rPr>
          <w:sz w:val="21"/>
          <w:szCs w:val="21"/>
        </w:rPr>
        <w:fldChar w:fldCharType="begin"/>
      </w:r>
      <w:r w:rsidR="00AC08BD" w:rsidRPr="00237CCA">
        <w:rPr>
          <w:sz w:val="21"/>
          <w:szCs w:val="21"/>
        </w:rPr>
        <w:instrText xml:space="preserve"> SEQ Table \* ARABIC </w:instrText>
      </w:r>
      <w:r w:rsidR="00AC08BD" w:rsidRPr="00237CCA">
        <w:rPr>
          <w:sz w:val="21"/>
          <w:szCs w:val="21"/>
        </w:rPr>
        <w:fldChar w:fldCharType="separate"/>
      </w:r>
      <w:r w:rsidR="00F91790">
        <w:rPr>
          <w:noProof/>
          <w:sz w:val="21"/>
          <w:szCs w:val="21"/>
        </w:rPr>
        <w:t>1</w:t>
      </w:r>
      <w:r w:rsidR="00AC08BD" w:rsidRPr="00237CCA">
        <w:rPr>
          <w:noProof/>
          <w:sz w:val="21"/>
          <w:szCs w:val="21"/>
        </w:rPr>
        <w:fldChar w:fldCharType="end"/>
      </w:r>
      <w:r w:rsidRPr="00237CCA">
        <w:rPr>
          <w:sz w:val="21"/>
          <w:szCs w:val="21"/>
        </w:rPr>
        <w:t xml:space="preserve"> Expenditure in FY 2013</w:t>
      </w:r>
      <w:r w:rsidR="00E57225">
        <w:rPr>
          <w:sz w:val="21"/>
          <w:szCs w:val="21"/>
        </w:rPr>
        <w:t>—</w:t>
      </w:r>
      <w:r w:rsidRPr="00237CCA">
        <w:rPr>
          <w:sz w:val="21"/>
          <w:szCs w:val="21"/>
        </w:rPr>
        <w:t>14</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AF0459" w:rsidRPr="00237CCA" w:rsidTr="00D175E3">
        <w:trPr>
          <w:cnfStyle w:val="000000010000" w:firstRow="0" w:lastRow="0" w:firstColumn="0" w:lastColumn="0" w:oddVBand="0" w:evenVBand="0" w:oddHBand="0" w:evenHBand="1" w:firstRowFirstColumn="0" w:firstRowLastColumn="0" w:lastRowFirstColumn="0" w:lastRowLastColumn="0"/>
        </w:trPr>
        <w:tc>
          <w:tcPr>
            <w:tcW w:w="6048" w:type="dxa"/>
          </w:tcPr>
          <w:p w:rsidR="00AF0459" w:rsidRPr="00237CCA" w:rsidRDefault="00AF0459" w:rsidP="00836739">
            <w:pPr>
              <w:pStyle w:val="TableHeading1"/>
              <w:jc w:val="both"/>
              <w:rPr>
                <w:sz w:val="21"/>
                <w:szCs w:val="21"/>
              </w:rPr>
            </w:pPr>
            <w:r w:rsidRPr="00237CCA">
              <w:rPr>
                <w:sz w:val="21"/>
                <w:szCs w:val="21"/>
              </w:rPr>
              <w:t>Objective</w:t>
            </w:r>
          </w:p>
        </w:tc>
        <w:tc>
          <w:tcPr>
            <w:tcW w:w="964" w:type="dxa"/>
          </w:tcPr>
          <w:p w:rsidR="00AF0459" w:rsidRPr="00237CCA" w:rsidRDefault="00AF0459" w:rsidP="00836739">
            <w:pPr>
              <w:pStyle w:val="TableHeading1"/>
              <w:jc w:val="both"/>
              <w:rPr>
                <w:sz w:val="21"/>
                <w:szCs w:val="21"/>
              </w:rPr>
            </w:pPr>
            <w:r w:rsidRPr="00237CCA">
              <w:rPr>
                <w:sz w:val="21"/>
                <w:szCs w:val="21"/>
              </w:rPr>
              <w:t>A$ million</w:t>
            </w:r>
          </w:p>
        </w:tc>
        <w:tc>
          <w:tcPr>
            <w:tcW w:w="1426" w:type="dxa"/>
          </w:tcPr>
          <w:p w:rsidR="00AF0459" w:rsidRPr="00237CCA" w:rsidRDefault="00AF0459" w:rsidP="00836739">
            <w:pPr>
              <w:pStyle w:val="TableHeading1"/>
              <w:jc w:val="both"/>
              <w:rPr>
                <w:sz w:val="21"/>
                <w:szCs w:val="21"/>
              </w:rPr>
            </w:pPr>
            <w:r w:rsidRPr="00237CCA">
              <w:rPr>
                <w:sz w:val="21"/>
                <w:szCs w:val="21"/>
              </w:rPr>
              <w:t>% of bilateral program</w:t>
            </w:r>
          </w:p>
        </w:tc>
      </w:tr>
      <w:tr w:rsidR="00AF0459" w:rsidRPr="00237CCA" w:rsidTr="00D175E3">
        <w:trPr>
          <w:cnfStyle w:val="000000010000" w:firstRow="0" w:lastRow="0" w:firstColumn="0" w:lastColumn="0" w:oddVBand="0" w:evenVBand="0" w:oddHBand="0" w:evenHBand="1" w:firstRowFirstColumn="0" w:firstRowLastColumn="0" w:lastRowFirstColumn="0" w:lastRowLastColumn="0"/>
        </w:trPr>
        <w:tc>
          <w:tcPr>
            <w:tcW w:w="6048" w:type="dxa"/>
          </w:tcPr>
          <w:p w:rsidR="005A46FA" w:rsidRPr="00237CCA" w:rsidRDefault="00AF0459" w:rsidP="00836739">
            <w:pPr>
              <w:pStyle w:val="TableTextEntries"/>
              <w:jc w:val="both"/>
              <w:rPr>
                <w:sz w:val="21"/>
                <w:szCs w:val="21"/>
              </w:rPr>
            </w:pPr>
            <w:r w:rsidRPr="00237CCA">
              <w:rPr>
                <w:sz w:val="21"/>
                <w:szCs w:val="21"/>
              </w:rPr>
              <w:t>Objective 1</w:t>
            </w:r>
            <w:r w:rsidR="005A46FA" w:rsidRPr="00237CCA">
              <w:rPr>
                <w:sz w:val="21"/>
                <w:szCs w:val="21"/>
              </w:rPr>
              <w:t xml:space="preserve">  increased equity of access to, and improved outcomes from, health and education services</w:t>
            </w:r>
          </w:p>
          <w:p w:rsidR="00AF0459" w:rsidRPr="00237CCA" w:rsidRDefault="00AF0459" w:rsidP="00836739">
            <w:pPr>
              <w:pStyle w:val="TableTextEntries"/>
              <w:jc w:val="both"/>
              <w:rPr>
                <w:sz w:val="21"/>
                <w:szCs w:val="21"/>
              </w:rPr>
            </w:pPr>
          </w:p>
        </w:tc>
        <w:tc>
          <w:tcPr>
            <w:tcW w:w="964" w:type="dxa"/>
          </w:tcPr>
          <w:p w:rsidR="00AF0459" w:rsidRPr="00237CCA" w:rsidRDefault="00666D7C" w:rsidP="00836739">
            <w:pPr>
              <w:pStyle w:val="TableTextEntries"/>
              <w:jc w:val="both"/>
              <w:rPr>
                <w:sz w:val="21"/>
                <w:szCs w:val="21"/>
              </w:rPr>
            </w:pPr>
            <w:r w:rsidRPr="00237CCA">
              <w:rPr>
                <w:sz w:val="21"/>
                <w:szCs w:val="21"/>
              </w:rPr>
              <w:t>42.6</w:t>
            </w:r>
          </w:p>
        </w:tc>
        <w:tc>
          <w:tcPr>
            <w:tcW w:w="1426" w:type="dxa"/>
          </w:tcPr>
          <w:p w:rsidR="00AF0459" w:rsidRPr="00237CCA" w:rsidRDefault="00666D7C" w:rsidP="00836739">
            <w:pPr>
              <w:pStyle w:val="TableTextEntries"/>
              <w:jc w:val="both"/>
              <w:rPr>
                <w:sz w:val="21"/>
                <w:szCs w:val="21"/>
              </w:rPr>
            </w:pPr>
            <w:r w:rsidRPr="00237CCA">
              <w:rPr>
                <w:sz w:val="21"/>
                <w:szCs w:val="21"/>
              </w:rPr>
              <w:t>69</w:t>
            </w:r>
          </w:p>
        </w:tc>
      </w:tr>
      <w:tr w:rsidR="00AF0459" w:rsidRPr="00237CCA" w:rsidTr="00D175E3">
        <w:trPr>
          <w:cnfStyle w:val="000000010000" w:firstRow="0" w:lastRow="0" w:firstColumn="0" w:lastColumn="0" w:oddVBand="0" w:evenVBand="0" w:oddHBand="0" w:evenHBand="1" w:firstRowFirstColumn="0" w:firstRowLastColumn="0" w:lastRowFirstColumn="0" w:lastRowLastColumn="0"/>
        </w:trPr>
        <w:tc>
          <w:tcPr>
            <w:tcW w:w="6048" w:type="dxa"/>
          </w:tcPr>
          <w:p w:rsidR="005A46FA" w:rsidRPr="00237CCA" w:rsidRDefault="00AF0459" w:rsidP="00836739">
            <w:pPr>
              <w:pStyle w:val="TableTextEntries"/>
              <w:jc w:val="both"/>
              <w:rPr>
                <w:sz w:val="21"/>
                <w:szCs w:val="21"/>
              </w:rPr>
            </w:pPr>
            <w:r w:rsidRPr="00237CCA">
              <w:rPr>
                <w:sz w:val="21"/>
                <w:szCs w:val="21"/>
              </w:rPr>
              <w:t>Objective 2</w:t>
            </w:r>
            <w:r w:rsidR="005A46FA" w:rsidRPr="00237CCA">
              <w:rPr>
                <w:sz w:val="21"/>
                <w:szCs w:val="21"/>
              </w:rPr>
              <w:t xml:space="preserve">  fewer women and men living in extreme poverty and vulnerable to economic and natural shocks</w:t>
            </w:r>
          </w:p>
          <w:p w:rsidR="00AF0459" w:rsidRPr="00237CCA" w:rsidRDefault="00AF0459" w:rsidP="00836739">
            <w:pPr>
              <w:pStyle w:val="TableTextEntries"/>
              <w:jc w:val="both"/>
              <w:rPr>
                <w:sz w:val="21"/>
                <w:szCs w:val="21"/>
              </w:rPr>
            </w:pPr>
          </w:p>
        </w:tc>
        <w:tc>
          <w:tcPr>
            <w:tcW w:w="964" w:type="dxa"/>
          </w:tcPr>
          <w:p w:rsidR="00AF0459" w:rsidRPr="00237CCA" w:rsidRDefault="00666D7C" w:rsidP="00836739">
            <w:pPr>
              <w:pStyle w:val="TableTextEntries"/>
              <w:jc w:val="both"/>
              <w:rPr>
                <w:sz w:val="21"/>
                <w:szCs w:val="21"/>
              </w:rPr>
            </w:pPr>
            <w:r w:rsidRPr="00237CCA">
              <w:rPr>
                <w:sz w:val="21"/>
                <w:szCs w:val="21"/>
              </w:rPr>
              <w:t>13.1</w:t>
            </w:r>
          </w:p>
        </w:tc>
        <w:tc>
          <w:tcPr>
            <w:tcW w:w="1426" w:type="dxa"/>
          </w:tcPr>
          <w:p w:rsidR="00AF0459" w:rsidRPr="00237CCA" w:rsidRDefault="00666D7C" w:rsidP="00836739">
            <w:pPr>
              <w:pStyle w:val="TableTextEntries"/>
              <w:jc w:val="both"/>
              <w:rPr>
                <w:sz w:val="21"/>
                <w:szCs w:val="21"/>
              </w:rPr>
            </w:pPr>
            <w:r w:rsidRPr="00237CCA">
              <w:rPr>
                <w:sz w:val="21"/>
                <w:szCs w:val="21"/>
              </w:rPr>
              <w:t>21</w:t>
            </w:r>
          </w:p>
        </w:tc>
      </w:tr>
      <w:tr w:rsidR="00AF0459" w:rsidRPr="00237CCA" w:rsidTr="00D175E3">
        <w:trPr>
          <w:cnfStyle w:val="000000010000" w:firstRow="0" w:lastRow="0" w:firstColumn="0" w:lastColumn="0" w:oddVBand="0" w:evenVBand="0" w:oddHBand="0" w:evenHBand="1" w:firstRowFirstColumn="0" w:firstRowLastColumn="0" w:lastRowFirstColumn="0" w:lastRowLastColumn="0"/>
        </w:trPr>
        <w:tc>
          <w:tcPr>
            <w:tcW w:w="6048" w:type="dxa"/>
          </w:tcPr>
          <w:p w:rsidR="00AF0459" w:rsidRPr="00237CCA" w:rsidRDefault="005A46FA" w:rsidP="00836739">
            <w:pPr>
              <w:pStyle w:val="TableTextEntries"/>
              <w:jc w:val="both"/>
              <w:rPr>
                <w:sz w:val="21"/>
                <w:szCs w:val="21"/>
              </w:rPr>
            </w:pPr>
            <w:r w:rsidRPr="00237CCA">
              <w:rPr>
                <w:sz w:val="21"/>
                <w:szCs w:val="21"/>
              </w:rPr>
              <w:t>Objective 3  women and marginalised groups better able to demand and obtain services and assert rights</w:t>
            </w:r>
            <w:r w:rsidRPr="00237CCA" w:rsidDel="005A46FA">
              <w:rPr>
                <w:sz w:val="21"/>
                <w:szCs w:val="21"/>
              </w:rPr>
              <w:t xml:space="preserve"> </w:t>
            </w:r>
          </w:p>
        </w:tc>
        <w:tc>
          <w:tcPr>
            <w:tcW w:w="964" w:type="dxa"/>
          </w:tcPr>
          <w:p w:rsidR="00AF0459" w:rsidRPr="00237CCA" w:rsidRDefault="00666D7C" w:rsidP="00836739">
            <w:pPr>
              <w:pStyle w:val="TableTextEntries"/>
              <w:jc w:val="both"/>
              <w:rPr>
                <w:sz w:val="21"/>
                <w:szCs w:val="21"/>
              </w:rPr>
            </w:pPr>
            <w:r w:rsidRPr="00237CCA">
              <w:rPr>
                <w:sz w:val="21"/>
                <w:szCs w:val="21"/>
              </w:rPr>
              <w:t>5.6</w:t>
            </w:r>
          </w:p>
        </w:tc>
        <w:tc>
          <w:tcPr>
            <w:tcW w:w="1426" w:type="dxa"/>
          </w:tcPr>
          <w:p w:rsidR="00AF0459" w:rsidRPr="00237CCA" w:rsidRDefault="00666D7C" w:rsidP="00836739">
            <w:pPr>
              <w:pStyle w:val="TableTextEntries"/>
              <w:jc w:val="both"/>
              <w:rPr>
                <w:sz w:val="21"/>
                <w:szCs w:val="21"/>
              </w:rPr>
            </w:pPr>
            <w:r w:rsidRPr="00237CCA">
              <w:rPr>
                <w:sz w:val="21"/>
                <w:szCs w:val="21"/>
              </w:rPr>
              <w:t>10</w:t>
            </w:r>
          </w:p>
        </w:tc>
      </w:tr>
    </w:tbl>
    <w:p w:rsidR="0097690E" w:rsidRDefault="00AF0459" w:rsidP="00921833">
      <w:pPr>
        <w:pStyle w:val="Note"/>
        <w:rPr>
          <w:sz w:val="16"/>
          <w:szCs w:val="16"/>
        </w:rPr>
      </w:pPr>
      <w:r w:rsidRPr="00237CCA">
        <w:rPr>
          <w:sz w:val="21"/>
          <w:szCs w:val="21"/>
        </w:rPr>
        <w:t>Source:</w:t>
      </w:r>
      <w:r w:rsidR="00446A1A">
        <w:rPr>
          <w:sz w:val="21"/>
          <w:szCs w:val="21"/>
        </w:rPr>
        <w:t xml:space="preserve"> </w:t>
      </w:r>
      <w:r w:rsidR="00F2695C" w:rsidRPr="00446A1A">
        <w:rPr>
          <w:sz w:val="16"/>
          <w:szCs w:val="16"/>
        </w:rPr>
        <w:t>Draft bilateral Bangladesh aid expenditure for 2013</w:t>
      </w:r>
      <w:r w:rsidR="00C02E13">
        <w:rPr>
          <w:sz w:val="16"/>
          <w:szCs w:val="16"/>
        </w:rPr>
        <w:t>—</w:t>
      </w:r>
      <w:r w:rsidR="00F2695C" w:rsidRPr="00446A1A">
        <w:rPr>
          <w:sz w:val="16"/>
          <w:szCs w:val="16"/>
        </w:rPr>
        <w:t>14, at August 2014</w:t>
      </w:r>
    </w:p>
    <w:p w:rsidR="0097690E" w:rsidRDefault="00EE7869" w:rsidP="00836739">
      <w:pPr>
        <w:pStyle w:val="BodyText"/>
        <w:jc w:val="both"/>
      </w:pPr>
      <w:r>
        <w:t xml:space="preserve">The </w:t>
      </w:r>
      <w:r w:rsidR="00A04C9B">
        <w:t xml:space="preserve">Bangladesh bilateral program </w:t>
      </w:r>
      <w:r>
        <w:t xml:space="preserve">budget </w:t>
      </w:r>
      <w:r w:rsidR="00A04C9B">
        <w:t>for 2013</w:t>
      </w:r>
      <w:r w:rsidR="00E57225">
        <w:t>—</w:t>
      </w:r>
      <w:r w:rsidR="00A04C9B">
        <w:t xml:space="preserve">14 was </w:t>
      </w:r>
      <w:r w:rsidR="001D3E05">
        <w:t>$61.3 million (</w:t>
      </w:r>
      <w:r w:rsidR="00A04C9B">
        <w:t>$23.4</w:t>
      </w:r>
      <w:r w:rsidR="00E57225">
        <w:t xml:space="preserve"> </w:t>
      </w:r>
      <w:r w:rsidR="00A04C9B">
        <w:t>m</w:t>
      </w:r>
      <w:r w:rsidR="00E57225">
        <w:t>illion</w:t>
      </w:r>
      <w:r w:rsidR="00A04C9B">
        <w:t xml:space="preserve"> less than the previous year</w:t>
      </w:r>
      <w:r w:rsidR="001D3E05">
        <w:t>)</w:t>
      </w:r>
      <w:r w:rsidR="00A04C9B">
        <w:t xml:space="preserve">. </w:t>
      </w:r>
      <w:r w:rsidR="0097690E">
        <w:t>In addition to the bilateral program, in 2013-14 there were a range of other activities funded from across Australia’s aid program ($</w:t>
      </w:r>
      <w:r w:rsidR="007A6116">
        <w:t>17.5</w:t>
      </w:r>
      <w:r w:rsidR="0097690E">
        <w:t xml:space="preserve"> million) that supported activities in Bangladesh:</w:t>
      </w:r>
    </w:p>
    <w:p w:rsidR="0097690E" w:rsidRDefault="003118FF" w:rsidP="00836739">
      <w:pPr>
        <w:pStyle w:val="BodyText"/>
        <w:numPr>
          <w:ilvl w:val="0"/>
          <w:numId w:val="22"/>
        </w:numPr>
        <w:jc w:val="both"/>
      </w:pPr>
      <w:r>
        <w:t>12</w:t>
      </w:r>
      <w:r w:rsidR="0097690E" w:rsidRPr="00286A0E">
        <w:t xml:space="preserve"> Australia</w:t>
      </w:r>
      <w:r w:rsidR="0097690E">
        <w:t>n</w:t>
      </w:r>
      <w:r w:rsidR="0097690E" w:rsidRPr="00286A0E">
        <w:t xml:space="preserve"> NGOs </w:t>
      </w:r>
      <w:r w:rsidR="0097690E">
        <w:t>delivered</w:t>
      </w:r>
      <w:r w:rsidR="0097690E" w:rsidRPr="00286A0E">
        <w:t xml:space="preserve"> a range of projects across </w:t>
      </w:r>
      <w:r w:rsidR="0097690E">
        <w:t>Bangladesh</w:t>
      </w:r>
      <w:r>
        <w:t xml:space="preserve"> through their local partner organisations</w:t>
      </w:r>
      <w:r w:rsidR="0097690E">
        <w:t>. These included</w:t>
      </w:r>
      <w:r w:rsidR="003A6BB8">
        <w:t xml:space="preserve"> innovative responses in the areas of food security, disability support, inclusive education and maternal health</w:t>
      </w:r>
      <w:r w:rsidR="006507DB">
        <w:t xml:space="preserve"> </w:t>
      </w:r>
      <w:r w:rsidR="0097690E">
        <w:t>($</w:t>
      </w:r>
      <w:r w:rsidR="00F2695C">
        <w:t>4.1</w:t>
      </w:r>
      <w:r w:rsidR="0097690E">
        <w:t xml:space="preserve"> million).</w:t>
      </w:r>
    </w:p>
    <w:p w:rsidR="0097690E" w:rsidRPr="00B40EFF" w:rsidRDefault="0097690E" w:rsidP="00836739">
      <w:pPr>
        <w:pStyle w:val="BodyText"/>
        <w:numPr>
          <w:ilvl w:val="0"/>
          <w:numId w:val="22"/>
        </w:numPr>
        <w:jc w:val="both"/>
      </w:pPr>
      <w:r>
        <w:t>30</w:t>
      </w:r>
      <w:r w:rsidRPr="00286A0E">
        <w:t xml:space="preserve"> Australian </w:t>
      </w:r>
      <w:r w:rsidR="004B3491">
        <w:t>v</w:t>
      </w:r>
      <w:r>
        <w:t>olunteers supported</w:t>
      </w:r>
      <w:r w:rsidRPr="00286A0E">
        <w:t xml:space="preserve"> a range of local NGOs in </w:t>
      </w:r>
      <w:r w:rsidR="003A6BB8" w:rsidRPr="00F2695C">
        <w:rPr>
          <w:szCs w:val="21"/>
        </w:rPr>
        <w:t xml:space="preserve">disaster and emergency </w:t>
      </w:r>
      <w:r w:rsidR="003A6BB8" w:rsidRPr="00B40EFF">
        <w:rPr>
          <w:szCs w:val="21"/>
        </w:rPr>
        <w:t>management</w:t>
      </w:r>
      <w:r w:rsidR="00480515">
        <w:rPr>
          <w:szCs w:val="21"/>
        </w:rPr>
        <w:t>,</w:t>
      </w:r>
      <w:r w:rsidR="006507DB" w:rsidRPr="00B40EFF">
        <w:rPr>
          <w:szCs w:val="21"/>
        </w:rPr>
        <w:t xml:space="preserve"> as well as </w:t>
      </w:r>
      <w:r w:rsidR="003A6BB8" w:rsidRPr="00B40EFF">
        <w:rPr>
          <w:szCs w:val="21"/>
        </w:rPr>
        <w:t>community and social development</w:t>
      </w:r>
      <w:r w:rsidR="003A6BB8" w:rsidRPr="00B40EFF">
        <w:t xml:space="preserve"> </w:t>
      </w:r>
      <w:r w:rsidRPr="00B40EFF">
        <w:t>($</w:t>
      </w:r>
      <w:r w:rsidR="00AF6A97" w:rsidRPr="00B40EFF">
        <w:t>2.</w:t>
      </w:r>
      <w:r w:rsidR="00B40EFF">
        <w:t>3</w:t>
      </w:r>
      <w:r w:rsidRPr="00B40EFF">
        <w:t xml:space="preserve"> million).</w:t>
      </w:r>
    </w:p>
    <w:p w:rsidR="0097690E" w:rsidRPr="00B40EFF" w:rsidRDefault="00AF6A97" w:rsidP="00836739">
      <w:pPr>
        <w:pStyle w:val="BodyText"/>
        <w:numPr>
          <w:ilvl w:val="0"/>
          <w:numId w:val="22"/>
        </w:numPr>
        <w:jc w:val="both"/>
      </w:pPr>
      <w:r w:rsidRPr="00B40EFF">
        <w:rPr>
          <w:lang w:val="en-US"/>
        </w:rPr>
        <w:t>7</w:t>
      </w:r>
      <w:r w:rsidR="00B340C1" w:rsidRPr="006C29D6">
        <w:rPr>
          <w:lang w:val="en-US"/>
        </w:rPr>
        <w:t>1</w:t>
      </w:r>
      <w:r w:rsidRPr="00B40EFF">
        <w:rPr>
          <w:lang w:val="en-US"/>
        </w:rPr>
        <w:t xml:space="preserve"> </w:t>
      </w:r>
      <w:r w:rsidR="0097690E" w:rsidRPr="00B40EFF">
        <w:rPr>
          <w:lang w:val="en-US"/>
        </w:rPr>
        <w:t xml:space="preserve">Australia Awards </w:t>
      </w:r>
      <w:r w:rsidR="004B3491" w:rsidRPr="00B40EFF">
        <w:rPr>
          <w:lang w:val="en-US"/>
        </w:rPr>
        <w:t>S</w:t>
      </w:r>
      <w:r w:rsidR="0097690E" w:rsidRPr="00B40EFF">
        <w:rPr>
          <w:lang w:val="en-US"/>
        </w:rPr>
        <w:t>cholarships</w:t>
      </w:r>
      <w:r w:rsidRPr="00B40EFF">
        <w:rPr>
          <w:lang w:val="en-US"/>
        </w:rPr>
        <w:t xml:space="preserve"> </w:t>
      </w:r>
      <w:r w:rsidR="0097690E" w:rsidRPr="00B40EFF">
        <w:rPr>
          <w:lang w:val="en-US"/>
        </w:rPr>
        <w:t>were provided to assist Bangladeshis study at a range of Australian tertiary institutions i</w:t>
      </w:r>
      <w:r w:rsidR="0097690E" w:rsidRPr="00B40EFF">
        <w:t>n 201</w:t>
      </w:r>
      <w:r w:rsidR="00B340C1" w:rsidRPr="006C29D6">
        <w:t>4</w:t>
      </w:r>
      <w:r w:rsidR="0097690E" w:rsidRPr="00B40EFF">
        <w:t xml:space="preserve"> ($</w:t>
      </w:r>
      <w:r w:rsidR="00C51F8F">
        <w:t>7.65</w:t>
      </w:r>
      <w:r w:rsidR="0097690E" w:rsidRPr="00B40EFF">
        <w:t xml:space="preserve"> million).</w:t>
      </w:r>
    </w:p>
    <w:p w:rsidR="0097690E" w:rsidRDefault="0097690E" w:rsidP="00836739">
      <w:pPr>
        <w:pStyle w:val="BodyText"/>
        <w:numPr>
          <w:ilvl w:val="0"/>
          <w:numId w:val="22"/>
        </w:numPr>
        <w:jc w:val="both"/>
      </w:pPr>
      <w:r w:rsidRPr="00B40EFF">
        <w:t xml:space="preserve">DFAT’s </w:t>
      </w:r>
      <w:r w:rsidR="008005CC" w:rsidRPr="00B40EFF">
        <w:t xml:space="preserve">Direct </w:t>
      </w:r>
      <w:r w:rsidR="003A661B" w:rsidRPr="00B40EFF">
        <w:t xml:space="preserve">Aid </w:t>
      </w:r>
      <w:r w:rsidRPr="00B40EFF">
        <w:t xml:space="preserve">Program supported activities </w:t>
      </w:r>
      <w:r w:rsidR="003E61FA" w:rsidRPr="00B40EFF">
        <w:t>including skills development for employment creation, neo-natal health and awareness creation on social issues</w:t>
      </w:r>
      <w:r w:rsidR="007A6116" w:rsidRPr="007A6116">
        <w:t xml:space="preserve"> </w:t>
      </w:r>
      <w:r w:rsidR="007A6116" w:rsidRPr="00286A0E">
        <w:t>($</w:t>
      </w:r>
      <w:r w:rsidR="007A6116">
        <w:t>0.25 million</w:t>
      </w:r>
      <w:r w:rsidR="007A6116" w:rsidRPr="00286A0E">
        <w:t>)</w:t>
      </w:r>
      <w:r w:rsidR="007A6116">
        <w:t>.</w:t>
      </w:r>
    </w:p>
    <w:p w:rsidR="0097690E" w:rsidRPr="00286A0E" w:rsidRDefault="0097690E" w:rsidP="00836739">
      <w:pPr>
        <w:pStyle w:val="BodyText"/>
        <w:numPr>
          <w:ilvl w:val="0"/>
          <w:numId w:val="22"/>
        </w:numPr>
        <w:jc w:val="both"/>
      </w:pPr>
      <w:r>
        <w:lastRenderedPageBreak/>
        <w:t xml:space="preserve">Humanitarian assistance including emergency food relief </w:t>
      </w:r>
      <w:r w:rsidR="0042084E">
        <w:t xml:space="preserve">and school feeding </w:t>
      </w:r>
      <w:r>
        <w:t>through the World Food Program ($</w:t>
      </w:r>
      <w:r w:rsidR="00AF6A97">
        <w:t>3.</w:t>
      </w:r>
      <w:r w:rsidR="0042084E">
        <w:t>2</w:t>
      </w:r>
      <w:r>
        <w:t xml:space="preserve"> million).</w:t>
      </w:r>
    </w:p>
    <w:p w:rsidR="00AF0459" w:rsidRPr="00237CCA" w:rsidRDefault="00AF0459" w:rsidP="00836739">
      <w:pPr>
        <w:pStyle w:val="Heading3"/>
        <w:jc w:val="both"/>
        <w:rPr>
          <w:rStyle w:val="BodyTextChar"/>
          <w:rFonts w:cs="Times New Roman"/>
          <w:b w:val="0"/>
          <w:color w:val="auto"/>
          <w:kern w:val="0"/>
          <w:szCs w:val="21"/>
          <w:lang w:eastAsia="en-AU"/>
        </w:rPr>
      </w:pPr>
      <w:r w:rsidRPr="00237CCA">
        <w:rPr>
          <w:b w:val="0"/>
          <w:color w:val="007FAD"/>
          <w:sz w:val="32"/>
          <w:szCs w:val="32"/>
          <w:lang w:eastAsia="en-AU"/>
        </w:rPr>
        <w:t>Progress towards objectives</w:t>
      </w:r>
      <w:r w:rsidRPr="00237CCA">
        <w:rPr>
          <w:rFonts w:ascii="Franklin Gothic Book" w:hAnsi="Franklin Gothic Book"/>
          <w:sz w:val="21"/>
          <w:szCs w:val="21"/>
        </w:rPr>
        <w:tab/>
      </w:r>
      <w:r w:rsidR="0050473E" w:rsidRPr="00237CCA">
        <w:rPr>
          <w:rStyle w:val="BodyTextChar"/>
          <w:b w:val="0"/>
          <w:color w:val="auto"/>
          <w:szCs w:val="21"/>
        </w:rPr>
        <w:t xml:space="preserve"> </w:t>
      </w:r>
    </w:p>
    <w:p w:rsidR="00AF0459" w:rsidRPr="00237CCA" w:rsidRDefault="00AF0459" w:rsidP="00746619">
      <w:pPr>
        <w:pStyle w:val="Caption"/>
        <w:jc w:val="both"/>
        <w:rPr>
          <w:sz w:val="21"/>
          <w:szCs w:val="21"/>
        </w:rPr>
      </w:pPr>
      <w:r w:rsidRPr="00237CCA">
        <w:rPr>
          <w:sz w:val="21"/>
          <w:szCs w:val="21"/>
        </w:rPr>
        <w:t xml:space="preserve">Table </w:t>
      </w:r>
      <w:r w:rsidR="00AC08BD" w:rsidRPr="00237CCA">
        <w:rPr>
          <w:sz w:val="21"/>
          <w:szCs w:val="21"/>
        </w:rPr>
        <w:fldChar w:fldCharType="begin"/>
      </w:r>
      <w:r w:rsidR="00AC08BD" w:rsidRPr="00237CCA">
        <w:rPr>
          <w:sz w:val="21"/>
          <w:szCs w:val="21"/>
        </w:rPr>
        <w:instrText xml:space="preserve"> SEQ Table \* ARABIC </w:instrText>
      </w:r>
      <w:r w:rsidR="00AC08BD" w:rsidRPr="00237CCA">
        <w:rPr>
          <w:sz w:val="21"/>
          <w:szCs w:val="21"/>
        </w:rPr>
        <w:fldChar w:fldCharType="separate"/>
      </w:r>
      <w:r w:rsidR="00F91790">
        <w:rPr>
          <w:noProof/>
          <w:sz w:val="21"/>
          <w:szCs w:val="21"/>
        </w:rPr>
        <w:t>2</w:t>
      </w:r>
      <w:r w:rsidR="00AC08BD" w:rsidRPr="00237CCA">
        <w:rPr>
          <w:noProof/>
          <w:sz w:val="21"/>
          <w:szCs w:val="21"/>
        </w:rPr>
        <w:fldChar w:fldCharType="end"/>
      </w:r>
      <w:r w:rsidRPr="00237CCA">
        <w:rPr>
          <w:sz w:val="21"/>
          <w:szCs w:val="21"/>
        </w:rPr>
        <w:t xml:space="preserve"> Rating of the program's progress towards Australia’s objectives</w:t>
      </w:r>
    </w:p>
    <w:tbl>
      <w:tblPr>
        <w:tblStyle w:val="APPR"/>
        <w:tblW w:w="5000" w:type="pct"/>
        <w:tblLook w:val="0000" w:firstRow="0" w:lastRow="0" w:firstColumn="0" w:lastColumn="0" w:noHBand="0" w:noVBand="0"/>
      </w:tblPr>
      <w:tblGrid>
        <w:gridCol w:w="6234"/>
        <w:gridCol w:w="1026"/>
        <w:gridCol w:w="426"/>
        <w:gridCol w:w="1091"/>
      </w:tblGrid>
      <w:tr w:rsidR="00AF0459" w:rsidRPr="00237CCA" w:rsidTr="00D175E3">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AF0459" w:rsidRPr="00237CCA" w:rsidRDefault="00AF0459" w:rsidP="00836739">
            <w:pPr>
              <w:pStyle w:val="TableTextColumnHeading"/>
              <w:jc w:val="both"/>
              <w:rPr>
                <w:sz w:val="21"/>
                <w:szCs w:val="21"/>
              </w:rPr>
            </w:pPr>
            <w:r w:rsidRPr="00237CCA">
              <w:rPr>
                <w:noProof/>
                <w:sz w:val="21"/>
                <w:szCs w:val="21"/>
              </w:rPr>
              <w:drawing>
                <wp:anchor distT="0" distB="0" distL="114300" distR="114300" simplePos="0" relativeHeight="251660288" behindDoc="0" locked="0" layoutInCell="1" allowOverlap="1" wp14:anchorId="5CFA7866" wp14:editId="0FE9BA4C">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CCA">
              <w:rPr>
                <w:sz w:val="21"/>
                <w:szCs w:val="21"/>
              </w:rPr>
              <w:t>Objective</w:t>
            </w:r>
          </w:p>
        </w:tc>
        <w:tc>
          <w:tcPr>
            <w:tcW w:w="972" w:type="dxa"/>
          </w:tcPr>
          <w:p w:rsidR="00AF0459" w:rsidRPr="00237CCA" w:rsidRDefault="00AF0459" w:rsidP="00836739">
            <w:pPr>
              <w:pStyle w:val="TableTextColumnHeading"/>
              <w:jc w:val="both"/>
              <w:rPr>
                <w:sz w:val="21"/>
                <w:szCs w:val="21"/>
              </w:rPr>
            </w:pPr>
            <w:r w:rsidRPr="00237CCA">
              <w:rPr>
                <w:sz w:val="21"/>
                <w:szCs w:val="21"/>
              </w:rPr>
              <w:t>Current Rating</w:t>
            </w:r>
          </w:p>
        </w:tc>
        <w:tc>
          <w:tcPr>
            <w:tcW w:w="388" w:type="dxa"/>
          </w:tcPr>
          <w:p w:rsidR="00AF0459" w:rsidRPr="00237CCA" w:rsidRDefault="00AF0459" w:rsidP="00836739">
            <w:pPr>
              <w:pStyle w:val="TableTextColumnHeading"/>
              <w:jc w:val="both"/>
              <w:rPr>
                <w:sz w:val="21"/>
                <w:szCs w:val="21"/>
              </w:rPr>
            </w:pPr>
          </w:p>
        </w:tc>
        <w:tc>
          <w:tcPr>
            <w:tcW w:w="1021" w:type="dxa"/>
          </w:tcPr>
          <w:p w:rsidR="00AF0459" w:rsidRPr="00237CCA" w:rsidRDefault="00AF0459" w:rsidP="00836739">
            <w:pPr>
              <w:pStyle w:val="TableTextColumnHeading"/>
              <w:jc w:val="both"/>
              <w:rPr>
                <w:sz w:val="21"/>
                <w:szCs w:val="21"/>
              </w:rPr>
            </w:pPr>
            <w:r w:rsidRPr="00237CCA">
              <w:rPr>
                <w:sz w:val="21"/>
                <w:szCs w:val="21"/>
              </w:rPr>
              <w:t>Previous Rating</w:t>
            </w:r>
          </w:p>
        </w:tc>
      </w:tr>
      <w:tr w:rsidR="00AF0459" w:rsidRPr="00237CCA" w:rsidTr="00B7471A">
        <w:trPr>
          <w:cnfStyle w:val="000000010000" w:firstRow="0" w:lastRow="0" w:firstColumn="0" w:lastColumn="0" w:oddVBand="0" w:evenVBand="0" w:oddHBand="0" w:evenHBand="1" w:firstRowFirstColumn="0" w:firstRowLastColumn="0" w:lastRowFirstColumn="0" w:lastRowLastColumn="0"/>
        </w:trPr>
        <w:tc>
          <w:tcPr>
            <w:tcW w:w="6029" w:type="dxa"/>
          </w:tcPr>
          <w:p w:rsidR="00AF0459" w:rsidRPr="00237CCA" w:rsidRDefault="00AF0459" w:rsidP="00836739">
            <w:pPr>
              <w:pStyle w:val="TableTextEntries"/>
              <w:jc w:val="both"/>
              <w:rPr>
                <w:sz w:val="21"/>
                <w:szCs w:val="21"/>
              </w:rPr>
            </w:pPr>
            <w:r w:rsidRPr="00237CCA">
              <w:rPr>
                <w:sz w:val="21"/>
                <w:szCs w:val="21"/>
              </w:rPr>
              <w:t>Objective 1</w:t>
            </w:r>
            <w:r w:rsidR="00E14C60" w:rsidRPr="00237CCA">
              <w:rPr>
                <w:sz w:val="21"/>
                <w:szCs w:val="21"/>
              </w:rPr>
              <w:t xml:space="preserve"> increased equity of access to, and improved outcomes from, health and education services</w:t>
            </w:r>
          </w:p>
        </w:tc>
        <w:tc>
          <w:tcPr>
            <w:tcW w:w="972" w:type="dxa"/>
            <w:shd w:val="clear" w:color="auto" w:fill="9BBB59" w:themeFill="accent3"/>
            <w:noWrap/>
          </w:tcPr>
          <w:p w:rsidR="00AF0459" w:rsidRPr="00237CCA" w:rsidRDefault="00AF0459" w:rsidP="00836739">
            <w:pPr>
              <w:pStyle w:val="TableTextEntries"/>
              <w:jc w:val="both"/>
              <w:rPr>
                <w:color w:val="FFFFFF" w:themeColor="background1"/>
                <w:sz w:val="21"/>
                <w:szCs w:val="21"/>
              </w:rPr>
            </w:pPr>
            <w:r w:rsidRPr="00237CCA">
              <w:rPr>
                <w:color w:val="FFFFFF" w:themeColor="background1"/>
                <w:sz w:val="21"/>
                <w:szCs w:val="21"/>
              </w:rPr>
              <w:t>Green</w:t>
            </w:r>
          </w:p>
        </w:tc>
        <w:tc>
          <w:tcPr>
            <w:tcW w:w="388" w:type="dxa"/>
          </w:tcPr>
          <w:p w:rsidR="00AF0459" w:rsidRPr="00237CCA" w:rsidRDefault="00AF0459" w:rsidP="00836739">
            <w:pPr>
              <w:pStyle w:val="TableTextEntries"/>
              <w:jc w:val="both"/>
              <w:rPr>
                <w:color w:val="FFFFFF" w:themeColor="background1"/>
                <w:sz w:val="21"/>
                <w:szCs w:val="21"/>
              </w:rPr>
            </w:pPr>
          </w:p>
        </w:tc>
        <w:tc>
          <w:tcPr>
            <w:tcW w:w="1021" w:type="dxa"/>
            <w:shd w:val="clear" w:color="auto" w:fill="9BBB59" w:themeFill="accent3"/>
            <w:noWrap/>
          </w:tcPr>
          <w:p w:rsidR="00AF0459" w:rsidRPr="00237CCA" w:rsidRDefault="00942288" w:rsidP="00836739">
            <w:pPr>
              <w:pStyle w:val="TableTextEntries"/>
              <w:jc w:val="both"/>
              <w:rPr>
                <w:color w:val="FFFFFF" w:themeColor="background1"/>
                <w:sz w:val="21"/>
                <w:szCs w:val="21"/>
              </w:rPr>
            </w:pPr>
            <w:r w:rsidRPr="00237CCA">
              <w:rPr>
                <w:color w:val="FFFFFF" w:themeColor="background1"/>
                <w:sz w:val="21"/>
                <w:szCs w:val="21"/>
              </w:rPr>
              <w:t>Green</w:t>
            </w:r>
          </w:p>
        </w:tc>
      </w:tr>
      <w:tr w:rsidR="00AF0459" w:rsidRPr="00237CCA" w:rsidTr="00B7471A">
        <w:trPr>
          <w:cnfStyle w:val="000000010000" w:firstRow="0" w:lastRow="0" w:firstColumn="0" w:lastColumn="0" w:oddVBand="0" w:evenVBand="0" w:oddHBand="0" w:evenHBand="1" w:firstRowFirstColumn="0" w:firstRowLastColumn="0" w:lastRowFirstColumn="0" w:lastRowLastColumn="0"/>
        </w:trPr>
        <w:tc>
          <w:tcPr>
            <w:tcW w:w="6029" w:type="dxa"/>
          </w:tcPr>
          <w:p w:rsidR="00AF0459" w:rsidRPr="00237CCA" w:rsidRDefault="00AF0459" w:rsidP="00836739">
            <w:pPr>
              <w:pStyle w:val="TableTextEntries"/>
              <w:jc w:val="both"/>
              <w:rPr>
                <w:sz w:val="21"/>
                <w:szCs w:val="21"/>
              </w:rPr>
            </w:pPr>
            <w:r w:rsidRPr="00237CCA">
              <w:rPr>
                <w:sz w:val="21"/>
                <w:szCs w:val="21"/>
              </w:rPr>
              <w:t>Objective 2</w:t>
            </w:r>
            <w:r w:rsidR="00E14C60" w:rsidRPr="00237CCA">
              <w:rPr>
                <w:sz w:val="21"/>
                <w:szCs w:val="21"/>
              </w:rPr>
              <w:t xml:space="preserve"> fewer women and men living in extreme poverty and vulnerable to economic and natural shocks </w:t>
            </w:r>
          </w:p>
        </w:tc>
        <w:tc>
          <w:tcPr>
            <w:tcW w:w="972" w:type="dxa"/>
            <w:shd w:val="clear" w:color="auto" w:fill="9BBB59" w:themeFill="accent3"/>
            <w:noWrap/>
          </w:tcPr>
          <w:p w:rsidR="00AF0459" w:rsidRPr="00237CCA" w:rsidRDefault="00942288" w:rsidP="00836739">
            <w:pPr>
              <w:pStyle w:val="TableTextEntries"/>
              <w:jc w:val="both"/>
              <w:rPr>
                <w:color w:val="FFFFFF" w:themeColor="background1"/>
                <w:sz w:val="21"/>
                <w:szCs w:val="21"/>
              </w:rPr>
            </w:pPr>
            <w:r w:rsidRPr="00237CCA">
              <w:rPr>
                <w:color w:val="FFFFFF" w:themeColor="background1"/>
                <w:sz w:val="21"/>
                <w:szCs w:val="21"/>
              </w:rPr>
              <w:t>Green</w:t>
            </w:r>
          </w:p>
        </w:tc>
        <w:tc>
          <w:tcPr>
            <w:tcW w:w="388" w:type="dxa"/>
          </w:tcPr>
          <w:p w:rsidR="00AF0459" w:rsidRPr="00237CCA" w:rsidRDefault="00AF0459" w:rsidP="00836739">
            <w:pPr>
              <w:pStyle w:val="TableTextEntries"/>
              <w:jc w:val="both"/>
              <w:rPr>
                <w:color w:val="FFFFFF" w:themeColor="background1"/>
                <w:sz w:val="21"/>
                <w:szCs w:val="21"/>
              </w:rPr>
            </w:pPr>
          </w:p>
        </w:tc>
        <w:tc>
          <w:tcPr>
            <w:tcW w:w="1021" w:type="dxa"/>
            <w:shd w:val="clear" w:color="auto" w:fill="9BBB59" w:themeFill="accent3"/>
            <w:noWrap/>
          </w:tcPr>
          <w:p w:rsidR="00AF0459" w:rsidRPr="00237CCA" w:rsidRDefault="00AF0459" w:rsidP="00836739">
            <w:pPr>
              <w:pStyle w:val="TableTextEntries"/>
              <w:jc w:val="both"/>
              <w:rPr>
                <w:color w:val="FFFFFF" w:themeColor="background1"/>
                <w:sz w:val="21"/>
                <w:szCs w:val="21"/>
              </w:rPr>
            </w:pPr>
            <w:r w:rsidRPr="00237CCA">
              <w:rPr>
                <w:color w:val="FFFFFF" w:themeColor="background1"/>
                <w:sz w:val="21"/>
                <w:szCs w:val="21"/>
              </w:rPr>
              <w:t>Green</w:t>
            </w:r>
          </w:p>
        </w:tc>
      </w:tr>
      <w:tr w:rsidR="00AF0459" w:rsidRPr="00237CCA" w:rsidTr="00B7471A">
        <w:trPr>
          <w:cnfStyle w:val="000000010000" w:firstRow="0" w:lastRow="0" w:firstColumn="0" w:lastColumn="0" w:oddVBand="0" w:evenVBand="0" w:oddHBand="0" w:evenHBand="1" w:firstRowFirstColumn="0" w:firstRowLastColumn="0" w:lastRowFirstColumn="0" w:lastRowLastColumn="0"/>
        </w:trPr>
        <w:tc>
          <w:tcPr>
            <w:tcW w:w="6029" w:type="dxa"/>
          </w:tcPr>
          <w:p w:rsidR="00AF0459" w:rsidRPr="00237CCA" w:rsidRDefault="00AF0459" w:rsidP="00836739">
            <w:pPr>
              <w:pStyle w:val="TableTextEntries"/>
              <w:jc w:val="both"/>
              <w:rPr>
                <w:sz w:val="21"/>
                <w:szCs w:val="21"/>
              </w:rPr>
            </w:pPr>
            <w:r w:rsidRPr="00237CCA">
              <w:rPr>
                <w:sz w:val="21"/>
                <w:szCs w:val="21"/>
              </w:rPr>
              <w:t>Objective 3</w:t>
            </w:r>
            <w:r w:rsidR="00E14C60" w:rsidRPr="00237CCA">
              <w:rPr>
                <w:sz w:val="21"/>
                <w:szCs w:val="21"/>
              </w:rPr>
              <w:t xml:space="preserve"> women and marginalised groups better able to demand and obtain services and assert rights</w:t>
            </w:r>
          </w:p>
        </w:tc>
        <w:tc>
          <w:tcPr>
            <w:tcW w:w="972" w:type="dxa"/>
            <w:shd w:val="clear" w:color="auto" w:fill="9BBB59" w:themeFill="accent3"/>
            <w:noWrap/>
          </w:tcPr>
          <w:p w:rsidR="00AF0459" w:rsidRPr="00237CCA" w:rsidRDefault="00942288" w:rsidP="00836739">
            <w:pPr>
              <w:pStyle w:val="TableTextEntries"/>
              <w:jc w:val="both"/>
              <w:rPr>
                <w:color w:val="FFFFFF" w:themeColor="background1"/>
                <w:sz w:val="21"/>
                <w:szCs w:val="21"/>
              </w:rPr>
            </w:pPr>
            <w:r w:rsidRPr="00237CCA">
              <w:rPr>
                <w:color w:val="FFFFFF" w:themeColor="background1"/>
                <w:sz w:val="21"/>
                <w:szCs w:val="21"/>
              </w:rPr>
              <w:t>Green</w:t>
            </w:r>
          </w:p>
        </w:tc>
        <w:tc>
          <w:tcPr>
            <w:tcW w:w="388" w:type="dxa"/>
          </w:tcPr>
          <w:p w:rsidR="00AF0459" w:rsidRPr="00237CCA" w:rsidRDefault="00AF0459" w:rsidP="00836739">
            <w:pPr>
              <w:pStyle w:val="TableTextEntries"/>
              <w:jc w:val="both"/>
              <w:rPr>
                <w:color w:val="FFFFFF" w:themeColor="background1"/>
                <w:sz w:val="21"/>
                <w:szCs w:val="21"/>
              </w:rPr>
            </w:pPr>
          </w:p>
        </w:tc>
        <w:tc>
          <w:tcPr>
            <w:tcW w:w="1021" w:type="dxa"/>
            <w:shd w:val="clear" w:color="auto" w:fill="F79646" w:themeFill="accent6"/>
            <w:noWrap/>
          </w:tcPr>
          <w:p w:rsidR="00AF0459" w:rsidRPr="00237CCA" w:rsidRDefault="00942288" w:rsidP="00836739">
            <w:pPr>
              <w:pStyle w:val="TableTextEntries"/>
              <w:jc w:val="both"/>
              <w:rPr>
                <w:color w:val="FFFFFF" w:themeColor="background1"/>
                <w:sz w:val="21"/>
                <w:szCs w:val="21"/>
              </w:rPr>
            </w:pPr>
            <w:r w:rsidRPr="00237CCA">
              <w:rPr>
                <w:color w:val="FFFFFF" w:themeColor="background1"/>
                <w:sz w:val="21"/>
                <w:szCs w:val="21"/>
              </w:rPr>
              <w:t>Amber</w:t>
            </w:r>
          </w:p>
        </w:tc>
      </w:tr>
    </w:tbl>
    <w:p w:rsidR="00AF0459" w:rsidRPr="00446A1A" w:rsidRDefault="00AF0459" w:rsidP="00921833">
      <w:pPr>
        <w:pStyle w:val="Note"/>
        <w:rPr>
          <w:sz w:val="16"/>
          <w:szCs w:val="16"/>
        </w:rPr>
      </w:pPr>
      <w:r w:rsidRPr="00446A1A">
        <w:rPr>
          <w:sz w:val="16"/>
          <w:szCs w:val="16"/>
        </w:rPr>
        <w:t xml:space="preserve">Note: </w:t>
      </w:r>
    </w:p>
    <w:p w:rsidR="00AF0459" w:rsidRPr="00446A1A" w:rsidRDefault="00AF0459" w:rsidP="00921833">
      <w:pPr>
        <w:pStyle w:val="Note"/>
        <w:rPr>
          <w:sz w:val="16"/>
          <w:szCs w:val="16"/>
        </w:rPr>
      </w:pPr>
      <w:r w:rsidRPr="00446A1A">
        <w:rPr>
          <w:color w:val="72AF2F"/>
          <w:sz w:val="16"/>
          <w:szCs w:val="16"/>
        </w:rPr>
        <w:sym w:font="Webdings" w:char="F067"/>
      </w:r>
      <w:r w:rsidRPr="00446A1A">
        <w:rPr>
          <w:sz w:val="16"/>
          <w:szCs w:val="16"/>
        </w:rPr>
        <w:t> </w:t>
      </w:r>
      <w:r w:rsidRPr="00446A1A">
        <w:rPr>
          <w:sz w:val="16"/>
          <w:szCs w:val="16"/>
        </w:rPr>
        <w:t xml:space="preserve"> Green. Progress is as expected for this point in time and it is likely that the objective will be achieved. Standard program management practices are sufficient.</w:t>
      </w:r>
    </w:p>
    <w:p w:rsidR="00AF0459" w:rsidRPr="00446A1A" w:rsidRDefault="00AF0459" w:rsidP="00921833">
      <w:pPr>
        <w:pStyle w:val="Note"/>
        <w:rPr>
          <w:sz w:val="16"/>
          <w:szCs w:val="16"/>
        </w:rPr>
      </w:pPr>
      <w:r w:rsidRPr="00446A1A">
        <w:rPr>
          <w:color w:val="E36C0A"/>
          <w:sz w:val="16"/>
          <w:szCs w:val="16"/>
        </w:rPr>
        <w:sym w:font="Webdings" w:char="F067"/>
      </w:r>
      <w:r w:rsidRPr="00446A1A">
        <w:rPr>
          <w:sz w:val="16"/>
          <w:szCs w:val="16"/>
        </w:rPr>
        <w:t> </w:t>
      </w:r>
      <w:r w:rsidRPr="00446A1A">
        <w:rPr>
          <w:sz w:val="16"/>
          <w:szCs w:val="16"/>
        </w:rPr>
        <w:t xml:space="preserve"> Amber. Progress is somewhat less than expected for this point in time and restorative action will be necessary if the objective is to be achieved. Close performance monitoring is recommended.</w:t>
      </w:r>
    </w:p>
    <w:p w:rsidR="00AF0459" w:rsidRPr="00446A1A" w:rsidRDefault="00AF0459" w:rsidP="00921833">
      <w:pPr>
        <w:pStyle w:val="Note"/>
        <w:rPr>
          <w:sz w:val="16"/>
          <w:szCs w:val="16"/>
        </w:rPr>
      </w:pPr>
      <w:r w:rsidRPr="00446A1A">
        <w:rPr>
          <w:color w:val="FF0000"/>
          <w:sz w:val="16"/>
          <w:szCs w:val="16"/>
        </w:rPr>
        <w:sym w:font="Webdings" w:char="F067"/>
      </w:r>
      <w:r w:rsidRPr="00446A1A">
        <w:rPr>
          <w:sz w:val="16"/>
          <w:szCs w:val="16"/>
        </w:rPr>
        <w:t> </w:t>
      </w:r>
      <w:r w:rsidRPr="00446A1A">
        <w:rPr>
          <w:sz w:val="16"/>
          <w:szCs w:val="16"/>
        </w:rPr>
        <w:t xml:space="preserve"> Red. Progress is significantly less than expected for this point in time and the objective is not likely to be met given available resources and priorities. Recasting the objective may be required.</w:t>
      </w:r>
    </w:p>
    <w:p w:rsidR="00AF5161" w:rsidRPr="00237CCA" w:rsidRDefault="00AF5161" w:rsidP="00836739">
      <w:pPr>
        <w:pStyle w:val="Heading3"/>
        <w:numPr>
          <w:ilvl w:val="0"/>
          <w:numId w:val="0"/>
        </w:numPr>
        <w:jc w:val="both"/>
      </w:pPr>
      <w:r w:rsidRPr="00237CCA">
        <w:t>Objective 1—Increased equity of access to, and improved outcomes from, health and education services</w:t>
      </w:r>
    </w:p>
    <w:p w:rsidR="00AF5161" w:rsidRPr="00237CCA" w:rsidRDefault="00AF5161" w:rsidP="00836739">
      <w:pPr>
        <w:jc w:val="both"/>
        <w:rPr>
          <w:rFonts w:ascii="Franklin Gothic Book" w:hAnsi="Franklin Gothic Book"/>
          <w:i/>
          <w:sz w:val="21"/>
          <w:szCs w:val="21"/>
        </w:rPr>
      </w:pPr>
      <w:r w:rsidRPr="00237CCA">
        <w:rPr>
          <w:rFonts w:ascii="Franklin Gothic Book" w:hAnsi="Franklin Gothic Book"/>
          <w:i/>
          <w:sz w:val="21"/>
          <w:szCs w:val="21"/>
        </w:rPr>
        <w:t>Rating: green</w:t>
      </w:r>
    </w:p>
    <w:p w:rsidR="00AF5161" w:rsidRPr="00237CCA" w:rsidRDefault="00AF5161" w:rsidP="00836739">
      <w:pPr>
        <w:jc w:val="both"/>
        <w:rPr>
          <w:rFonts w:ascii="Franklin Gothic Book" w:hAnsi="Franklin Gothic Book"/>
          <w:i/>
          <w:sz w:val="21"/>
          <w:szCs w:val="21"/>
        </w:rPr>
      </w:pPr>
    </w:p>
    <w:p w:rsidR="00A834AC" w:rsidRPr="00237CCA" w:rsidRDefault="00A834AC" w:rsidP="00836739">
      <w:pPr>
        <w:jc w:val="both"/>
        <w:rPr>
          <w:rFonts w:ascii="Franklin Gothic Book" w:hAnsi="Franklin Gothic Book"/>
          <w:i/>
          <w:sz w:val="21"/>
          <w:szCs w:val="21"/>
        </w:rPr>
      </w:pPr>
      <w:r w:rsidRPr="00237CCA">
        <w:rPr>
          <w:rFonts w:ascii="Franklin Gothic Book" w:hAnsi="Franklin Gothic Book"/>
          <w:i/>
          <w:sz w:val="21"/>
          <w:szCs w:val="21"/>
        </w:rPr>
        <w:t xml:space="preserve">The rating is based on the assessment that Australia’s approach of working in partnership with other development partners and </w:t>
      </w:r>
      <w:r w:rsidR="00E57225">
        <w:rPr>
          <w:rFonts w:ascii="Franklin Gothic Book" w:hAnsi="Franklin Gothic Book"/>
          <w:i/>
          <w:sz w:val="21"/>
          <w:szCs w:val="21"/>
        </w:rPr>
        <w:t>the G</w:t>
      </w:r>
      <w:r w:rsidRPr="00237CCA">
        <w:rPr>
          <w:rFonts w:ascii="Franklin Gothic Book" w:hAnsi="Franklin Gothic Book"/>
          <w:i/>
          <w:sz w:val="21"/>
          <w:szCs w:val="21"/>
        </w:rPr>
        <w:t>overnment</w:t>
      </w:r>
      <w:r w:rsidR="000D6B44">
        <w:rPr>
          <w:rFonts w:ascii="Franklin Gothic Book" w:hAnsi="Franklin Gothic Book"/>
          <w:i/>
          <w:sz w:val="21"/>
          <w:szCs w:val="21"/>
        </w:rPr>
        <w:t xml:space="preserve"> of Banglad</w:t>
      </w:r>
      <w:r w:rsidR="00E57225">
        <w:rPr>
          <w:rFonts w:ascii="Franklin Gothic Book" w:hAnsi="Franklin Gothic Book"/>
          <w:i/>
          <w:sz w:val="21"/>
          <w:szCs w:val="21"/>
        </w:rPr>
        <w:t>e</w:t>
      </w:r>
      <w:r w:rsidR="000D6B44">
        <w:rPr>
          <w:rFonts w:ascii="Franklin Gothic Book" w:hAnsi="Franklin Gothic Book"/>
          <w:i/>
          <w:sz w:val="21"/>
          <w:szCs w:val="21"/>
        </w:rPr>
        <w:t>s</w:t>
      </w:r>
      <w:r w:rsidR="00E57225">
        <w:rPr>
          <w:rFonts w:ascii="Franklin Gothic Book" w:hAnsi="Franklin Gothic Book"/>
          <w:i/>
          <w:sz w:val="21"/>
          <w:szCs w:val="21"/>
        </w:rPr>
        <w:t>h</w:t>
      </w:r>
      <w:r w:rsidRPr="00237CCA">
        <w:rPr>
          <w:rFonts w:ascii="Franklin Gothic Book" w:hAnsi="Franklin Gothic Book"/>
          <w:i/>
          <w:sz w:val="21"/>
          <w:szCs w:val="21"/>
        </w:rPr>
        <w:t xml:space="preserve"> to bring about systemic reform has led to good progress in some important elements of the education program</w:t>
      </w:r>
      <w:r w:rsidR="007A6116">
        <w:rPr>
          <w:rFonts w:ascii="Franklin Gothic Book" w:hAnsi="Franklin Gothic Book"/>
          <w:i/>
          <w:sz w:val="21"/>
          <w:szCs w:val="21"/>
        </w:rPr>
        <w:t xml:space="preserve">. Also </w:t>
      </w:r>
      <w:r w:rsidRPr="00237CCA">
        <w:rPr>
          <w:rFonts w:ascii="Franklin Gothic Book" w:hAnsi="Franklin Gothic Book"/>
          <w:i/>
          <w:sz w:val="21"/>
          <w:szCs w:val="21"/>
        </w:rPr>
        <w:t xml:space="preserve">that Australia’s partnership with BRAC, </w:t>
      </w:r>
      <w:r w:rsidR="00495D2C">
        <w:rPr>
          <w:rFonts w:ascii="Franklin Gothic Book" w:hAnsi="Franklin Gothic Book"/>
          <w:i/>
          <w:sz w:val="21"/>
          <w:szCs w:val="21"/>
        </w:rPr>
        <w:t>another important</w:t>
      </w:r>
      <w:r w:rsidRPr="00237CCA">
        <w:rPr>
          <w:rFonts w:ascii="Franklin Gothic Book" w:hAnsi="Franklin Gothic Book"/>
          <w:i/>
          <w:sz w:val="21"/>
          <w:szCs w:val="21"/>
        </w:rPr>
        <w:t xml:space="preserve"> contributor to this objective, continued to provide targeted health and education benefits at scale. </w:t>
      </w:r>
      <w:r>
        <w:rPr>
          <w:rFonts w:ascii="Franklin Gothic Book" w:hAnsi="Franklin Gothic Book"/>
          <w:i/>
          <w:sz w:val="21"/>
          <w:szCs w:val="21"/>
        </w:rPr>
        <w:t>A revis</w:t>
      </w:r>
      <w:r w:rsidR="00A475EE">
        <w:rPr>
          <w:rFonts w:ascii="Franklin Gothic Book" w:hAnsi="Franklin Gothic Book"/>
          <w:i/>
          <w:sz w:val="21"/>
          <w:szCs w:val="21"/>
        </w:rPr>
        <w:t>ion to the program’s budget</w:t>
      </w:r>
      <w:r w:rsidR="009B5743">
        <w:rPr>
          <w:rFonts w:ascii="Franklin Gothic Book" w:hAnsi="Franklin Gothic Book"/>
          <w:i/>
          <w:sz w:val="21"/>
          <w:szCs w:val="21"/>
        </w:rPr>
        <w:t xml:space="preserve"> that was anticipated </w:t>
      </w:r>
      <w:r>
        <w:rPr>
          <w:rFonts w:ascii="Franklin Gothic Book" w:hAnsi="Franklin Gothic Book"/>
          <w:i/>
          <w:sz w:val="21"/>
          <w:szCs w:val="21"/>
        </w:rPr>
        <w:t xml:space="preserve">and an imperative to consolidate our program </w:t>
      </w:r>
      <w:r w:rsidRPr="00237CCA">
        <w:rPr>
          <w:rFonts w:ascii="Franklin Gothic Book" w:hAnsi="Franklin Gothic Book"/>
          <w:i/>
          <w:sz w:val="21"/>
          <w:szCs w:val="21"/>
        </w:rPr>
        <w:t xml:space="preserve">led to a decision in </w:t>
      </w:r>
      <w:r>
        <w:rPr>
          <w:rFonts w:ascii="Franklin Gothic Book" w:hAnsi="Franklin Gothic Book"/>
          <w:i/>
          <w:sz w:val="21"/>
          <w:szCs w:val="21"/>
        </w:rPr>
        <w:t>early 2014</w:t>
      </w:r>
      <w:r w:rsidRPr="00237CCA">
        <w:rPr>
          <w:rFonts w:ascii="Franklin Gothic Book" w:hAnsi="Franklin Gothic Book"/>
          <w:i/>
          <w:sz w:val="21"/>
          <w:szCs w:val="21"/>
        </w:rPr>
        <w:t xml:space="preserve"> to withdraw from the </w:t>
      </w:r>
      <w:r>
        <w:rPr>
          <w:rFonts w:ascii="Franklin Gothic Book" w:hAnsi="Franklin Gothic Book"/>
          <w:i/>
          <w:sz w:val="21"/>
          <w:szCs w:val="21"/>
        </w:rPr>
        <w:t xml:space="preserve">Government’s </w:t>
      </w:r>
      <w:r w:rsidRPr="00237CCA">
        <w:rPr>
          <w:rFonts w:ascii="Franklin Gothic Book" w:hAnsi="Franklin Gothic Book"/>
          <w:i/>
          <w:sz w:val="21"/>
          <w:szCs w:val="21"/>
        </w:rPr>
        <w:t xml:space="preserve">health sector </w:t>
      </w:r>
      <w:r>
        <w:rPr>
          <w:rFonts w:ascii="Franklin Gothic Book" w:hAnsi="Franklin Gothic Book"/>
          <w:i/>
          <w:sz w:val="21"/>
          <w:szCs w:val="21"/>
        </w:rPr>
        <w:t>program.</w:t>
      </w:r>
      <w:r w:rsidRPr="00237CCA">
        <w:rPr>
          <w:rFonts w:ascii="Franklin Gothic Book" w:hAnsi="Franklin Gothic Book"/>
          <w:i/>
          <w:sz w:val="21"/>
          <w:szCs w:val="21"/>
        </w:rPr>
        <w:t xml:space="preserve"> </w:t>
      </w:r>
      <w:r>
        <w:rPr>
          <w:rFonts w:ascii="Franklin Gothic Book" w:hAnsi="Franklin Gothic Book"/>
          <w:i/>
          <w:sz w:val="21"/>
          <w:szCs w:val="21"/>
        </w:rPr>
        <w:t xml:space="preserve">Although the local political and security environment generated operational and policy reform challenges, these </w:t>
      </w:r>
      <w:r w:rsidR="00495D2C">
        <w:rPr>
          <w:rFonts w:ascii="Franklin Gothic Book" w:hAnsi="Franklin Gothic Book"/>
          <w:i/>
          <w:sz w:val="21"/>
          <w:szCs w:val="21"/>
        </w:rPr>
        <w:t xml:space="preserve">had also </w:t>
      </w:r>
      <w:r>
        <w:rPr>
          <w:rFonts w:ascii="Franklin Gothic Book" w:hAnsi="Franklin Gothic Book"/>
          <w:i/>
          <w:sz w:val="21"/>
          <w:szCs w:val="21"/>
        </w:rPr>
        <w:t>been anticipated and progress was better than expected given the environment</w:t>
      </w:r>
      <w:r w:rsidR="007A6116">
        <w:rPr>
          <w:rFonts w:ascii="Franklin Gothic Book" w:hAnsi="Franklin Gothic Book"/>
          <w:i/>
          <w:sz w:val="21"/>
          <w:szCs w:val="21"/>
        </w:rPr>
        <w:t>. T</w:t>
      </w:r>
      <w:r>
        <w:rPr>
          <w:rFonts w:ascii="Franklin Gothic Book" w:hAnsi="Franklin Gothic Book"/>
          <w:i/>
          <w:sz w:val="21"/>
          <w:szCs w:val="21"/>
        </w:rPr>
        <w:t>he trajectory of change overall was positive.</w:t>
      </w:r>
    </w:p>
    <w:p w:rsidR="00A624E2" w:rsidRDefault="00A624E2" w:rsidP="00836739">
      <w:pPr>
        <w:jc w:val="both"/>
        <w:rPr>
          <w:rFonts w:ascii="Franklin Gothic Book" w:hAnsi="Franklin Gothic Book"/>
          <w:sz w:val="21"/>
          <w:szCs w:val="21"/>
        </w:rPr>
      </w:pPr>
    </w:p>
    <w:p w:rsidR="00AF5161" w:rsidRPr="00237CCA" w:rsidRDefault="00A834AC" w:rsidP="00836739">
      <w:pPr>
        <w:jc w:val="both"/>
        <w:rPr>
          <w:rFonts w:ascii="Franklin Gothic Book" w:hAnsi="Franklin Gothic Book"/>
          <w:sz w:val="21"/>
          <w:szCs w:val="21"/>
        </w:rPr>
      </w:pPr>
      <w:r w:rsidRPr="00237CCA">
        <w:rPr>
          <w:rFonts w:ascii="Franklin Gothic Book" w:hAnsi="Franklin Gothic Book"/>
          <w:sz w:val="21"/>
          <w:szCs w:val="21"/>
        </w:rPr>
        <w:t xml:space="preserve">Analysis </w:t>
      </w:r>
      <w:r w:rsidR="00A475EE">
        <w:rPr>
          <w:rFonts w:ascii="Franklin Gothic Book" w:hAnsi="Franklin Gothic Book"/>
          <w:sz w:val="21"/>
          <w:szCs w:val="21"/>
        </w:rPr>
        <w:t xml:space="preserve">of </w:t>
      </w:r>
      <w:r w:rsidRPr="00237CCA">
        <w:rPr>
          <w:rFonts w:ascii="Franklin Gothic Book" w:hAnsi="Franklin Gothic Book"/>
          <w:sz w:val="21"/>
          <w:szCs w:val="21"/>
        </w:rPr>
        <w:t>structural inequalities underpinned Australian priorities for systems strengthening in education in 2013</w:t>
      </w:r>
      <w:r w:rsidRPr="00237CCA">
        <w:rPr>
          <w:rFonts w:ascii="Franklin Gothic Book" w:hAnsi="Franklin Gothic Book"/>
          <w:sz w:val="21"/>
          <w:szCs w:val="21"/>
        </w:rPr>
        <w:noBreakHyphen/>
        <w:t>14</w:t>
      </w:r>
      <w:r>
        <w:rPr>
          <w:rFonts w:ascii="Franklin Gothic Book" w:hAnsi="Franklin Gothic Book"/>
          <w:sz w:val="21"/>
          <w:szCs w:val="21"/>
        </w:rPr>
        <w:t>,</w:t>
      </w:r>
      <w:r w:rsidR="001A6766">
        <w:rPr>
          <w:rFonts w:ascii="Franklin Gothic Book" w:hAnsi="Franklin Gothic Book"/>
          <w:sz w:val="21"/>
          <w:szCs w:val="21"/>
        </w:rPr>
        <w:t xml:space="preserve"> which</w:t>
      </w:r>
      <w:r>
        <w:rPr>
          <w:rFonts w:ascii="Franklin Gothic Book" w:hAnsi="Franklin Gothic Book"/>
          <w:sz w:val="21"/>
          <w:szCs w:val="21"/>
        </w:rPr>
        <w:t xml:space="preserve"> focussed on:</w:t>
      </w:r>
      <w:r w:rsidR="00AF5161" w:rsidRPr="00237CCA">
        <w:rPr>
          <w:rFonts w:ascii="Franklin Gothic Book" w:hAnsi="Franklin Gothic Book"/>
          <w:sz w:val="21"/>
          <w:szCs w:val="21"/>
        </w:rPr>
        <w:t xml:space="preserve"> </w:t>
      </w:r>
    </w:p>
    <w:p w:rsidR="00AF5161" w:rsidRPr="00237CCA" w:rsidRDefault="009070DE" w:rsidP="00921833">
      <w:pPr>
        <w:pStyle w:val="ListParagraph"/>
        <w:numPr>
          <w:ilvl w:val="0"/>
          <w:numId w:val="3"/>
        </w:numPr>
        <w:rPr>
          <w:rFonts w:ascii="Franklin Gothic Book" w:eastAsia="SimSun" w:hAnsi="Franklin Gothic Book" w:cs="Times New Roman"/>
          <w:sz w:val="21"/>
          <w:szCs w:val="21"/>
          <w:lang w:val="en-AU" w:eastAsia="en-AU"/>
        </w:rPr>
      </w:pPr>
      <w:r>
        <w:rPr>
          <w:rFonts w:ascii="Franklin Gothic Book" w:eastAsia="SimSun" w:hAnsi="Franklin Gothic Book" w:cs="Times New Roman"/>
          <w:sz w:val="21"/>
          <w:szCs w:val="21"/>
          <w:lang w:val="en-AU" w:eastAsia="en-AU"/>
        </w:rPr>
        <w:t xml:space="preserve">new forms of teacher training and new </w:t>
      </w:r>
      <w:r w:rsidR="0076484E">
        <w:rPr>
          <w:rFonts w:ascii="Franklin Gothic Book" w:eastAsia="SimSun" w:hAnsi="Franklin Gothic Book" w:cs="Times New Roman"/>
          <w:sz w:val="21"/>
          <w:szCs w:val="21"/>
          <w:lang w:val="en-AU" w:eastAsia="en-AU"/>
        </w:rPr>
        <w:t xml:space="preserve">learning assessment </w:t>
      </w:r>
      <w:r>
        <w:rPr>
          <w:rFonts w:ascii="Franklin Gothic Book" w:eastAsia="SimSun" w:hAnsi="Franklin Gothic Book" w:cs="Times New Roman"/>
          <w:sz w:val="21"/>
          <w:szCs w:val="21"/>
          <w:lang w:val="en-AU" w:eastAsia="en-AU"/>
        </w:rPr>
        <w:t>methods to assist</w:t>
      </w:r>
      <w:r w:rsidR="0076484E">
        <w:rPr>
          <w:rFonts w:ascii="Franklin Gothic Book" w:eastAsia="SimSun" w:hAnsi="Franklin Gothic Book" w:cs="Times New Roman"/>
          <w:sz w:val="21"/>
          <w:szCs w:val="21"/>
          <w:lang w:val="en-AU" w:eastAsia="en-AU"/>
        </w:rPr>
        <w:t xml:space="preserve"> teachers and policy makers </w:t>
      </w:r>
      <w:r>
        <w:rPr>
          <w:rFonts w:ascii="Franklin Gothic Book" w:eastAsia="SimSun" w:hAnsi="Franklin Gothic Book" w:cs="Times New Roman"/>
          <w:sz w:val="21"/>
          <w:szCs w:val="21"/>
          <w:lang w:val="en-AU" w:eastAsia="en-AU"/>
        </w:rPr>
        <w:t>to make more efficient and effective use of the limited resources available for education quality improvements</w:t>
      </w:r>
    </w:p>
    <w:p w:rsidR="00AF5161" w:rsidRPr="00237CCA" w:rsidRDefault="00AF5161" w:rsidP="00921833">
      <w:pPr>
        <w:pStyle w:val="ListParagraph"/>
        <w:numPr>
          <w:ilvl w:val="0"/>
          <w:numId w:val="3"/>
        </w:numPr>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non-formal education to pick up children who drop out or never enrol</w:t>
      </w:r>
    </w:p>
    <w:p w:rsidR="00AF5161" w:rsidRPr="00237CCA" w:rsidRDefault="00AF5161" w:rsidP="00921833">
      <w:pPr>
        <w:pStyle w:val="ListParagraph"/>
        <w:numPr>
          <w:ilvl w:val="0"/>
          <w:numId w:val="3"/>
        </w:numPr>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 xml:space="preserve">promotion of a new health financing strategy to reduce vulnerability </w:t>
      </w:r>
      <w:r w:rsidR="00D8105D">
        <w:rPr>
          <w:rFonts w:ascii="Franklin Gothic Book" w:eastAsia="SimSun" w:hAnsi="Franklin Gothic Book" w:cs="Times New Roman"/>
          <w:sz w:val="21"/>
          <w:szCs w:val="21"/>
          <w:lang w:val="en-AU" w:eastAsia="en-AU"/>
        </w:rPr>
        <w:t>of</w:t>
      </w:r>
      <w:r w:rsidR="00D8105D" w:rsidRPr="00237CCA">
        <w:rPr>
          <w:rFonts w:ascii="Franklin Gothic Book" w:eastAsia="SimSun" w:hAnsi="Franklin Gothic Book" w:cs="Times New Roman"/>
          <w:sz w:val="21"/>
          <w:szCs w:val="21"/>
          <w:lang w:val="en-AU" w:eastAsia="en-AU"/>
        </w:rPr>
        <w:t xml:space="preserve"> </w:t>
      </w:r>
      <w:r w:rsidRPr="00237CCA">
        <w:rPr>
          <w:rFonts w:ascii="Franklin Gothic Book" w:eastAsia="SimSun" w:hAnsi="Franklin Gothic Book" w:cs="Times New Roman"/>
          <w:sz w:val="21"/>
          <w:szCs w:val="21"/>
          <w:lang w:val="en-AU" w:eastAsia="en-AU"/>
        </w:rPr>
        <w:t>the poorest families</w:t>
      </w:r>
      <w:r w:rsidR="00D8105D">
        <w:rPr>
          <w:rFonts w:ascii="Franklin Gothic Book" w:eastAsia="SimSun" w:hAnsi="Franklin Gothic Book" w:cs="Times New Roman"/>
          <w:sz w:val="21"/>
          <w:szCs w:val="21"/>
          <w:lang w:val="en-AU" w:eastAsia="en-AU"/>
        </w:rPr>
        <w:t xml:space="preserve"> from health shocks</w:t>
      </w:r>
    </w:p>
    <w:p w:rsidR="00AF5161" w:rsidRPr="00237CCA" w:rsidRDefault="00AF5161" w:rsidP="00921833">
      <w:pPr>
        <w:pStyle w:val="ListParagraph"/>
        <w:numPr>
          <w:ilvl w:val="0"/>
          <w:numId w:val="3"/>
        </w:numPr>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 xml:space="preserve">promotion of the benefits of decentralisation and community engagement in health services based on </w:t>
      </w:r>
      <w:r w:rsidR="00D8105D">
        <w:rPr>
          <w:rFonts w:ascii="Franklin Gothic Book" w:eastAsia="SimSun" w:hAnsi="Franklin Gothic Book" w:cs="Times New Roman"/>
          <w:sz w:val="21"/>
          <w:szCs w:val="21"/>
          <w:lang w:val="en-AU" w:eastAsia="en-AU"/>
        </w:rPr>
        <w:t xml:space="preserve">evidence from </w:t>
      </w:r>
      <w:r w:rsidRPr="00237CCA">
        <w:rPr>
          <w:rFonts w:ascii="Franklin Gothic Book" w:eastAsia="SimSun" w:hAnsi="Franklin Gothic Book" w:cs="Times New Roman"/>
          <w:sz w:val="21"/>
          <w:szCs w:val="21"/>
          <w:lang w:val="en-AU" w:eastAsia="en-AU"/>
        </w:rPr>
        <w:t>Australian-funded research</w:t>
      </w:r>
      <w:r w:rsidR="00C51F8F">
        <w:rPr>
          <w:rFonts w:ascii="Franklin Gothic Book" w:eastAsia="SimSun" w:hAnsi="Franklin Gothic Book" w:cs="Times New Roman"/>
          <w:sz w:val="21"/>
          <w:szCs w:val="21"/>
          <w:lang w:val="en-AU" w:eastAsia="en-AU"/>
        </w:rPr>
        <w:t>.</w:t>
      </w:r>
    </w:p>
    <w:p w:rsidR="00AF5161" w:rsidRPr="00237CCA" w:rsidRDefault="00AF5161" w:rsidP="00836739">
      <w:pPr>
        <w:jc w:val="both"/>
        <w:rPr>
          <w:rFonts w:ascii="Franklin Gothic Book" w:hAnsi="Franklin Gothic Book"/>
          <w:sz w:val="21"/>
          <w:szCs w:val="21"/>
        </w:rPr>
      </w:pPr>
    </w:p>
    <w:p w:rsidR="00AF5161" w:rsidRPr="00237CCA" w:rsidRDefault="00386845" w:rsidP="00836739">
      <w:pPr>
        <w:jc w:val="both"/>
        <w:rPr>
          <w:rFonts w:ascii="Franklin Gothic Book" w:hAnsi="Franklin Gothic Book"/>
          <w:sz w:val="21"/>
          <w:szCs w:val="21"/>
        </w:rPr>
      </w:pPr>
      <w:r>
        <w:rPr>
          <w:rFonts w:ascii="Franklin Gothic Book" w:hAnsi="Franklin Gothic Book"/>
          <w:sz w:val="21"/>
          <w:szCs w:val="21"/>
        </w:rPr>
        <w:t xml:space="preserve">Australia </w:t>
      </w:r>
      <w:r w:rsidR="00AF5161" w:rsidRPr="00237CCA">
        <w:rPr>
          <w:rFonts w:ascii="Franklin Gothic Book" w:hAnsi="Franklin Gothic Book"/>
          <w:sz w:val="21"/>
          <w:szCs w:val="21"/>
        </w:rPr>
        <w:t>also beg</w:t>
      </w:r>
      <w:r w:rsidR="007A6116">
        <w:rPr>
          <w:rFonts w:ascii="Franklin Gothic Book" w:hAnsi="Franklin Gothic Book"/>
          <w:sz w:val="21"/>
          <w:szCs w:val="21"/>
        </w:rPr>
        <w:t>a</w:t>
      </w:r>
      <w:r w:rsidR="00AF5161" w:rsidRPr="00237CCA">
        <w:rPr>
          <w:rFonts w:ascii="Franklin Gothic Book" w:hAnsi="Franklin Gothic Book"/>
          <w:sz w:val="21"/>
          <w:szCs w:val="21"/>
        </w:rPr>
        <w:t xml:space="preserve">n to </w:t>
      </w:r>
      <w:r w:rsidR="007A6116">
        <w:rPr>
          <w:rFonts w:ascii="Franklin Gothic Book" w:hAnsi="Franklin Gothic Book"/>
          <w:sz w:val="21"/>
          <w:szCs w:val="21"/>
        </w:rPr>
        <w:t xml:space="preserve">consider </w:t>
      </w:r>
      <w:r w:rsidR="00C856D7">
        <w:rPr>
          <w:rFonts w:ascii="Franklin Gothic Book" w:hAnsi="Franklin Gothic Book"/>
          <w:sz w:val="21"/>
          <w:szCs w:val="21"/>
        </w:rPr>
        <w:t>how we can better support changes to</w:t>
      </w:r>
      <w:r w:rsidR="00AF5161" w:rsidRPr="00237CCA">
        <w:rPr>
          <w:rFonts w:ascii="Franklin Gothic Book" w:hAnsi="Franklin Gothic Book"/>
          <w:sz w:val="21"/>
          <w:szCs w:val="21"/>
        </w:rPr>
        <w:t xml:space="preserve"> the way that the education system is preparing girls for employment</w:t>
      </w:r>
      <w:r>
        <w:rPr>
          <w:rFonts w:ascii="Franklin Gothic Book" w:hAnsi="Franklin Gothic Book"/>
          <w:sz w:val="21"/>
          <w:szCs w:val="21"/>
        </w:rPr>
        <w:t>. A</w:t>
      </w:r>
      <w:r w:rsidR="00AF5161" w:rsidRPr="00237CCA">
        <w:rPr>
          <w:rFonts w:ascii="Franklin Gothic Book" w:hAnsi="Franklin Gothic Book"/>
          <w:sz w:val="21"/>
          <w:szCs w:val="21"/>
        </w:rPr>
        <w:t>lthough women are increasingly part of the work force</w:t>
      </w:r>
      <w:r w:rsidR="00D80E98" w:rsidRPr="00237CCA">
        <w:rPr>
          <w:rFonts w:ascii="Franklin Gothic Book" w:hAnsi="Franklin Gothic Book"/>
          <w:sz w:val="21"/>
          <w:szCs w:val="21"/>
        </w:rPr>
        <w:t>,</w:t>
      </w:r>
      <w:r w:rsidR="00AF5161" w:rsidRPr="00237CCA">
        <w:rPr>
          <w:rFonts w:ascii="Franklin Gothic Book" w:hAnsi="Franklin Gothic Book"/>
          <w:sz w:val="21"/>
          <w:szCs w:val="21"/>
        </w:rPr>
        <w:t xml:space="preserve"> they are poorly paid and insufficiently protected in comparison to men. </w:t>
      </w:r>
    </w:p>
    <w:p w:rsidR="00AF5161" w:rsidRPr="00237CCA" w:rsidRDefault="00AF5161" w:rsidP="00836739">
      <w:pPr>
        <w:jc w:val="both"/>
        <w:rPr>
          <w:rFonts w:ascii="Franklin Gothic Book" w:hAnsi="Franklin Gothic Book"/>
          <w:sz w:val="21"/>
          <w:szCs w:val="21"/>
        </w:rPr>
      </w:pPr>
    </w:p>
    <w:p w:rsidR="00AF5161" w:rsidRPr="00237CCA" w:rsidRDefault="00AF5161" w:rsidP="00836739">
      <w:pPr>
        <w:jc w:val="both"/>
        <w:rPr>
          <w:rFonts w:ascii="Franklin Gothic Book" w:hAnsi="Franklin Gothic Book"/>
          <w:i/>
          <w:sz w:val="21"/>
          <w:szCs w:val="21"/>
        </w:rPr>
      </w:pPr>
      <w:r w:rsidRPr="00237CCA">
        <w:rPr>
          <w:rFonts w:ascii="Franklin Gothic Book" w:hAnsi="Franklin Gothic Book"/>
          <w:b/>
          <w:sz w:val="21"/>
          <w:szCs w:val="21"/>
        </w:rPr>
        <w:lastRenderedPageBreak/>
        <w:t xml:space="preserve">Results in the education program show that working through partnerships with </w:t>
      </w:r>
      <w:r w:rsidR="000D6B44">
        <w:rPr>
          <w:rFonts w:ascii="Franklin Gothic Book" w:hAnsi="Franklin Gothic Book"/>
          <w:b/>
          <w:sz w:val="21"/>
          <w:szCs w:val="21"/>
        </w:rPr>
        <w:t xml:space="preserve">the </w:t>
      </w:r>
      <w:r w:rsidRPr="00237CCA">
        <w:rPr>
          <w:rFonts w:ascii="Franklin Gothic Book" w:hAnsi="Franklin Gothic Book"/>
          <w:b/>
          <w:sz w:val="21"/>
          <w:szCs w:val="21"/>
        </w:rPr>
        <w:t>Government</w:t>
      </w:r>
      <w:r w:rsidR="000D6B44">
        <w:rPr>
          <w:rFonts w:ascii="Franklin Gothic Book" w:hAnsi="Franklin Gothic Book"/>
          <w:b/>
          <w:sz w:val="21"/>
          <w:szCs w:val="21"/>
        </w:rPr>
        <w:t xml:space="preserve"> of Bangladesh</w:t>
      </w:r>
      <w:r w:rsidRPr="00237CCA">
        <w:rPr>
          <w:rFonts w:ascii="Franklin Gothic Book" w:hAnsi="Franklin Gothic Book"/>
          <w:b/>
          <w:sz w:val="21"/>
          <w:szCs w:val="21"/>
        </w:rPr>
        <w:t xml:space="preserve"> and other development partners can produce large scale change, although progress is slow.</w:t>
      </w:r>
      <w:r w:rsidR="00B9172B">
        <w:rPr>
          <w:rFonts w:ascii="Franklin Gothic Book" w:hAnsi="Franklin Gothic Book"/>
          <w:b/>
          <w:sz w:val="21"/>
          <w:szCs w:val="21"/>
        </w:rPr>
        <w:t xml:space="preserve"> </w:t>
      </w:r>
      <w:r w:rsidR="00B9172B" w:rsidRPr="00836739">
        <w:rPr>
          <w:rFonts w:ascii="Franklin Gothic Book" w:hAnsi="Franklin Gothic Book"/>
          <w:sz w:val="21"/>
          <w:szCs w:val="21"/>
        </w:rPr>
        <w:t>With an ambitio</w:t>
      </w:r>
      <w:r w:rsidR="00B9172B">
        <w:rPr>
          <w:rFonts w:ascii="Franklin Gothic Book" w:hAnsi="Franklin Gothic Book"/>
          <w:sz w:val="21"/>
          <w:szCs w:val="21"/>
        </w:rPr>
        <w:t xml:space="preserve">us agenda to become a middle income country by 2021, Bangladesh is largely financing its education responsibilities from its own resources. The </w:t>
      </w:r>
      <w:r w:rsidR="000D6B44">
        <w:rPr>
          <w:rFonts w:ascii="Franklin Gothic Book" w:hAnsi="Franklin Gothic Book"/>
          <w:sz w:val="21"/>
          <w:szCs w:val="21"/>
        </w:rPr>
        <w:t>G</w:t>
      </w:r>
      <w:r w:rsidR="00B9172B">
        <w:rPr>
          <w:rFonts w:ascii="Franklin Gothic Book" w:hAnsi="Franklin Gothic Book"/>
          <w:sz w:val="21"/>
          <w:szCs w:val="21"/>
        </w:rPr>
        <w:t>overnment</w:t>
      </w:r>
      <w:r w:rsidR="000D6B44">
        <w:rPr>
          <w:rFonts w:ascii="Franklin Gothic Book" w:hAnsi="Franklin Gothic Book"/>
          <w:sz w:val="21"/>
          <w:szCs w:val="21"/>
        </w:rPr>
        <w:t xml:space="preserve"> of Bangladesh</w:t>
      </w:r>
      <w:r w:rsidR="00B9172B">
        <w:rPr>
          <w:rFonts w:ascii="Franklin Gothic Book" w:hAnsi="Franklin Gothic Book"/>
          <w:sz w:val="21"/>
          <w:szCs w:val="21"/>
        </w:rPr>
        <w:t xml:space="preserve">’s </w:t>
      </w:r>
      <w:r w:rsidR="008655A0">
        <w:rPr>
          <w:rFonts w:ascii="Franklin Gothic Book" w:hAnsi="Franklin Gothic Book"/>
          <w:sz w:val="21"/>
          <w:szCs w:val="21"/>
        </w:rPr>
        <w:t>USD 8.3 billion primary education program is 85 per</w:t>
      </w:r>
      <w:r w:rsidR="003637C5">
        <w:rPr>
          <w:rFonts w:ascii="Franklin Gothic Book" w:hAnsi="Franklin Gothic Book"/>
          <w:sz w:val="21"/>
          <w:szCs w:val="21"/>
        </w:rPr>
        <w:t xml:space="preserve"> </w:t>
      </w:r>
      <w:r w:rsidR="008655A0">
        <w:rPr>
          <w:rFonts w:ascii="Franklin Gothic Book" w:hAnsi="Franklin Gothic Book"/>
          <w:sz w:val="21"/>
          <w:szCs w:val="21"/>
        </w:rPr>
        <w:t>cent government funded and s</w:t>
      </w:r>
      <w:r w:rsidR="00B9172B">
        <w:rPr>
          <w:rFonts w:ascii="Franklin Gothic Book" w:hAnsi="Franklin Gothic Book"/>
          <w:sz w:val="21"/>
          <w:szCs w:val="21"/>
        </w:rPr>
        <w:t xml:space="preserve">upports over 100,000 schools with 20 million children </w:t>
      </w:r>
      <w:r w:rsidR="00B9172B" w:rsidRPr="00C51F8F">
        <w:rPr>
          <w:rFonts w:ascii="Franklin Gothic Book" w:hAnsi="Franklin Gothic Book"/>
          <w:sz w:val="21"/>
          <w:szCs w:val="21"/>
        </w:rPr>
        <w:t xml:space="preserve">in grades one through five. </w:t>
      </w:r>
      <w:r w:rsidR="00EE0C32" w:rsidRPr="00C51F8F">
        <w:rPr>
          <w:rFonts w:ascii="Franklin Gothic Book" w:hAnsi="Franklin Gothic Book"/>
          <w:sz w:val="21"/>
          <w:szCs w:val="21"/>
        </w:rPr>
        <w:t>However, there is a lack of local technical capacity to ensure that the program’s services are planned and delivered efficiently and effectively.</w:t>
      </w:r>
      <w:r w:rsidR="00C83449" w:rsidRPr="00C51F8F">
        <w:rPr>
          <w:rFonts w:ascii="Franklin Gothic Book" w:hAnsi="Franklin Gothic Book"/>
          <w:sz w:val="21"/>
          <w:szCs w:val="21"/>
        </w:rPr>
        <w:t xml:space="preserve"> </w:t>
      </w:r>
      <w:r w:rsidR="00C83449" w:rsidRPr="006C29D6">
        <w:rPr>
          <w:rFonts w:ascii="Franklin Gothic Book" w:hAnsi="Franklin Gothic Book"/>
          <w:sz w:val="21"/>
          <w:szCs w:val="21"/>
        </w:rPr>
        <w:t>To promote reform</w:t>
      </w:r>
      <w:r w:rsidR="00AC1586" w:rsidRPr="006C29D6">
        <w:rPr>
          <w:rFonts w:ascii="Franklin Gothic Book" w:hAnsi="Franklin Gothic Book"/>
          <w:sz w:val="21"/>
          <w:szCs w:val="21"/>
        </w:rPr>
        <w:t xml:space="preserve"> and reward performance</w:t>
      </w:r>
      <w:r w:rsidR="00C83449" w:rsidRPr="006C29D6">
        <w:rPr>
          <w:rFonts w:ascii="Franklin Gothic Book" w:hAnsi="Franklin Gothic Book"/>
          <w:sz w:val="21"/>
          <w:szCs w:val="21"/>
        </w:rPr>
        <w:t>, t</w:t>
      </w:r>
      <w:r w:rsidR="00EE0C32" w:rsidRPr="006C29D6">
        <w:rPr>
          <w:rFonts w:ascii="Franklin Gothic Book" w:hAnsi="Franklin Gothic Book"/>
          <w:sz w:val="21"/>
          <w:szCs w:val="21"/>
        </w:rPr>
        <w:t xml:space="preserve">he program </w:t>
      </w:r>
      <w:r w:rsidR="00C83449" w:rsidRPr="006C29D6">
        <w:rPr>
          <w:rFonts w:ascii="Franklin Gothic Book" w:hAnsi="Franklin Gothic Book"/>
          <w:sz w:val="21"/>
          <w:szCs w:val="21"/>
        </w:rPr>
        <w:t>follows</w:t>
      </w:r>
      <w:r w:rsidR="00EE0C32" w:rsidRPr="006C29D6">
        <w:rPr>
          <w:rFonts w:ascii="Franklin Gothic Book" w:hAnsi="Franklin Gothic Book"/>
          <w:sz w:val="21"/>
          <w:szCs w:val="21"/>
        </w:rPr>
        <w:t xml:space="preserve"> </w:t>
      </w:r>
      <w:r w:rsidR="00C83449" w:rsidRPr="006C29D6">
        <w:rPr>
          <w:rFonts w:ascii="Franklin Gothic Book" w:hAnsi="Franklin Gothic Book"/>
          <w:sz w:val="21"/>
          <w:szCs w:val="21"/>
        </w:rPr>
        <w:t>a ‘cash on delivery’ model based on the achievement of results</w:t>
      </w:r>
      <w:r w:rsidR="00EE0C32" w:rsidRPr="006C29D6">
        <w:rPr>
          <w:rFonts w:ascii="Franklin Gothic Book" w:hAnsi="Franklin Gothic Book"/>
          <w:sz w:val="21"/>
          <w:szCs w:val="21"/>
        </w:rPr>
        <w:t>.</w:t>
      </w:r>
      <w:r w:rsidR="00C83449" w:rsidRPr="00C51F8F">
        <w:rPr>
          <w:rFonts w:ascii="Franklin Gothic Book" w:hAnsi="Franklin Gothic Book"/>
          <w:sz w:val="21"/>
          <w:szCs w:val="21"/>
        </w:rPr>
        <w:t xml:space="preserve"> </w:t>
      </w:r>
      <w:r w:rsidR="00492145" w:rsidRPr="00C51F8F">
        <w:rPr>
          <w:rFonts w:ascii="Franklin Gothic Book" w:hAnsi="Franklin Gothic Book"/>
          <w:sz w:val="21"/>
          <w:szCs w:val="21"/>
        </w:rPr>
        <w:t>Forty-two per</w:t>
      </w:r>
      <w:r w:rsidR="003637C5" w:rsidRPr="00C51F8F">
        <w:rPr>
          <w:rFonts w:ascii="Franklin Gothic Book" w:hAnsi="Franklin Gothic Book"/>
          <w:sz w:val="21"/>
          <w:szCs w:val="21"/>
        </w:rPr>
        <w:t xml:space="preserve"> </w:t>
      </w:r>
      <w:r w:rsidR="00492145" w:rsidRPr="00C51F8F">
        <w:rPr>
          <w:rFonts w:ascii="Franklin Gothic Book" w:hAnsi="Franklin Gothic Book"/>
          <w:sz w:val="21"/>
          <w:szCs w:val="21"/>
        </w:rPr>
        <w:t>cent of Australia’s aid investment in Bangladesh is in education (excluding scholarships). Commensurate with the scale of this investment, Australia has been</w:t>
      </w:r>
      <w:r w:rsidR="00492145">
        <w:rPr>
          <w:rFonts w:ascii="Franklin Gothic Book" w:hAnsi="Franklin Gothic Book"/>
          <w:sz w:val="21"/>
          <w:szCs w:val="21"/>
        </w:rPr>
        <w:t xml:space="preserve"> playing a lead role in education policy advocacy and reform</w:t>
      </w:r>
      <w:r w:rsidR="007A6116">
        <w:rPr>
          <w:rFonts w:ascii="Franklin Gothic Book" w:hAnsi="Franklin Gothic Book"/>
          <w:sz w:val="21"/>
          <w:szCs w:val="21"/>
        </w:rPr>
        <w:t xml:space="preserve">. </w:t>
      </w:r>
      <w:r w:rsidRPr="00237CCA">
        <w:rPr>
          <w:rFonts w:ascii="Franklin Gothic Book" w:hAnsi="Franklin Gothic Book"/>
          <w:sz w:val="21"/>
          <w:szCs w:val="21"/>
        </w:rPr>
        <w:t xml:space="preserve">Achievements in the education program linked </w:t>
      </w:r>
      <w:r w:rsidR="00D80E98" w:rsidRPr="00237CCA">
        <w:rPr>
          <w:rFonts w:ascii="Franklin Gothic Book" w:hAnsi="Franklin Gothic Book"/>
          <w:sz w:val="21"/>
          <w:szCs w:val="21"/>
        </w:rPr>
        <w:t xml:space="preserve">directly </w:t>
      </w:r>
      <w:r w:rsidRPr="00237CCA">
        <w:rPr>
          <w:rFonts w:ascii="Franklin Gothic Book" w:hAnsi="Franklin Gothic Book"/>
          <w:sz w:val="21"/>
          <w:szCs w:val="21"/>
        </w:rPr>
        <w:t>to Australia’s</w:t>
      </w:r>
      <w:r w:rsidR="00B227F7">
        <w:rPr>
          <w:rFonts w:ascii="Franklin Gothic Book" w:hAnsi="Franklin Gothic Book"/>
          <w:sz w:val="21"/>
          <w:szCs w:val="21"/>
        </w:rPr>
        <w:t xml:space="preserve"> funding, </w:t>
      </w:r>
      <w:r w:rsidR="003A0343">
        <w:rPr>
          <w:rFonts w:ascii="Franklin Gothic Book" w:hAnsi="Franklin Gothic Book"/>
          <w:sz w:val="21"/>
          <w:szCs w:val="21"/>
        </w:rPr>
        <w:t>policy advocacy and technical advice</w:t>
      </w:r>
      <w:r w:rsidR="00620501">
        <w:rPr>
          <w:rFonts w:ascii="Franklin Gothic Book" w:hAnsi="Franklin Gothic Book"/>
          <w:sz w:val="21"/>
          <w:szCs w:val="21"/>
        </w:rPr>
        <w:t xml:space="preserve"> </w:t>
      </w:r>
      <w:r w:rsidR="008655A0">
        <w:rPr>
          <w:rFonts w:ascii="Franklin Gothic Book" w:hAnsi="Franklin Gothic Book"/>
          <w:sz w:val="21"/>
          <w:szCs w:val="21"/>
        </w:rPr>
        <w:t xml:space="preserve">in </w:t>
      </w:r>
      <w:r w:rsidR="0086772E">
        <w:rPr>
          <w:rFonts w:ascii="Franklin Gothic Book" w:hAnsi="Franklin Gothic Book"/>
          <w:sz w:val="21"/>
          <w:szCs w:val="21"/>
        </w:rPr>
        <w:t>20</w:t>
      </w:r>
      <w:r w:rsidR="008655A0">
        <w:rPr>
          <w:rFonts w:ascii="Franklin Gothic Book" w:hAnsi="Franklin Gothic Book"/>
          <w:sz w:val="21"/>
          <w:szCs w:val="21"/>
        </w:rPr>
        <w:t>13</w:t>
      </w:r>
      <w:r w:rsidR="000D6B44">
        <w:rPr>
          <w:rFonts w:ascii="Franklin Gothic Book" w:hAnsi="Franklin Gothic Book"/>
          <w:sz w:val="21"/>
          <w:szCs w:val="21"/>
        </w:rPr>
        <w:t>—</w:t>
      </w:r>
      <w:r w:rsidR="008655A0">
        <w:rPr>
          <w:rFonts w:ascii="Franklin Gothic Book" w:hAnsi="Franklin Gothic Book"/>
          <w:sz w:val="21"/>
          <w:szCs w:val="21"/>
        </w:rPr>
        <w:t>14</w:t>
      </w:r>
      <w:r w:rsidR="001D3E05">
        <w:rPr>
          <w:rFonts w:ascii="Franklin Gothic Book" w:hAnsi="Franklin Gothic Book"/>
          <w:sz w:val="21"/>
          <w:szCs w:val="21"/>
        </w:rPr>
        <w:t xml:space="preserve">, and </w:t>
      </w:r>
      <w:r w:rsidR="002C578F">
        <w:rPr>
          <w:rFonts w:ascii="Franklin Gothic Book" w:hAnsi="Franklin Gothic Book"/>
          <w:sz w:val="21"/>
          <w:szCs w:val="21"/>
        </w:rPr>
        <w:t xml:space="preserve">consistent with expectations as </w:t>
      </w:r>
      <w:r w:rsidR="001D3E05">
        <w:rPr>
          <w:rFonts w:ascii="Franklin Gothic Book" w:hAnsi="Franklin Gothic Book"/>
          <w:sz w:val="21"/>
          <w:szCs w:val="21"/>
        </w:rPr>
        <w:t>set out in the Program’s Performance Assessment Framework,</w:t>
      </w:r>
      <w:r w:rsidR="008655A0">
        <w:rPr>
          <w:rFonts w:ascii="Franklin Gothic Book" w:hAnsi="Franklin Gothic Book"/>
          <w:sz w:val="21"/>
          <w:szCs w:val="21"/>
        </w:rPr>
        <w:t xml:space="preserve"> </w:t>
      </w:r>
      <w:r w:rsidRPr="00237CCA">
        <w:rPr>
          <w:rFonts w:ascii="Franklin Gothic Book" w:hAnsi="Franklin Gothic Book"/>
          <w:sz w:val="21"/>
          <w:szCs w:val="21"/>
        </w:rPr>
        <w:t>have included</w:t>
      </w:r>
      <w:r w:rsidR="008005CC">
        <w:rPr>
          <w:rStyle w:val="FootnoteReference"/>
          <w:rFonts w:ascii="Franklin Gothic Book" w:hAnsi="Franklin Gothic Book"/>
          <w:sz w:val="21"/>
          <w:szCs w:val="21"/>
        </w:rPr>
        <w:footnoteReference w:id="28"/>
      </w:r>
      <w:r w:rsidRPr="00237CCA">
        <w:rPr>
          <w:rFonts w:ascii="Franklin Gothic Book" w:hAnsi="Franklin Gothic Book"/>
          <w:sz w:val="21"/>
          <w:szCs w:val="21"/>
        </w:rPr>
        <w:t xml:space="preserve"> </w:t>
      </w:r>
      <w:r w:rsidR="00B23046">
        <w:rPr>
          <w:rFonts w:ascii="Franklin Gothic Book" w:hAnsi="Franklin Gothic Book"/>
          <w:i/>
          <w:sz w:val="21"/>
          <w:szCs w:val="21"/>
        </w:rPr>
        <w:t xml:space="preserve"> </w:t>
      </w:r>
    </w:p>
    <w:p w:rsidR="00AF5161" w:rsidRPr="00237CCA" w:rsidRDefault="00AF5161" w:rsidP="00836739">
      <w:pPr>
        <w:jc w:val="both"/>
        <w:rPr>
          <w:rFonts w:ascii="Franklin Gothic Book" w:hAnsi="Franklin Gothic Book"/>
          <w:sz w:val="21"/>
          <w:szCs w:val="21"/>
        </w:rPr>
      </w:pPr>
    </w:p>
    <w:p w:rsidR="00AF5161" w:rsidRPr="00237CCA" w:rsidRDefault="00AF5161" w:rsidP="00921833">
      <w:pPr>
        <w:pStyle w:val="ListParagraph"/>
        <w:numPr>
          <w:ilvl w:val="0"/>
          <w:numId w:val="4"/>
        </w:numPr>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the second National Student Assessment</w:t>
      </w:r>
      <w:r w:rsidR="001A6766">
        <w:rPr>
          <w:rFonts w:ascii="Franklin Gothic Book" w:eastAsia="SimSun" w:hAnsi="Franklin Gothic Book" w:cs="Times New Roman"/>
          <w:sz w:val="21"/>
          <w:szCs w:val="21"/>
          <w:lang w:val="en-AU" w:eastAsia="en-AU"/>
        </w:rPr>
        <w:t>,</w:t>
      </w:r>
      <w:r w:rsidRPr="00237CCA">
        <w:rPr>
          <w:rFonts w:ascii="Franklin Gothic Book" w:eastAsia="SimSun" w:hAnsi="Franklin Gothic Book" w:cs="Times New Roman"/>
          <w:sz w:val="21"/>
          <w:szCs w:val="21"/>
          <w:lang w:val="en-AU" w:eastAsia="en-AU"/>
        </w:rPr>
        <w:t xml:space="preserve"> which is providing new information </w:t>
      </w:r>
      <w:r w:rsidR="009070DE">
        <w:rPr>
          <w:rFonts w:ascii="Franklin Gothic Book" w:eastAsia="SimSun" w:hAnsi="Franklin Gothic Book" w:cs="Times New Roman"/>
          <w:sz w:val="21"/>
          <w:szCs w:val="21"/>
          <w:lang w:val="en-AU" w:eastAsia="en-AU"/>
        </w:rPr>
        <w:t xml:space="preserve">to Government </w:t>
      </w:r>
      <w:r w:rsidRPr="00237CCA">
        <w:rPr>
          <w:rFonts w:ascii="Franklin Gothic Book" w:eastAsia="SimSun" w:hAnsi="Franklin Gothic Book" w:cs="Times New Roman"/>
          <w:sz w:val="21"/>
          <w:szCs w:val="21"/>
          <w:lang w:val="en-AU" w:eastAsia="en-AU"/>
        </w:rPr>
        <w:t>about quality of teaching</w:t>
      </w:r>
      <w:r w:rsidR="00D35DEA">
        <w:rPr>
          <w:rFonts w:ascii="Franklin Gothic Book" w:eastAsia="SimSun" w:hAnsi="Franklin Gothic Book" w:cs="Times New Roman"/>
          <w:sz w:val="21"/>
          <w:szCs w:val="21"/>
          <w:lang w:val="en-AU" w:eastAsia="en-AU"/>
        </w:rPr>
        <w:t xml:space="preserve"> </w:t>
      </w:r>
      <w:r w:rsidR="00DC48DA">
        <w:rPr>
          <w:rFonts w:ascii="Franklin Gothic Book" w:eastAsia="SimSun" w:hAnsi="Franklin Gothic Book" w:cs="Times New Roman"/>
          <w:sz w:val="21"/>
          <w:szCs w:val="21"/>
          <w:lang w:val="en-AU" w:eastAsia="en-AU"/>
        </w:rPr>
        <w:t xml:space="preserve">and </w:t>
      </w:r>
      <w:r w:rsidR="00B13988">
        <w:rPr>
          <w:rFonts w:ascii="Franklin Gothic Book" w:eastAsia="SimSun" w:hAnsi="Franklin Gothic Book" w:cs="Times New Roman"/>
          <w:sz w:val="21"/>
          <w:szCs w:val="21"/>
          <w:lang w:val="en-AU" w:eastAsia="en-AU"/>
        </w:rPr>
        <w:t xml:space="preserve">providing </w:t>
      </w:r>
      <w:r w:rsidR="007A6116">
        <w:rPr>
          <w:rFonts w:ascii="Franklin Gothic Book" w:eastAsia="SimSun" w:hAnsi="Franklin Gothic Book" w:cs="Times New Roman"/>
          <w:sz w:val="21"/>
          <w:szCs w:val="21"/>
          <w:lang w:val="en-AU" w:eastAsia="en-AU"/>
        </w:rPr>
        <w:t>(</w:t>
      </w:r>
      <w:r w:rsidR="00B13988">
        <w:rPr>
          <w:rFonts w:ascii="Franklin Gothic Book" w:eastAsia="SimSun" w:hAnsi="Franklin Gothic Book" w:cs="Times New Roman"/>
          <w:sz w:val="21"/>
          <w:szCs w:val="21"/>
          <w:lang w:val="en-AU" w:eastAsia="en-AU"/>
        </w:rPr>
        <w:t>for the first time</w:t>
      </w:r>
      <w:r w:rsidR="007A6116">
        <w:rPr>
          <w:rFonts w:ascii="Franklin Gothic Book" w:eastAsia="SimSun" w:hAnsi="Franklin Gothic Book" w:cs="Times New Roman"/>
          <w:sz w:val="21"/>
          <w:szCs w:val="21"/>
          <w:lang w:val="en-AU" w:eastAsia="en-AU"/>
        </w:rPr>
        <w:t>)</w:t>
      </w:r>
      <w:r w:rsidR="00B13988">
        <w:rPr>
          <w:rFonts w:ascii="Franklin Gothic Book" w:eastAsia="SimSun" w:hAnsi="Franklin Gothic Book" w:cs="Times New Roman"/>
          <w:sz w:val="21"/>
          <w:szCs w:val="21"/>
          <w:lang w:val="en-AU" w:eastAsia="en-AU"/>
        </w:rPr>
        <w:t xml:space="preserve"> comparative national data </w:t>
      </w:r>
      <w:r w:rsidR="00C517B0">
        <w:rPr>
          <w:rFonts w:ascii="Franklin Gothic Book" w:eastAsia="SimSun" w:hAnsi="Franklin Gothic Book" w:cs="Times New Roman"/>
          <w:sz w:val="21"/>
          <w:szCs w:val="21"/>
          <w:lang w:val="en-AU" w:eastAsia="en-AU"/>
        </w:rPr>
        <w:t xml:space="preserve">and analysis </w:t>
      </w:r>
      <w:r w:rsidR="00B13988">
        <w:rPr>
          <w:rFonts w:ascii="Franklin Gothic Book" w:eastAsia="SimSun" w:hAnsi="Franklin Gothic Book" w:cs="Times New Roman"/>
          <w:sz w:val="21"/>
          <w:szCs w:val="21"/>
          <w:lang w:val="en-AU" w:eastAsia="en-AU"/>
        </w:rPr>
        <w:t>on learning for 2011 and 2013</w:t>
      </w:r>
    </w:p>
    <w:p w:rsidR="00AF5161" w:rsidRPr="00237CCA" w:rsidRDefault="00AF5161" w:rsidP="00921833">
      <w:pPr>
        <w:pStyle w:val="ListParagraph"/>
        <w:numPr>
          <w:ilvl w:val="0"/>
          <w:numId w:val="4"/>
        </w:numPr>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 xml:space="preserve">agreement </w:t>
      </w:r>
      <w:r w:rsidR="00D80E98" w:rsidRPr="00237CCA">
        <w:rPr>
          <w:rFonts w:ascii="Franklin Gothic Book" w:eastAsia="SimSun" w:hAnsi="Franklin Gothic Book" w:cs="Times New Roman"/>
          <w:sz w:val="21"/>
          <w:szCs w:val="21"/>
          <w:lang w:val="en-AU" w:eastAsia="en-AU"/>
        </w:rPr>
        <w:t xml:space="preserve">to </w:t>
      </w:r>
      <w:r w:rsidRPr="00237CCA">
        <w:rPr>
          <w:rFonts w:ascii="Franklin Gothic Book" w:eastAsia="SimSun" w:hAnsi="Franklin Gothic Book" w:cs="Times New Roman"/>
          <w:sz w:val="21"/>
          <w:szCs w:val="21"/>
          <w:lang w:val="en-AU" w:eastAsia="en-AU"/>
        </w:rPr>
        <w:t xml:space="preserve">reform the end of primary school </w:t>
      </w:r>
      <w:r w:rsidR="00B13988">
        <w:rPr>
          <w:rFonts w:ascii="Franklin Gothic Book" w:eastAsia="SimSun" w:hAnsi="Franklin Gothic Book" w:cs="Times New Roman"/>
          <w:sz w:val="21"/>
          <w:szCs w:val="21"/>
          <w:lang w:val="en-AU" w:eastAsia="en-AU"/>
        </w:rPr>
        <w:t>exam</w:t>
      </w:r>
      <w:r w:rsidR="00B13988" w:rsidRPr="00237CCA">
        <w:rPr>
          <w:rFonts w:ascii="Franklin Gothic Book" w:eastAsia="SimSun" w:hAnsi="Franklin Gothic Book" w:cs="Times New Roman"/>
          <w:sz w:val="21"/>
          <w:szCs w:val="21"/>
          <w:lang w:val="en-AU" w:eastAsia="en-AU"/>
        </w:rPr>
        <w:t xml:space="preserve"> </w:t>
      </w:r>
      <w:r w:rsidRPr="00237CCA">
        <w:rPr>
          <w:rFonts w:ascii="Franklin Gothic Book" w:eastAsia="SimSun" w:hAnsi="Franklin Gothic Book" w:cs="Times New Roman"/>
          <w:sz w:val="21"/>
          <w:szCs w:val="21"/>
          <w:lang w:val="en-AU" w:eastAsia="en-AU"/>
        </w:rPr>
        <w:t>to measure competence rather than rote learning</w:t>
      </w:r>
      <w:r w:rsidR="00250358">
        <w:rPr>
          <w:rFonts w:ascii="Franklin Gothic Book" w:eastAsia="SimSun" w:hAnsi="Franklin Gothic Book" w:cs="Times New Roman"/>
          <w:sz w:val="21"/>
          <w:szCs w:val="21"/>
          <w:lang w:val="en-AU" w:eastAsia="en-AU"/>
        </w:rPr>
        <w:t>,</w:t>
      </w:r>
      <w:r w:rsidR="00D35DEA">
        <w:rPr>
          <w:rFonts w:ascii="Franklin Gothic Book" w:eastAsia="SimSun" w:hAnsi="Franklin Gothic Book" w:cs="Times New Roman"/>
          <w:sz w:val="21"/>
          <w:szCs w:val="21"/>
          <w:lang w:val="en-AU" w:eastAsia="en-AU"/>
        </w:rPr>
        <w:t xml:space="preserve"> with the gradual introduction of competency based questions (now </w:t>
      </w:r>
      <w:r w:rsidR="009070DE">
        <w:rPr>
          <w:rFonts w:ascii="Franklin Gothic Book" w:eastAsia="SimSun" w:hAnsi="Franklin Gothic Book" w:cs="Times New Roman"/>
          <w:sz w:val="21"/>
          <w:szCs w:val="21"/>
          <w:lang w:val="en-AU" w:eastAsia="en-AU"/>
        </w:rPr>
        <w:t xml:space="preserve">25 </w:t>
      </w:r>
      <w:r w:rsidR="00D35DEA">
        <w:rPr>
          <w:rFonts w:ascii="Franklin Gothic Book" w:eastAsia="SimSun" w:hAnsi="Franklin Gothic Book" w:cs="Times New Roman"/>
          <w:sz w:val="21"/>
          <w:szCs w:val="21"/>
          <w:lang w:val="en-AU" w:eastAsia="en-AU"/>
        </w:rPr>
        <w:t>per</w:t>
      </w:r>
      <w:r w:rsidR="003637C5">
        <w:rPr>
          <w:rFonts w:ascii="Franklin Gothic Book" w:eastAsia="SimSun" w:hAnsi="Franklin Gothic Book" w:cs="Times New Roman"/>
          <w:sz w:val="21"/>
          <w:szCs w:val="21"/>
          <w:lang w:val="en-AU" w:eastAsia="en-AU"/>
        </w:rPr>
        <w:t xml:space="preserve"> </w:t>
      </w:r>
      <w:r w:rsidR="00D35DEA">
        <w:rPr>
          <w:rFonts w:ascii="Franklin Gothic Book" w:eastAsia="SimSun" w:hAnsi="Franklin Gothic Book" w:cs="Times New Roman"/>
          <w:sz w:val="21"/>
          <w:szCs w:val="21"/>
          <w:lang w:val="en-AU" w:eastAsia="en-AU"/>
        </w:rPr>
        <w:t xml:space="preserve">cent from </w:t>
      </w:r>
      <w:r w:rsidR="00250358">
        <w:rPr>
          <w:rFonts w:ascii="Franklin Gothic Book" w:eastAsia="SimSun" w:hAnsi="Franklin Gothic Book" w:cs="Times New Roman"/>
          <w:sz w:val="21"/>
          <w:szCs w:val="21"/>
          <w:lang w:val="en-AU" w:eastAsia="en-AU"/>
        </w:rPr>
        <w:t xml:space="preserve">zero </w:t>
      </w:r>
      <w:r w:rsidR="00D35DEA">
        <w:rPr>
          <w:rFonts w:ascii="Franklin Gothic Book" w:eastAsia="SimSun" w:hAnsi="Franklin Gothic Book" w:cs="Times New Roman"/>
          <w:sz w:val="21"/>
          <w:szCs w:val="21"/>
          <w:lang w:val="en-AU" w:eastAsia="en-AU"/>
        </w:rPr>
        <w:t>per</w:t>
      </w:r>
      <w:r w:rsidR="003637C5">
        <w:rPr>
          <w:rFonts w:ascii="Franklin Gothic Book" w:eastAsia="SimSun" w:hAnsi="Franklin Gothic Book" w:cs="Times New Roman"/>
          <w:sz w:val="21"/>
          <w:szCs w:val="21"/>
          <w:lang w:val="en-AU" w:eastAsia="en-AU"/>
        </w:rPr>
        <w:t xml:space="preserve"> </w:t>
      </w:r>
      <w:r w:rsidR="00D35DEA">
        <w:rPr>
          <w:rFonts w:ascii="Franklin Gothic Book" w:eastAsia="SimSun" w:hAnsi="Franklin Gothic Book" w:cs="Times New Roman"/>
          <w:sz w:val="21"/>
          <w:szCs w:val="21"/>
          <w:lang w:val="en-AU" w:eastAsia="en-AU"/>
        </w:rPr>
        <w:t xml:space="preserve">cent in 2011) </w:t>
      </w:r>
    </w:p>
    <w:p w:rsidR="00AF5161" w:rsidRPr="00A624E2" w:rsidRDefault="00AF5161" w:rsidP="00921833">
      <w:pPr>
        <w:pStyle w:val="ListParagraph"/>
        <w:numPr>
          <w:ilvl w:val="0"/>
          <w:numId w:val="4"/>
        </w:numPr>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new teaching diploma</w:t>
      </w:r>
      <w:r w:rsidR="00B13988">
        <w:rPr>
          <w:rFonts w:ascii="Franklin Gothic Book" w:eastAsia="SimSun" w:hAnsi="Franklin Gothic Book" w:cs="Times New Roman"/>
          <w:sz w:val="21"/>
          <w:szCs w:val="21"/>
          <w:lang w:val="en-AU" w:eastAsia="en-AU"/>
        </w:rPr>
        <w:t xml:space="preserve"> </w:t>
      </w:r>
      <w:r w:rsidR="006A2310">
        <w:rPr>
          <w:rFonts w:ascii="Franklin Gothic Book" w:eastAsia="SimSun" w:hAnsi="Franklin Gothic Book" w:cs="Times New Roman"/>
          <w:sz w:val="21"/>
          <w:szCs w:val="21"/>
          <w:lang w:val="en-AU" w:eastAsia="en-AU"/>
        </w:rPr>
        <w:t>developed</w:t>
      </w:r>
      <w:r w:rsidRPr="00237CCA">
        <w:rPr>
          <w:rFonts w:ascii="Franklin Gothic Book" w:eastAsia="SimSun" w:hAnsi="Franklin Gothic Book" w:cs="Times New Roman"/>
          <w:sz w:val="21"/>
          <w:szCs w:val="21"/>
          <w:lang w:val="en-AU" w:eastAsia="en-AU"/>
        </w:rPr>
        <w:t xml:space="preserve">, </w:t>
      </w:r>
      <w:r w:rsidR="00B13988">
        <w:rPr>
          <w:rFonts w:ascii="Franklin Gothic Book" w:eastAsia="SimSun" w:hAnsi="Franklin Gothic Book" w:cs="Times New Roman"/>
          <w:sz w:val="21"/>
          <w:szCs w:val="21"/>
          <w:lang w:val="en-AU" w:eastAsia="en-AU"/>
        </w:rPr>
        <w:t xml:space="preserve">with implementation in 29 primary teacher training institutes in 2013, </w:t>
      </w:r>
      <w:r w:rsidR="006A2310" w:rsidRPr="00A624E2">
        <w:rPr>
          <w:rFonts w:ascii="Franklin Gothic Book" w:eastAsia="SimSun" w:hAnsi="Franklin Gothic Book" w:cs="Times New Roman"/>
          <w:sz w:val="21"/>
          <w:szCs w:val="21"/>
          <w:lang w:val="en-AU" w:eastAsia="en-AU"/>
        </w:rPr>
        <w:t xml:space="preserve">and planned </w:t>
      </w:r>
      <w:r w:rsidR="00B13988" w:rsidRPr="00A624E2">
        <w:rPr>
          <w:rFonts w:ascii="Franklin Gothic Book" w:eastAsia="SimSun" w:hAnsi="Franklin Gothic Book" w:cs="Times New Roman"/>
          <w:sz w:val="21"/>
          <w:szCs w:val="21"/>
          <w:lang w:val="en-AU" w:eastAsia="en-AU"/>
        </w:rPr>
        <w:t>expan</w:t>
      </w:r>
      <w:r w:rsidR="006A2310" w:rsidRPr="00A624E2">
        <w:rPr>
          <w:rFonts w:ascii="Franklin Gothic Book" w:eastAsia="SimSun" w:hAnsi="Franklin Gothic Book" w:cs="Times New Roman"/>
          <w:sz w:val="21"/>
          <w:szCs w:val="21"/>
          <w:lang w:val="en-AU" w:eastAsia="en-AU"/>
        </w:rPr>
        <w:t>sion</w:t>
      </w:r>
      <w:r w:rsidR="00B13988" w:rsidRPr="00A624E2">
        <w:rPr>
          <w:rFonts w:ascii="Franklin Gothic Book" w:eastAsia="SimSun" w:hAnsi="Franklin Gothic Book" w:cs="Times New Roman"/>
          <w:sz w:val="21"/>
          <w:szCs w:val="21"/>
          <w:lang w:val="en-AU" w:eastAsia="en-AU"/>
        </w:rPr>
        <w:t xml:space="preserve"> to 36 </w:t>
      </w:r>
      <w:r w:rsidR="006A2310" w:rsidRPr="00A624E2">
        <w:rPr>
          <w:rFonts w:ascii="Franklin Gothic Book" w:eastAsia="SimSun" w:hAnsi="Franklin Gothic Book" w:cs="Times New Roman"/>
          <w:sz w:val="21"/>
          <w:szCs w:val="21"/>
          <w:lang w:val="en-AU" w:eastAsia="en-AU"/>
        </w:rPr>
        <w:t xml:space="preserve">institutes </w:t>
      </w:r>
      <w:r w:rsidR="00B13988" w:rsidRPr="00A624E2">
        <w:rPr>
          <w:rFonts w:ascii="Franklin Gothic Book" w:eastAsia="SimSun" w:hAnsi="Franklin Gothic Book" w:cs="Times New Roman"/>
          <w:sz w:val="21"/>
          <w:szCs w:val="21"/>
          <w:lang w:val="en-AU" w:eastAsia="en-AU"/>
        </w:rPr>
        <w:t>in 2014</w:t>
      </w:r>
      <w:r w:rsidR="006A2310" w:rsidRPr="00A624E2">
        <w:rPr>
          <w:rFonts w:ascii="Franklin Gothic Book" w:eastAsia="SimSun" w:hAnsi="Franklin Gothic Book" w:cs="Times New Roman"/>
          <w:sz w:val="21"/>
          <w:szCs w:val="21"/>
          <w:lang w:val="en-AU" w:eastAsia="en-AU"/>
        </w:rPr>
        <w:t xml:space="preserve"> accredited through Dhaka University</w:t>
      </w:r>
    </w:p>
    <w:p w:rsidR="00AF5161" w:rsidRPr="00A624E2" w:rsidRDefault="00B23046" w:rsidP="00921833">
      <w:pPr>
        <w:pStyle w:val="ListParagraph"/>
        <w:numPr>
          <w:ilvl w:val="0"/>
          <w:numId w:val="4"/>
        </w:numPr>
        <w:rPr>
          <w:rFonts w:ascii="Franklin Gothic Book" w:eastAsia="SimSun" w:hAnsi="Franklin Gothic Book" w:cs="Times New Roman"/>
          <w:sz w:val="21"/>
          <w:szCs w:val="21"/>
          <w:lang w:val="en-AU" w:eastAsia="en-AU"/>
        </w:rPr>
      </w:pPr>
      <w:r w:rsidRPr="00A624E2">
        <w:rPr>
          <w:rFonts w:ascii="Franklin Gothic Book" w:eastAsia="SimSun" w:hAnsi="Franklin Gothic Book" w:cs="Times New Roman"/>
          <w:sz w:val="21"/>
          <w:szCs w:val="21"/>
          <w:lang w:val="en-AU" w:eastAsia="en-AU"/>
        </w:rPr>
        <w:t xml:space="preserve">Each Child Learns, an approach to teaching </w:t>
      </w:r>
      <w:r w:rsidR="00CA7502" w:rsidRPr="00A624E2">
        <w:rPr>
          <w:rFonts w:ascii="Franklin Gothic Book" w:eastAsia="SimSun" w:hAnsi="Franklin Gothic Book" w:cs="Times New Roman"/>
          <w:sz w:val="21"/>
          <w:szCs w:val="21"/>
          <w:lang w:val="en-AU" w:eastAsia="en-AU"/>
        </w:rPr>
        <w:t xml:space="preserve">that </w:t>
      </w:r>
      <w:r w:rsidRPr="00A624E2">
        <w:rPr>
          <w:rFonts w:ascii="Franklin Gothic Book" w:eastAsia="SimSun" w:hAnsi="Franklin Gothic Book" w:cs="Times New Roman"/>
          <w:sz w:val="21"/>
          <w:szCs w:val="21"/>
          <w:lang w:val="en-AU" w:eastAsia="en-AU"/>
        </w:rPr>
        <w:t xml:space="preserve">attempts to respond to the needs of each student, is being piloted in 300 schools, with further expansion to be considered  </w:t>
      </w:r>
    </w:p>
    <w:p w:rsidR="00B13988" w:rsidRPr="00A624E2" w:rsidRDefault="00AF5161" w:rsidP="00921833">
      <w:pPr>
        <w:pStyle w:val="ListParagraph"/>
        <w:numPr>
          <w:ilvl w:val="0"/>
          <w:numId w:val="4"/>
        </w:numPr>
        <w:rPr>
          <w:rFonts w:ascii="Franklin Gothic Book" w:eastAsia="SimSun" w:hAnsi="Franklin Gothic Book" w:cs="Times New Roman"/>
          <w:sz w:val="21"/>
          <w:szCs w:val="21"/>
          <w:lang w:val="en-AU" w:eastAsia="en-AU"/>
        </w:rPr>
      </w:pPr>
      <w:r w:rsidRPr="00A624E2">
        <w:rPr>
          <w:rFonts w:ascii="Franklin Gothic Book" w:eastAsia="SimSun" w:hAnsi="Franklin Gothic Book" w:cs="Times New Roman"/>
          <w:sz w:val="21"/>
          <w:szCs w:val="21"/>
          <w:lang w:val="en-AU" w:eastAsia="en-AU"/>
        </w:rPr>
        <w:t xml:space="preserve">delivery of </w:t>
      </w:r>
      <w:r w:rsidR="00CA784D" w:rsidRPr="00A624E2">
        <w:rPr>
          <w:rFonts w:ascii="Franklin Gothic Book" w:eastAsia="SimSun" w:hAnsi="Franklin Gothic Book" w:cs="Times New Roman"/>
          <w:sz w:val="21"/>
          <w:szCs w:val="21"/>
          <w:lang w:val="en-AU" w:eastAsia="en-AU"/>
        </w:rPr>
        <w:t>1</w:t>
      </w:r>
      <w:r w:rsidR="000F6B6B" w:rsidRPr="00A624E2">
        <w:rPr>
          <w:rFonts w:ascii="Franklin Gothic Book" w:eastAsia="SimSun" w:hAnsi="Franklin Gothic Book" w:cs="Times New Roman"/>
          <w:sz w:val="21"/>
          <w:szCs w:val="21"/>
          <w:lang w:val="en-AU" w:eastAsia="en-AU"/>
        </w:rPr>
        <w:t>08</w:t>
      </w:r>
      <w:r w:rsidR="005D4F5B" w:rsidRPr="00A624E2">
        <w:rPr>
          <w:rFonts w:ascii="Franklin Gothic Book" w:eastAsia="SimSun" w:hAnsi="Franklin Gothic Book" w:cs="Times New Roman"/>
          <w:sz w:val="21"/>
          <w:szCs w:val="21"/>
          <w:lang w:val="en-AU" w:eastAsia="en-AU"/>
        </w:rPr>
        <w:t xml:space="preserve"> </w:t>
      </w:r>
      <w:r w:rsidR="000D0006" w:rsidRPr="00A624E2">
        <w:rPr>
          <w:rFonts w:ascii="Franklin Gothic Book" w:eastAsia="SimSun" w:hAnsi="Franklin Gothic Book" w:cs="Times New Roman"/>
          <w:sz w:val="21"/>
          <w:szCs w:val="21"/>
          <w:lang w:val="en-AU" w:eastAsia="en-AU"/>
        </w:rPr>
        <w:t>million</w:t>
      </w:r>
      <w:r w:rsidRPr="00A624E2">
        <w:rPr>
          <w:rFonts w:ascii="Franklin Gothic Book" w:eastAsia="SimSun" w:hAnsi="Franklin Gothic Book" w:cs="Times New Roman"/>
          <w:sz w:val="21"/>
          <w:szCs w:val="21"/>
          <w:lang w:val="en-AU" w:eastAsia="en-AU"/>
        </w:rPr>
        <w:t xml:space="preserve"> primary text books country-wide on time</w:t>
      </w:r>
      <w:r w:rsidR="00C517B0" w:rsidRPr="00A624E2">
        <w:rPr>
          <w:rFonts w:ascii="Franklin Gothic Book" w:eastAsia="SimSun" w:hAnsi="Franklin Gothic Book" w:cs="Times New Roman"/>
          <w:sz w:val="21"/>
          <w:szCs w:val="21"/>
          <w:lang w:val="en-AU" w:eastAsia="en-AU"/>
        </w:rPr>
        <w:t xml:space="preserve"> with a streamlined </w:t>
      </w:r>
      <w:r w:rsidR="000D30AE" w:rsidRPr="00A624E2">
        <w:rPr>
          <w:rFonts w:ascii="Franklin Gothic Book" w:eastAsia="SimSun" w:hAnsi="Franklin Gothic Book" w:cs="Times New Roman"/>
          <w:sz w:val="21"/>
          <w:szCs w:val="21"/>
          <w:lang w:val="en-AU" w:eastAsia="en-AU"/>
        </w:rPr>
        <w:t xml:space="preserve">government </w:t>
      </w:r>
      <w:r w:rsidR="00C517B0" w:rsidRPr="00A624E2">
        <w:rPr>
          <w:rFonts w:ascii="Franklin Gothic Book" w:eastAsia="SimSun" w:hAnsi="Franklin Gothic Book" w:cs="Times New Roman"/>
          <w:sz w:val="21"/>
          <w:szCs w:val="21"/>
          <w:lang w:val="en-AU" w:eastAsia="en-AU"/>
        </w:rPr>
        <w:t>tendering process</w:t>
      </w:r>
      <w:r w:rsidR="001D3E05">
        <w:rPr>
          <w:rFonts w:ascii="Franklin Gothic Book" w:eastAsia="SimSun" w:hAnsi="Franklin Gothic Book" w:cs="Times New Roman"/>
          <w:sz w:val="21"/>
          <w:szCs w:val="21"/>
          <w:lang w:val="en-AU" w:eastAsia="en-AU"/>
        </w:rPr>
        <w:t xml:space="preserve"> (the result attributable to Australian funding was 1.2</w:t>
      </w:r>
      <w:r w:rsidR="000D6B44">
        <w:rPr>
          <w:rFonts w:ascii="Franklin Gothic Book" w:eastAsia="SimSun" w:hAnsi="Franklin Gothic Book" w:cs="Times New Roman"/>
          <w:sz w:val="21"/>
          <w:szCs w:val="21"/>
          <w:lang w:val="en-AU" w:eastAsia="en-AU"/>
        </w:rPr>
        <w:t> </w:t>
      </w:r>
      <w:r w:rsidR="001D3E05">
        <w:rPr>
          <w:rFonts w:ascii="Franklin Gothic Book" w:eastAsia="SimSun" w:hAnsi="Franklin Gothic Book" w:cs="Times New Roman"/>
          <w:sz w:val="21"/>
          <w:szCs w:val="21"/>
          <w:lang w:val="en-AU" w:eastAsia="en-AU"/>
        </w:rPr>
        <w:t>million)</w:t>
      </w:r>
      <w:r w:rsidR="00C517B0" w:rsidRPr="00A624E2">
        <w:rPr>
          <w:rFonts w:ascii="Franklin Gothic Book" w:eastAsia="SimSun" w:hAnsi="Franklin Gothic Book" w:cs="Times New Roman"/>
          <w:sz w:val="21"/>
          <w:szCs w:val="21"/>
          <w:lang w:val="en-AU" w:eastAsia="en-AU"/>
        </w:rPr>
        <w:t xml:space="preserve"> </w:t>
      </w:r>
      <w:r w:rsidR="000D0006" w:rsidRPr="00A624E2">
        <w:rPr>
          <w:rFonts w:ascii="Franklin Gothic Book" w:eastAsia="SimSun" w:hAnsi="Franklin Gothic Book" w:cs="Times New Roman"/>
          <w:sz w:val="21"/>
          <w:szCs w:val="21"/>
          <w:lang w:val="en-AU" w:eastAsia="en-AU"/>
        </w:rPr>
        <w:t xml:space="preserve"> </w:t>
      </w:r>
    </w:p>
    <w:p w:rsidR="00C517B0" w:rsidRDefault="00B13988" w:rsidP="00921833">
      <w:pPr>
        <w:pStyle w:val="ListParagraph"/>
        <w:numPr>
          <w:ilvl w:val="0"/>
          <w:numId w:val="4"/>
        </w:numPr>
        <w:rPr>
          <w:rFonts w:ascii="Franklin Gothic Book" w:eastAsia="SimSun" w:hAnsi="Franklin Gothic Book" w:cs="Times New Roman"/>
          <w:sz w:val="21"/>
          <w:szCs w:val="21"/>
          <w:lang w:val="en-AU" w:eastAsia="en-AU"/>
        </w:rPr>
      </w:pPr>
      <w:r>
        <w:rPr>
          <w:rFonts w:ascii="Franklin Gothic Book" w:eastAsia="SimSun" w:hAnsi="Franklin Gothic Book" w:cs="Times New Roman"/>
          <w:sz w:val="21"/>
          <w:szCs w:val="21"/>
          <w:lang w:val="en-AU" w:eastAsia="en-AU"/>
        </w:rPr>
        <w:t>Online Annual school census</w:t>
      </w:r>
      <w:r w:rsidR="00C517B0">
        <w:rPr>
          <w:rFonts w:ascii="Franklin Gothic Book" w:eastAsia="SimSun" w:hAnsi="Franklin Gothic Book" w:cs="Times New Roman"/>
          <w:sz w:val="21"/>
          <w:szCs w:val="21"/>
          <w:lang w:val="en-AU" w:eastAsia="en-AU"/>
        </w:rPr>
        <w:t xml:space="preserve"> introduced</w:t>
      </w:r>
      <w:r>
        <w:rPr>
          <w:rFonts w:ascii="Franklin Gothic Book" w:eastAsia="SimSun" w:hAnsi="Franklin Gothic Book" w:cs="Times New Roman"/>
          <w:sz w:val="21"/>
          <w:szCs w:val="21"/>
          <w:lang w:val="en-AU" w:eastAsia="en-AU"/>
        </w:rPr>
        <w:t xml:space="preserve">, reducing the time to compile school management information data from </w:t>
      </w:r>
      <w:r w:rsidR="00C517B0">
        <w:rPr>
          <w:rFonts w:ascii="Franklin Gothic Book" w:eastAsia="SimSun" w:hAnsi="Franklin Gothic Book" w:cs="Times New Roman"/>
          <w:sz w:val="21"/>
          <w:szCs w:val="21"/>
          <w:lang w:val="en-AU" w:eastAsia="en-AU"/>
        </w:rPr>
        <w:t>16 month</w:t>
      </w:r>
      <w:r w:rsidR="000D6B44">
        <w:rPr>
          <w:rFonts w:ascii="Franklin Gothic Book" w:eastAsia="SimSun" w:hAnsi="Franklin Gothic Book" w:cs="Times New Roman"/>
          <w:sz w:val="21"/>
          <w:szCs w:val="21"/>
          <w:lang w:val="en-AU" w:eastAsia="en-AU"/>
        </w:rPr>
        <w:t>s</w:t>
      </w:r>
      <w:r w:rsidR="00C517B0">
        <w:rPr>
          <w:rFonts w:ascii="Franklin Gothic Book" w:eastAsia="SimSun" w:hAnsi="Franklin Gothic Book" w:cs="Times New Roman"/>
          <w:sz w:val="21"/>
          <w:szCs w:val="21"/>
          <w:lang w:val="en-AU" w:eastAsia="en-AU"/>
        </w:rPr>
        <w:t xml:space="preserve"> to 2</w:t>
      </w:r>
      <w:r w:rsidR="000D6B44">
        <w:rPr>
          <w:rFonts w:ascii="Franklin Gothic Book" w:eastAsia="SimSun" w:hAnsi="Franklin Gothic Book" w:cs="Times New Roman"/>
          <w:sz w:val="21"/>
          <w:szCs w:val="21"/>
          <w:lang w:val="en-AU" w:eastAsia="en-AU"/>
        </w:rPr>
        <w:t>—</w:t>
      </w:r>
      <w:r w:rsidR="00C517B0">
        <w:rPr>
          <w:rFonts w:ascii="Franklin Gothic Book" w:eastAsia="SimSun" w:hAnsi="Franklin Gothic Book" w:cs="Times New Roman"/>
          <w:sz w:val="21"/>
          <w:szCs w:val="21"/>
          <w:lang w:val="en-AU" w:eastAsia="en-AU"/>
        </w:rPr>
        <w:t>3 months</w:t>
      </w:r>
      <w:r w:rsidR="00C51F8F">
        <w:rPr>
          <w:rFonts w:ascii="Franklin Gothic Book" w:eastAsia="SimSun" w:hAnsi="Franklin Gothic Book" w:cs="Times New Roman"/>
          <w:sz w:val="21"/>
          <w:szCs w:val="21"/>
          <w:lang w:val="en-AU" w:eastAsia="en-AU"/>
        </w:rPr>
        <w:t>.</w:t>
      </w:r>
    </w:p>
    <w:p w:rsidR="005E2E15" w:rsidRDefault="005E2E15" w:rsidP="009B2417">
      <w:pPr>
        <w:pStyle w:val="ListParagraph"/>
        <w:rPr>
          <w:rFonts w:ascii="Franklin Gothic Book" w:eastAsia="SimSun" w:hAnsi="Franklin Gothic Book" w:cs="Times New Roman"/>
          <w:sz w:val="21"/>
          <w:szCs w:val="21"/>
          <w:lang w:val="en-AU" w:eastAsia="en-AU"/>
        </w:rPr>
      </w:pPr>
    </w:p>
    <w:p w:rsidR="00AF5161" w:rsidRPr="00237CCA" w:rsidRDefault="00AF5161" w:rsidP="00836739">
      <w:pPr>
        <w:jc w:val="both"/>
        <w:rPr>
          <w:rFonts w:ascii="Franklin Gothic Book" w:hAnsi="Franklin Gothic Book"/>
          <w:sz w:val="21"/>
          <w:szCs w:val="21"/>
        </w:rPr>
      </w:pPr>
      <w:r w:rsidRPr="009B2417">
        <w:rPr>
          <w:rFonts w:ascii="Franklin Gothic Book" w:hAnsi="Franklin Gothic Book"/>
          <w:b/>
          <w:sz w:val="21"/>
          <w:szCs w:val="21"/>
        </w:rPr>
        <w:t>Where progress has been made</w:t>
      </w:r>
      <w:r w:rsidR="00F42022" w:rsidRPr="009B2417">
        <w:rPr>
          <w:rFonts w:ascii="Franklin Gothic Book" w:hAnsi="Franklin Gothic Book"/>
          <w:b/>
          <w:sz w:val="21"/>
          <w:szCs w:val="21"/>
        </w:rPr>
        <w:t>,</w:t>
      </w:r>
      <w:r w:rsidR="00D35DEA" w:rsidRPr="009B2417">
        <w:rPr>
          <w:rFonts w:ascii="Franklin Gothic Book" w:hAnsi="Franklin Gothic Book"/>
          <w:b/>
          <w:sz w:val="21"/>
          <w:szCs w:val="21"/>
        </w:rPr>
        <w:t xml:space="preserve"> particularly in the area of education quality development</w:t>
      </w:r>
      <w:r w:rsidRPr="009B2417">
        <w:rPr>
          <w:rFonts w:ascii="Franklin Gothic Book" w:hAnsi="Franklin Gothic Book"/>
          <w:b/>
          <w:sz w:val="21"/>
          <w:szCs w:val="21"/>
        </w:rPr>
        <w:t>, there is a demonstrable link</w:t>
      </w:r>
      <w:r w:rsidR="00340804" w:rsidRPr="009B2417">
        <w:rPr>
          <w:rFonts w:ascii="Franklin Gothic Book" w:hAnsi="Franklin Gothic Book"/>
          <w:b/>
          <w:sz w:val="21"/>
          <w:szCs w:val="21"/>
        </w:rPr>
        <w:t xml:space="preserve"> </w:t>
      </w:r>
      <w:r w:rsidRPr="009B2417">
        <w:rPr>
          <w:rFonts w:ascii="Franklin Gothic Book" w:hAnsi="Franklin Gothic Book"/>
          <w:b/>
          <w:sz w:val="21"/>
          <w:szCs w:val="21"/>
        </w:rPr>
        <w:t>to Australian financed technical assistance</w:t>
      </w:r>
      <w:r w:rsidR="00F42022" w:rsidRPr="009B2417">
        <w:rPr>
          <w:rFonts w:ascii="Franklin Gothic Book" w:hAnsi="Franklin Gothic Book"/>
          <w:b/>
          <w:sz w:val="21"/>
          <w:szCs w:val="21"/>
        </w:rPr>
        <w:t xml:space="preserve">. </w:t>
      </w:r>
      <w:r w:rsidRPr="00237CCA">
        <w:rPr>
          <w:rFonts w:ascii="Franklin Gothic Book" w:hAnsi="Franklin Gothic Book"/>
          <w:sz w:val="21"/>
          <w:szCs w:val="21"/>
        </w:rPr>
        <w:t xml:space="preserve">Australia’s role as Vice-Chair of the donor </w:t>
      </w:r>
      <w:r w:rsidRPr="00C51F8F">
        <w:rPr>
          <w:rFonts w:ascii="Franklin Gothic Book" w:hAnsi="Franklin Gothic Book"/>
          <w:sz w:val="21"/>
          <w:szCs w:val="21"/>
        </w:rPr>
        <w:t xml:space="preserve">consortium, </w:t>
      </w:r>
      <w:r w:rsidR="000D30AE" w:rsidRPr="006C29D6">
        <w:rPr>
          <w:rFonts w:ascii="Franklin Gothic Book" w:hAnsi="Franklin Gothic Book"/>
          <w:sz w:val="21"/>
          <w:szCs w:val="21"/>
        </w:rPr>
        <w:t>whic</w:t>
      </w:r>
      <w:r w:rsidR="00AE3BA9" w:rsidRPr="006C29D6">
        <w:rPr>
          <w:rFonts w:ascii="Franklin Gothic Book" w:hAnsi="Franklin Gothic Book"/>
          <w:sz w:val="21"/>
          <w:szCs w:val="21"/>
        </w:rPr>
        <w:t>h</w:t>
      </w:r>
      <w:r w:rsidR="000D30AE" w:rsidRPr="006C29D6">
        <w:rPr>
          <w:rFonts w:ascii="Franklin Gothic Book" w:hAnsi="Franklin Gothic Book"/>
          <w:sz w:val="21"/>
          <w:szCs w:val="21"/>
        </w:rPr>
        <w:t xml:space="preserve"> </w:t>
      </w:r>
      <w:r w:rsidR="00AE3BA9" w:rsidRPr="006C29D6">
        <w:rPr>
          <w:rFonts w:ascii="Franklin Gothic Book" w:hAnsi="Franklin Gothic Book"/>
          <w:sz w:val="21"/>
          <w:szCs w:val="21"/>
        </w:rPr>
        <w:t>utilised a significant proportion of the program’s staff and technical resources</w:t>
      </w:r>
      <w:r w:rsidRPr="00C51F8F">
        <w:rPr>
          <w:rFonts w:ascii="Franklin Gothic Book" w:hAnsi="Franklin Gothic Book"/>
          <w:sz w:val="21"/>
          <w:szCs w:val="21"/>
        </w:rPr>
        <w:t xml:space="preserve">, has allowed Australia </w:t>
      </w:r>
      <w:r w:rsidR="00D80E98" w:rsidRPr="00C51F8F">
        <w:rPr>
          <w:rFonts w:ascii="Franklin Gothic Book" w:hAnsi="Franklin Gothic Book"/>
          <w:sz w:val="21"/>
          <w:szCs w:val="21"/>
        </w:rPr>
        <w:t xml:space="preserve">to </w:t>
      </w:r>
      <w:r w:rsidRPr="00C51F8F">
        <w:rPr>
          <w:rFonts w:ascii="Franklin Gothic Book" w:hAnsi="Franklin Gothic Book"/>
          <w:sz w:val="21"/>
          <w:szCs w:val="21"/>
        </w:rPr>
        <w:t xml:space="preserve">develop visibility </w:t>
      </w:r>
      <w:r w:rsidR="00AC1586" w:rsidRPr="00C51F8F">
        <w:rPr>
          <w:rFonts w:ascii="Franklin Gothic Book" w:hAnsi="Franklin Gothic Book"/>
          <w:sz w:val="21"/>
          <w:szCs w:val="21"/>
        </w:rPr>
        <w:t xml:space="preserve">and convening power amongst </w:t>
      </w:r>
      <w:r w:rsidR="00480515">
        <w:rPr>
          <w:rFonts w:ascii="Franklin Gothic Book" w:hAnsi="Franklin Gothic Book"/>
          <w:sz w:val="21"/>
          <w:szCs w:val="21"/>
        </w:rPr>
        <w:t>the G</w:t>
      </w:r>
      <w:r w:rsidR="00AC1586" w:rsidRPr="00C51F8F">
        <w:rPr>
          <w:rFonts w:ascii="Franklin Gothic Book" w:hAnsi="Franklin Gothic Book"/>
          <w:sz w:val="21"/>
          <w:szCs w:val="21"/>
        </w:rPr>
        <w:t>overnment</w:t>
      </w:r>
      <w:r w:rsidR="00480515">
        <w:rPr>
          <w:rFonts w:ascii="Franklin Gothic Book" w:hAnsi="Franklin Gothic Book"/>
          <w:sz w:val="21"/>
          <w:szCs w:val="21"/>
        </w:rPr>
        <w:t xml:space="preserve"> of Bangladesh</w:t>
      </w:r>
      <w:r w:rsidR="00AC1586" w:rsidRPr="00C51F8F">
        <w:rPr>
          <w:rFonts w:ascii="Franklin Gothic Book" w:hAnsi="Franklin Gothic Book"/>
          <w:sz w:val="21"/>
          <w:szCs w:val="21"/>
        </w:rPr>
        <w:t xml:space="preserve"> and donors</w:t>
      </w:r>
      <w:r w:rsidR="00AC1586">
        <w:rPr>
          <w:rFonts w:ascii="Franklin Gothic Book" w:hAnsi="Franklin Gothic Book"/>
          <w:sz w:val="21"/>
          <w:szCs w:val="21"/>
        </w:rPr>
        <w:t xml:space="preserve"> that is disproportionate to our actual funding contribution</w:t>
      </w:r>
      <w:r w:rsidR="00C51F8F">
        <w:rPr>
          <w:rFonts w:ascii="Franklin Gothic Book" w:hAnsi="Franklin Gothic Book"/>
          <w:sz w:val="21"/>
          <w:szCs w:val="21"/>
        </w:rPr>
        <w:t xml:space="preserve">. It has also allowed Australia </w:t>
      </w:r>
      <w:r w:rsidRPr="00237CCA">
        <w:rPr>
          <w:rFonts w:ascii="Franklin Gothic Book" w:hAnsi="Franklin Gothic Book"/>
          <w:sz w:val="21"/>
          <w:szCs w:val="21"/>
        </w:rPr>
        <w:t xml:space="preserve">to keep quality and equity issues at the centre of the dialogue with </w:t>
      </w:r>
      <w:r w:rsidR="00250358">
        <w:rPr>
          <w:rFonts w:ascii="Franklin Gothic Book" w:hAnsi="Franklin Gothic Book"/>
          <w:sz w:val="21"/>
          <w:szCs w:val="21"/>
        </w:rPr>
        <w:t xml:space="preserve">the </w:t>
      </w:r>
      <w:r w:rsidRPr="00237CCA">
        <w:rPr>
          <w:rFonts w:ascii="Franklin Gothic Book" w:hAnsi="Franklin Gothic Book"/>
          <w:sz w:val="21"/>
          <w:szCs w:val="21"/>
        </w:rPr>
        <w:t>Government</w:t>
      </w:r>
      <w:r w:rsidR="00250358">
        <w:rPr>
          <w:rFonts w:ascii="Franklin Gothic Book" w:hAnsi="Franklin Gothic Book"/>
          <w:sz w:val="21"/>
          <w:szCs w:val="21"/>
        </w:rPr>
        <w:t xml:space="preserve"> of Bangladesh</w:t>
      </w:r>
      <w:r w:rsidR="003A661B">
        <w:rPr>
          <w:rFonts w:ascii="Franklin Gothic Book" w:hAnsi="Franklin Gothic Book"/>
          <w:sz w:val="21"/>
          <w:szCs w:val="21"/>
        </w:rPr>
        <w:t>, particularly through the mid-term review of the sector program</w:t>
      </w:r>
      <w:r w:rsidR="00F42022">
        <w:rPr>
          <w:rFonts w:ascii="Franklin Gothic Book" w:hAnsi="Franklin Gothic Book"/>
          <w:sz w:val="21"/>
          <w:szCs w:val="21"/>
        </w:rPr>
        <w:t>.</w:t>
      </w:r>
      <w:r w:rsidR="00250358">
        <w:rPr>
          <w:rStyle w:val="FootnoteReference"/>
          <w:rFonts w:ascii="Franklin Gothic Book" w:hAnsi="Franklin Gothic Book"/>
          <w:sz w:val="21"/>
          <w:szCs w:val="21"/>
        </w:rPr>
        <w:footnoteReference w:id="29"/>
      </w:r>
      <w:r w:rsidRPr="00237CCA">
        <w:rPr>
          <w:rFonts w:ascii="Franklin Gothic Book" w:hAnsi="Franklin Gothic Book"/>
          <w:sz w:val="21"/>
          <w:szCs w:val="21"/>
        </w:rPr>
        <w:t xml:space="preserve"> Deployment of specialist skills, such as public financial management</w:t>
      </w:r>
      <w:r w:rsidR="00480515">
        <w:rPr>
          <w:rFonts w:ascii="Franklin Gothic Book" w:hAnsi="Franklin Gothic Book"/>
          <w:sz w:val="21"/>
          <w:szCs w:val="21"/>
        </w:rPr>
        <w:t xml:space="preserve"> (PFM)</w:t>
      </w:r>
      <w:r w:rsidRPr="00237CCA">
        <w:rPr>
          <w:rFonts w:ascii="Franklin Gothic Book" w:hAnsi="Franklin Gothic Book"/>
          <w:sz w:val="21"/>
          <w:szCs w:val="21"/>
        </w:rPr>
        <w:t xml:space="preserve">, together with Australia’s position on the inside track among development partners, has enabled us to promote collaboration among partners. The improvement in the quality of dialogue is illustrated by the much stronger ownership of the </w:t>
      </w:r>
      <w:r w:rsidR="00A5304D">
        <w:rPr>
          <w:rFonts w:ascii="Franklin Gothic Book" w:hAnsi="Franklin Gothic Book"/>
          <w:sz w:val="21"/>
          <w:szCs w:val="21"/>
        </w:rPr>
        <w:t xml:space="preserve">mid-tem </w:t>
      </w:r>
      <w:r w:rsidRPr="00237CCA">
        <w:rPr>
          <w:rFonts w:ascii="Franklin Gothic Book" w:hAnsi="Franklin Gothic Book"/>
          <w:sz w:val="21"/>
          <w:szCs w:val="21"/>
        </w:rPr>
        <w:t xml:space="preserve">review by </w:t>
      </w:r>
      <w:r w:rsidR="00250358">
        <w:rPr>
          <w:rFonts w:ascii="Franklin Gothic Book" w:hAnsi="Franklin Gothic Book"/>
          <w:sz w:val="21"/>
          <w:szCs w:val="21"/>
        </w:rPr>
        <w:t xml:space="preserve">the </w:t>
      </w:r>
      <w:r w:rsidRPr="00237CCA">
        <w:rPr>
          <w:rFonts w:ascii="Franklin Gothic Book" w:hAnsi="Franklin Gothic Book"/>
          <w:sz w:val="21"/>
          <w:szCs w:val="21"/>
        </w:rPr>
        <w:t>Government</w:t>
      </w:r>
      <w:r w:rsidR="00250358">
        <w:rPr>
          <w:rFonts w:ascii="Franklin Gothic Book" w:hAnsi="Franklin Gothic Book"/>
          <w:sz w:val="21"/>
          <w:szCs w:val="21"/>
        </w:rPr>
        <w:t xml:space="preserve"> of Bangladesh</w:t>
      </w:r>
      <w:r w:rsidRPr="00237CCA">
        <w:rPr>
          <w:rFonts w:ascii="Franklin Gothic Book" w:hAnsi="Franklin Gothic Book"/>
          <w:sz w:val="21"/>
          <w:szCs w:val="21"/>
        </w:rPr>
        <w:t xml:space="preserve"> </w:t>
      </w:r>
      <w:r w:rsidR="002E3D2A">
        <w:rPr>
          <w:rFonts w:ascii="Franklin Gothic Book" w:hAnsi="Franklin Gothic Book"/>
          <w:sz w:val="21"/>
          <w:szCs w:val="21"/>
        </w:rPr>
        <w:t xml:space="preserve">of its primary education program </w:t>
      </w:r>
      <w:r w:rsidRPr="00237CCA">
        <w:rPr>
          <w:rFonts w:ascii="Franklin Gothic Book" w:hAnsi="Franklin Gothic Book"/>
          <w:sz w:val="21"/>
          <w:szCs w:val="21"/>
        </w:rPr>
        <w:t>than for its equivalent</w:t>
      </w:r>
      <w:r w:rsidR="00F42022">
        <w:rPr>
          <w:rFonts w:ascii="Franklin Gothic Book" w:hAnsi="Franklin Gothic Book"/>
          <w:i/>
          <w:sz w:val="21"/>
          <w:szCs w:val="21"/>
        </w:rPr>
        <w:t xml:space="preserve"> </w:t>
      </w:r>
      <w:r w:rsidR="00A5304D">
        <w:rPr>
          <w:rFonts w:ascii="Franklin Gothic Book" w:hAnsi="Franklin Gothic Book"/>
          <w:sz w:val="21"/>
          <w:szCs w:val="21"/>
        </w:rPr>
        <w:t>in 2007</w:t>
      </w:r>
      <w:r w:rsidRPr="00237CCA">
        <w:rPr>
          <w:rFonts w:ascii="Franklin Gothic Book" w:hAnsi="Franklin Gothic Book"/>
          <w:sz w:val="21"/>
          <w:szCs w:val="21"/>
        </w:rPr>
        <w:t>.</w:t>
      </w:r>
    </w:p>
    <w:p w:rsidR="00AF5161" w:rsidRPr="00237CCA" w:rsidRDefault="00AF5161" w:rsidP="00836739">
      <w:pPr>
        <w:jc w:val="both"/>
        <w:rPr>
          <w:rFonts w:ascii="Franklin Gothic Book" w:hAnsi="Franklin Gothic Book"/>
          <w:sz w:val="21"/>
          <w:szCs w:val="21"/>
        </w:rPr>
      </w:pPr>
    </w:p>
    <w:p w:rsidR="00A834AC" w:rsidRDefault="005E2E15" w:rsidP="00836739">
      <w:pPr>
        <w:jc w:val="both"/>
        <w:rPr>
          <w:rFonts w:ascii="Franklin Gothic Book" w:hAnsi="Franklin Gothic Book"/>
          <w:sz w:val="21"/>
          <w:szCs w:val="21"/>
        </w:rPr>
      </w:pPr>
      <w:r>
        <w:rPr>
          <w:rFonts w:ascii="Franklin Gothic Book" w:hAnsi="Franklin Gothic Book"/>
          <w:b/>
          <w:sz w:val="21"/>
          <w:szCs w:val="21"/>
        </w:rPr>
        <w:t xml:space="preserve">While some progress was made in health, </w:t>
      </w:r>
      <w:r w:rsidR="000B22A2">
        <w:rPr>
          <w:rFonts w:ascii="Franklin Gothic Book" w:hAnsi="Franklin Gothic Book"/>
          <w:b/>
          <w:sz w:val="21"/>
          <w:szCs w:val="21"/>
        </w:rPr>
        <w:t>p</w:t>
      </w:r>
      <w:r w:rsidR="00AF5161" w:rsidRPr="009B2417">
        <w:rPr>
          <w:rFonts w:ascii="Franklin Gothic Book" w:hAnsi="Franklin Gothic Book"/>
          <w:b/>
          <w:sz w:val="21"/>
          <w:szCs w:val="21"/>
        </w:rPr>
        <w:t>olitical uncertainty served to dampen the already low impetus for reform in the sector</w:t>
      </w:r>
      <w:r w:rsidR="0086772E" w:rsidRPr="009B2417">
        <w:rPr>
          <w:rFonts w:ascii="Franklin Gothic Book" w:hAnsi="Franklin Gothic Book"/>
          <w:b/>
          <w:sz w:val="21"/>
          <w:szCs w:val="21"/>
        </w:rPr>
        <w:t>.</w:t>
      </w:r>
      <w:r w:rsidR="0086772E">
        <w:rPr>
          <w:rFonts w:ascii="Franklin Gothic Book" w:hAnsi="Franklin Gothic Book"/>
          <w:sz w:val="21"/>
          <w:szCs w:val="21"/>
        </w:rPr>
        <w:t xml:space="preserve"> </w:t>
      </w:r>
      <w:r>
        <w:rPr>
          <w:rFonts w:ascii="Franklin Gothic Book" w:hAnsi="Franklin Gothic Book"/>
          <w:sz w:val="21"/>
          <w:szCs w:val="21"/>
        </w:rPr>
        <w:t>In</w:t>
      </w:r>
      <w:r w:rsidRPr="00237CCA">
        <w:rPr>
          <w:rFonts w:ascii="Franklin Gothic Book" w:hAnsi="Franklin Gothic Book"/>
          <w:sz w:val="21"/>
          <w:szCs w:val="21"/>
        </w:rPr>
        <w:t xml:space="preserve"> the </w:t>
      </w:r>
      <w:r>
        <w:rPr>
          <w:rFonts w:ascii="Franklin Gothic Book" w:hAnsi="Franklin Gothic Book"/>
          <w:sz w:val="21"/>
          <w:szCs w:val="21"/>
        </w:rPr>
        <w:t>Government</w:t>
      </w:r>
      <w:r w:rsidR="00250358">
        <w:rPr>
          <w:rFonts w:ascii="Franklin Gothic Book" w:hAnsi="Franklin Gothic Book"/>
          <w:sz w:val="21"/>
          <w:szCs w:val="21"/>
        </w:rPr>
        <w:t xml:space="preserve"> of Bangladesh</w:t>
      </w:r>
      <w:r>
        <w:rPr>
          <w:rFonts w:ascii="Franklin Gothic Book" w:hAnsi="Franklin Gothic Book"/>
          <w:sz w:val="21"/>
          <w:szCs w:val="21"/>
        </w:rPr>
        <w:t xml:space="preserve">’s </w:t>
      </w:r>
      <w:r w:rsidRPr="00237CCA">
        <w:rPr>
          <w:rFonts w:ascii="Franklin Gothic Book" w:hAnsi="Franklin Gothic Book"/>
          <w:sz w:val="21"/>
          <w:szCs w:val="21"/>
        </w:rPr>
        <w:t xml:space="preserve">health </w:t>
      </w:r>
      <w:r>
        <w:rPr>
          <w:rFonts w:ascii="Franklin Gothic Book" w:hAnsi="Franklin Gothic Book"/>
          <w:sz w:val="21"/>
          <w:szCs w:val="21"/>
        </w:rPr>
        <w:t xml:space="preserve">sector </w:t>
      </w:r>
      <w:r w:rsidRPr="00237CCA">
        <w:rPr>
          <w:rFonts w:ascii="Franklin Gothic Book" w:hAnsi="Franklin Gothic Book"/>
          <w:sz w:val="21"/>
          <w:szCs w:val="21"/>
        </w:rPr>
        <w:t>program, there was progress in widening awareness of the Health Financing Strategy beyond the Ministry of Health</w:t>
      </w:r>
      <w:r>
        <w:rPr>
          <w:rFonts w:ascii="Franklin Gothic Book" w:hAnsi="Franklin Gothic Book"/>
          <w:sz w:val="21"/>
          <w:szCs w:val="21"/>
        </w:rPr>
        <w:t xml:space="preserve"> and Family Welfare</w:t>
      </w:r>
      <w:r w:rsidRPr="00237CCA">
        <w:rPr>
          <w:rFonts w:ascii="Franklin Gothic Book" w:hAnsi="Franklin Gothic Book"/>
          <w:sz w:val="21"/>
          <w:szCs w:val="21"/>
        </w:rPr>
        <w:t xml:space="preserve">, and in promoting debate on different models of management for </w:t>
      </w:r>
      <w:r w:rsidRPr="00237CCA">
        <w:rPr>
          <w:rFonts w:ascii="Franklin Gothic Book" w:hAnsi="Franklin Gothic Book"/>
          <w:sz w:val="21"/>
          <w:szCs w:val="21"/>
        </w:rPr>
        <w:lastRenderedPageBreak/>
        <w:t>maternal health services</w:t>
      </w:r>
      <w:r w:rsidR="00480515">
        <w:rPr>
          <w:rFonts w:ascii="Franklin Gothic Book" w:hAnsi="Franklin Gothic Book"/>
          <w:sz w:val="21"/>
          <w:szCs w:val="21"/>
        </w:rPr>
        <w:t>.</w:t>
      </w:r>
      <w:r w:rsidR="007A3EAA">
        <w:rPr>
          <w:rStyle w:val="FootnoteReference"/>
          <w:rFonts w:ascii="Franklin Gothic Book" w:hAnsi="Franklin Gothic Book"/>
          <w:sz w:val="21"/>
          <w:szCs w:val="21"/>
        </w:rPr>
        <w:footnoteReference w:id="30"/>
      </w:r>
      <w:r w:rsidRPr="00237CCA">
        <w:rPr>
          <w:rFonts w:ascii="Franklin Gothic Book" w:hAnsi="Franklin Gothic Book"/>
          <w:sz w:val="21"/>
          <w:szCs w:val="21"/>
        </w:rPr>
        <w:t xml:space="preserve"> </w:t>
      </w:r>
      <w:r>
        <w:rPr>
          <w:rFonts w:ascii="Franklin Gothic Book" w:hAnsi="Franklin Gothic Book"/>
          <w:sz w:val="21"/>
          <w:szCs w:val="21"/>
        </w:rPr>
        <w:t xml:space="preserve">Australian assistance helped icddr,b </w:t>
      </w:r>
      <w:r w:rsidR="009B5743">
        <w:rPr>
          <w:rFonts w:ascii="Franklin Gothic Book" w:hAnsi="Franklin Gothic Book"/>
          <w:sz w:val="21"/>
          <w:szCs w:val="21"/>
        </w:rPr>
        <w:t xml:space="preserve">to undertake health research into areas including </w:t>
      </w:r>
      <w:r w:rsidR="009B5743" w:rsidRPr="00A21B34">
        <w:rPr>
          <w:rFonts w:ascii="Franklin Gothic Book" w:hAnsi="Franklin Gothic Book"/>
          <w:sz w:val="21"/>
          <w:szCs w:val="21"/>
        </w:rPr>
        <w:t xml:space="preserve">respiratory infections in children, </w:t>
      </w:r>
      <w:r w:rsidR="009B5743">
        <w:rPr>
          <w:rFonts w:ascii="Franklin Gothic Book" w:hAnsi="Franklin Gothic Book"/>
          <w:sz w:val="21"/>
          <w:szCs w:val="21"/>
        </w:rPr>
        <w:t xml:space="preserve">the </w:t>
      </w:r>
      <w:r w:rsidR="009B5743" w:rsidRPr="00A21B34">
        <w:rPr>
          <w:rFonts w:ascii="Franklin Gothic Book" w:hAnsi="Franklin Gothic Book"/>
          <w:sz w:val="21"/>
          <w:szCs w:val="21"/>
        </w:rPr>
        <w:t xml:space="preserve">effectiveness of influenza vaccines and </w:t>
      </w:r>
      <w:r w:rsidR="009B5743">
        <w:rPr>
          <w:rFonts w:ascii="Franklin Gothic Book" w:hAnsi="Franklin Gothic Book"/>
          <w:sz w:val="21"/>
          <w:szCs w:val="21"/>
        </w:rPr>
        <w:t xml:space="preserve">the </w:t>
      </w:r>
      <w:r w:rsidR="009B5743" w:rsidRPr="00A21B34">
        <w:rPr>
          <w:rFonts w:ascii="Franklin Gothic Book" w:hAnsi="Franklin Gothic Book"/>
          <w:sz w:val="21"/>
          <w:szCs w:val="21"/>
        </w:rPr>
        <w:t>factors involved in the spread of cholera</w:t>
      </w:r>
      <w:r w:rsidR="009B5743">
        <w:rPr>
          <w:rFonts w:ascii="Franklin Gothic Book" w:hAnsi="Franklin Gothic Book"/>
          <w:sz w:val="21"/>
          <w:szCs w:val="21"/>
        </w:rPr>
        <w:t xml:space="preserve">. Australian support also assisted icddr,b management continue to </w:t>
      </w:r>
      <w:r>
        <w:rPr>
          <w:rFonts w:ascii="Franklin Gothic Book" w:hAnsi="Franklin Gothic Book"/>
          <w:sz w:val="21"/>
          <w:szCs w:val="21"/>
        </w:rPr>
        <w:t>strengthen its internal management systems</w:t>
      </w:r>
      <w:r w:rsidR="009B5743">
        <w:rPr>
          <w:rFonts w:ascii="Franklin Gothic Book" w:hAnsi="Franklin Gothic Book"/>
          <w:sz w:val="21"/>
          <w:szCs w:val="21"/>
        </w:rPr>
        <w:t>.</w:t>
      </w:r>
      <w:r w:rsidR="009B5743" w:rsidRPr="009B5743">
        <w:rPr>
          <w:rStyle w:val="FootnoteReference"/>
          <w:rFonts w:ascii="Franklin Gothic Book" w:hAnsi="Franklin Gothic Book"/>
          <w:sz w:val="21"/>
          <w:szCs w:val="21"/>
        </w:rPr>
        <w:t xml:space="preserve"> </w:t>
      </w:r>
      <w:r w:rsidR="009B5743">
        <w:rPr>
          <w:rStyle w:val="FootnoteReference"/>
          <w:rFonts w:ascii="Franklin Gothic Book" w:hAnsi="Franklin Gothic Book"/>
          <w:sz w:val="21"/>
          <w:szCs w:val="21"/>
        </w:rPr>
        <w:footnoteReference w:id="31"/>
      </w:r>
      <w:r>
        <w:rPr>
          <w:rFonts w:ascii="Franklin Gothic Book" w:hAnsi="Franklin Gothic Book"/>
          <w:sz w:val="21"/>
          <w:szCs w:val="21"/>
        </w:rPr>
        <w:t xml:space="preserve"> However, t</w:t>
      </w:r>
      <w:r w:rsidR="00AF5161" w:rsidRPr="00237CCA">
        <w:rPr>
          <w:rFonts w:ascii="Franklin Gothic Book" w:hAnsi="Franklin Gothic Book"/>
          <w:sz w:val="21"/>
          <w:szCs w:val="21"/>
        </w:rPr>
        <w:t>here has been little progress in agreeing the</w:t>
      </w:r>
      <w:r>
        <w:rPr>
          <w:rFonts w:ascii="Franklin Gothic Book" w:hAnsi="Franklin Gothic Book"/>
          <w:sz w:val="21"/>
          <w:szCs w:val="21"/>
        </w:rPr>
        <w:t xml:space="preserve"> sector’s</w:t>
      </w:r>
      <w:r w:rsidR="00AF5161" w:rsidRPr="00237CCA">
        <w:rPr>
          <w:rFonts w:ascii="Franklin Gothic Book" w:hAnsi="Franklin Gothic Book"/>
          <w:sz w:val="21"/>
          <w:szCs w:val="21"/>
        </w:rPr>
        <w:t xml:space="preserve"> </w:t>
      </w:r>
      <w:r>
        <w:rPr>
          <w:rFonts w:ascii="Franklin Gothic Book" w:hAnsi="Franklin Gothic Book"/>
          <w:sz w:val="21"/>
          <w:szCs w:val="21"/>
        </w:rPr>
        <w:t xml:space="preserve">reform </w:t>
      </w:r>
      <w:r w:rsidR="00AF5161" w:rsidRPr="00237CCA">
        <w:rPr>
          <w:rFonts w:ascii="Franklin Gothic Book" w:hAnsi="Franklin Gothic Book"/>
          <w:sz w:val="21"/>
          <w:szCs w:val="21"/>
        </w:rPr>
        <w:t xml:space="preserve">agenda with development partners. This trend was highlighted in the last APPR and expectations and resources devoted by Australia were both scaled down. </w:t>
      </w:r>
      <w:r w:rsidR="00A834AC">
        <w:rPr>
          <w:rFonts w:ascii="Franklin Gothic Book" w:hAnsi="Franklin Gothic Book"/>
          <w:sz w:val="21"/>
          <w:szCs w:val="21"/>
        </w:rPr>
        <w:t xml:space="preserve">While continued Australian engagement may have been able to help improve the design for the next phase of the health program, a revised budget envelope and an imperative to consolidate our program led to a decision to withdraw from the Government’s health sector program in early 2014.  </w:t>
      </w:r>
    </w:p>
    <w:p w:rsidR="00AF5161" w:rsidRPr="00237CCA" w:rsidRDefault="00AF5161" w:rsidP="00836739">
      <w:pPr>
        <w:jc w:val="both"/>
        <w:rPr>
          <w:rFonts w:ascii="Franklin Gothic Book" w:hAnsi="Franklin Gothic Book"/>
          <w:b/>
          <w:sz w:val="21"/>
          <w:szCs w:val="21"/>
        </w:rPr>
      </w:pPr>
    </w:p>
    <w:p w:rsidR="00740521" w:rsidRPr="00237CCA" w:rsidRDefault="00AF5161" w:rsidP="00836739">
      <w:pPr>
        <w:jc w:val="both"/>
        <w:rPr>
          <w:rFonts w:ascii="Franklin Gothic Book" w:hAnsi="Franklin Gothic Book"/>
          <w:i/>
          <w:sz w:val="21"/>
          <w:szCs w:val="21"/>
        </w:rPr>
      </w:pPr>
      <w:r w:rsidRPr="00237CCA">
        <w:rPr>
          <w:rFonts w:ascii="Franklin Gothic Book" w:hAnsi="Franklin Gothic Book"/>
          <w:b/>
          <w:sz w:val="21"/>
          <w:szCs w:val="21"/>
        </w:rPr>
        <w:t>Australia has devoted more attention to finance and procurement issues this year</w:t>
      </w:r>
      <w:r w:rsidR="0088443B">
        <w:rPr>
          <w:rFonts w:ascii="Franklin Gothic Book" w:hAnsi="Franklin Gothic Book"/>
          <w:b/>
          <w:sz w:val="21"/>
          <w:szCs w:val="21"/>
        </w:rPr>
        <w:t xml:space="preserve"> to strengthen our depth of understanding and </w:t>
      </w:r>
      <w:r w:rsidR="00A834AC">
        <w:rPr>
          <w:rFonts w:ascii="Franklin Gothic Book" w:hAnsi="Franklin Gothic Book"/>
          <w:b/>
          <w:sz w:val="21"/>
          <w:szCs w:val="21"/>
        </w:rPr>
        <w:t xml:space="preserve">capacity to effectively monitor </w:t>
      </w:r>
      <w:r w:rsidR="0088443B">
        <w:rPr>
          <w:rFonts w:ascii="Franklin Gothic Book" w:hAnsi="Franklin Gothic Book"/>
          <w:b/>
          <w:sz w:val="21"/>
          <w:szCs w:val="21"/>
        </w:rPr>
        <w:t>these issues</w:t>
      </w:r>
      <w:r w:rsidRPr="00237CCA">
        <w:rPr>
          <w:rFonts w:ascii="Franklin Gothic Book" w:hAnsi="Franklin Gothic Book"/>
          <w:b/>
          <w:sz w:val="21"/>
          <w:szCs w:val="21"/>
        </w:rPr>
        <w:t xml:space="preserve">. </w:t>
      </w:r>
      <w:r w:rsidR="00B9172B">
        <w:rPr>
          <w:rFonts w:ascii="Franklin Gothic Book" w:hAnsi="Franklin Gothic Book"/>
          <w:sz w:val="21"/>
          <w:szCs w:val="21"/>
        </w:rPr>
        <w:t xml:space="preserve">A </w:t>
      </w:r>
      <w:r w:rsidR="001A7C0E">
        <w:rPr>
          <w:rFonts w:ascii="Franklin Gothic Book" w:hAnsi="Franklin Gothic Book"/>
          <w:sz w:val="21"/>
          <w:szCs w:val="21"/>
        </w:rPr>
        <w:t xml:space="preserve">PFM </w:t>
      </w:r>
      <w:r w:rsidR="00B9172B">
        <w:rPr>
          <w:rFonts w:ascii="Franklin Gothic Book" w:hAnsi="Franklin Gothic Book"/>
          <w:sz w:val="21"/>
          <w:szCs w:val="21"/>
        </w:rPr>
        <w:t xml:space="preserve">specialist </w:t>
      </w:r>
      <w:r w:rsidRPr="00237CCA">
        <w:rPr>
          <w:rFonts w:ascii="Franklin Gothic Book" w:hAnsi="Franklin Gothic Book"/>
          <w:sz w:val="21"/>
          <w:szCs w:val="21"/>
        </w:rPr>
        <w:t>was deployed in both the health and education programs</w:t>
      </w:r>
      <w:r w:rsidR="00740521">
        <w:rPr>
          <w:rFonts w:ascii="Franklin Gothic Book" w:hAnsi="Franklin Gothic Book"/>
          <w:sz w:val="21"/>
          <w:szCs w:val="21"/>
        </w:rPr>
        <w:t xml:space="preserve">. </w:t>
      </w:r>
      <w:r w:rsidR="00A92A75">
        <w:rPr>
          <w:rFonts w:ascii="Franklin Gothic Book" w:hAnsi="Franklin Gothic Book"/>
          <w:sz w:val="21"/>
          <w:szCs w:val="21"/>
        </w:rPr>
        <w:t xml:space="preserve">DFAT staff (Program Manager) </w:t>
      </w:r>
      <w:r w:rsidR="00740521">
        <w:rPr>
          <w:rFonts w:ascii="Franklin Gothic Book" w:hAnsi="Franklin Gothic Book"/>
          <w:sz w:val="21"/>
          <w:szCs w:val="21"/>
        </w:rPr>
        <w:t xml:space="preserve">with regular technical support from the PFM </w:t>
      </w:r>
      <w:r w:rsidR="00B9172B">
        <w:rPr>
          <w:rFonts w:ascii="Franklin Gothic Book" w:hAnsi="Franklin Gothic Book"/>
          <w:sz w:val="21"/>
          <w:szCs w:val="21"/>
        </w:rPr>
        <w:t>specialist</w:t>
      </w:r>
      <w:r w:rsidR="00731967">
        <w:rPr>
          <w:rFonts w:ascii="Franklin Gothic Book" w:hAnsi="Franklin Gothic Book"/>
          <w:sz w:val="21"/>
          <w:szCs w:val="21"/>
        </w:rPr>
        <w:t xml:space="preserve"> </w:t>
      </w:r>
      <w:r w:rsidR="00740521">
        <w:rPr>
          <w:rFonts w:ascii="Franklin Gothic Book" w:hAnsi="Franklin Gothic Book"/>
          <w:sz w:val="21"/>
          <w:szCs w:val="21"/>
        </w:rPr>
        <w:t xml:space="preserve">took part in the </w:t>
      </w:r>
      <w:r w:rsidR="00A92A75">
        <w:rPr>
          <w:rFonts w:ascii="Franklin Gothic Book" w:hAnsi="Franklin Gothic Book"/>
          <w:sz w:val="21"/>
          <w:szCs w:val="21"/>
        </w:rPr>
        <w:t xml:space="preserve">Education </w:t>
      </w:r>
      <w:r w:rsidR="00740521">
        <w:rPr>
          <w:rFonts w:ascii="Franklin Gothic Book" w:hAnsi="Franklin Gothic Book"/>
          <w:sz w:val="21"/>
          <w:szCs w:val="21"/>
        </w:rPr>
        <w:t xml:space="preserve">Quarterly Fiduciary Review (QFR) </w:t>
      </w:r>
      <w:r w:rsidR="00731967">
        <w:rPr>
          <w:rFonts w:ascii="Franklin Gothic Book" w:hAnsi="Franklin Gothic Book"/>
          <w:sz w:val="21"/>
          <w:szCs w:val="21"/>
        </w:rPr>
        <w:t>with field office reviews of</w:t>
      </w:r>
      <w:r w:rsidR="00740521">
        <w:rPr>
          <w:rFonts w:ascii="Franklin Gothic Book" w:hAnsi="Franklin Gothic Book"/>
          <w:sz w:val="21"/>
          <w:szCs w:val="21"/>
        </w:rPr>
        <w:t xml:space="preserve"> the </w:t>
      </w:r>
      <w:r w:rsidR="00A92A75">
        <w:rPr>
          <w:rFonts w:ascii="Franklin Gothic Book" w:hAnsi="Franklin Gothic Book"/>
          <w:sz w:val="21"/>
          <w:szCs w:val="21"/>
        </w:rPr>
        <w:t xml:space="preserve">Government’s </w:t>
      </w:r>
      <w:r w:rsidR="00740521">
        <w:rPr>
          <w:rFonts w:ascii="Franklin Gothic Book" w:hAnsi="Franklin Gothic Book"/>
          <w:sz w:val="21"/>
          <w:szCs w:val="21"/>
        </w:rPr>
        <w:t>financing mechanism</w:t>
      </w:r>
      <w:r w:rsidR="00A92A75">
        <w:rPr>
          <w:rFonts w:ascii="Franklin Gothic Book" w:hAnsi="Franklin Gothic Book"/>
          <w:sz w:val="21"/>
          <w:szCs w:val="21"/>
        </w:rPr>
        <w:t>s and systems. T</w:t>
      </w:r>
      <w:r w:rsidR="00740521">
        <w:rPr>
          <w:rFonts w:ascii="Franklin Gothic Book" w:hAnsi="Franklin Gothic Book"/>
          <w:sz w:val="21"/>
          <w:szCs w:val="21"/>
        </w:rPr>
        <w:t xml:space="preserve">he PFM </w:t>
      </w:r>
      <w:r w:rsidR="008655A0">
        <w:rPr>
          <w:rFonts w:ascii="Franklin Gothic Book" w:hAnsi="Franklin Gothic Book"/>
          <w:sz w:val="21"/>
          <w:szCs w:val="21"/>
        </w:rPr>
        <w:t>specialist</w:t>
      </w:r>
      <w:r w:rsidR="00740521">
        <w:rPr>
          <w:rFonts w:ascii="Franklin Gothic Book" w:hAnsi="Franklin Gothic Book"/>
          <w:sz w:val="21"/>
          <w:szCs w:val="21"/>
        </w:rPr>
        <w:t xml:space="preserve"> and </w:t>
      </w:r>
      <w:r w:rsidR="0088443B">
        <w:rPr>
          <w:rFonts w:ascii="Franklin Gothic Book" w:hAnsi="Franklin Gothic Book"/>
          <w:sz w:val="21"/>
          <w:szCs w:val="21"/>
        </w:rPr>
        <w:t>P</w:t>
      </w:r>
      <w:r w:rsidR="00740521">
        <w:rPr>
          <w:rFonts w:ascii="Franklin Gothic Book" w:hAnsi="Franklin Gothic Book"/>
          <w:sz w:val="21"/>
          <w:szCs w:val="21"/>
        </w:rPr>
        <w:t xml:space="preserve">rogram </w:t>
      </w:r>
      <w:r w:rsidR="0088443B">
        <w:rPr>
          <w:rFonts w:ascii="Franklin Gothic Book" w:hAnsi="Franklin Gothic Book"/>
          <w:sz w:val="21"/>
          <w:szCs w:val="21"/>
        </w:rPr>
        <w:t>M</w:t>
      </w:r>
      <w:r w:rsidR="00740521">
        <w:rPr>
          <w:rFonts w:ascii="Franklin Gothic Book" w:hAnsi="Franklin Gothic Book"/>
          <w:sz w:val="21"/>
          <w:szCs w:val="21"/>
        </w:rPr>
        <w:t xml:space="preserve">anager </w:t>
      </w:r>
      <w:r w:rsidR="006F29A8">
        <w:rPr>
          <w:rFonts w:ascii="Franklin Gothic Book" w:hAnsi="Franklin Gothic Book"/>
          <w:sz w:val="21"/>
          <w:szCs w:val="21"/>
        </w:rPr>
        <w:t xml:space="preserve">contributed </w:t>
      </w:r>
      <w:r w:rsidR="00A92A75">
        <w:rPr>
          <w:rFonts w:ascii="Franklin Gothic Book" w:hAnsi="Franklin Gothic Book"/>
          <w:sz w:val="21"/>
          <w:szCs w:val="21"/>
        </w:rPr>
        <w:t>technical analysis</w:t>
      </w:r>
      <w:r w:rsidR="006F29A8">
        <w:rPr>
          <w:rFonts w:ascii="Franklin Gothic Book" w:hAnsi="Franklin Gothic Book"/>
          <w:sz w:val="21"/>
          <w:szCs w:val="21"/>
        </w:rPr>
        <w:t xml:space="preserve"> </w:t>
      </w:r>
      <w:r w:rsidR="002C2057">
        <w:rPr>
          <w:rFonts w:ascii="Franklin Gothic Book" w:hAnsi="Franklin Gothic Book"/>
          <w:sz w:val="21"/>
          <w:szCs w:val="21"/>
        </w:rPr>
        <w:t>to the Education Procurement and Finance working group</w:t>
      </w:r>
      <w:r w:rsidR="0088443B">
        <w:rPr>
          <w:rFonts w:ascii="Franklin Gothic Book" w:hAnsi="Franklin Gothic Book"/>
          <w:sz w:val="21"/>
          <w:szCs w:val="21"/>
        </w:rPr>
        <w:t xml:space="preserve">.  </w:t>
      </w:r>
      <w:r w:rsidR="006F29A8">
        <w:rPr>
          <w:rFonts w:ascii="Franklin Gothic Book" w:hAnsi="Franklin Gothic Book"/>
          <w:sz w:val="21"/>
          <w:szCs w:val="21"/>
        </w:rPr>
        <w:t>Australian fund</w:t>
      </w:r>
      <w:r w:rsidR="00B9172B">
        <w:rPr>
          <w:rFonts w:ascii="Franklin Gothic Book" w:hAnsi="Franklin Gothic Book"/>
          <w:sz w:val="21"/>
          <w:szCs w:val="21"/>
        </w:rPr>
        <w:t>ed</w:t>
      </w:r>
      <w:r w:rsidR="0088443B">
        <w:rPr>
          <w:rFonts w:ascii="Franklin Gothic Book" w:hAnsi="Franklin Gothic Book"/>
          <w:sz w:val="21"/>
          <w:szCs w:val="21"/>
        </w:rPr>
        <w:t xml:space="preserve"> </w:t>
      </w:r>
      <w:r w:rsidR="00B9172B">
        <w:rPr>
          <w:rFonts w:ascii="Franklin Gothic Book" w:hAnsi="Franklin Gothic Book"/>
          <w:sz w:val="21"/>
          <w:szCs w:val="21"/>
        </w:rPr>
        <w:t>t</w:t>
      </w:r>
      <w:r w:rsidR="006F29A8">
        <w:rPr>
          <w:rFonts w:ascii="Franklin Gothic Book" w:hAnsi="Franklin Gothic Book"/>
          <w:sz w:val="21"/>
          <w:szCs w:val="21"/>
        </w:rPr>
        <w:t xml:space="preserve">echnical </w:t>
      </w:r>
      <w:r w:rsidR="00B9172B">
        <w:rPr>
          <w:rFonts w:ascii="Franklin Gothic Book" w:hAnsi="Franklin Gothic Book"/>
          <w:sz w:val="21"/>
          <w:szCs w:val="21"/>
        </w:rPr>
        <w:t>a</w:t>
      </w:r>
      <w:r w:rsidR="006F29A8">
        <w:rPr>
          <w:rFonts w:ascii="Franklin Gothic Book" w:hAnsi="Franklin Gothic Book"/>
          <w:sz w:val="21"/>
          <w:szCs w:val="21"/>
        </w:rPr>
        <w:t>ssistance</w:t>
      </w:r>
      <w:r w:rsidR="00732B3B">
        <w:rPr>
          <w:rFonts w:ascii="Franklin Gothic Book" w:hAnsi="Franklin Gothic Book"/>
          <w:sz w:val="21"/>
          <w:szCs w:val="21"/>
        </w:rPr>
        <w:t xml:space="preserve"> result</w:t>
      </w:r>
      <w:r w:rsidR="0088443B">
        <w:rPr>
          <w:rFonts w:ascii="Franklin Gothic Book" w:hAnsi="Franklin Gothic Book"/>
          <w:sz w:val="21"/>
          <w:szCs w:val="21"/>
        </w:rPr>
        <w:t>ed</w:t>
      </w:r>
      <w:r w:rsidR="00732B3B">
        <w:rPr>
          <w:rFonts w:ascii="Franklin Gothic Book" w:hAnsi="Franklin Gothic Book"/>
          <w:sz w:val="21"/>
          <w:szCs w:val="21"/>
        </w:rPr>
        <w:t xml:space="preserve"> in some </w:t>
      </w:r>
      <w:r w:rsidR="00731967">
        <w:rPr>
          <w:rFonts w:ascii="Franklin Gothic Book" w:hAnsi="Franklin Gothic Book"/>
          <w:sz w:val="21"/>
          <w:szCs w:val="21"/>
        </w:rPr>
        <w:t>important steps forward</w:t>
      </w:r>
      <w:r w:rsidR="0088443B">
        <w:rPr>
          <w:rFonts w:ascii="Franklin Gothic Book" w:hAnsi="Franklin Gothic Book"/>
          <w:sz w:val="21"/>
          <w:szCs w:val="21"/>
        </w:rPr>
        <w:t xml:space="preserve"> such as:</w:t>
      </w:r>
      <w:r w:rsidR="00731967">
        <w:rPr>
          <w:rFonts w:ascii="Franklin Gothic Book" w:hAnsi="Franklin Gothic Book"/>
          <w:sz w:val="21"/>
          <w:szCs w:val="21"/>
        </w:rPr>
        <w:t xml:space="preserve"> the use of</w:t>
      </w:r>
      <w:r w:rsidR="004E3009" w:rsidRPr="00F2695C">
        <w:rPr>
          <w:rFonts w:ascii="Franklin Gothic Book" w:hAnsi="Franklin Gothic Book"/>
          <w:sz w:val="21"/>
          <w:szCs w:val="21"/>
        </w:rPr>
        <w:t xml:space="preserve"> a new </w:t>
      </w:r>
      <w:r w:rsidR="004F4A32">
        <w:rPr>
          <w:rFonts w:ascii="Franklin Gothic Book" w:hAnsi="Franklin Gothic Book"/>
          <w:sz w:val="21"/>
          <w:szCs w:val="21"/>
        </w:rPr>
        <w:t xml:space="preserve">Government of Bangladesh </w:t>
      </w:r>
      <w:r w:rsidR="004E3009" w:rsidRPr="00F2695C">
        <w:rPr>
          <w:rFonts w:ascii="Franklin Gothic Book" w:hAnsi="Franklin Gothic Book"/>
          <w:sz w:val="21"/>
          <w:szCs w:val="21"/>
        </w:rPr>
        <w:t xml:space="preserve">financial management system (iBAS) </w:t>
      </w:r>
      <w:r w:rsidR="00731967">
        <w:rPr>
          <w:rFonts w:ascii="Franklin Gothic Book" w:hAnsi="Franklin Gothic Book"/>
          <w:sz w:val="21"/>
          <w:szCs w:val="21"/>
        </w:rPr>
        <w:t xml:space="preserve">for reporting to donors </w:t>
      </w:r>
      <w:r w:rsidR="006F29A8">
        <w:rPr>
          <w:rFonts w:ascii="Franklin Gothic Book" w:hAnsi="Franklin Gothic Book"/>
          <w:sz w:val="21"/>
          <w:szCs w:val="21"/>
        </w:rPr>
        <w:t>at the line ministry level</w:t>
      </w:r>
      <w:r w:rsidR="0088443B">
        <w:rPr>
          <w:rFonts w:ascii="Franklin Gothic Book" w:hAnsi="Franklin Gothic Book"/>
          <w:sz w:val="21"/>
          <w:szCs w:val="21"/>
        </w:rPr>
        <w:t>;</w:t>
      </w:r>
      <w:r w:rsidR="00731967">
        <w:rPr>
          <w:rFonts w:ascii="Franklin Gothic Book" w:hAnsi="Franklin Gothic Book"/>
          <w:sz w:val="21"/>
          <w:szCs w:val="21"/>
        </w:rPr>
        <w:t xml:space="preserve"> </w:t>
      </w:r>
      <w:r w:rsidR="00732B3B">
        <w:rPr>
          <w:rFonts w:ascii="Franklin Gothic Book" w:hAnsi="Franklin Gothic Book"/>
          <w:sz w:val="21"/>
          <w:szCs w:val="21"/>
        </w:rPr>
        <w:t>improvements to</w:t>
      </w:r>
      <w:r w:rsidR="006F29A8">
        <w:rPr>
          <w:rFonts w:ascii="Franklin Gothic Book" w:hAnsi="Franklin Gothic Book"/>
          <w:sz w:val="21"/>
          <w:szCs w:val="21"/>
        </w:rPr>
        <w:t xml:space="preserve"> </w:t>
      </w:r>
      <w:r w:rsidR="004E3009" w:rsidRPr="00F2695C">
        <w:rPr>
          <w:rFonts w:ascii="Franklin Gothic Book" w:hAnsi="Franklin Gothic Book"/>
          <w:sz w:val="21"/>
          <w:szCs w:val="21"/>
        </w:rPr>
        <w:t>record keeping, monitoring and reporting on procurement process</w:t>
      </w:r>
      <w:r w:rsidR="00731967">
        <w:rPr>
          <w:rFonts w:ascii="Franklin Gothic Book" w:hAnsi="Franklin Gothic Book"/>
          <w:sz w:val="21"/>
          <w:szCs w:val="21"/>
        </w:rPr>
        <w:t>,</w:t>
      </w:r>
      <w:r w:rsidR="004E3009" w:rsidRPr="00F2695C">
        <w:rPr>
          <w:rFonts w:ascii="Franklin Gothic Book" w:hAnsi="Franklin Gothic Book"/>
          <w:sz w:val="21"/>
          <w:szCs w:val="21"/>
        </w:rPr>
        <w:t xml:space="preserve"> </w:t>
      </w:r>
      <w:r w:rsidR="00731967">
        <w:rPr>
          <w:rFonts w:ascii="Franklin Gothic Book" w:hAnsi="Franklin Gothic Book"/>
          <w:sz w:val="21"/>
          <w:szCs w:val="21"/>
        </w:rPr>
        <w:t>and</w:t>
      </w:r>
      <w:r w:rsidR="007A6116">
        <w:rPr>
          <w:rFonts w:ascii="Franklin Gothic Book" w:hAnsi="Franklin Gothic Book"/>
          <w:sz w:val="21"/>
          <w:szCs w:val="21"/>
        </w:rPr>
        <w:t>;</w:t>
      </w:r>
      <w:r w:rsidR="00731967">
        <w:rPr>
          <w:rFonts w:ascii="Franklin Gothic Book" w:hAnsi="Franklin Gothic Book"/>
          <w:sz w:val="21"/>
          <w:szCs w:val="21"/>
        </w:rPr>
        <w:t xml:space="preserve"> monitored</w:t>
      </w:r>
      <w:r w:rsidR="004E3009" w:rsidRPr="00F2695C">
        <w:rPr>
          <w:rFonts w:ascii="Franklin Gothic Book" w:hAnsi="Franklin Gothic Book"/>
          <w:sz w:val="21"/>
          <w:szCs w:val="21"/>
        </w:rPr>
        <w:t xml:space="preserve"> execution of the budget, informing dialogue with </w:t>
      </w:r>
      <w:r w:rsidR="007F2FCC">
        <w:rPr>
          <w:rFonts w:ascii="Franklin Gothic Book" w:hAnsi="Franklin Gothic Book"/>
          <w:sz w:val="21"/>
          <w:szCs w:val="21"/>
        </w:rPr>
        <w:t xml:space="preserve">the Department of Primary Education </w:t>
      </w:r>
      <w:r w:rsidR="004E3009" w:rsidRPr="00F2695C">
        <w:rPr>
          <w:rFonts w:ascii="Franklin Gothic Book" w:hAnsi="Franklin Gothic Book"/>
          <w:sz w:val="21"/>
          <w:szCs w:val="21"/>
        </w:rPr>
        <w:t>to minimize variation between budgets and actual expenditures</w:t>
      </w:r>
      <w:r w:rsidR="00E277A8">
        <w:rPr>
          <w:rFonts w:ascii="Franklin Gothic Book" w:hAnsi="Franklin Gothic Book"/>
          <w:sz w:val="21"/>
          <w:szCs w:val="21"/>
        </w:rPr>
        <w:t xml:space="preserve">. </w:t>
      </w:r>
      <w:r w:rsidR="001248D5">
        <w:rPr>
          <w:rFonts w:ascii="Franklin Gothic Book" w:hAnsi="Franklin Gothic Book"/>
          <w:sz w:val="21"/>
          <w:szCs w:val="21"/>
        </w:rPr>
        <w:t>Partners have started to focus on l</w:t>
      </w:r>
      <w:r w:rsidR="00E277A8">
        <w:rPr>
          <w:rFonts w:ascii="Franklin Gothic Book" w:hAnsi="Franklin Gothic Book"/>
          <w:sz w:val="21"/>
          <w:szCs w:val="21"/>
        </w:rPr>
        <w:t>everaging</w:t>
      </w:r>
      <w:r w:rsidR="001B1721">
        <w:rPr>
          <w:rFonts w:ascii="Franklin Gothic Book" w:hAnsi="Franklin Gothic Book"/>
          <w:sz w:val="21"/>
          <w:szCs w:val="21"/>
        </w:rPr>
        <w:t xml:space="preserve"> the education sector program </w:t>
      </w:r>
      <w:r w:rsidR="00E277A8">
        <w:rPr>
          <w:rFonts w:ascii="Franklin Gothic Book" w:hAnsi="Franklin Gothic Book"/>
          <w:sz w:val="21"/>
          <w:szCs w:val="21"/>
        </w:rPr>
        <w:t xml:space="preserve">as </w:t>
      </w:r>
      <w:r w:rsidR="001248D5">
        <w:rPr>
          <w:rFonts w:ascii="Franklin Gothic Book" w:hAnsi="Franklin Gothic Book"/>
          <w:sz w:val="21"/>
          <w:szCs w:val="21"/>
        </w:rPr>
        <w:t xml:space="preserve">a </w:t>
      </w:r>
      <w:r w:rsidR="00E277A8">
        <w:rPr>
          <w:rFonts w:ascii="Franklin Gothic Book" w:hAnsi="Franklin Gothic Book"/>
          <w:sz w:val="21"/>
          <w:szCs w:val="21"/>
        </w:rPr>
        <w:t xml:space="preserve">means to influence PFM system changes </w:t>
      </w:r>
      <w:r w:rsidR="001248D5">
        <w:rPr>
          <w:rFonts w:ascii="Franklin Gothic Book" w:hAnsi="Franklin Gothic Book"/>
          <w:sz w:val="21"/>
          <w:szCs w:val="21"/>
        </w:rPr>
        <w:t xml:space="preserve">at other levels of the bureaucracy and will use the recent analysis on program financing to advocate for overall budget allocations for </w:t>
      </w:r>
      <w:r w:rsidR="009905DA">
        <w:rPr>
          <w:rFonts w:ascii="Franklin Gothic Book" w:hAnsi="Franklin Gothic Book"/>
          <w:sz w:val="21"/>
          <w:szCs w:val="21"/>
        </w:rPr>
        <w:t>education</w:t>
      </w:r>
      <w:r w:rsidR="00E277A8">
        <w:rPr>
          <w:rFonts w:ascii="Franklin Gothic Book" w:hAnsi="Franklin Gothic Book"/>
          <w:sz w:val="21"/>
          <w:szCs w:val="21"/>
        </w:rPr>
        <w:t>.</w:t>
      </w:r>
    </w:p>
    <w:p w:rsidR="00AF5161" w:rsidRPr="00237CCA" w:rsidRDefault="00AF5161" w:rsidP="00836739">
      <w:pPr>
        <w:jc w:val="both"/>
        <w:rPr>
          <w:rFonts w:ascii="Franklin Gothic Book" w:hAnsi="Franklin Gothic Book"/>
          <w:sz w:val="21"/>
          <w:szCs w:val="21"/>
        </w:rPr>
      </w:pPr>
    </w:p>
    <w:p w:rsidR="005E2E15" w:rsidRDefault="005E2E15" w:rsidP="005E2E15">
      <w:pPr>
        <w:jc w:val="both"/>
        <w:rPr>
          <w:rFonts w:ascii="Franklin Gothic Book" w:hAnsi="Franklin Gothic Book"/>
          <w:sz w:val="21"/>
          <w:szCs w:val="21"/>
        </w:rPr>
      </w:pPr>
      <w:r w:rsidRPr="00237CCA">
        <w:rPr>
          <w:rFonts w:ascii="Franklin Gothic Book" w:hAnsi="Franklin Gothic Book"/>
          <w:b/>
          <w:sz w:val="21"/>
          <w:szCs w:val="21"/>
        </w:rPr>
        <w:t>The partnership with BRAC continued to deliver access to high quality services for people who would not otherwise have had it.</w:t>
      </w:r>
      <w:r>
        <w:rPr>
          <w:rStyle w:val="FootnoteReference"/>
          <w:rFonts w:ascii="Franklin Gothic Book" w:hAnsi="Franklin Gothic Book"/>
          <w:b/>
          <w:sz w:val="21"/>
          <w:szCs w:val="21"/>
        </w:rPr>
        <w:footnoteReference w:id="32"/>
      </w:r>
      <w:r w:rsidRPr="00237CCA">
        <w:rPr>
          <w:rFonts w:ascii="Franklin Gothic Book" w:hAnsi="Franklin Gothic Book"/>
          <w:b/>
          <w:sz w:val="21"/>
          <w:szCs w:val="21"/>
        </w:rPr>
        <w:t xml:space="preserve"> </w:t>
      </w:r>
      <w:r w:rsidRPr="00237CCA">
        <w:rPr>
          <w:rFonts w:ascii="Franklin Gothic Book" w:hAnsi="Franklin Gothic Book"/>
          <w:sz w:val="21"/>
          <w:szCs w:val="21"/>
        </w:rPr>
        <w:t>Over one million</w:t>
      </w:r>
      <w:r w:rsidRPr="00237CCA">
        <w:rPr>
          <w:rFonts w:ascii="Franklin Gothic Book" w:hAnsi="Franklin Gothic Book"/>
          <w:b/>
          <w:sz w:val="21"/>
          <w:szCs w:val="21"/>
        </w:rPr>
        <w:t xml:space="preserve"> </w:t>
      </w:r>
      <w:r w:rsidRPr="00237CCA">
        <w:rPr>
          <w:rFonts w:ascii="Franklin Gothic Book" w:hAnsi="Franklin Gothic Book"/>
          <w:sz w:val="21"/>
          <w:szCs w:val="21"/>
        </w:rPr>
        <w:t>children (some 37,000 more than planned) were enrolled in BRAC supported pre-primary or primary schools in 2013; learning assessments and progress to the next stage of education demonstrate that learning is of high quality.</w:t>
      </w:r>
      <w:r w:rsidRPr="00237CCA">
        <w:rPr>
          <w:rStyle w:val="FootnoteReference"/>
          <w:rFonts w:ascii="Franklin Gothic Book" w:hAnsi="Franklin Gothic Book"/>
          <w:sz w:val="21"/>
          <w:szCs w:val="21"/>
        </w:rPr>
        <w:footnoteReference w:id="33"/>
      </w:r>
      <w:r w:rsidRPr="00237CCA">
        <w:rPr>
          <w:rFonts w:ascii="Franklin Gothic Book" w:hAnsi="Franklin Gothic Book"/>
          <w:sz w:val="21"/>
          <w:szCs w:val="21"/>
        </w:rPr>
        <w:t xml:space="preserve"> The BRAC Essential Health Care program mostly exceeded its targets in providing ante-natal and delivery, family planning, TB identification and basic curative services in 47 of Bangladesh’s 64 districts.</w:t>
      </w:r>
      <w:r w:rsidRPr="00237CCA">
        <w:rPr>
          <w:rStyle w:val="FootnoteReference"/>
          <w:rFonts w:ascii="Franklin Gothic Book" w:hAnsi="Franklin Gothic Book"/>
          <w:sz w:val="21"/>
          <w:szCs w:val="21"/>
        </w:rPr>
        <w:footnoteReference w:id="34"/>
      </w:r>
      <w:r w:rsidRPr="00237CCA">
        <w:rPr>
          <w:rFonts w:ascii="Franklin Gothic Book" w:hAnsi="Franklin Gothic Book"/>
          <w:sz w:val="21"/>
          <w:szCs w:val="21"/>
        </w:rPr>
        <w:t xml:space="preserve"> Both programs are moving into urban services in response to disparities in service provision. There is growing evidence in BRAC reporting of collaboration with government services at local level and of dialogue between a range of NGOs and Government</w:t>
      </w:r>
      <w:r w:rsidR="009905DA">
        <w:rPr>
          <w:rFonts w:ascii="Franklin Gothic Book" w:hAnsi="Franklin Gothic Book"/>
          <w:sz w:val="21"/>
          <w:szCs w:val="21"/>
        </w:rPr>
        <w:t xml:space="preserve"> of Bangladesh</w:t>
      </w:r>
      <w:r w:rsidRPr="00237CCA">
        <w:rPr>
          <w:rFonts w:ascii="Franklin Gothic Book" w:hAnsi="Franklin Gothic Book"/>
          <w:sz w:val="21"/>
          <w:szCs w:val="21"/>
        </w:rPr>
        <w:t xml:space="preserve"> over policy and planning. </w:t>
      </w:r>
      <w:r>
        <w:rPr>
          <w:rFonts w:ascii="Franklin Gothic Book" w:hAnsi="Franklin Gothic Book"/>
          <w:sz w:val="21"/>
          <w:szCs w:val="21"/>
        </w:rPr>
        <w:t>Strengthening cooperation however, has, and will continue to, take time in an opportunistic way.</w:t>
      </w:r>
    </w:p>
    <w:p w:rsidR="005E2E15" w:rsidRDefault="005E2E15" w:rsidP="00836739">
      <w:pPr>
        <w:jc w:val="both"/>
        <w:rPr>
          <w:rFonts w:ascii="Franklin Gothic Book" w:hAnsi="Franklin Gothic Book"/>
          <w:b/>
          <w:sz w:val="21"/>
          <w:szCs w:val="21"/>
        </w:rPr>
      </w:pPr>
    </w:p>
    <w:p w:rsidR="00CE6E8F" w:rsidRPr="00840D3A" w:rsidRDefault="00302C38" w:rsidP="00836739">
      <w:pPr>
        <w:jc w:val="both"/>
        <w:rPr>
          <w:rFonts w:ascii="Franklin Gothic Book" w:hAnsi="Franklin Gothic Book"/>
          <w:sz w:val="21"/>
          <w:szCs w:val="21"/>
        </w:rPr>
      </w:pPr>
      <w:r w:rsidRPr="00840D3A">
        <w:rPr>
          <w:rFonts w:ascii="Franklin Gothic Book" w:hAnsi="Franklin Gothic Book"/>
          <w:sz w:val="21"/>
          <w:szCs w:val="21"/>
        </w:rPr>
        <w:t xml:space="preserve">Australia Awards </w:t>
      </w:r>
      <w:r w:rsidR="00C83449">
        <w:rPr>
          <w:rFonts w:ascii="Franklin Gothic Book" w:hAnsi="Franklin Gothic Book"/>
          <w:sz w:val="21"/>
          <w:szCs w:val="21"/>
        </w:rPr>
        <w:t>s</w:t>
      </w:r>
      <w:r w:rsidRPr="00840D3A">
        <w:rPr>
          <w:rFonts w:ascii="Franklin Gothic Book" w:hAnsi="Franklin Gothic Book"/>
          <w:sz w:val="21"/>
          <w:szCs w:val="21"/>
        </w:rPr>
        <w:t xml:space="preserve">cholarships </w:t>
      </w:r>
      <w:r w:rsidR="005C726B" w:rsidRPr="00840D3A">
        <w:rPr>
          <w:rFonts w:ascii="Franklin Gothic Book" w:hAnsi="Franklin Gothic Book"/>
          <w:sz w:val="21"/>
          <w:szCs w:val="21"/>
        </w:rPr>
        <w:t xml:space="preserve">were </w:t>
      </w:r>
      <w:r w:rsidRPr="00840D3A">
        <w:rPr>
          <w:rFonts w:ascii="Franklin Gothic Book" w:hAnsi="Franklin Gothic Book"/>
          <w:sz w:val="21"/>
          <w:szCs w:val="21"/>
        </w:rPr>
        <w:t xml:space="preserve">awarded to </w:t>
      </w:r>
      <w:r w:rsidR="005C726B" w:rsidRPr="00840D3A">
        <w:rPr>
          <w:rFonts w:ascii="Franklin Gothic Book" w:hAnsi="Franklin Gothic Book"/>
          <w:sz w:val="21"/>
          <w:szCs w:val="21"/>
        </w:rPr>
        <w:t>7</w:t>
      </w:r>
      <w:r w:rsidR="003E24C4">
        <w:rPr>
          <w:rFonts w:ascii="Franklin Gothic Book" w:hAnsi="Franklin Gothic Book"/>
          <w:sz w:val="21"/>
          <w:szCs w:val="21"/>
        </w:rPr>
        <w:t>1</w:t>
      </w:r>
      <w:r w:rsidRPr="00840D3A">
        <w:rPr>
          <w:rFonts w:ascii="Franklin Gothic Book" w:hAnsi="Franklin Gothic Book"/>
          <w:sz w:val="21"/>
          <w:szCs w:val="21"/>
        </w:rPr>
        <w:t xml:space="preserve"> </w:t>
      </w:r>
      <w:r w:rsidR="005C726B" w:rsidRPr="00840D3A">
        <w:rPr>
          <w:rFonts w:ascii="Franklin Gothic Book" w:hAnsi="Franklin Gothic Book"/>
          <w:sz w:val="21"/>
          <w:szCs w:val="21"/>
        </w:rPr>
        <w:t>candidates across</w:t>
      </w:r>
      <w:r w:rsidRPr="00840D3A">
        <w:rPr>
          <w:rFonts w:ascii="Franklin Gothic Book" w:hAnsi="Franklin Gothic Book"/>
          <w:sz w:val="21"/>
          <w:szCs w:val="21"/>
        </w:rPr>
        <w:t xml:space="preserve"> four target groups </w:t>
      </w:r>
      <w:r w:rsidR="005C726B" w:rsidRPr="00840D3A">
        <w:rPr>
          <w:rFonts w:ascii="Franklin Gothic Book" w:hAnsi="Franklin Gothic Book"/>
          <w:sz w:val="21"/>
          <w:szCs w:val="21"/>
        </w:rPr>
        <w:t>for the</w:t>
      </w:r>
      <w:r w:rsidRPr="00840D3A">
        <w:rPr>
          <w:rFonts w:ascii="Franklin Gothic Book" w:hAnsi="Franklin Gothic Book"/>
          <w:sz w:val="21"/>
          <w:szCs w:val="21"/>
        </w:rPr>
        <w:t xml:space="preserve"> 2014 </w:t>
      </w:r>
      <w:r w:rsidR="005C726B" w:rsidRPr="00840D3A">
        <w:rPr>
          <w:rFonts w:ascii="Franklin Gothic Book" w:hAnsi="Franklin Gothic Book"/>
          <w:sz w:val="21"/>
          <w:szCs w:val="21"/>
        </w:rPr>
        <w:t>i</w:t>
      </w:r>
      <w:r w:rsidRPr="00840D3A">
        <w:rPr>
          <w:rFonts w:ascii="Franklin Gothic Book" w:hAnsi="Franklin Gothic Book"/>
          <w:sz w:val="21"/>
          <w:szCs w:val="21"/>
        </w:rPr>
        <w:t>ntake</w:t>
      </w:r>
      <w:r w:rsidR="00C83449">
        <w:rPr>
          <w:rFonts w:ascii="Franklin Gothic Book" w:hAnsi="Franklin Gothic Book"/>
          <w:sz w:val="21"/>
          <w:szCs w:val="21"/>
        </w:rPr>
        <w:t xml:space="preserve">. The groups were </w:t>
      </w:r>
      <w:r w:rsidR="005C726B" w:rsidRPr="00840D3A">
        <w:rPr>
          <w:rFonts w:ascii="Franklin Gothic Book" w:hAnsi="Franklin Gothic Book"/>
          <w:sz w:val="21"/>
          <w:szCs w:val="21"/>
        </w:rPr>
        <w:t>the Bangladesh civil service</w:t>
      </w:r>
      <w:r w:rsidR="00820BB6" w:rsidRPr="00840D3A">
        <w:rPr>
          <w:rFonts w:ascii="Franklin Gothic Book" w:hAnsi="Franklin Gothic Book"/>
          <w:sz w:val="21"/>
          <w:szCs w:val="21"/>
        </w:rPr>
        <w:t>, ethnic minority groups and</w:t>
      </w:r>
      <w:r w:rsidR="005C726B" w:rsidRPr="00840D3A">
        <w:rPr>
          <w:rFonts w:ascii="Franklin Gothic Book" w:hAnsi="Franklin Gothic Book"/>
          <w:sz w:val="21"/>
          <w:szCs w:val="21"/>
        </w:rPr>
        <w:t xml:space="preserve"> our NGO partners</w:t>
      </w:r>
      <w:r w:rsidR="009905DA">
        <w:rPr>
          <w:rFonts w:ascii="Franklin Gothic Book" w:hAnsi="Franklin Gothic Book"/>
          <w:sz w:val="21"/>
          <w:szCs w:val="21"/>
        </w:rPr>
        <w:t>,</w:t>
      </w:r>
      <w:r w:rsidR="00820BB6" w:rsidRPr="00840D3A">
        <w:rPr>
          <w:rFonts w:ascii="Franklin Gothic Book" w:hAnsi="Franklin Gothic Book"/>
          <w:sz w:val="21"/>
          <w:szCs w:val="21"/>
        </w:rPr>
        <w:t xml:space="preserve"> BRAC and</w:t>
      </w:r>
      <w:r w:rsidR="001D63F7">
        <w:rPr>
          <w:rFonts w:ascii="Franklin Gothic Book" w:hAnsi="Franklin Gothic Book"/>
          <w:sz w:val="21"/>
          <w:szCs w:val="21"/>
        </w:rPr>
        <w:t xml:space="preserve"> icddr,b</w:t>
      </w:r>
      <w:r w:rsidR="00820BB6" w:rsidRPr="00840D3A">
        <w:rPr>
          <w:rFonts w:ascii="Franklin Gothic Book" w:hAnsi="Franklin Gothic Book"/>
          <w:sz w:val="21"/>
          <w:szCs w:val="21"/>
        </w:rPr>
        <w:t xml:space="preserve">. </w:t>
      </w:r>
      <w:r w:rsidR="005C726B" w:rsidRPr="00840D3A">
        <w:rPr>
          <w:rFonts w:ascii="Franklin Gothic Book" w:hAnsi="Franklin Gothic Book"/>
          <w:sz w:val="21"/>
          <w:szCs w:val="21"/>
        </w:rPr>
        <w:t>In line with</w:t>
      </w:r>
      <w:r w:rsidR="00820BB6" w:rsidRPr="00840D3A">
        <w:rPr>
          <w:rFonts w:ascii="Franklin Gothic Book" w:hAnsi="Franklin Gothic Book"/>
          <w:sz w:val="21"/>
          <w:szCs w:val="21"/>
        </w:rPr>
        <w:t xml:space="preserve"> the country program objective</w:t>
      </w:r>
      <w:r w:rsidR="00840D3A">
        <w:rPr>
          <w:rFonts w:ascii="Franklin Gothic Book" w:hAnsi="Franklin Gothic Book"/>
          <w:sz w:val="21"/>
          <w:szCs w:val="21"/>
        </w:rPr>
        <w:t>s,</w:t>
      </w:r>
      <w:r w:rsidR="00820BB6" w:rsidRPr="00840D3A">
        <w:rPr>
          <w:rFonts w:ascii="Franklin Gothic Book" w:hAnsi="Franklin Gothic Book"/>
          <w:sz w:val="21"/>
          <w:szCs w:val="21"/>
        </w:rPr>
        <w:t xml:space="preserve"> health</w:t>
      </w:r>
      <w:r w:rsidR="00840D3A">
        <w:rPr>
          <w:rFonts w:ascii="Franklin Gothic Book" w:hAnsi="Franklin Gothic Book"/>
          <w:sz w:val="21"/>
          <w:szCs w:val="21"/>
        </w:rPr>
        <w:t xml:space="preserve"> was </w:t>
      </w:r>
      <w:r w:rsidR="003B7A56">
        <w:rPr>
          <w:rFonts w:ascii="Franklin Gothic Book" w:hAnsi="Franklin Gothic Book"/>
          <w:sz w:val="21"/>
          <w:szCs w:val="21"/>
        </w:rPr>
        <w:t xml:space="preserve">provided </w:t>
      </w:r>
      <w:r w:rsidR="009905DA">
        <w:rPr>
          <w:rFonts w:ascii="Franklin Gothic Book" w:hAnsi="Franklin Gothic Book"/>
          <w:sz w:val="21"/>
          <w:szCs w:val="21"/>
        </w:rPr>
        <w:t>three</w:t>
      </w:r>
      <w:r w:rsidR="009905DA" w:rsidRPr="00840D3A">
        <w:rPr>
          <w:rFonts w:ascii="Franklin Gothic Book" w:hAnsi="Franklin Gothic Book"/>
          <w:sz w:val="21"/>
          <w:szCs w:val="21"/>
        </w:rPr>
        <w:t xml:space="preserve"> </w:t>
      </w:r>
      <w:r w:rsidR="005C726B" w:rsidRPr="00840D3A">
        <w:rPr>
          <w:rFonts w:ascii="Franklin Gothic Book" w:hAnsi="Franklin Gothic Book"/>
          <w:sz w:val="21"/>
          <w:szCs w:val="21"/>
        </w:rPr>
        <w:t xml:space="preserve">awards and a further </w:t>
      </w:r>
      <w:r w:rsidR="009905DA">
        <w:rPr>
          <w:rFonts w:ascii="Franklin Gothic Book" w:hAnsi="Franklin Gothic Book"/>
          <w:sz w:val="21"/>
          <w:szCs w:val="21"/>
        </w:rPr>
        <w:t>two</w:t>
      </w:r>
      <w:r w:rsidR="009905DA" w:rsidRPr="00840D3A">
        <w:rPr>
          <w:rFonts w:ascii="Franklin Gothic Book" w:hAnsi="Franklin Gothic Book"/>
          <w:sz w:val="21"/>
          <w:szCs w:val="21"/>
        </w:rPr>
        <w:t xml:space="preserve"> </w:t>
      </w:r>
      <w:r w:rsidR="005C726B" w:rsidRPr="00840D3A">
        <w:rPr>
          <w:rFonts w:ascii="Franklin Gothic Book" w:hAnsi="Franklin Gothic Book"/>
          <w:sz w:val="21"/>
          <w:szCs w:val="21"/>
        </w:rPr>
        <w:t xml:space="preserve">awards </w:t>
      </w:r>
      <w:r w:rsidR="00840D3A">
        <w:rPr>
          <w:rFonts w:ascii="Franklin Gothic Book" w:hAnsi="Franklin Gothic Book"/>
          <w:sz w:val="21"/>
          <w:szCs w:val="21"/>
        </w:rPr>
        <w:t>are supporting human resource development in</w:t>
      </w:r>
      <w:r w:rsidR="005C726B" w:rsidRPr="00840D3A">
        <w:rPr>
          <w:rFonts w:ascii="Franklin Gothic Book" w:hAnsi="Franklin Gothic Book"/>
          <w:sz w:val="21"/>
          <w:szCs w:val="21"/>
        </w:rPr>
        <w:t xml:space="preserve"> the education sector.</w:t>
      </w:r>
      <w:r w:rsidR="00820BB6" w:rsidRPr="00840D3A">
        <w:rPr>
          <w:rFonts w:ascii="Franklin Gothic Book" w:hAnsi="Franklin Gothic Book"/>
          <w:sz w:val="21"/>
          <w:szCs w:val="21"/>
        </w:rPr>
        <w:t xml:space="preserve"> </w:t>
      </w:r>
      <w:r w:rsidR="005C726B" w:rsidRPr="00840D3A">
        <w:rPr>
          <w:rFonts w:ascii="Franklin Gothic Book" w:hAnsi="Franklin Gothic Book"/>
          <w:sz w:val="21"/>
          <w:szCs w:val="21"/>
        </w:rPr>
        <w:t xml:space="preserve">In its first year, the </w:t>
      </w:r>
      <w:r w:rsidR="00820BB6" w:rsidRPr="00840D3A">
        <w:rPr>
          <w:rFonts w:ascii="Franklin Gothic Book" w:hAnsi="Franklin Gothic Book"/>
          <w:sz w:val="21"/>
          <w:szCs w:val="21"/>
        </w:rPr>
        <w:t xml:space="preserve">Australia Awards Alumni Association Bangladesh </w:t>
      </w:r>
      <w:r w:rsidR="005C726B" w:rsidRPr="00840D3A">
        <w:rPr>
          <w:rFonts w:ascii="Franklin Gothic Book" w:hAnsi="Franklin Gothic Book"/>
          <w:sz w:val="21"/>
          <w:szCs w:val="21"/>
        </w:rPr>
        <w:t>established ties with Australia’s Volunteers for International Development (AVID) in Bangladesh</w:t>
      </w:r>
      <w:r w:rsidR="00667661">
        <w:rPr>
          <w:rFonts w:ascii="Franklin Gothic Book" w:hAnsi="Franklin Gothic Book"/>
          <w:sz w:val="21"/>
          <w:szCs w:val="21"/>
        </w:rPr>
        <w:t>,</w:t>
      </w:r>
      <w:r w:rsidR="00A95EA9">
        <w:rPr>
          <w:rFonts w:ascii="Franklin Gothic Book" w:hAnsi="Franklin Gothic Book"/>
          <w:sz w:val="21"/>
          <w:szCs w:val="21"/>
        </w:rPr>
        <w:t xml:space="preserve"> </w:t>
      </w:r>
      <w:r w:rsidR="00840D3A" w:rsidRPr="00840D3A">
        <w:rPr>
          <w:rFonts w:ascii="Franklin Gothic Book" w:hAnsi="Franklin Gothic Book"/>
          <w:sz w:val="21"/>
          <w:szCs w:val="21"/>
        </w:rPr>
        <w:lastRenderedPageBreak/>
        <w:t xml:space="preserve">contributed to local humanitarian causes and participated in public diplomacy activities with the Australian High Commission. The design of </w:t>
      </w:r>
      <w:r w:rsidR="00840D3A">
        <w:rPr>
          <w:rFonts w:ascii="Franklin Gothic Book" w:hAnsi="Franklin Gothic Book"/>
          <w:sz w:val="21"/>
          <w:szCs w:val="21"/>
        </w:rPr>
        <w:t xml:space="preserve">the next </w:t>
      </w:r>
      <w:r w:rsidR="00840D3A" w:rsidRPr="00840D3A">
        <w:rPr>
          <w:rFonts w:ascii="Franklin Gothic Book" w:hAnsi="Franklin Gothic Book"/>
          <w:sz w:val="21"/>
          <w:szCs w:val="21"/>
        </w:rPr>
        <w:t>phase of Australia Awards for South Asia highlight</w:t>
      </w:r>
      <w:r w:rsidR="003B7A56">
        <w:rPr>
          <w:rFonts w:ascii="Franklin Gothic Book" w:hAnsi="Franklin Gothic Book"/>
          <w:sz w:val="21"/>
          <w:szCs w:val="21"/>
        </w:rPr>
        <w:t xml:space="preserve">s </w:t>
      </w:r>
      <w:r w:rsidR="00840D3A" w:rsidRPr="00840D3A">
        <w:rPr>
          <w:rFonts w:ascii="Franklin Gothic Book" w:hAnsi="Franklin Gothic Book"/>
          <w:sz w:val="21"/>
          <w:szCs w:val="21"/>
        </w:rPr>
        <w:t xml:space="preserve">opportunities for closer engagement with the private sector to promote human resource development and economic growth.   </w:t>
      </w:r>
    </w:p>
    <w:p w:rsidR="00AF5161" w:rsidRPr="00237CCA" w:rsidRDefault="00AF5161" w:rsidP="00836739">
      <w:pPr>
        <w:pStyle w:val="Heading3"/>
        <w:numPr>
          <w:ilvl w:val="0"/>
          <w:numId w:val="0"/>
        </w:numPr>
        <w:jc w:val="both"/>
      </w:pPr>
      <w:r w:rsidRPr="00237CCA">
        <w:t>Objective 2: fewer women and men living in extreme poverty and vulnerable to economic and natural shocks</w:t>
      </w:r>
    </w:p>
    <w:p w:rsidR="00AF5161" w:rsidRPr="00237CCA" w:rsidRDefault="00AF5161" w:rsidP="00836739">
      <w:pPr>
        <w:jc w:val="both"/>
        <w:rPr>
          <w:rFonts w:ascii="Franklin Gothic Book" w:hAnsi="Franklin Gothic Book"/>
          <w:i/>
          <w:sz w:val="21"/>
          <w:szCs w:val="21"/>
        </w:rPr>
      </w:pPr>
      <w:r w:rsidRPr="00237CCA">
        <w:rPr>
          <w:rFonts w:ascii="Franklin Gothic Book" w:hAnsi="Franklin Gothic Book"/>
          <w:i/>
          <w:sz w:val="21"/>
          <w:szCs w:val="21"/>
        </w:rPr>
        <w:t xml:space="preserve">Rating: Green. </w:t>
      </w:r>
    </w:p>
    <w:p w:rsidR="00AF5161" w:rsidRPr="00237CCA" w:rsidRDefault="00AF5161" w:rsidP="00836739">
      <w:pPr>
        <w:jc w:val="both"/>
        <w:rPr>
          <w:rFonts w:ascii="Franklin Gothic Book" w:hAnsi="Franklin Gothic Book"/>
          <w:i/>
          <w:sz w:val="21"/>
          <w:szCs w:val="21"/>
        </w:rPr>
      </w:pPr>
    </w:p>
    <w:p w:rsidR="00AF5161" w:rsidRPr="00237CCA" w:rsidRDefault="00B11D62" w:rsidP="00836739">
      <w:pPr>
        <w:jc w:val="both"/>
        <w:rPr>
          <w:rFonts w:ascii="Franklin Gothic Book" w:hAnsi="Franklin Gothic Book"/>
          <w:i/>
          <w:sz w:val="21"/>
          <w:szCs w:val="21"/>
        </w:rPr>
      </w:pPr>
      <w:r w:rsidRPr="00237CCA">
        <w:rPr>
          <w:rFonts w:ascii="Franklin Gothic Book" w:hAnsi="Franklin Gothic Book"/>
          <w:i/>
          <w:sz w:val="21"/>
          <w:szCs w:val="21"/>
        </w:rPr>
        <w:t>Partners such as BRAC, the U</w:t>
      </w:r>
      <w:r w:rsidR="001A7C0E">
        <w:rPr>
          <w:rFonts w:ascii="Franklin Gothic Book" w:hAnsi="Franklin Gothic Book"/>
          <w:i/>
          <w:sz w:val="21"/>
          <w:szCs w:val="21"/>
        </w:rPr>
        <w:t>nited Kingdom</w:t>
      </w:r>
      <w:r w:rsidRPr="00237CCA">
        <w:rPr>
          <w:rFonts w:ascii="Franklin Gothic Book" w:hAnsi="Franklin Gothic Book"/>
          <w:i/>
          <w:sz w:val="21"/>
          <w:szCs w:val="21"/>
        </w:rPr>
        <w:t xml:space="preserve"> and WFP continue</w:t>
      </w:r>
      <w:r w:rsidR="001D63F7">
        <w:rPr>
          <w:rFonts w:ascii="Franklin Gothic Book" w:hAnsi="Franklin Gothic Book"/>
          <w:i/>
          <w:sz w:val="21"/>
          <w:szCs w:val="21"/>
        </w:rPr>
        <w:t>d</w:t>
      </w:r>
      <w:r w:rsidRPr="00237CCA">
        <w:rPr>
          <w:rFonts w:ascii="Franklin Gothic Book" w:hAnsi="Franklin Gothic Book"/>
          <w:i/>
          <w:sz w:val="21"/>
          <w:szCs w:val="21"/>
        </w:rPr>
        <w:t xml:space="preserve"> </w:t>
      </w:r>
      <w:r w:rsidR="00DC48DA">
        <w:rPr>
          <w:rFonts w:ascii="Franklin Gothic Book" w:hAnsi="Franklin Gothic Book"/>
          <w:i/>
          <w:sz w:val="21"/>
          <w:szCs w:val="21"/>
        </w:rPr>
        <w:t xml:space="preserve">to </w:t>
      </w:r>
      <w:r w:rsidRPr="00237CCA">
        <w:rPr>
          <w:rFonts w:ascii="Franklin Gothic Book" w:hAnsi="Franklin Gothic Book"/>
          <w:i/>
          <w:sz w:val="21"/>
          <w:szCs w:val="21"/>
        </w:rPr>
        <w:t>achieve results in</w:t>
      </w:r>
      <w:r w:rsidR="001D63F7">
        <w:rPr>
          <w:rFonts w:ascii="Franklin Gothic Book" w:hAnsi="Franklin Gothic Book"/>
          <w:i/>
          <w:sz w:val="21"/>
          <w:szCs w:val="21"/>
        </w:rPr>
        <w:t xml:space="preserve"> line with expectations despite</w:t>
      </w:r>
      <w:r w:rsidRPr="00237CCA">
        <w:rPr>
          <w:rFonts w:ascii="Franklin Gothic Book" w:hAnsi="Franklin Gothic Book"/>
          <w:i/>
          <w:sz w:val="21"/>
          <w:szCs w:val="21"/>
        </w:rPr>
        <w:t xml:space="preserve"> </w:t>
      </w:r>
      <w:r w:rsidR="00C83449">
        <w:rPr>
          <w:rFonts w:ascii="Franklin Gothic Book" w:hAnsi="Franklin Gothic Book"/>
          <w:i/>
          <w:sz w:val="21"/>
          <w:szCs w:val="21"/>
        </w:rPr>
        <w:t xml:space="preserve">a </w:t>
      </w:r>
      <w:r w:rsidRPr="00237CCA">
        <w:rPr>
          <w:rFonts w:ascii="Franklin Gothic Book" w:hAnsi="Franklin Gothic Book"/>
          <w:i/>
          <w:sz w:val="21"/>
          <w:szCs w:val="21"/>
        </w:rPr>
        <w:t xml:space="preserve">challenging </w:t>
      </w:r>
      <w:r w:rsidR="00C83449">
        <w:rPr>
          <w:rFonts w:ascii="Franklin Gothic Book" w:hAnsi="Franklin Gothic Book"/>
          <w:i/>
          <w:sz w:val="21"/>
          <w:szCs w:val="21"/>
        </w:rPr>
        <w:t xml:space="preserve">operating environment. </w:t>
      </w:r>
      <w:r w:rsidR="00AF5161" w:rsidRPr="00237CCA">
        <w:rPr>
          <w:rFonts w:ascii="Franklin Gothic Book" w:hAnsi="Franklin Gothic Book"/>
          <w:i/>
          <w:sz w:val="21"/>
          <w:szCs w:val="21"/>
        </w:rPr>
        <w:t>Progress in dialogue</w:t>
      </w:r>
      <w:r w:rsidR="005E3D83">
        <w:rPr>
          <w:rFonts w:ascii="Franklin Gothic Book" w:hAnsi="Franklin Gothic Book"/>
          <w:i/>
          <w:sz w:val="21"/>
          <w:szCs w:val="21"/>
        </w:rPr>
        <w:t xml:space="preserve"> to strengthen national welfare </w:t>
      </w:r>
      <w:r w:rsidR="005E3D83" w:rsidRPr="00237CCA">
        <w:rPr>
          <w:rFonts w:ascii="Franklin Gothic Book" w:hAnsi="Franklin Gothic Book"/>
          <w:i/>
          <w:sz w:val="21"/>
          <w:szCs w:val="21"/>
        </w:rPr>
        <w:t xml:space="preserve">policy </w:t>
      </w:r>
      <w:r w:rsidR="00AF5161" w:rsidRPr="00237CCA">
        <w:rPr>
          <w:rFonts w:ascii="Franklin Gothic Book" w:hAnsi="Franklin Gothic Book"/>
          <w:i/>
          <w:sz w:val="21"/>
          <w:szCs w:val="21"/>
        </w:rPr>
        <w:t xml:space="preserve">was in line with modest </w:t>
      </w:r>
      <w:r w:rsidR="00840ABB" w:rsidRPr="00237CCA">
        <w:rPr>
          <w:rFonts w:ascii="Franklin Gothic Book" w:hAnsi="Franklin Gothic Book"/>
          <w:i/>
          <w:sz w:val="21"/>
          <w:szCs w:val="21"/>
        </w:rPr>
        <w:t>goals</w:t>
      </w:r>
      <w:r w:rsidR="005E3D83">
        <w:rPr>
          <w:rFonts w:ascii="Franklin Gothic Book" w:hAnsi="Franklin Gothic Book"/>
          <w:i/>
          <w:sz w:val="21"/>
          <w:szCs w:val="21"/>
        </w:rPr>
        <w:t>,</w:t>
      </w:r>
      <w:r w:rsidR="00AF5161" w:rsidRPr="00237CCA">
        <w:rPr>
          <w:rFonts w:ascii="Franklin Gothic Book" w:hAnsi="Franklin Gothic Book"/>
          <w:i/>
          <w:sz w:val="21"/>
          <w:szCs w:val="21"/>
        </w:rPr>
        <w:t xml:space="preserve"> though </w:t>
      </w:r>
      <w:r w:rsidR="00D016A7">
        <w:rPr>
          <w:rFonts w:ascii="Franklin Gothic Book" w:hAnsi="Franklin Gothic Book"/>
          <w:i/>
          <w:sz w:val="21"/>
          <w:szCs w:val="21"/>
        </w:rPr>
        <w:t>work</w:t>
      </w:r>
      <w:r w:rsidR="00AF5161" w:rsidRPr="00237CCA">
        <w:rPr>
          <w:rFonts w:ascii="Franklin Gothic Book" w:hAnsi="Franklin Gothic Book"/>
          <w:i/>
          <w:sz w:val="21"/>
          <w:szCs w:val="21"/>
        </w:rPr>
        <w:t xml:space="preserve"> to build consensus</w:t>
      </w:r>
      <w:r w:rsidR="00B55A41" w:rsidRPr="00237CCA">
        <w:rPr>
          <w:rFonts w:ascii="Franklin Gothic Book" w:hAnsi="Franklin Gothic Book"/>
          <w:i/>
          <w:sz w:val="21"/>
          <w:szCs w:val="21"/>
        </w:rPr>
        <w:t xml:space="preserve"> amongst policy makers</w:t>
      </w:r>
      <w:r w:rsidR="00D016A7">
        <w:rPr>
          <w:rFonts w:ascii="Franklin Gothic Book" w:hAnsi="Franklin Gothic Book"/>
          <w:i/>
          <w:sz w:val="21"/>
          <w:szCs w:val="21"/>
        </w:rPr>
        <w:t xml:space="preserve"> is ongoing</w:t>
      </w:r>
      <w:r w:rsidR="00AF5161" w:rsidRPr="00237CCA">
        <w:rPr>
          <w:rFonts w:ascii="Franklin Gothic Book" w:hAnsi="Franklin Gothic Book"/>
          <w:i/>
          <w:sz w:val="21"/>
          <w:szCs w:val="21"/>
        </w:rPr>
        <w:t xml:space="preserve">.   </w:t>
      </w:r>
    </w:p>
    <w:p w:rsidR="00A624E2" w:rsidRDefault="00A624E2" w:rsidP="00836739">
      <w:pPr>
        <w:jc w:val="both"/>
        <w:rPr>
          <w:rFonts w:ascii="Franklin Gothic Book" w:hAnsi="Franklin Gothic Book"/>
          <w:b/>
          <w:sz w:val="21"/>
          <w:szCs w:val="21"/>
        </w:rPr>
      </w:pPr>
    </w:p>
    <w:p w:rsidR="001515D7" w:rsidRPr="00237CCA" w:rsidRDefault="00A26739" w:rsidP="00836739">
      <w:pPr>
        <w:jc w:val="both"/>
        <w:rPr>
          <w:rFonts w:ascii="Franklin Gothic Book" w:hAnsi="Franklin Gothic Book"/>
          <w:sz w:val="21"/>
          <w:szCs w:val="21"/>
        </w:rPr>
      </w:pPr>
      <w:r w:rsidRPr="00A624E2">
        <w:rPr>
          <w:rFonts w:ascii="Franklin Gothic Book" w:hAnsi="Franklin Gothic Book"/>
          <w:b/>
          <w:sz w:val="21"/>
          <w:szCs w:val="21"/>
        </w:rPr>
        <w:t>Australia’</w:t>
      </w:r>
      <w:r w:rsidR="007E74DE" w:rsidRPr="00A624E2">
        <w:rPr>
          <w:rFonts w:ascii="Franklin Gothic Book" w:hAnsi="Franklin Gothic Book"/>
          <w:b/>
          <w:sz w:val="21"/>
          <w:szCs w:val="21"/>
        </w:rPr>
        <w:t xml:space="preserve">s careful choice of partners </w:t>
      </w:r>
      <w:r w:rsidR="00D016A7" w:rsidRPr="00A624E2">
        <w:rPr>
          <w:rFonts w:ascii="Franklin Gothic Book" w:hAnsi="Franklin Gothic Book"/>
          <w:b/>
          <w:sz w:val="21"/>
          <w:szCs w:val="21"/>
        </w:rPr>
        <w:t xml:space="preserve">with strong track records and shared goals </w:t>
      </w:r>
      <w:r w:rsidR="007E74DE" w:rsidRPr="00A624E2">
        <w:rPr>
          <w:rFonts w:ascii="Franklin Gothic Book" w:hAnsi="Franklin Gothic Book"/>
          <w:b/>
          <w:sz w:val="21"/>
          <w:szCs w:val="21"/>
        </w:rPr>
        <w:t xml:space="preserve">meant we were able to </w:t>
      </w:r>
      <w:r w:rsidR="00E52907" w:rsidRPr="00A624E2">
        <w:rPr>
          <w:rFonts w:ascii="Franklin Gothic Book" w:hAnsi="Franklin Gothic Book"/>
          <w:b/>
          <w:sz w:val="21"/>
          <w:szCs w:val="21"/>
        </w:rPr>
        <w:t xml:space="preserve">maximise the impact of our funding </w:t>
      </w:r>
      <w:r w:rsidR="00D016A7" w:rsidRPr="00A624E2">
        <w:rPr>
          <w:rFonts w:ascii="Franklin Gothic Book" w:hAnsi="Franklin Gothic Book"/>
          <w:b/>
          <w:sz w:val="21"/>
          <w:szCs w:val="21"/>
        </w:rPr>
        <w:t>while keeping our transaction costs low</w:t>
      </w:r>
      <w:r w:rsidR="00E52907" w:rsidRPr="00A624E2">
        <w:rPr>
          <w:rFonts w:ascii="Franklin Gothic Book" w:hAnsi="Franklin Gothic Book"/>
          <w:b/>
          <w:sz w:val="21"/>
          <w:szCs w:val="21"/>
        </w:rPr>
        <w:t xml:space="preserve">. </w:t>
      </w:r>
      <w:r w:rsidR="00AF5161" w:rsidRPr="00A624E2">
        <w:rPr>
          <w:rFonts w:ascii="Franklin Gothic Book" w:hAnsi="Franklin Gothic Book"/>
          <w:sz w:val="21"/>
          <w:szCs w:val="21"/>
        </w:rPr>
        <w:t>Despite the</w:t>
      </w:r>
      <w:r w:rsidR="00E14FA6" w:rsidRPr="00A624E2">
        <w:rPr>
          <w:rFonts w:ascii="Franklin Gothic Book" w:hAnsi="Franklin Gothic Book"/>
          <w:sz w:val="21"/>
          <w:szCs w:val="21"/>
        </w:rPr>
        <w:t xml:space="preserve"> </w:t>
      </w:r>
      <w:r w:rsidR="00EE0C32" w:rsidRPr="00A624E2">
        <w:rPr>
          <w:rFonts w:ascii="Franklin Gothic Book" w:hAnsi="Franklin Gothic Book"/>
          <w:sz w:val="21"/>
          <w:szCs w:val="21"/>
        </w:rPr>
        <w:t xml:space="preserve">destabilisation </w:t>
      </w:r>
      <w:r w:rsidR="00B55A41" w:rsidRPr="00A624E2">
        <w:rPr>
          <w:rFonts w:ascii="Franklin Gothic Book" w:hAnsi="Franklin Gothic Book"/>
          <w:sz w:val="21"/>
          <w:szCs w:val="21"/>
        </w:rPr>
        <w:t xml:space="preserve">caused by the </w:t>
      </w:r>
      <w:r w:rsidR="00AF5161" w:rsidRPr="00A624E2">
        <w:rPr>
          <w:rFonts w:ascii="Franklin Gothic Book" w:hAnsi="Franklin Gothic Book"/>
          <w:sz w:val="21"/>
          <w:szCs w:val="21"/>
        </w:rPr>
        <w:t>elections</w:t>
      </w:r>
      <w:r w:rsidR="001515D7" w:rsidRPr="00A624E2">
        <w:rPr>
          <w:rFonts w:ascii="Franklin Gothic Book" w:hAnsi="Franklin Gothic Book"/>
          <w:sz w:val="21"/>
          <w:szCs w:val="21"/>
        </w:rPr>
        <w:t>,</w:t>
      </w:r>
      <w:r w:rsidR="00AF5161" w:rsidRPr="00A624E2">
        <w:rPr>
          <w:rFonts w:ascii="Franklin Gothic Book" w:hAnsi="Franklin Gothic Book"/>
          <w:sz w:val="21"/>
          <w:szCs w:val="21"/>
        </w:rPr>
        <w:t xml:space="preserve"> our partnerships with BRAC</w:t>
      </w:r>
      <w:r w:rsidR="00E14FA6" w:rsidRPr="00A624E2">
        <w:rPr>
          <w:rFonts w:ascii="Franklin Gothic Book" w:hAnsi="Franklin Gothic Book"/>
          <w:sz w:val="21"/>
          <w:szCs w:val="21"/>
        </w:rPr>
        <w:t xml:space="preserve"> and </w:t>
      </w:r>
      <w:r w:rsidR="00AF5161" w:rsidRPr="00A624E2">
        <w:rPr>
          <w:rFonts w:ascii="Franklin Gothic Book" w:hAnsi="Franklin Gothic Book"/>
          <w:sz w:val="21"/>
          <w:szCs w:val="21"/>
        </w:rPr>
        <w:t>the UK</w:t>
      </w:r>
      <w:r w:rsidR="00E14FA6" w:rsidRPr="00A624E2">
        <w:rPr>
          <w:rFonts w:ascii="Franklin Gothic Book" w:hAnsi="Franklin Gothic Book"/>
          <w:sz w:val="21"/>
          <w:szCs w:val="21"/>
        </w:rPr>
        <w:t xml:space="preserve"> helped </w:t>
      </w:r>
      <w:r w:rsidR="008C03C3" w:rsidRPr="00A624E2">
        <w:rPr>
          <w:rFonts w:ascii="Franklin Gothic Book" w:hAnsi="Franklin Gothic Book"/>
          <w:sz w:val="21"/>
          <w:szCs w:val="21"/>
        </w:rPr>
        <w:t>1</w:t>
      </w:r>
      <w:r w:rsidR="005D4F5B" w:rsidRPr="00A624E2">
        <w:rPr>
          <w:rFonts w:ascii="Franklin Gothic Book" w:hAnsi="Franklin Gothic Book"/>
          <w:sz w:val="21"/>
          <w:szCs w:val="21"/>
        </w:rPr>
        <w:t>07,000</w:t>
      </w:r>
      <w:r w:rsidR="00070DD5" w:rsidRPr="00A624E2">
        <w:rPr>
          <w:rStyle w:val="FootnoteReference"/>
          <w:rFonts w:ascii="Franklin Gothic Book" w:hAnsi="Franklin Gothic Book"/>
          <w:sz w:val="21"/>
          <w:szCs w:val="21"/>
        </w:rPr>
        <w:footnoteReference w:id="35"/>
      </w:r>
      <w:r w:rsidR="00D1370A" w:rsidRPr="00A624E2">
        <w:rPr>
          <w:rFonts w:ascii="Franklin Gothic Book" w:hAnsi="Franklin Gothic Book"/>
          <w:sz w:val="21"/>
          <w:szCs w:val="21"/>
        </w:rPr>
        <w:t xml:space="preserve"> </w:t>
      </w:r>
      <w:r w:rsidR="005B4384" w:rsidRPr="00A624E2">
        <w:rPr>
          <w:rFonts w:ascii="Franklin Gothic Book" w:hAnsi="Franklin Gothic Book"/>
          <w:sz w:val="21"/>
          <w:szCs w:val="21"/>
        </w:rPr>
        <w:t xml:space="preserve">vulnerable people </w:t>
      </w:r>
      <w:r w:rsidR="007F2FCC" w:rsidRPr="00A624E2">
        <w:rPr>
          <w:rFonts w:ascii="Franklin Gothic Book" w:hAnsi="Franklin Gothic Book"/>
          <w:sz w:val="21"/>
          <w:szCs w:val="21"/>
        </w:rPr>
        <w:t xml:space="preserve">to improve their </w:t>
      </w:r>
      <w:r w:rsidR="003C6095" w:rsidRPr="00A624E2">
        <w:rPr>
          <w:rFonts w:ascii="Franklin Gothic Book" w:hAnsi="Franklin Gothic Book"/>
          <w:sz w:val="21"/>
          <w:szCs w:val="21"/>
        </w:rPr>
        <w:t>resilience to</w:t>
      </w:r>
      <w:r w:rsidR="00E14FA6" w:rsidRPr="00A624E2">
        <w:rPr>
          <w:rFonts w:ascii="Franklin Gothic Book" w:hAnsi="Franklin Gothic Book"/>
          <w:sz w:val="21"/>
          <w:szCs w:val="21"/>
        </w:rPr>
        <w:t xml:space="preserve"> the impacts of extreme poverty</w:t>
      </w:r>
      <w:r w:rsidR="00B42350" w:rsidRPr="00A624E2">
        <w:rPr>
          <w:rFonts w:ascii="Franklin Gothic Book" w:hAnsi="Franklin Gothic Book"/>
          <w:sz w:val="21"/>
          <w:szCs w:val="21"/>
        </w:rPr>
        <w:t xml:space="preserve"> and shocks</w:t>
      </w:r>
      <w:r w:rsidR="002E781D" w:rsidRPr="00A624E2">
        <w:rPr>
          <w:rStyle w:val="FootnoteReference"/>
          <w:rFonts w:ascii="Franklin Gothic Book" w:hAnsi="Franklin Gothic Book"/>
          <w:sz w:val="21"/>
          <w:szCs w:val="21"/>
        </w:rPr>
        <w:footnoteReference w:id="36"/>
      </w:r>
      <w:r w:rsidR="005B4384" w:rsidRPr="00A624E2">
        <w:rPr>
          <w:rFonts w:ascii="Franklin Gothic Book" w:hAnsi="Franklin Gothic Book"/>
          <w:sz w:val="21"/>
          <w:szCs w:val="21"/>
        </w:rPr>
        <w:t xml:space="preserve">. </w:t>
      </w:r>
      <w:r w:rsidR="0086291E" w:rsidRPr="00A624E2">
        <w:rPr>
          <w:rFonts w:ascii="Franklin Gothic Book" w:hAnsi="Franklin Gothic Book"/>
          <w:sz w:val="21"/>
          <w:szCs w:val="21"/>
        </w:rPr>
        <w:t>BRAC’s program is recognised globally</w:t>
      </w:r>
      <w:r w:rsidR="009E0A5E" w:rsidRPr="00A624E2">
        <w:rPr>
          <w:rStyle w:val="FootnoteReference"/>
          <w:rFonts w:ascii="Franklin Gothic Book" w:hAnsi="Franklin Gothic Book"/>
          <w:sz w:val="21"/>
          <w:szCs w:val="21"/>
        </w:rPr>
        <w:footnoteReference w:id="37"/>
      </w:r>
      <w:r w:rsidR="0086291E" w:rsidRPr="00A624E2">
        <w:rPr>
          <w:rFonts w:ascii="Franklin Gothic Book" w:hAnsi="Franklin Gothic Book"/>
          <w:sz w:val="21"/>
          <w:szCs w:val="21"/>
        </w:rPr>
        <w:t xml:space="preserve"> as an</w:t>
      </w:r>
      <w:r w:rsidR="002105B1" w:rsidRPr="00A624E2">
        <w:rPr>
          <w:rFonts w:ascii="Franklin Gothic Book" w:hAnsi="Franklin Gothic Book"/>
          <w:sz w:val="21"/>
          <w:szCs w:val="21"/>
        </w:rPr>
        <w:t xml:space="preserve"> innovative and </w:t>
      </w:r>
      <w:r w:rsidR="0086291E" w:rsidRPr="00A624E2">
        <w:rPr>
          <w:rFonts w:ascii="Franklin Gothic Book" w:hAnsi="Franklin Gothic Book"/>
          <w:sz w:val="21"/>
          <w:szCs w:val="21"/>
        </w:rPr>
        <w:t xml:space="preserve">effective way to </w:t>
      </w:r>
      <w:r w:rsidR="002105B1" w:rsidRPr="00A624E2">
        <w:rPr>
          <w:rFonts w:ascii="Franklin Gothic Book" w:hAnsi="Franklin Gothic Book"/>
          <w:sz w:val="21"/>
          <w:szCs w:val="21"/>
        </w:rPr>
        <w:t>assist</w:t>
      </w:r>
      <w:r w:rsidR="0086291E" w:rsidRPr="00A624E2">
        <w:rPr>
          <w:rFonts w:ascii="Franklin Gothic Book" w:hAnsi="Franklin Gothic Book"/>
          <w:sz w:val="21"/>
          <w:szCs w:val="21"/>
        </w:rPr>
        <w:t xml:space="preserve"> extremely poor women and their families</w:t>
      </w:r>
      <w:r w:rsidR="007635B0" w:rsidRPr="00A624E2">
        <w:rPr>
          <w:rFonts w:ascii="Franklin Gothic Book" w:hAnsi="Franklin Gothic Book"/>
          <w:sz w:val="21"/>
          <w:szCs w:val="21"/>
        </w:rPr>
        <w:t xml:space="preserve">, who otherwise struggle to access finance and </w:t>
      </w:r>
      <w:r w:rsidR="009826E3" w:rsidRPr="00A624E2">
        <w:rPr>
          <w:rFonts w:ascii="Franklin Gothic Book" w:hAnsi="Franklin Gothic Book"/>
          <w:sz w:val="21"/>
          <w:szCs w:val="21"/>
        </w:rPr>
        <w:t xml:space="preserve">basic </w:t>
      </w:r>
      <w:r w:rsidR="007635B0" w:rsidRPr="00A624E2">
        <w:rPr>
          <w:rFonts w:ascii="Franklin Gothic Book" w:hAnsi="Franklin Gothic Book"/>
          <w:sz w:val="21"/>
          <w:szCs w:val="21"/>
        </w:rPr>
        <w:t>services</w:t>
      </w:r>
      <w:r w:rsidR="002105B1" w:rsidRPr="00A624E2">
        <w:rPr>
          <w:rFonts w:ascii="Franklin Gothic Book" w:hAnsi="Franklin Gothic Book"/>
          <w:sz w:val="21"/>
          <w:szCs w:val="21"/>
        </w:rPr>
        <w:t xml:space="preserve">. This support is helping families </w:t>
      </w:r>
      <w:r w:rsidR="008B2BFA" w:rsidRPr="00A624E2">
        <w:rPr>
          <w:rFonts w:ascii="Franklin Gothic Book" w:hAnsi="Franklin Gothic Book"/>
          <w:sz w:val="21"/>
          <w:szCs w:val="21"/>
        </w:rPr>
        <w:t xml:space="preserve">to </w:t>
      </w:r>
      <w:r w:rsidR="009E0A5E" w:rsidRPr="00A624E2">
        <w:rPr>
          <w:rFonts w:ascii="Franklin Gothic Book" w:hAnsi="Franklin Gothic Book"/>
          <w:sz w:val="21"/>
          <w:szCs w:val="21"/>
        </w:rPr>
        <w:t xml:space="preserve">develop </w:t>
      </w:r>
      <w:r w:rsidR="00D016A7" w:rsidRPr="00A624E2">
        <w:rPr>
          <w:rFonts w:ascii="Franklin Gothic Book" w:hAnsi="Franklin Gothic Book"/>
          <w:sz w:val="21"/>
          <w:szCs w:val="21"/>
        </w:rPr>
        <w:t xml:space="preserve">more stable </w:t>
      </w:r>
      <w:r w:rsidR="009E0A5E" w:rsidRPr="00A624E2">
        <w:rPr>
          <w:rFonts w:ascii="Franklin Gothic Book" w:hAnsi="Franklin Gothic Book"/>
          <w:sz w:val="21"/>
          <w:szCs w:val="21"/>
        </w:rPr>
        <w:t>income sources</w:t>
      </w:r>
      <w:r w:rsidR="002105B1" w:rsidRPr="00A624E2">
        <w:rPr>
          <w:rFonts w:ascii="Franklin Gothic Book" w:hAnsi="Franklin Gothic Book"/>
          <w:sz w:val="21"/>
          <w:szCs w:val="21"/>
        </w:rPr>
        <w:t xml:space="preserve"> and build </w:t>
      </w:r>
      <w:r w:rsidR="009E0A5E" w:rsidRPr="00A624E2">
        <w:rPr>
          <w:rFonts w:ascii="Franklin Gothic Book" w:hAnsi="Franklin Gothic Book"/>
          <w:sz w:val="21"/>
          <w:szCs w:val="21"/>
        </w:rPr>
        <w:t>self-reliance</w:t>
      </w:r>
      <w:r w:rsidR="005B4384" w:rsidRPr="00A624E2">
        <w:rPr>
          <w:rFonts w:ascii="Franklin Gothic Book" w:hAnsi="Franklin Gothic Book"/>
          <w:sz w:val="21"/>
          <w:szCs w:val="21"/>
        </w:rPr>
        <w:t xml:space="preserve">. </w:t>
      </w:r>
      <w:r w:rsidR="00B11D62" w:rsidRPr="00A624E2">
        <w:rPr>
          <w:rFonts w:ascii="Franklin Gothic Book" w:hAnsi="Franklin Gothic Book"/>
          <w:sz w:val="21"/>
          <w:szCs w:val="21"/>
        </w:rPr>
        <w:t>Australia’s</w:t>
      </w:r>
      <w:r w:rsidR="001E6410" w:rsidRPr="00A624E2">
        <w:rPr>
          <w:rFonts w:ascii="Franklin Gothic Book" w:hAnsi="Franklin Gothic Book"/>
          <w:sz w:val="21"/>
          <w:szCs w:val="21"/>
        </w:rPr>
        <w:t xml:space="preserve"> </w:t>
      </w:r>
      <w:r w:rsidR="007F2FCC" w:rsidRPr="00A624E2">
        <w:rPr>
          <w:rFonts w:ascii="Franklin Gothic Book" w:hAnsi="Franklin Gothic Book"/>
          <w:sz w:val="21"/>
          <w:szCs w:val="21"/>
        </w:rPr>
        <w:t xml:space="preserve">engagement </w:t>
      </w:r>
      <w:r w:rsidR="007635B0" w:rsidRPr="00A624E2">
        <w:rPr>
          <w:rFonts w:ascii="Franklin Gothic Book" w:hAnsi="Franklin Gothic Book"/>
          <w:sz w:val="21"/>
          <w:szCs w:val="21"/>
        </w:rPr>
        <w:t xml:space="preserve">in this area is </w:t>
      </w:r>
      <w:r w:rsidR="00CE7113" w:rsidRPr="00A624E2">
        <w:rPr>
          <w:rFonts w:ascii="Franklin Gothic Book" w:hAnsi="Franklin Gothic Book"/>
          <w:sz w:val="21"/>
          <w:szCs w:val="21"/>
        </w:rPr>
        <w:t xml:space="preserve">aligned </w:t>
      </w:r>
      <w:r w:rsidR="007635B0" w:rsidRPr="00A624E2">
        <w:rPr>
          <w:rFonts w:ascii="Franklin Gothic Book" w:hAnsi="Franklin Gothic Book"/>
          <w:sz w:val="21"/>
          <w:szCs w:val="21"/>
        </w:rPr>
        <w:t xml:space="preserve">directly with </w:t>
      </w:r>
      <w:r w:rsidR="00CE7113">
        <w:rPr>
          <w:rFonts w:ascii="Franklin Gothic Book" w:hAnsi="Franklin Gothic Book"/>
          <w:sz w:val="21"/>
          <w:szCs w:val="21"/>
        </w:rPr>
        <w:t xml:space="preserve">the </w:t>
      </w:r>
      <w:r w:rsidR="001E6410" w:rsidRPr="00A624E2">
        <w:rPr>
          <w:rFonts w:ascii="Franklin Gothic Book" w:hAnsi="Franklin Gothic Book"/>
          <w:sz w:val="21"/>
          <w:szCs w:val="21"/>
        </w:rPr>
        <w:t>G</w:t>
      </w:r>
      <w:r w:rsidR="00CE7113">
        <w:rPr>
          <w:rFonts w:ascii="Franklin Gothic Book" w:hAnsi="Franklin Gothic Book"/>
          <w:sz w:val="21"/>
          <w:szCs w:val="21"/>
        </w:rPr>
        <w:t xml:space="preserve">overnment </w:t>
      </w:r>
      <w:r w:rsidR="001E6410" w:rsidRPr="00A624E2">
        <w:rPr>
          <w:rFonts w:ascii="Franklin Gothic Book" w:hAnsi="Franklin Gothic Book"/>
          <w:sz w:val="21"/>
          <w:szCs w:val="21"/>
        </w:rPr>
        <w:t>o</w:t>
      </w:r>
      <w:r w:rsidR="00CE7113">
        <w:rPr>
          <w:rFonts w:ascii="Franklin Gothic Book" w:hAnsi="Franklin Gothic Book"/>
          <w:sz w:val="21"/>
          <w:szCs w:val="21"/>
        </w:rPr>
        <w:t xml:space="preserve">f </w:t>
      </w:r>
      <w:r w:rsidR="001E6410" w:rsidRPr="00A624E2">
        <w:rPr>
          <w:rFonts w:ascii="Franklin Gothic Book" w:hAnsi="Franklin Gothic Book"/>
          <w:sz w:val="21"/>
          <w:szCs w:val="21"/>
        </w:rPr>
        <w:t>B</w:t>
      </w:r>
      <w:r w:rsidR="00CE7113">
        <w:rPr>
          <w:rFonts w:ascii="Franklin Gothic Book" w:hAnsi="Franklin Gothic Book"/>
          <w:sz w:val="21"/>
          <w:szCs w:val="21"/>
        </w:rPr>
        <w:t>angladesh</w:t>
      </w:r>
      <w:r w:rsidR="001E6410" w:rsidRPr="00A624E2">
        <w:rPr>
          <w:rFonts w:ascii="Franklin Gothic Book" w:hAnsi="Franklin Gothic Book"/>
          <w:sz w:val="21"/>
          <w:szCs w:val="21"/>
        </w:rPr>
        <w:t xml:space="preserve">’s goal </w:t>
      </w:r>
      <w:r w:rsidR="00B11D62" w:rsidRPr="00A624E2">
        <w:rPr>
          <w:rFonts w:ascii="Franklin Gothic Book" w:hAnsi="Franklin Gothic Book"/>
          <w:sz w:val="21"/>
          <w:szCs w:val="21"/>
        </w:rPr>
        <w:t>of</w:t>
      </w:r>
      <w:r w:rsidR="001E6410" w:rsidRPr="00A624E2">
        <w:rPr>
          <w:rFonts w:ascii="Franklin Gothic Book" w:hAnsi="Franklin Gothic Book"/>
          <w:sz w:val="21"/>
          <w:szCs w:val="21"/>
        </w:rPr>
        <w:t xml:space="preserve"> reduc</w:t>
      </w:r>
      <w:r w:rsidR="00B11D62" w:rsidRPr="00A624E2">
        <w:rPr>
          <w:rFonts w:ascii="Franklin Gothic Book" w:hAnsi="Franklin Gothic Book"/>
          <w:sz w:val="21"/>
          <w:szCs w:val="21"/>
        </w:rPr>
        <w:t>ing</w:t>
      </w:r>
      <w:r w:rsidR="001E6410" w:rsidRPr="00A624E2">
        <w:rPr>
          <w:rFonts w:ascii="Franklin Gothic Book" w:hAnsi="Franklin Gothic Book"/>
          <w:sz w:val="21"/>
          <w:szCs w:val="21"/>
        </w:rPr>
        <w:t xml:space="preserve"> poverty levels</w:t>
      </w:r>
      <w:r w:rsidR="00CE7113">
        <w:rPr>
          <w:rFonts w:ascii="Franklin Gothic Book" w:hAnsi="Franklin Gothic Book"/>
          <w:sz w:val="21"/>
          <w:szCs w:val="21"/>
        </w:rPr>
        <w:t>.</w:t>
      </w:r>
      <w:r w:rsidR="001E6410" w:rsidRPr="00A624E2">
        <w:rPr>
          <w:rStyle w:val="FootnoteReference"/>
          <w:rFonts w:ascii="Franklin Gothic Book" w:hAnsi="Franklin Gothic Book"/>
          <w:sz w:val="21"/>
          <w:szCs w:val="21"/>
        </w:rPr>
        <w:footnoteReference w:id="38"/>
      </w:r>
      <w:r w:rsidR="001E6410" w:rsidRPr="00A624E2">
        <w:rPr>
          <w:rFonts w:ascii="Franklin Gothic Book" w:hAnsi="Franklin Gothic Book"/>
          <w:sz w:val="21"/>
          <w:szCs w:val="21"/>
        </w:rPr>
        <w:t xml:space="preserve"> </w:t>
      </w:r>
      <w:r w:rsidR="007635B0" w:rsidRPr="00A624E2">
        <w:rPr>
          <w:rFonts w:ascii="Franklin Gothic Book" w:hAnsi="Franklin Gothic Book"/>
          <w:sz w:val="21"/>
          <w:szCs w:val="21"/>
        </w:rPr>
        <w:t>Separately, n</w:t>
      </w:r>
      <w:r w:rsidR="00426C66" w:rsidRPr="00A624E2">
        <w:rPr>
          <w:rFonts w:ascii="Franklin Gothic Book" w:hAnsi="Franklin Gothic Book"/>
          <w:sz w:val="21"/>
          <w:szCs w:val="21"/>
        </w:rPr>
        <w:t>utrition and food security s</w:t>
      </w:r>
      <w:r w:rsidR="00AF5161" w:rsidRPr="00A624E2">
        <w:rPr>
          <w:rFonts w:ascii="Franklin Gothic Book" w:hAnsi="Franklin Gothic Book"/>
          <w:sz w:val="21"/>
          <w:szCs w:val="21"/>
        </w:rPr>
        <w:t>upport through WFP</w:t>
      </w:r>
      <w:r w:rsidR="001515D7" w:rsidRPr="00A624E2">
        <w:rPr>
          <w:rFonts w:ascii="Franklin Gothic Book" w:hAnsi="Franklin Gothic Book"/>
          <w:sz w:val="21"/>
          <w:szCs w:val="21"/>
        </w:rPr>
        <w:t xml:space="preserve"> </w:t>
      </w:r>
      <w:r w:rsidR="00AF5161" w:rsidRPr="00A624E2">
        <w:rPr>
          <w:rFonts w:ascii="Franklin Gothic Book" w:hAnsi="Franklin Gothic Book"/>
          <w:sz w:val="21"/>
          <w:szCs w:val="21"/>
        </w:rPr>
        <w:t xml:space="preserve">provided a safety net to </w:t>
      </w:r>
      <w:r w:rsidR="00541EA2" w:rsidRPr="00A624E2">
        <w:rPr>
          <w:rFonts w:ascii="Franklin Gothic Book" w:hAnsi="Franklin Gothic Book"/>
          <w:sz w:val="21"/>
          <w:szCs w:val="21"/>
        </w:rPr>
        <w:t>more</w:t>
      </w:r>
      <w:r w:rsidR="00541EA2">
        <w:rPr>
          <w:rFonts w:ascii="Franklin Gothic Book" w:hAnsi="Franklin Gothic Book"/>
          <w:sz w:val="21"/>
          <w:szCs w:val="21"/>
        </w:rPr>
        <w:t xml:space="preserve"> than 700 vulnerable families </w:t>
      </w:r>
      <w:r w:rsidR="00607327" w:rsidRPr="00237CCA">
        <w:rPr>
          <w:rFonts w:ascii="Franklin Gothic Book" w:hAnsi="Franklin Gothic Book"/>
          <w:sz w:val="21"/>
          <w:szCs w:val="21"/>
        </w:rPr>
        <w:t>in Cox’s Bazar distric</w:t>
      </w:r>
      <w:r w:rsidR="00607327" w:rsidRPr="00237CCA">
        <w:rPr>
          <w:rFonts w:ascii="Franklin Gothic Book" w:hAnsi="Franklin Gothic Book" w:cs="Arial"/>
          <w:sz w:val="21"/>
          <w:szCs w:val="21"/>
        </w:rPr>
        <w:t>t</w:t>
      </w:r>
      <w:r w:rsidR="00363446">
        <w:rPr>
          <w:rStyle w:val="FootnoteReference"/>
          <w:rFonts w:ascii="Franklin Gothic Book" w:hAnsi="Franklin Gothic Book" w:cs="Arial"/>
          <w:sz w:val="21"/>
          <w:szCs w:val="21"/>
        </w:rPr>
        <w:footnoteReference w:id="39"/>
      </w:r>
      <w:r w:rsidR="007635B0">
        <w:rPr>
          <w:rFonts w:ascii="Franklin Gothic Book" w:hAnsi="Franklin Gothic Book" w:cs="Arial"/>
          <w:sz w:val="21"/>
          <w:szCs w:val="21"/>
        </w:rPr>
        <w:t xml:space="preserve">, while </w:t>
      </w:r>
      <w:r w:rsidR="007635B0">
        <w:rPr>
          <w:rFonts w:ascii="Franklin Gothic Book" w:hAnsi="Franklin Gothic Book"/>
          <w:sz w:val="21"/>
          <w:szCs w:val="21"/>
        </w:rPr>
        <w:t>ou</w:t>
      </w:r>
      <w:r w:rsidR="001515D7" w:rsidRPr="00237CCA">
        <w:rPr>
          <w:rFonts w:ascii="Franklin Gothic Book" w:hAnsi="Franklin Gothic Book"/>
          <w:sz w:val="21"/>
          <w:szCs w:val="21"/>
        </w:rPr>
        <w:t>r partnership</w:t>
      </w:r>
      <w:r w:rsidR="00354FCE">
        <w:rPr>
          <w:rFonts w:ascii="Franklin Gothic Book" w:hAnsi="Franklin Gothic Book"/>
          <w:sz w:val="21"/>
          <w:szCs w:val="21"/>
        </w:rPr>
        <w:t xml:space="preserve"> with UNDP</w:t>
      </w:r>
      <w:r w:rsidR="001515D7" w:rsidRPr="00237CCA">
        <w:rPr>
          <w:rFonts w:ascii="Franklin Gothic Book" w:hAnsi="Franklin Gothic Book"/>
          <w:sz w:val="21"/>
          <w:szCs w:val="21"/>
        </w:rPr>
        <w:t xml:space="preserve"> </w:t>
      </w:r>
      <w:r w:rsidR="009D7CD2" w:rsidRPr="00237CCA">
        <w:rPr>
          <w:rFonts w:ascii="Franklin Gothic Book" w:hAnsi="Franklin Gothic Book"/>
          <w:sz w:val="21"/>
          <w:szCs w:val="21"/>
        </w:rPr>
        <w:t xml:space="preserve">helped Australia </w:t>
      </w:r>
      <w:r w:rsidR="005F7654">
        <w:rPr>
          <w:rFonts w:ascii="Franklin Gothic Book" w:hAnsi="Franklin Gothic Book"/>
          <w:sz w:val="21"/>
          <w:szCs w:val="21"/>
        </w:rPr>
        <w:t xml:space="preserve">provide early support to families to recover from </w:t>
      </w:r>
      <w:r w:rsidR="009D7CD2" w:rsidRPr="00237CCA">
        <w:rPr>
          <w:rFonts w:ascii="Franklin Gothic Book" w:hAnsi="Franklin Gothic Book"/>
          <w:sz w:val="21"/>
          <w:szCs w:val="21"/>
        </w:rPr>
        <w:t>disasters</w:t>
      </w:r>
      <w:r w:rsidR="00CE7113">
        <w:rPr>
          <w:rFonts w:ascii="Franklin Gothic Book" w:hAnsi="Franklin Gothic Book"/>
          <w:sz w:val="21"/>
          <w:szCs w:val="21"/>
        </w:rPr>
        <w:t>.</w:t>
      </w:r>
      <w:r w:rsidR="00B42350" w:rsidRPr="00237CCA">
        <w:rPr>
          <w:rStyle w:val="FootnoteReference"/>
          <w:rFonts w:ascii="Franklin Gothic Book" w:hAnsi="Franklin Gothic Book"/>
          <w:sz w:val="21"/>
          <w:szCs w:val="21"/>
        </w:rPr>
        <w:footnoteReference w:id="40"/>
      </w:r>
      <w:r w:rsidR="001515D7" w:rsidRPr="00237CCA">
        <w:rPr>
          <w:rFonts w:ascii="Franklin Gothic Book" w:hAnsi="Franklin Gothic Book"/>
          <w:sz w:val="21"/>
          <w:szCs w:val="21"/>
        </w:rPr>
        <w:t xml:space="preserve"> Australia is </w:t>
      </w:r>
      <w:r w:rsidR="007F1025">
        <w:rPr>
          <w:rFonts w:ascii="Franklin Gothic Book" w:hAnsi="Franklin Gothic Book"/>
          <w:sz w:val="21"/>
          <w:szCs w:val="21"/>
        </w:rPr>
        <w:t xml:space="preserve">also </w:t>
      </w:r>
      <w:r w:rsidR="009D7CD2" w:rsidRPr="00237CCA">
        <w:rPr>
          <w:rFonts w:ascii="Franklin Gothic Book" w:hAnsi="Franklin Gothic Book"/>
          <w:sz w:val="21"/>
          <w:szCs w:val="21"/>
        </w:rPr>
        <w:t xml:space="preserve">supporting </w:t>
      </w:r>
      <w:r w:rsidR="001515D7" w:rsidRPr="00237CCA">
        <w:rPr>
          <w:rFonts w:ascii="Franklin Gothic Book" w:hAnsi="Franklin Gothic Book"/>
          <w:sz w:val="21"/>
          <w:szCs w:val="21"/>
        </w:rPr>
        <w:t xml:space="preserve">trials </w:t>
      </w:r>
      <w:r w:rsidR="00E52907" w:rsidRPr="00237CCA">
        <w:rPr>
          <w:rFonts w:ascii="Franklin Gothic Book" w:hAnsi="Franklin Gothic Book"/>
          <w:sz w:val="21"/>
          <w:szCs w:val="21"/>
        </w:rPr>
        <w:t xml:space="preserve">under the UK’s </w:t>
      </w:r>
      <w:r w:rsidR="00E52907" w:rsidRPr="00CE7113">
        <w:rPr>
          <w:rFonts w:ascii="Franklin Gothic Book" w:hAnsi="Franklin Gothic Book"/>
          <w:sz w:val="21"/>
          <w:szCs w:val="21"/>
        </w:rPr>
        <w:t>Chars</w:t>
      </w:r>
      <w:r w:rsidR="00E52907" w:rsidRPr="00237CCA">
        <w:rPr>
          <w:rFonts w:ascii="Franklin Gothic Book" w:hAnsi="Franklin Gothic Book"/>
          <w:sz w:val="21"/>
          <w:szCs w:val="21"/>
        </w:rPr>
        <w:t xml:space="preserve"> (river islands) </w:t>
      </w:r>
      <w:r w:rsidR="00D016A7">
        <w:rPr>
          <w:rFonts w:ascii="Franklin Gothic Book" w:hAnsi="Franklin Gothic Book"/>
          <w:sz w:val="21"/>
          <w:szCs w:val="21"/>
        </w:rPr>
        <w:t>Livelihoods P</w:t>
      </w:r>
      <w:r w:rsidR="00E52907" w:rsidRPr="00237CCA">
        <w:rPr>
          <w:rFonts w:ascii="Franklin Gothic Book" w:hAnsi="Franklin Gothic Book"/>
          <w:sz w:val="21"/>
          <w:szCs w:val="21"/>
        </w:rPr>
        <w:t xml:space="preserve">rogram </w:t>
      </w:r>
      <w:r w:rsidR="001515D7" w:rsidRPr="00237CCA">
        <w:rPr>
          <w:rFonts w:ascii="Franklin Gothic Book" w:hAnsi="Franklin Gothic Book"/>
          <w:sz w:val="21"/>
          <w:szCs w:val="21"/>
        </w:rPr>
        <w:t xml:space="preserve">to build sustainability </w:t>
      </w:r>
      <w:r w:rsidR="005F7654">
        <w:rPr>
          <w:rFonts w:ascii="Franklin Gothic Book" w:hAnsi="Franklin Gothic Book"/>
          <w:sz w:val="21"/>
          <w:szCs w:val="21"/>
        </w:rPr>
        <w:t xml:space="preserve">by </w:t>
      </w:r>
      <w:r w:rsidR="007854D7">
        <w:rPr>
          <w:rFonts w:ascii="Franklin Gothic Book" w:hAnsi="Franklin Gothic Book"/>
          <w:sz w:val="21"/>
          <w:szCs w:val="21"/>
        </w:rPr>
        <w:t>building links between beneficiaries and</w:t>
      </w:r>
      <w:r w:rsidR="005F7654">
        <w:rPr>
          <w:rFonts w:ascii="Franklin Gothic Book" w:hAnsi="Franklin Gothic Book"/>
          <w:sz w:val="21"/>
          <w:szCs w:val="21"/>
        </w:rPr>
        <w:t xml:space="preserve"> </w:t>
      </w:r>
      <w:r w:rsidR="007854D7">
        <w:rPr>
          <w:rFonts w:ascii="Franklin Gothic Book" w:hAnsi="Franklin Gothic Book"/>
          <w:sz w:val="21"/>
          <w:szCs w:val="21"/>
        </w:rPr>
        <w:t xml:space="preserve">local </w:t>
      </w:r>
      <w:r w:rsidR="00D016A7">
        <w:rPr>
          <w:rFonts w:ascii="Franklin Gothic Book" w:hAnsi="Franklin Gothic Book"/>
          <w:sz w:val="21"/>
          <w:szCs w:val="21"/>
        </w:rPr>
        <w:t xml:space="preserve">service providers </w:t>
      </w:r>
      <w:r w:rsidR="005F7654">
        <w:rPr>
          <w:rFonts w:ascii="Franklin Gothic Book" w:hAnsi="Franklin Gothic Book"/>
          <w:sz w:val="21"/>
          <w:szCs w:val="21"/>
        </w:rPr>
        <w:t>and markets</w:t>
      </w:r>
      <w:r w:rsidR="00951B0D" w:rsidRPr="00237CCA">
        <w:rPr>
          <w:rFonts w:ascii="Franklin Gothic Book" w:hAnsi="Franklin Gothic Book"/>
          <w:sz w:val="21"/>
          <w:szCs w:val="21"/>
        </w:rPr>
        <w:t>.</w:t>
      </w:r>
    </w:p>
    <w:p w:rsidR="001515D7" w:rsidRPr="00237CCA" w:rsidRDefault="001515D7" w:rsidP="00836739">
      <w:pPr>
        <w:jc w:val="both"/>
        <w:rPr>
          <w:rFonts w:ascii="Franklin Gothic Book" w:hAnsi="Franklin Gothic Book"/>
          <w:sz w:val="21"/>
          <w:szCs w:val="21"/>
        </w:rPr>
      </w:pPr>
    </w:p>
    <w:p w:rsidR="008951E8" w:rsidRPr="00237CCA" w:rsidRDefault="00480515" w:rsidP="00836739">
      <w:pPr>
        <w:jc w:val="both"/>
        <w:rPr>
          <w:rFonts w:ascii="Franklin Gothic Book" w:hAnsi="Franklin Gothic Book"/>
          <w:sz w:val="21"/>
          <w:szCs w:val="21"/>
        </w:rPr>
      </w:pPr>
      <w:r>
        <w:rPr>
          <w:rFonts w:ascii="Franklin Gothic Book" w:hAnsi="Franklin Gothic Book"/>
          <w:b/>
          <w:sz w:val="21"/>
          <w:szCs w:val="21"/>
        </w:rPr>
        <w:t xml:space="preserve">The </w:t>
      </w:r>
      <w:r w:rsidR="008951E8" w:rsidRPr="00237CCA">
        <w:rPr>
          <w:rFonts w:ascii="Franklin Gothic Book" w:hAnsi="Franklin Gothic Book"/>
          <w:b/>
          <w:sz w:val="21"/>
          <w:szCs w:val="21"/>
        </w:rPr>
        <w:t>Government</w:t>
      </w:r>
      <w:r>
        <w:rPr>
          <w:rFonts w:ascii="Franklin Gothic Book" w:hAnsi="Franklin Gothic Book"/>
          <w:b/>
          <w:sz w:val="21"/>
          <w:szCs w:val="21"/>
        </w:rPr>
        <w:t xml:space="preserve"> of Bangladesh</w:t>
      </w:r>
      <w:r w:rsidR="008951E8" w:rsidRPr="00237CCA">
        <w:rPr>
          <w:rFonts w:ascii="Franklin Gothic Book" w:hAnsi="Franklin Gothic Book"/>
          <w:b/>
          <w:sz w:val="21"/>
          <w:szCs w:val="21"/>
        </w:rPr>
        <w:t xml:space="preserve"> </w:t>
      </w:r>
      <w:r w:rsidRPr="00237CCA">
        <w:rPr>
          <w:rFonts w:ascii="Franklin Gothic Book" w:hAnsi="Franklin Gothic Book"/>
          <w:b/>
          <w:sz w:val="21"/>
          <w:szCs w:val="21"/>
        </w:rPr>
        <w:t>w</w:t>
      </w:r>
      <w:r>
        <w:rPr>
          <w:rFonts w:ascii="Franklin Gothic Book" w:hAnsi="Franklin Gothic Book"/>
          <w:b/>
          <w:sz w:val="21"/>
          <w:szCs w:val="21"/>
        </w:rPr>
        <w:t>as</w:t>
      </w:r>
      <w:r w:rsidRPr="00237CCA">
        <w:rPr>
          <w:rFonts w:ascii="Franklin Gothic Book" w:hAnsi="Franklin Gothic Book"/>
          <w:b/>
          <w:sz w:val="21"/>
          <w:szCs w:val="21"/>
        </w:rPr>
        <w:t xml:space="preserve"> </w:t>
      </w:r>
      <w:r w:rsidR="008951E8" w:rsidRPr="00237CCA">
        <w:rPr>
          <w:rFonts w:ascii="Franklin Gothic Book" w:hAnsi="Franklin Gothic Book"/>
          <w:b/>
          <w:sz w:val="21"/>
          <w:szCs w:val="21"/>
        </w:rPr>
        <w:t>engaged in discussion on more effective social protection policy.</w:t>
      </w:r>
      <w:r w:rsidR="008951E8" w:rsidRPr="00237CCA">
        <w:rPr>
          <w:rFonts w:ascii="Franklin Gothic Book" w:hAnsi="Franklin Gothic Book"/>
          <w:b/>
          <w:i/>
          <w:sz w:val="21"/>
          <w:szCs w:val="21"/>
        </w:rPr>
        <w:t xml:space="preserve"> </w:t>
      </w:r>
      <w:r w:rsidR="008951E8" w:rsidRPr="00237CCA">
        <w:rPr>
          <w:rFonts w:ascii="Franklin Gothic Book" w:hAnsi="Franklin Gothic Book"/>
          <w:sz w:val="21"/>
          <w:szCs w:val="21"/>
        </w:rPr>
        <w:t xml:space="preserve">Long term support through the Chars </w:t>
      </w:r>
      <w:r w:rsidR="009C2862">
        <w:rPr>
          <w:rFonts w:ascii="Franklin Gothic Book" w:hAnsi="Franklin Gothic Book"/>
          <w:sz w:val="21"/>
          <w:szCs w:val="21"/>
        </w:rPr>
        <w:t>L</w:t>
      </w:r>
      <w:r w:rsidR="008951E8" w:rsidRPr="00237CCA">
        <w:rPr>
          <w:rFonts w:ascii="Franklin Gothic Book" w:hAnsi="Franklin Gothic Book"/>
          <w:sz w:val="21"/>
          <w:szCs w:val="21"/>
        </w:rPr>
        <w:t>ivelihood</w:t>
      </w:r>
      <w:r w:rsidR="009C2862">
        <w:rPr>
          <w:rFonts w:ascii="Franklin Gothic Book" w:hAnsi="Franklin Gothic Book"/>
          <w:sz w:val="21"/>
          <w:szCs w:val="21"/>
        </w:rPr>
        <w:t>s</w:t>
      </w:r>
      <w:r w:rsidR="008951E8" w:rsidRPr="00237CCA">
        <w:rPr>
          <w:rFonts w:ascii="Franklin Gothic Book" w:hAnsi="Franklin Gothic Book"/>
          <w:sz w:val="21"/>
          <w:szCs w:val="21"/>
        </w:rPr>
        <w:t xml:space="preserve"> </w:t>
      </w:r>
      <w:r w:rsidR="009C2862">
        <w:rPr>
          <w:rFonts w:ascii="Franklin Gothic Book" w:hAnsi="Franklin Gothic Book"/>
          <w:sz w:val="21"/>
          <w:szCs w:val="21"/>
        </w:rPr>
        <w:t>P</w:t>
      </w:r>
      <w:r w:rsidR="008951E8" w:rsidRPr="00237CCA">
        <w:rPr>
          <w:rFonts w:ascii="Franklin Gothic Book" w:hAnsi="Franklin Gothic Book"/>
          <w:sz w:val="21"/>
          <w:szCs w:val="21"/>
        </w:rPr>
        <w:t>rogram and BRAC have given Australia the credibility to engage in national dialogue on social protection policy with the Government</w:t>
      </w:r>
      <w:r>
        <w:rPr>
          <w:rFonts w:ascii="Franklin Gothic Book" w:hAnsi="Franklin Gothic Book"/>
          <w:sz w:val="21"/>
          <w:szCs w:val="21"/>
        </w:rPr>
        <w:t xml:space="preserve"> of Bangladesh</w:t>
      </w:r>
      <w:r w:rsidR="008951E8" w:rsidRPr="00237CCA">
        <w:rPr>
          <w:rFonts w:ascii="Franklin Gothic Book" w:hAnsi="Franklin Gothic Book"/>
          <w:sz w:val="21"/>
          <w:szCs w:val="21"/>
        </w:rPr>
        <w:t xml:space="preserve"> and international partners. The economic benefits of effective social protection programs were highlighted to </w:t>
      </w:r>
      <w:r w:rsidR="0077071F">
        <w:rPr>
          <w:rFonts w:ascii="Franklin Gothic Book" w:hAnsi="Franklin Gothic Book"/>
          <w:sz w:val="21"/>
          <w:szCs w:val="21"/>
        </w:rPr>
        <w:t xml:space="preserve">the </w:t>
      </w:r>
      <w:r w:rsidR="003B7A56">
        <w:rPr>
          <w:rFonts w:ascii="Franklin Gothic Book" w:hAnsi="Franklin Gothic Book"/>
          <w:sz w:val="21"/>
          <w:szCs w:val="21"/>
        </w:rPr>
        <w:t xml:space="preserve">heads </w:t>
      </w:r>
      <w:r w:rsidR="00CA7502">
        <w:rPr>
          <w:rFonts w:ascii="Franklin Gothic Book" w:hAnsi="Franklin Gothic Book"/>
          <w:sz w:val="21"/>
          <w:szCs w:val="21"/>
        </w:rPr>
        <w:t xml:space="preserve">of </w:t>
      </w:r>
      <w:r w:rsidR="0077071F">
        <w:rPr>
          <w:rFonts w:ascii="Franklin Gothic Book" w:hAnsi="Franklin Gothic Book"/>
          <w:sz w:val="21"/>
          <w:szCs w:val="21"/>
        </w:rPr>
        <w:t xml:space="preserve">10 key </w:t>
      </w:r>
      <w:r w:rsidR="008951E8" w:rsidRPr="00237CCA">
        <w:rPr>
          <w:rFonts w:ascii="Franklin Gothic Book" w:hAnsi="Franklin Gothic Book"/>
          <w:sz w:val="21"/>
          <w:szCs w:val="21"/>
        </w:rPr>
        <w:t xml:space="preserve">Government of Bangladesh </w:t>
      </w:r>
      <w:r w:rsidR="0077071F">
        <w:rPr>
          <w:rFonts w:ascii="Franklin Gothic Book" w:hAnsi="Franklin Gothic Book"/>
          <w:sz w:val="21"/>
          <w:szCs w:val="21"/>
        </w:rPr>
        <w:t xml:space="preserve">agencies </w:t>
      </w:r>
      <w:r w:rsidR="008951E8" w:rsidRPr="00237CCA">
        <w:rPr>
          <w:rFonts w:ascii="Franklin Gothic Book" w:hAnsi="Franklin Gothic Book"/>
          <w:sz w:val="21"/>
          <w:szCs w:val="21"/>
        </w:rPr>
        <w:t xml:space="preserve">during visits to Nepal and South Africa, </w:t>
      </w:r>
      <w:r w:rsidR="0077071F">
        <w:rPr>
          <w:rFonts w:ascii="Franklin Gothic Book" w:hAnsi="Franklin Gothic Book"/>
          <w:sz w:val="21"/>
          <w:szCs w:val="21"/>
        </w:rPr>
        <w:t>supported</w:t>
      </w:r>
      <w:r w:rsidR="008951E8" w:rsidRPr="00237CCA">
        <w:rPr>
          <w:rFonts w:ascii="Franklin Gothic Book" w:hAnsi="Franklin Gothic Book"/>
          <w:sz w:val="21"/>
          <w:szCs w:val="21"/>
        </w:rPr>
        <w:t xml:space="preserve"> by Australia. This generated discussion </w:t>
      </w:r>
      <w:r w:rsidR="0077071F">
        <w:rPr>
          <w:rFonts w:ascii="Franklin Gothic Book" w:hAnsi="Franklin Gothic Book"/>
          <w:sz w:val="21"/>
          <w:szCs w:val="21"/>
        </w:rPr>
        <w:t xml:space="preserve">and momentum for reform </w:t>
      </w:r>
      <w:r w:rsidR="008951E8" w:rsidRPr="00237CCA">
        <w:rPr>
          <w:rFonts w:ascii="Franklin Gothic Book" w:hAnsi="Franklin Gothic Book"/>
          <w:sz w:val="21"/>
          <w:szCs w:val="21"/>
        </w:rPr>
        <w:t xml:space="preserve">across </w:t>
      </w:r>
      <w:r w:rsidR="00CE7113">
        <w:rPr>
          <w:rFonts w:ascii="Franklin Gothic Book" w:hAnsi="Franklin Gothic Book"/>
          <w:sz w:val="21"/>
          <w:szCs w:val="21"/>
        </w:rPr>
        <w:t>the G</w:t>
      </w:r>
      <w:r w:rsidR="008951E8" w:rsidRPr="00237CCA">
        <w:rPr>
          <w:rFonts w:ascii="Franklin Gothic Book" w:hAnsi="Franklin Gothic Book"/>
          <w:sz w:val="21"/>
          <w:szCs w:val="21"/>
        </w:rPr>
        <w:t>overnment</w:t>
      </w:r>
      <w:r w:rsidR="00CE7113">
        <w:rPr>
          <w:rFonts w:ascii="Franklin Gothic Book" w:hAnsi="Franklin Gothic Book"/>
          <w:sz w:val="21"/>
          <w:szCs w:val="21"/>
        </w:rPr>
        <w:t xml:space="preserve"> of Bangladesh</w:t>
      </w:r>
      <w:r w:rsidR="008951E8" w:rsidRPr="00237CCA">
        <w:rPr>
          <w:rFonts w:ascii="Franklin Gothic Book" w:hAnsi="Franklin Gothic Book"/>
          <w:sz w:val="21"/>
          <w:szCs w:val="21"/>
        </w:rPr>
        <w:t>.</w:t>
      </w:r>
      <w:r w:rsidR="00583844">
        <w:rPr>
          <w:rStyle w:val="FootnoteReference"/>
          <w:rFonts w:ascii="Franklin Gothic Book" w:hAnsi="Franklin Gothic Book"/>
          <w:sz w:val="21"/>
          <w:szCs w:val="21"/>
        </w:rPr>
        <w:footnoteReference w:id="41"/>
      </w:r>
      <w:r w:rsidR="008951E8" w:rsidRPr="00237CCA">
        <w:rPr>
          <w:rFonts w:ascii="Franklin Gothic Book" w:hAnsi="Franklin Gothic Book"/>
          <w:sz w:val="21"/>
          <w:szCs w:val="21"/>
        </w:rPr>
        <w:t xml:space="preserve"> While </w:t>
      </w:r>
      <w:r w:rsidR="00D016A7">
        <w:rPr>
          <w:rFonts w:ascii="Franklin Gothic Book" w:hAnsi="Franklin Gothic Book"/>
          <w:sz w:val="21"/>
          <w:szCs w:val="21"/>
        </w:rPr>
        <w:t xml:space="preserve">work to build </w:t>
      </w:r>
      <w:r w:rsidR="0077071F">
        <w:rPr>
          <w:rFonts w:ascii="Franklin Gothic Book" w:hAnsi="Franklin Gothic Book"/>
          <w:sz w:val="21"/>
          <w:szCs w:val="21"/>
        </w:rPr>
        <w:t xml:space="preserve">consensus </w:t>
      </w:r>
      <w:r w:rsidR="00D967B9">
        <w:rPr>
          <w:rFonts w:ascii="Franklin Gothic Book" w:hAnsi="Franklin Gothic Book"/>
          <w:sz w:val="21"/>
          <w:szCs w:val="21"/>
        </w:rPr>
        <w:t xml:space="preserve">across </w:t>
      </w:r>
      <w:r w:rsidR="00CE7113">
        <w:rPr>
          <w:rFonts w:ascii="Franklin Gothic Book" w:hAnsi="Franklin Gothic Book"/>
          <w:sz w:val="21"/>
          <w:szCs w:val="21"/>
        </w:rPr>
        <w:t>the G</w:t>
      </w:r>
      <w:r w:rsidR="0077071F">
        <w:rPr>
          <w:rFonts w:ascii="Franklin Gothic Book" w:hAnsi="Franklin Gothic Book"/>
          <w:sz w:val="21"/>
          <w:szCs w:val="21"/>
        </w:rPr>
        <w:t>overnment</w:t>
      </w:r>
      <w:r w:rsidR="00CE7113">
        <w:rPr>
          <w:rFonts w:ascii="Franklin Gothic Book" w:hAnsi="Franklin Gothic Book"/>
          <w:sz w:val="21"/>
          <w:szCs w:val="21"/>
        </w:rPr>
        <w:t xml:space="preserve"> of Bangladesh</w:t>
      </w:r>
      <w:r w:rsidR="0077071F">
        <w:rPr>
          <w:rFonts w:ascii="Franklin Gothic Book" w:hAnsi="Franklin Gothic Book"/>
          <w:sz w:val="21"/>
          <w:szCs w:val="21"/>
        </w:rPr>
        <w:t xml:space="preserve"> on how to implement a</w:t>
      </w:r>
      <w:r w:rsidR="008951E8" w:rsidRPr="00237CCA">
        <w:rPr>
          <w:rFonts w:ascii="Franklin Gothic Book" w:hAnsi="Franklin Gothic Book"/>
          <w:sz w:val="21"/>
          <w:szCs w:val="21"/>
        </w:rPr>
        <w:t xml:space="preserve"> common approach to social protection is </w:t>
      </w:r>
      <w:r w:rsidR="00D016A7">
        <w:rPr>
          <w:rFonts w:ascii="Franklin Gothic Book" w:hAnsi="Franklin Gothic Book"/>
          <w:sz w:val="21"/>
          <w:szCs w:val="21"/>
        </w:rPr>
        <w:t>ongoing</w:t>
      </w:r>
      <w:r w:rsidR="00D967B9">
        <w:rPr>
          <w:rFonts w:ascii="Franklin Gothic Book" w:hAnsi="Franklin Gothic Book"/>
          <w:sz w:val="21"/>
          <w:szCs w:val="21"/>
        </w:rPr>
        <w:t>,</w:t>
      </w:r>
      <w:r w:rsidR="008951E8" w:rsidRPr="00237CCA">
        <w:rPr>
          <w:rFonts w:ascii="Franklin Gothic Book" w:hAnsi="Franklin Gothic Book"/>
          <w:sz w:val="21"/>
          <w:szCs w:val="21"/>
        </w:rPr>
        <w:t xml:space="preserve"> </w:t>
      </w:r>
      <w:r w:rsidR="007F1025">
        <w:rPr>
          <w:rFonts w:ascii="Franklin Gothic Book" w:hAnsi="Franklin Gothic Book"/>
          <w:sz w:val="21"/>
          <w:szCs w:val="21"/>
        </w:rPr>
        <w:t>a</w:t>
      </w:r>
      <w:r w:rsidR="007F1025" w:rsidRPr="00237CCA">
        <w:rPr>
          <w:rFonts w:ascii="Franklin Gothic Book" w:hAnsi="Franklin Gothic Book"/>
          <w:sz w:val="21"/>
          <w:szCs w:val="21"/>
        </w:rPr>
        <w:t xml:space="preserve"> </w:t>
      </w:r>
      <w:r w:rsidR="008951E8" w:rsidRPr="00237CCA">
        <w:rPr>
          <w:rFonts w:ascii="Franklin Gothic Book" w:hAnsi="Franklin Gothic Book"/>
          <w:sz w:val="21"/>
          <w:szCs w:val="21"/>
        </w:rPr>
        <w:t xml:space="preserve">draft </w:t>
      </w:r>
      <w:r w:rsidR="0097141E">
        <w:rPr>
          <w:rFonts w:ascii="Franklin Gothic Book" w:hAnsi="Franklin Gothic Book"/>
          <w:sz w:val="21"/>
          <w:szCs w:val="21"/>
        </w:rPr>
        <w:t>N</w:t>
      </w:r>
      <w:r w:rsidR="008951E8" w:rsidRPr="00237CCA">
        <w:rPr>
          <w:rFonts w:ascii="Franklin Gothic Book" w:hAnsi="Franklin Gothic Book"/>
          <w:sz w:val="21"/>
          <w:szCs w:val="21"/>
        </w:rPr>
        <w:t xml:space="preserve">ational </w:t>
      </w:r>
      <w:r w:rsidR="0097141E">
        <w:rPr>
          <w:rFonts w:ascii="Franklin Gothic Book" w:hAnsi="Franklin Gothic Book"/>
          <w:sz w:val="21"/>
          <w:szCs w:val="21"/>
        </w:rPr>
        <w:t>S</w:t>
      </w:r>
      <w:r w:rsidR="008951E8" w:rsidRPr="00237CCA">
        <w:rPr>
          <w:rFonts w:ascii="Franklin Gothic Book" w:hAnsi="Franklin Gothic Book"/>
          <w:sz w:val="21"/>
          <w:szCs w:val="21"/>
        </w:rPr>
        <w:t xml:space="preserve">ocial </w:t>
      </w:r>
      <w:r w:rsidR="0097141E">
        <w:rPr>
          <w:rFonts w:ascii="Franklin Gothic Book" w:hAnsi="Franklin Gothic Book"/>
          <w:sz w:val="21"/>
          <w:szCs w:val="21"/>
        </w:rPr>
        <w:t>Security</w:t>
      </w:r>
      <w:r w:rsidR="0097141E" w:rsidRPr="00237CCA">
        <w:rPr>
          <w:rFonts w:ascii="Franklin Gothic Book" w:hAnsi="Franklin Gothic Book"/>
          <w:sz w:val="21"/>
          <w:szCs w:val="21"/>
        </w:rPr>
        <w:t xml:space="preserve"> </w:t>
      </w:r>
      <w:r w:rsidR="009C2862">
        <w:rPr>
          <w:rFonts w:ascii="Franklin Gothic Book" w:hAnsi="Franklin Gothic Book"/>
          <w:sz w:val="21"/>
          <w:szCs w:val="21"/>
        </w:rPr>
        <w:t xml:space="preserve">Strategy </w:t>
      </w:r>
      <w:r w:rsidR="00D063EC" w:rsidRPr="00237CCA">
        <w:rPr>
          <w:rFonts w:ascii="Franklin Gothic Book" w:hAnsi="Franklin Gothic Book"/>
          <w:sz w:val="21"/>
          <w:szCs w:val="21"/>
        </w:rPr>
        <w:t>drew from Australian analysis</w:t>
      </w:r>
      <w:r w:rsidR="00D967B9">
        <w:rPr>
          <w:rFonts w:ascii="Franklin Gothic Book" w:hAnsi="Franklin Gothic Book"/>
          <w:sz w:val="21"/>
          <w:szCs w:val="21"/>
        </w:rPr>
        <w:t xml:space="preserve"> and</w:t>
      </w:r>
      <w:r w:rsidR="00D063EC" w:rsidRPr="00237CCA">
        <w:rPr>
          <w:rFonts w:ascii="Franklin Gothic Book" w:hAnsi="Franklin Gothic Book"/>
          <w:sz w:val="21"/>
          <w:szCs w:val="21"/>
        </w:rPr>
        <w:t xml:space="preserve"> </w:t>
      </w:r>
      <w:r w:rsidR="008951E8" w:rsidRPr="00237CCA">
        <w:rPr>
          <w:rFonts w:ascii="Franklin Gothic Book" w:hAnsi="Franklin Gothic Book"/>
          <w:sz w:val="21"/>
          <w:szCs w:val="21"/>
        </w:rPr>
        <w:t>is a starting point for continued engagement.</w:t>
      </w:r>
      <w:r w:rsidR="00231E72">
        <w:rPr>
          <w:rStyle w:val="FootnoteReference"/>
          <w:rFonts w:ascii="Franklin Gothic Book" w:hAnsi="Franklin Gothic Book"/>
          <w:sz w:val="21"/>
          <w:szCs w:val="21"/>
        </w:rPr>
        <w:footnoteReference w:id="42"/>
      </w:r>
      <w:r w:rsidR="008951E8" w:rsidRPr="00237CCA">
        <w:rPr>
          <w:rFonts w:ascii="Franklin Gothic Book" w:hAnsi="Franklin Gothic Book"/>
          <w:sz w:val="21"/>
          <w:szCs w:val="21"/>
        </w:rPr>
        <w:t xml:space="preserve"> A new partnership with the UK will provide </w:t>
      </w:r>
      <w:r w:rsidR="008951E8" w:rsidRPr="00237CCA">
        <w:rPr>
          <w:rFonts w:ascii="Franklin Gothic Book" w:hAnsi="Franklin Gothic Book"/>
          <w:sz w:val="21"/>
          <w:szCs w:val="21"/>
        </w:rPr>
        <w:lastRenderedPageBreak/>
        <w:t xml:space="preserve">Australia with </w:t>
      </w:r>
      <w:r w:rsidR="009C2862">
        <w:rPr>
          <w:rFonts w:ascii="Franklin Gothic Book" w:hAnsi="Franklin Gothic Book"/>
          <w:sz w:val="21"/>
          <w:szCs w:val="21"/>
        </w:rPr>
        <w:t>a</w:t>
      </w:r>
      <w:r w:rsidR="007F1025">
        <w:rPr>
          <w:rFonts w:ascii="Franklin Gothic Book" w:hAnsi="Franklin Gothic Book"/>
          <w:sz w:val="21"/>
          <w:szCs w:val="21"/>
        </w:rPr>
        <w:t xml:space="preserve">n opportunity </w:t>
      </w:r>
      <w:r w:rsidR="008951E8" w:rsidRPr="00237CCA">
        <w:rPr>
          <w:rFonts w:ascii="Franklin Gothic Book" w:hAnsi="Franklin Gothic Book"/>
          <w:sz w:val="21"/>
          <w:szCs w:val="21"/>
        </w:rPr>
        <w:t xml:space="preserve">to continue working with government to improve the </w:t>
      </w:r>
      <w:r w:rsidR="00D967B9">
        <w:rPr>
          <w:rFonts w:ascii="Franklin Gothic Book" w:hAnsi="Franklin Gothic Book"/>
          <w:sz w:val="21"/>
          <w:szCs w:val="21"/>
        </w:rPr>
        <w:t>impact</w:t>
      </w:r>
      <w:r w:rsidR="0077071F">
        <w:rPr>
          <w:rFonts w:ascii="Franklin Gothic Book" w:hAnsi="Franklin Gothic Book"/>
          <w:sz w:val="21"/>
          <w:szCs w:val="21"/>
        </w:rPr>
        <w:t xml:space="preserve"> and efficiency of </w:t>
      </w:r>
      <w:r w:rsidR="007F1025">
        <w:rPr>
          <w:rFonts w:ascii="Franklin Gothic Book" w:hAnsi="Franklin Gothic Book"/>
          <w:sz w:val="21"/>
          <w:szCs w:val="21"/>
        </w:rPr>
        <w:t xml:space="preserve">national </w:t>
      </w:r>
      <w:r w:rsidR="0077071F">
        <w:rPr>
          <w:rFonts w:ascii="Franklin Gothic Book" w:hAnsi="Franklin Gothic Book"/>
          <w:sz w:val="21"/>
          <w:szCs w:val="21"/>
        </w:rPr>
        <w:t>social protection systems</w:t>
      </w:r>
      <w:r w:rsidR="009C2862">
        <w:rPr>
          <w:rFonts w:ascii="Franklin Gothic Book" w:hAnsi="Franklin Gothic Book"/>
          <w:sz w:val="21"/>
          <w:szCs w:val="21"/>
        </w:rPr>
        <w:t>.</w:t>
      </w:r>
      <w:r w:rsidR="0077071F">
        <w:rPr>
          <w:rFonts w:ascii="Franklin Gothic Book" w:hAnsi="Franklin Gothic Book"/>
          <w:sz w:val="21"/>
          <w:szCs w:val="21"/>
        </w:rPr>
        <w:t xml:space="preserve"> </w:t>
      </w:r>
    </w:p>
    <w:p w:rsidR="006B66EE" w:rsidRDefault="006B66EE" w:rsidP="00836739">
      <w:pPr>
        <w:jc w:val="both"/>
        <w:rPr>
          <w:rFonts w:ascii="Franklin Gothic Book" w:hAnsi="Franklin Gothic Book"/>
          <w:sz w:val="21"/>
          <w:szCs w:val="21"/>
          <w:highlight w:val="yellow"/>
        </w:rPr>
      </w:pPr>
    </w:p>
    <w:p w:rsidR="00762D47" w:rsidRPr="00237CCA" w:rsidRDefault="00762D47" w:rsidP="00836739">
      <w:pPr>
        <w:jc w:val="both"/>
        <w:rPr>
          <w:rFonts w:ascii="Franklin Gothic Book" w:hAnsi="Franklin Gothic Book"/>
          <w:sz w:val="21"/>
          <w:szCs w:val="21"/>
        </w:rPr>
      </w:pPr>
      <w:r w:rsidRPr="00F2695C">
        <w:rPr>
          <w:rFonts w:ascii="Franklin Gothic Book" w:hAnsi="Franklin Gothic Book"/>
          <w:b/>
          <w:sz w:val="21"/>
          <w:szCs w:val="21"/>
        </w:rPr>
        <w:t>Volunteer</w:t>
      </w:r>
      <w:r>
        <w:rPr>
          <w:rFonts w:ascii="Franklin Gothic Book" w:hAnsi="Franklin Gothic Book"/>
          <w:b/>
          <w:sz w:val="21"/>
          <w:szCs w:val="21"/>
        </w:rPr>
        <w:t xml:space="preserve"> placements were more closely aligned with Australia’s aid objectives. </w:t>
      </w:r>
      <w:r>
        <w:rPr>
          <w:rFonts w:ascii="Franklin Gothic Book" w:hAnsi="Franklin Gothic Book"/>
          <w:sz w:val="21"/>
          <w:szCs w:val="21"/>
        </w:rPr>
        <w:t xml:space="preserve">Approximately 30 volunteers have been placed in different </w:t>
      </w:r>
      <w:r w:rsidR="00DC48DA">
        <w:rPr>
          <w:rFonts w:ascii="Franklin Gothic Book" w:hAnsi="Franklin Gothic Book"/>
          <w:sz w:val="21"/>
          <w:szCs w:val="21"/>
        </w:rPr>
        <w:t>h</w:t>
      </w:r>
      <w:r>
        <w:rPr>
          <w:rFonts w:ascii="Franklin Gothic Book" w:hAnsi="Franklin Gothic Book"/>
          <w:sz w:val="21"/>
          <w:szCs w:val="21"/>
        </w:rPr>
        <w:t xml:space="preserve">ost </w:t>
      </w:r>
      <w:r w:rsidR="00DC48DA">
        <w:rPr>
          <w:rFonts w:ascii="Franklin Gothic Book" w:hAnsi="Franklin Gothic Book"/>
          <w:sz w:val="21"/>
          <w:szCs w:val="21"/>
        </w:rPr>
        <w:t>o</w:t>
      </w:r>
      <w:r>
        <w:rPr>
          <w:rFonts w:ascii="Franklin Gothic Book" w:hAnsi="Franklin Gothic Book"/>
          <w:sz w:val="21"/>
          <w:szCs w:val="21"/>
        </w:rPr>
        <w:t xml:space="preserve">rganisations </w:t>
      </w:r>
      <w:r w:rsidRPr="00F2695C">
        <w:rPr>
          <w:rFonts w:ascii="Franklin Gothic Book" w:hAnsi="Franklin Gothic Book"/>
          <w:sz w:val="21"/>
          <w:szCs w:val="21"/>
        </w:rPr>
        <w:t xml:space="preserve">to assist development in Bangladesh in disaster and emergency management, community and social development. </w:t>
      </w:r>
      <w:r w:rsidR="009C2862">
        <w:rPr>
          <w:rFonts w:ascii="Franklin Gothic Book" w:hAnsi="Franklin Gothic Book"/>
          <w:sz w:val="21"/>
          <w:szCs w:val="21"/>
        </w:rPr>
        <w:t xml:space="preserve">With </w:t>
      </w:r>
      <w:r w:rsidR="00A1692F">
        <w:rPr>
          <w:rFonts w:ascii="Franklin Gothic Book" w:hAnsi="Franklin Gothic Book"/>
          <w:sz w:val="21"/>
          <w:szCs w:val="21"/>
        </w:rPr>
        <w:t xml:space="preserve">early </w:t>
      </w:r>
      <w:r w:rsidR="009C2862">
        <w:rPr>
          <w:rFonts w:ascii="Franklin Gothic Book" w:hAnsi="Franklin Gothic Book"/>
          <w:sz w:val="21"/>
          <w:szCs w:val="21"/>
        </w:rPr>
        <w:t xml:space="preserve">adaptations to security risks, the program </w:t>
      </w:r>
      <w:r w:rsidR="00A1692F">
        <w:rPr>
          <w:rFonts w:ascii="Franklin Gothic Book" w:hAnsi="Franklin Gothic Book"/>
          <w:sz w:val="21"/>
          <w:szCs w:val="21"/>
        </w:rPr>
        <w:t xml:space="preserve">was able to continue </w:t>
      </w:r>
      <w:r w:rsidR="009C2862">
        <w:rPr>
          <w:rFonts w:ascii="Franklin Gothic Book" w:hAnsi="Franklin Gothic Book"/>
          <w:sz w:val="21"/>
          <w:szCs w:val="21"/>
        </w:rPr>
        <w:t xml:space="preserve">throughout the election period. </w:t>
      </w:r>
    </w:p>
    <w:p w:rsidR="00AF5161" w:rsidRPr="00237CCA" w:rsidRDefault="00AF5161" w:rsidP="00836739">
      <w:pPr>
        <w:pStyle w:val="Heading3"/>
        <w:numPr>
          <w:ilvl w:val="0"/>
          <w:numId w:val="0"/>
        </w:numPr>
        <w:jc w:val="both"/>
      </w:pPr>
      <w:r w:rsidRPr="00237CCA">
        <w:t xml:space="preserve">Objective 3: Women and marginalised groups better able to demand services and assert rights </w:t>
      </w:r>
    </w:p>
    <w:p w:rsidR="00AF5161" w:rsidRPr="00237CCA" w:rsidRDefault="00AF5161" w:rsidP="00921833">
      <w:pPr>
        <w:pStyle w:val="ListParagraph"/>
        <w:ind w:left="0"/>
        <w:rPr>
          <w:rFonts w:ascii="Franklin Gothic Book" w:eastAsia="SimSun" w:hAnsi="Franklin Gothic Book" w:cs="Times New Roman"/>
          <w:i/>
          <w:sz w:val="21"/>
          <w:szCs w:val="21"/>
          <w:lang w:val="en-AU" w:eastAsia="en-AU"/>
        </w:rPr>
      </w:pPr>
      <w:r w:rsidRPr="00237CCA">
        <w:rPr>
          <w:rFonts w:ascii="Franklin Gothic Book" w:eastAsia="SimSun" w:hAnsi="Franklin Gothic Book" w:cs="Times New Roman"/>
          <w:i/>
          <w:sz w:val="21"/>
          <w:szCs w:val="21"/>
          <w:lang w:val="en-AU" w:eastAsia="en-AU"/>
        </w:rPr>
        <w:t xml:space="preserve">Rating: Green. </w:t>
      </w:r>
    </w:p>
    <w:p w:rsidR="00AF5161" w:rsidRPr="00237CCA" w:rsidRDefault="00AF5161" w:rsidP="00921833">
      <w:pPr>
        <w:pStyle w:val="ListParagraph"/>
        <w:ind w:left="0"/>
        <w:rPr>
          <w:rFonts w:ascii="Franklin Gothic Book" w:eastAsia="SimSun" w:hAnsi="Franklin Gothic Book" w:cs="Times New Roman"/>
          <w:i/>
          <w:sz w:val="21"/>
          <w:szCs w:val="21"/>
          <w:lang w:val="en-AU" w:eastAsia="en-AU"/>
        </w:rPr>
      </w:pPr>
    </w:p>
    <w:p w:rsidR="00AF5161" w:rsidRDefault="00AF5161" w:rsidP="00921833">
      <w:pPr>
        <w:pStyle w:val="ListParagraph"/>
        <w:ind w:left="0"/>
        <w:rPr>
          <w:rFonts w:ascii="Franklin Gothic Book" w:eastAsia="SimSun" w:hAnsi="Franklin Gothic Book" w:cs="Times New Roman"/>
          <w:i/>
          <w:sz w:val="21"/>
          <w:szCs w:val="21"/>
          <w:lang w:val="en-AU" w:eastAsia="en-AU"/>
        </w:rPr>
      </w:pPr>
      <w:r w:rsidRPr="00237CCA">
        <w:rPr>
          <w:rFonts w:ascii="Franklin Gothic Book" w:eastAsia="SimSun" w:hAnsi="Franklin Gothic Book" w:cs="Times New Roman"/>
          <w:i/>
          <w:sz w:val="21"/>
          <w:szCs w:val="21"/>
          <w:lang w:val="en-AU" w:eastAsia="en-AU"/>
        </w:rPr>
        <w:t>R</w:t>
      </w:r>
      <w:r w:rsidR="00BA7344" w:rsidRPr="00237CCA">
        <w:rPr>
          <w:rFonts w:ascii="Franklin Gothic Book" w:eastAsia="SimSun" w:hAnsi="Franklin Gothic Book" w:cs="Times New Roman"/>
          <w:i/>
          <w:sz w:val="21"/>
          <w:szCs w:val="21"/>
          <w:lang w:val="en-AU" w:eastAsia="en-AU"/>
        </w:rPr>
        <w:t xml:space="preserve">esults met our expectations. Partnerships with BRAC and </w:t>
      </w:r>
      <w:r w:rsidR="0097141E" w:rsidRPr="00836739">
        <w:rPr>
          <w:rFonts w:ascii="Franklin Gothic Book" w:eastAsia="SimSun" w:hAnsi="Franklin Gothic Book" w:cs="Times New Roman"/>
          <w:i/>
          <w:sz w:val="21"/>
          <w:szCs w:val="21"/>
          <w:lang w:val="en-AU" w:eastAsia="en-AU"/>
        </w:rPr>
        <w:t xml:space="preserve">Manusher Jonno Foundation </w:t>
      </w:r>
      <w:r w:rsidR="00BA7344" w:rsidRPr="00237CCA">
        <w:rPr>
          <w:rFonts w:ascii="Franklin Gothic Book" w:eastAsia="SimSun" w:hAnsi="Franklin Gothic Book" w:cs="Times New Roman"/>
          <w:i/>
          <w:sz w:val="21"/>
          <w:szCs w:val="21"/>
          <w:lang w:val="en-AU" w:eastAsia="en-AU"/>
        </w:rPr>
        <w:t>assisted marginalised people to better access services</w:t>
      </w:r>
      <w:r w:rsidR="00020575">
        <w:rPr>
          <w:rFonts w:ascii="Franklin Gothic Book" w:eastAsia="SimSun" w:hAnsi="Franklin Gothic Book" w:cs="Times New Roman"/>
          <w:i/>
          <w:sz w:val="21"/>
          <w:szCs w:val="21"/>
          <w:lang w:val="en-AU" w:eastAsia="en-AU"/>
        </w:rPr>
        <w:t xml:space="preserve"> and deepened our understanding of the constraints faced by women in accessing services. This improved knowledge helped </w:t>
      </w:r>
      <w:r w:rsidRPr="00237CCA">
        <w:rPr>
          <w:rFonts w:ascii="Franklin Gothic Book" w:eastAsia="SimSun" w:hAnsi="Franklin Gothic Book" w:cs="Times New Roman"/>
          <w:i/>
          <w:sz w:val="21"/>
          <w:szCs w:val="21"/>
          <w:lang w:val="en-AU" w:eastAsia="en-AU"/>
        </w:rPr>
        <w:t>Australia</w:t>
      </w:r>
      <w:r w:rsidR="00BA7344" w:rsidRPr="00237CCA">
        <w:rPr>
          <w:rFonts w:ascii="Franklin Gothic Book" w:eastAsia="SimSun" w:hAnsi="Franklin Gothic Book" w:cs="Times New Roman"/>
          <w:i/>
          <w:sz w:val="21"/>
          <w:szCs w:val="21"/>
          <w:lang w:val="en-AU" w:eastAsia="en-AU"/>
        </w:rPr>
        <w:t xml:space="preserve"> define a clearer approach </w:t>
      </w:r>
      <w:r w:rsidR="00020575">
        <w:rPr>
          <w:rFonts w:ascii="Franklin Gothic Book" w:eastAsia="SimSun" w:hAnsi="Franklin Gothic Book" w:cs="Times New Roman"/>
          <w:i/>
          <w:sz w:val="21"/>
          <w:szCs w:val="21"/>
          <w:lang w:val="en-AU" w:eastAsia="en-AU"/>
        </w:rPr>
        <w:t>this year, focusing our limited staffing resources on priority areas</w:t>
      </w:r>
      <w:r w:rsidR="00BA7344" w:rsidRPr="00237CCA">
        <w:rPr>
          <w:rFonts w:ascii="Franklin Gothic Book" w:eastAsia="SimSun" w:hAnsi="Franklin Gothic Book" w:cs="Times New Roman"/>
          <w:i/>
          <w:sz w:val="21"/>
          <w:szCs w:val="21"/>
          <w:lang w:val="en-AU" w:eastAsia="en-AU"/>
        </w:rPr>
        <w:t xml:space="preserve">. </w:t>
      </w:r>
    </w:p>
    <w:p w:rsidR="0045481C" w:rsidRDefault="0045481C" w:rsidP="00836739">
      <w:pPr>
        <w:pStyle w:val="ListParagraph"/>
        <w:ind w:left="0"/>
        <w:rPr>
          <w:rFonts w:ascii="Franklin Gothic Book" w:eastAsia="SimSun" w:hAnsi="Franklin Gothic Book" w:cs="Times New Roman"/>
          <w:b/>
          <w:sz w:val="21"/>
          <w:szCs w:val="21"/>
          <w:lang w:val="en-AU" w:eastAsia="en-AU"/>
        </w:rPr>
      </w:pPr>
    </w:p>
    <w:p w:rsidR="00AF5161" w:rsidRPr="00237CCA" w:rsidRDefault="00AF5161" w:rsidP="00836739">
      <w:pPr>
        <w:pStyle w:val="ListParagraph"/>
        <w:ind w:left="0"/>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b/>
          <w:sz w:val="21"/>
          <w:szCs w:val="21"/>
          <w:lang w:val="en-AU" w:eastAsia="en-AU"/>
        </w:rPr>
        <w:t xml:space="preserve">Core </w:t>
      </w:r>
      <w:r w:rsidRPr="00A624E2">
        <w:rPr>
          <w:rFonts w:ascii="Franklin Gothic Book" w:eastAsia="SimSun" w:hAnsi="Franklin Gothic Book" w:cs="Times New Roman"/>
          <w:b/>
          <w:sz w:val="21"/>
          <w:szCs w:val="21"/>
          <w:lang w:val="en-AU" w:eastAsia="en-AU"/>
        </w:rPr>
        <w:t>funding helped civil society partners to be more innovative and to advocate on behalf of marginalised groups.</w:t>
      </w:r>
      <w:r w:rsidRPr="00A624E2">
        <w:rPr>
          <w:rFonts w:ascii="Franklin Gothic Book" w:eastAsia="SimSun" w:hAnsi="Franklin Gothic Book" w:cs="Times New Roman"/>
          <w:sz w:val="21"/>
          <w:szCs w:val="21"/>
          <w:lang w:val="en-AU" w:eastAsia="en-AU"/>
        </w:rPr>
        <w:t xml:space="preserve"> </w:t>
      </w:r>
      <w:r w:rsidR="00290916" w:rsidRPr="00A624E2">
        <w:rPr>
          <w:rFonts w:ascii="Franklin Gothic Book" w:eastAsia="SimSun" w:hAnsi="Franklin Gothic Book" w:cs="Times New Roman"/>
          <w:sz w:val="21"/>
          <w:szCs w:val="21"/>
          <w:lang w:val="en-AU" w:eastAsia="en-AU"/>
        </w:rPr>
        <w:t>Manusher Jonno Foundation</w:t>
      </w:r>
      <w:r w:rsidR="00290916" w:rsidRPr="00A624E2">
        <w:rPr>
          <w:rFonts w:ascii="Franklin Gothic Book" w:eastAsia="SimSun" w:hAnsi="Franklin Gothic Book" w:cs="Times New Roman"/>
          <w:i/>
          <w:sz w:val="21"/>
          <w:szCs w:val="21"/>
          <w:lang w:val="en-AU" w:eastAsia="en-AU"/>
        </w:rPr>
        <w:t xml:space="preserve"> (</w:t>
      </w:r>
      <w:r w:rsidR="00290916" w:rsidRPr="00A624E2">
        <w:rPr>
          <w:rFonts w:ascii="Franklin Gothic Book" w:eastAsia="SimSun" w:hAnsi="Franklin Gothic Book" w:cs="Times New Roman"/>
          <w:sz w:val="21"/>
          <w:szCs w:val="21"/>
          <w:lang w:val="en-AU" w:eastAsia="en-AU"/>
        </w:rPr>
        <w:t>MJF) direct</w:t>
      </w:r>
      <w:r w:rsidR="00603685" w:rsidRPr="00A624E2">
        <w:rPr>
          <w:rFonts w:ascii="Franklin Gothic Book" w:eastAsia="SimSun" w:hAnsi="Franklin Gothic Book" w:cs="Times New Roman"/>
          <w:sz w:val="21"/>
          <w:szCs w:val="21"/>
          <w:lang w:val="en-AU" w:eastAsia="en-AU"/>
        </w:rPr>
        <w:t>ed</w:t>
      </w:r>
      <w:r w:rsidR="00290916" w:rsidRPr="00A624E2">
        <w:rPr>
          <w:rFonts w:ascii="Franklin Gothic Book" w:eastAsia="SimSun" w:hAnsi="Franklin Gothic Book" w:cs="Times New Roman"/>
          <w:sz w:val="21"/>
          <w:szCs w:val="21"/>
          <w:lang w:val="en-AU" w:eastAsia="en-AU"/>
        </w:rPr>
        <w:t xml:space="preserve"> the core funding it </w:t>
      </w:r>
      <w:r w:rsidR="00603685" w:rsidRPr="00A624E2">
        <w:rPr>
          <w:rFonts w:ascii="Franklin Gothic Book" w:eastAsia="SimSun" w:hAnsi="Franklin Gothic Book" w:cs="Times New Roman"/>
          <w:sz w:val="21"/>
          <w:szCs w:val="21"/>
          <w:lang w:val="en-AU" w:eastAsia="en-AU"/>
        </w:rPr>
        <w:t>received</w:t>
      </w:r>
      <w:r w:rsidR="00290916" w:rsidRPr="00A624E2">
        <w:rPr>
          <w:rFonts w:ascii="Franklin Gothic Book" w:eastAsia="SimSun" w:hAnsi="Franklin Gothic Book" w:cs="Times New Roman"/>
          <w:sz w:val="21"/>
          <w:szCs w:val="21"/>
          <w:lang w:val="en-AU" w:eastAsia="en-AU"/>
        </w:rPr>
        <w:t xml:space="preserve"> from Australia</w:t>
      </w:r>
      <w:r w:rsidR="003B4C87" w:rsidRPr="00A624E2">
        <w:rPr>
          <w:rStyle w:val="FootnoteReference"/>
          <w:rFonts w:ascii="Franklin Gothic Book" w:eastAsia="SimSun" w:hAnsi="Franklin Gothic Book" w:cs="Times New Roman"/>
          <w:sz w:val="21"/>
          <w:szCs w:val="21"/>
          <w:lang w:val="en-AU" w:eastAsia="en-AU"/>
        </w:rPr>
        <w:footnoteReference w:id="43"/>
      </w:r>
      <w:r w:rsidR="00290916" w:rsidRPr="00A624E2">
        <w:rPr>
          <w:rFonts w:ascii="Franklin Gothic Book" w:eastAsia="SimSun" w:hAnsi="Franklin Gothic Book" w:cs="Times New Roman"/>
          <w:sz w:val="21"/>
          <w:szCs w:val="21"/>
          <w:lang w:val="en-AU" w:eastAsia="en-AU"/>
        </w:rPr>
        <w:t xml:space="preserve"> </w:t>
      </w:r>
      <w:r w:rsidR="0077590E" w:rsidRPr="00A624E2">
        <w:rPr>
          <w:rFonts w:ascii="Franklin Gothic Book" w:eastAsia="SimSun" w:hAnsi="Franklin Gothic Book" w:cs="Times New Roman"/>
          <w:sz w:val="21"/>
          <w:szCs w:val="21"/>
          <w:lang w:val="en-AU" w:eastAsia="en-AU"/>
        </w:rPr>
        <w:t>to</w:t>
      </w:r>
      <w:r w:rsidR="00603685" w:rsidRPr="00A624E2">
        <w:rPr>
          <w:rFonts w:ascii="Franklin Gothic Book" w:eastAsia="SimSun" w:hAnsi="Franklin Gothic Book" w:cs="Times New Roman"/>
          <w:sz w:val="21"/>
          <w:szCs w:val="21"/>
          <w:lang w:val="en-AU" w:eastAsia="en-AU"/>
        </w:rPr>
        <w:t xml:space="preserve"> help </w:t>
      </w:r>
      <w:r w:rsidR="0045481C" w:rsidRPr="00A624E2">
        <w:rPr>
          <w:rFonts w:ascii="Franklin Gothic Book" w:eastAsia="SimSun" w:hAnsi="Franklin Gothic Book" w:cs="Times New Roman"/>
          <w:sz w:val="21"/>
          <w:szCs w:val="21"/>
          <w:lang w:val="en-AU" w:eastAsia="en-AU"/>
        </w:rPr>
        <w:t xml:space="preserve">over 4,000 </w:t>
      </w:r>
      <w:r w:rsidR="00290916" w:rsidRPr="00A624E2">
        <w:rPr>
          <w:rFonts w:ascii="Franklin Gothic Book" w:eastAsia="SimSun" w:hAnsi="Franklin Gothic Book" w:cs="Times New Roman"/>
          <w:sz w:val="21"/>
          <w:szCs w:val="21"/>
          <w:lang w:val="en-AU" w:eastAsia="en-AU"/>
        </w:rPr>
        <w:t>extremely poor women</w:t>
      </w:r>
      <w:r w:rsidR="00BB36E9" w:rsidRPr="00A624E2">
        <w:rPr>
          <w:rFonts w:ascii="Franklin Gothic Book" w:eastAsia="SimSun" w:hAnsi="Franklin Gothic Book" w:cs="Times New Roman"/>
          <w:sz w:val="21"/>
          <w:szCs w:val="21"/>
          <w:lang w:val="en-AU" w:eastAsia="en-AU"/>
        </w:rPr>
        <w:t xml:space="preserve"> and girls</w:t>
      </w:r>
      <w:r w:rsidR="00290916" w:rsidRPr="00A624E2">
        <w:rPr>
          <w:rFonts w:ascii="Franklin Gothic Book" w:eastAsia="SimSun" w:hAnsi="Franklin Gothic Book" w:cs="Times New Roman"/>
          <w:sz w:val="21"/>
          <w:szCs w:val="21"/>
          <w:lang w:val="en-AU" w:eastAsia="en-AU"/>
        </w:rPr>
        <w:t xml:space="preserve"> </w:t>
      </w:r>
      <w:r w:rsidR="00D8105D" w:rsidRPr="00A624E2">
        <w:rPr>
          <w:rFonts w:ascii="Franklin Gothic Book" w:eastAsia="SimSun" w:hAnsi="Franklin Gothic Book" w:cs="Times New Roman"/>
          <w:sz w:val="21"/>
          <w:szCs w:val="21"/>
          <w:lang w:val="en-AU" w:eastAsia="en-AU"/>
        </w:rPr>
        <w:t xml:space="preserve">to </w:t>
      </w:r>
      <w:r w:rsidR="00290916" w:rsidRPr="00A624E2">
        <w:rPr>
          <w:rFonts w:ascii="Franklin Gothic Book" w:eastAsia="SimSun" w:hAnsi="Franklin Gothic Book" w:cs="Times New Roman"/>
          <w:sz w:val="21"/>
          <w:szCs w:val="21"/>
          <w:lang w:val="en-AU" w:eastAsia="en-AU"/>
        </w:rPr>
        <w:t>access services (including medical and legal</w:t>
      </w:r>
      <w:r w:rsidR="0077590E" w:rsidRPr="00A624E2">
        <w:rPr>
          <w:rFonts w:ascii="Franklin Gothic Book" w:eastAsia="SimSun" w:hAnsi="Franklin Gothic Book" w:cs="Times New Roman"/>
          <w:sz w:val="21"/>
          <w:szCs w:val="21"/>
          <w:lang w:val="en-AU" w:eastAsia="en-AU"/>
        </w:rPr>
        <w:t xml:space="preserve"> help for victims of acid attack</w:t>
      </w:r>
      <w:r w:rsidR="00D01A56">
        <w:rPr>
          <w:rFonts w:ascii="Franklin Gothic Book" w:eastAsia="SimSun" w:hAnsi="Franklin Gothic Book" w:cs="Times New Roman"/>
          <w:sz w:val="21"/>
          <w:szCs w:val="21"/>
          <w:lang w:val="en-AU" w:eastAsia="en-AU"/>
        </w:rPr>
        <w:t>s</w:t>
      </w:r>
      <w:r w:rsidR="00290916" w:rsidRPr="00A624E2">
        <w:rPr>
          <w:rFonts w:ascii="Franklin Gothic Book" w:eastAsia="SimSun" w:hAnsi="Franklin Gothic Book" w:cs="Times New Roman"/>
          <w:sz w:val="21"/>
          <w:szCs w:val="21"/>
          <w:lang w:val="en-AU" w:eastAsia="en-AU"/>
        </w:rPr>
        <w:t>)</w:t>
      </w:r>
      <w:r w:rsidR="00BB36E9" w:rsidRPr="00A624E2">
        <w:rPr>
          <w:rFonts w:ascii="Franklin Gothic Book" w:eastAsia="SimSun" w:hAnsi="Franklin Gothic Book" w:cs="Times New Roman"/>
          <w:sz w:val="21"/>
          <w:szCs w:val="21"/>
          <w:lang w:val="en-AU" w:eastAsia="en-AU"/>
        </w:rPr>
        <w:t xml:space="preserve">. MJF also helped over 3000 women </w:t>
      </w:r>
      <w:r w:rsidR="00290916" w:rsidRPr="00A624E2">
        <w:rPr>
          <w:rFonts w:ascii="Franklin Gothic Book" w:eastAsia="SimSun" w:hAnsi="Franklin Gothic Book" w:cs="Times New Roman"/>
          <w:sz w:val="21"/>
          <w:szCs w:val="21"/>
          <w:lang w:val="en-AU" w:eastAsia="en-AU"/>
        </w:rPr>
        <w:t>to</w:t>
      </w:r>
      <w:r w:rsidR="00BB36E9" w:rsidRPr="00A624E2">
        <w:rPr>
          <w:rFonts w:ascii="Franklin Gothic Book" w:eastAsia="SimSun" w:hAnsi="Franklin Gothic Book" w:cs="Times New Roman"/>
          <w:sz w:val="21"/>
          <w:szCs w:val="21"/>
          <w:lang w:val="en-AU" w:eastAsia="en-AU"/>
        </w:rPr>
        <w:t xml:space="preserve"> monitor </w:t>
      </w:r>
      <w:r w:rsidR="00290916" w:rsidRPr="00A624E2">
        <w:rPr>
          <w:rFonts w:ascii="Franklin Gothic Book" w:eastAsia="SimSun" w:hAnsi="Franklin Gothic Book" w:cs="Times New Roman"/>
          <w:sz w:val="21"/>
          <w:szCs w:val="21"/>
          <w:lang w:val="en-AU" w:eastAsia="en-AU"/>
        </w:rPr>
        <w:t>health and education service providers</w:t>
      </w:r>
      <w:r w:rsidR="00D01A56">
        <w:rPr>
          <w:rFonts w:ascii="Franklin Gothic Book" w:eastAsia="SimSun" w:hAnsi="Franklin Gothic Book" w:cs="Times New Roman"/>
          <w:sz w:val="21"/>
          <w:szCs w:val="21"/>
          <w:lang w:val="en-AU" w:eastAsia="en-AU"/>
        </w:rPr>
        <w:t>.</w:t>
      </w:r>
      <w:r w:rsidR="0077590E" w:rsidRPr="00A624E2">
        <w:rPr>
          <w:rStyle w:val="FootnoteReference"/>
          <w:rFonts w:ascii="Franklin Gothic Book" w:eastAsia="SimSun" w:hAnsi="Franklin Gothic Book" w:cs="Times New Roman"/>
          <w:sz w:val="21"/>
          <w:szCs w:val="21"/>
          <w:lang w:val="en-AU" w:eastAsia="en-AU"/>
        </w:rPr>
        <w:footnoteReference w:id="44"/>
      </w:r>
      <w:r w:rsidR="00290916" w:rsidRPr="00A624E2">
        <w:rPr>
          <w:rFonts w:ascii="Franklin Gothic Book" w:eastAsia="SimSun" w:hAnsi="Franklin Gothic Book" w:cs="Times New Roman"/>
          <w:sz w:val="21"/>
          <w:szCs w:val="21"/>
          <w:lang w:val="en-AU" w:eastAsia="en-AU"/>
        </w:rPr>
        <w:t xml:space="preserve"> MJF worked </w:t>
      </w:r>
      <w:r w:rsidR="00BA502E" w:rsidRPr="00A624E2">
        <w:rPr>
          <w:rFonts w:ascii="Franklin Gothic Book" w:eastAsia="SimSun" w:hAnsi="Franklin Gothic Book" w:cs="Times New Roman"/>
          <w:sz w:val="21"/>
          <w:szCs w:val="21"/>
          <w:lang w:val="en-AU" w:eastAsia="en-AU"/>
        </w:rPr>
        <w:t xml:space="preserve">with the </w:t>
      </w:r>
      <w:r w:rsidR="00290916" w:rsidRPr="00A624E2">
        <w:rPr>
          <w:rFonts w:ascii="Franklin Gothic Book" w:eastAsia="SimSun" w:hAnsi="Franklin Gothic Book" w:cs="Times New Roman"/>
          <w:sz w:val="21"/>
          <w:szCs w:val="21"/>
          <w:lang w:val="en-AU" w:eastAsia="en-AU"/>
        </w:rPr>
        <w:t>G</w:t>
      </w:r>
      <w:r w:rsidR="00BA502E" w:rsidRPr="00A624E2">
        <w:rPr>
          <w:rFonts w:ascii="Franklin Gothic Book" w:eastAsia="SimSun" w:hAnsi="Franklin Gothic Book" w:cs="Times New Roman"/>
          <w:sz w:val="21"/>
          <w:szCs w:val="21"/>
          <w:lang w:val="en-AU" w:eastAsia="en-AU"/>
        </w:rPr>
        <w:t xml:space="preserve">overnment and other partners to assess </w:t>
      </w:r>
      <w:r w:rsidR="00C23279" w:rsidRPr="00A624E2">
        <w:rPr>
          <w:rFonts w:ascii="Franklin Gothic Book" w:eastAsia="SimSun" w:hAnsi="Franklin Gothic Book" w:cs="Times New Roman"/>
          <w:sz w:val="21"/>
          <w:szCs w:val="21"/>
          <w:lang w:val="en-AU" w:eastAsia="en-AU"/>
        </w:rPr>
        <w:t xml:space="preserve">the </w:t>
      </w:r>
      <w:r w:rsidR="00BA502E" w:rsidRPr="00A624E2">
        <w:rPr>
          <w:rFonts w:ascii="Franklin Gothic Book" w:eastAsia="SimSun" w:hAnsi="Franklin Gothic Book" w:cs="Times New Roman"/>
          <w:sz w:val="21"/>
          <w:szCs w:val="21"/>
          <w:lang w:val="en-AU" w:eastAsia="en-AU"/>
        </w:rPr>
        <w:t>impact of wages rises and build capacity of trade unions to negotiate</w:t>
      </w:r>
      <w:r w:rsidR="00DF7B6B" w:rsidRPr="00A624E2">
        <w:rPr>
          <w:rFonts w:ascii="Franklin Gothic Book" w:eastAsia="SimSun" w:hAnsi="Franklin Gothic Book" w:cs="Times New Roman"/>
          <w:sz w:val="21"/>
          <w:szCs w:val="21"/>
          <w:lang w:val="en-AU" w:eastAsia="en-AU"/>
        </w:rPr>
        <w:t xml:space="preserve"> on the issue</w:t>
      </w:r>
      <w:r w:rsidR="00BA502E">
        <w:rPr>
          <w:rFonts w:ascii="Franklin Gothic Book" w:eastAsia="SimSun" w:hAnsi="Franklin Gothic Book" w:cs="Times New Roman"/>
          <w:sz w:val="21"/>
          <w:szCs w:val="21"/>
          <w:lang w:val="en-AU" w:eastAsia="en-AU"/>
        </w:rPr>
        <w:t xml:space="preserve">. </w:t>
      </w:r>
      <w:r w:rsidRPr="00237CCA">
        <w:rPr>
          <w:rFonts w:ascii="Franklin Gothic Book" w:eastAsia="SimSun" w:hAnsi="Franklin Gothic Book" w:cs="Times New Roman"/>
          <w:sz w:val="21"/>
          <w:szCs w:val="21"/>
          <w:lang w:val="en-AU" w:eastAsia="en-AU"/>
        </w:rPr>
        <w:t xml:space="preserve">BRAC </w:t>
      </w:r>
      <w:r w:rsidR="007F1025">
        <w:rPr>
          <w:rFonts w:ascii="Franklin Gothic Book" w:eastAsia="SimSun" w:hAnsi="Franklin Gothic Book" w:cs="Times New Roman"/>
          <w:sz w:val="21"/>
          <w:szCs w:val="21"/>
          <w:lang w:val="en-AU" w:eastAsia="en-AU"/>
        </w:rPr>
        <w:t xml:space="preserve">also </w:t>
      </w:r>
      <w:r w:rsidRPr="00237CCA">
        <w:rPr>
          <w:rFonts w:ascii="Franklin Gothic Book" w:eastAsia="SimSun" w:hAnsi="Franklin Gothic Book" w:cs="Times New Roman"/>
          <w:sz w:val="21"/>
          <w:szCs w:val="21"/>
          <w:lang w:val="en-AU" w:eastAsia="en-AU"/>
        </w:rPr>
        <w:t xml:space="preserve">worked with the </w:t>
      </w:r>
      <w:r w:rsidR="00D01A56">
        <w:rPr>
          <w:rFonts w:ascii="Franklin Gothic Book" w:eastAsia="SimSun" w:hAnsi="Franklin Gothic Book" w:cs="Times New Roman"/>
          <w:sz w:val="21"/>
          <w:szCs w:val="21"/>
          <w:lang w:val="en-AU" w:eastAsia="en-AU"/>
        </w:rPr>
        <w:t>G</w:t>
      </w:r>
      <w:r w:rsidRPr="00237CCA">
        <w:rPr>
          <w:rFonts w:ascii="Franklin Gothic Book" w:eastAsia="SimSun" w:hAnsi="Franklin Gothic Book" w:cs="Times New Roman"/>
          <w:sz w:val="21"/>
          <w:szCs w:val="21"/>
          <w:lang w:val="en-AU" w:eastAsia="en-AU"/>
        </w:rPr>
        <w:t>overnment</w:t>
      </w:r>
      <w:r w:rsidR="00D01A56">
        <w:rPr>
          <w:rFonts w:ascii="Franklin Gothic Book" w:eastAsia="SimSun" w:hAnsi="Franklin Gothic Book" w:cs="Times New Roman"/>
          <w:sz w:val="21"/>
          <w:szCs w:val="21"/>
          <w:lang w:val="en-AU" w:eastAsia="en-AU"/>
        </w:rPr>
        <w:t xml:space="preserve"> of Bangladesh</w:t>
      </w:r>
      <w:r w:rsidRPr="00237CCA">
        <w:rPr>
          <w:rFonts w:ascii="Franklin Gothic Book" w:eastAsia="SimSun" w:hAnsi="Franklin Gothic Book" w:cs="Times New Roman"/>
          <w:sz w:val="21"/>
          <w:szCs w:val="21"/>
          <w:lang w:val="en-AU" w:eastAsia="en-AU"/>
        </w:rPr>
        <w:t xml:space="preserve"> on its pre-primary education policy and </w:t>
      </w:r>
      <w:r w:rsidR="00BA502E">
        <w:rPr>
          <w:rFonts w:ascii="Franklin Gothic Book" w:eastAsia="SimSun" w:hAnsi="Franklin Gothic Book" w:cs="Times New Roman"/>
          <w:sz w:val="21"/>
          <w:szCs w:val="21"/>
          <w:lang w:val="en-AU" w:eastAsia="en-AU"/>
        </w:rPr>
        <w:t>showcased Bangladesh’s achievements in education at inter</w:t>
      </w:r>
      <w:r w:rsidRPr="00237CCA">
        <w:rPr>
          <w:rFonts w:ascii="Franklin Gothic Book" w:eastAsia="SimSun" w:hAnsi="Franklin Gothic Book" w:cs="Times New Roman"/>
          <w:sz w:val="21"/>
          <w:szCs w:val="21"/>
          <w:lang w:val="en-AU" w:eastAsia="en-AU"/>
        </w:rPr>
        <w:t>national conferences.</w:t>
      </w:r>
      <w:r w:rsidR="007F1025">
        <w:rPr>
          <w:rStyle w:val="FootnoteReference"/>
          <w:rFonts w:ascii="Franklin Gothic Book" w:eastAsia="SimSun" w:hAnsi="Franklin Gothic Book" w:cs="Times New Roman"/>
          <w:sz w:val="21"/>
          <w:szCs w:val="21"/>
          <w:lang w:val="en-AU" w:eastAsia="en-AU"/>
        </w:rPr>
        <w:footnoteReference w:id="45"/>
      </w:r>
      <w:r w:rsidRPr="00237CCA">
        <w:rPr>
          <w:rFonts w:ascii="Franklin Gothic Book" w:eastAsia="SimSun" w:hAnsi="Franklin Gothic Book" w:cs="Times New Roman"/>
          <w:sz w:val="21"/>
          <w:szCs w:val="21"/>
          <w:lang w:val="en-AU" w:eastAsia="en-AU"/>
        </w:rPr>
        <w:t xml:space="preserve"> Areas of innovation</w:t>
      </w:r>
      <w:r w:rsidR="00BA502E">
        <w:rPr>
          <w:rFonts w:ascii="Franklin Gothic Book" w:eastAsia="SimSun" w:hAnsi="Franklin Gothic Book" w:cs="Times New Roman"/>
          <w:sz w:val="21"/>
          <w:szCs w:val="21"/>
          <w:lang w:val="en-AU" w:eastAsia="en-AU"/>
        </w:rPr>
        <w:t xml:space="preserve"> supported through Australia’s core </w:t>
      </w:r>
      <w:r w:rsidR="00DF7B6B">
        <w:rPr>
          <w:rFonts w:ascii="Franklin Gothic Book" w:eastAsia="SimSun" w:hAnsi="Franklin Gothic Book" w:cs="Times New Roman"/>
          <w:sz w:val="21"/>
          <w:szCs w:val="21"/>
          <w:lang w:val="en-AU" w:eastAsia="en-AU"/>
        </w:rPr>
        <w:t xml:space="preserve">funding to BRAC </w:t>
      </w:r>
      <w:r w:rsidRPr="00237CCA">
        <w:rPr>
          <w:rFonts w:ascii="Franklin Gothic Book" w:eastAsia="SimSun" w:hAnsi="Franklin Gothic Book" w:cs="Times New Roman"/>
          <w:sz w:val="21"/>
          <w:szCs w:val="21"/>
          <w:lang w:val="en-AU" w:eastAsia="en-AU"/>
        </w:rPr>
        <w:t>included exploration of greater access by the extreme poor to banking services, piloting integrated health and education services to vulnerable adolescents that have dropped out of school, and engaging men and boys in programs aimed at reducing violence against women.</w:t>
      </w:r>
      <w:r w:rsidR="007B56A3" w:rsidRPr="007B56A3">
        <w:rPr>
          <w:rFonts w:ascii="Franklin Gothic Book" w:eastAsia="SimSun" w:hAnsi="Franklin Gothic Book" w:cs="Times New Roman"/>
          <w:sz w:val="21"/>
          <w:szCs w:val="21"/>
          <w:lang w:val="en-AU" w:eastAsia="en-AU"/>
        </w:rPr>
        <w:t xml:space="preserve"> </w:t>
      </w:r>
      <w:r w:rsidR="007B56A3" w:rsidRPr="00237CCA">
        <w:rPr>
          <w:rFonts w:ascii="Franklin Gothic Book" w:eastAsia="SimSun" w:hAnsi="Franklin Gothic Book" w:cs="Times New Roman"/>
          <w:sz w:val="21"/>
          <w:szCs w:val="21"/>
          <w:lang w:val="en-AU" w:eastAsia="en-AU"/>
        </w:rPr>
        <w:t xml:space="preserve"> </w:t>
      </w:r>
    </w:p>
    <w:p w:rsidR="00AF5161" w:rsidRPr="00237CCA" w:rsidRDefault="00AF5161" w:rsidP="00921833">
      <w:pPr>
        <w:pStyle w:val="ListParagraph"/>
        <w:ind w:left="0"/>
        <w:rPr>
          <w:rFonts w:ascii="Franklin Gothic Book" w:eastAsia="SimSun" w:hAnsi="Franklin Gothic Book" w:cs="Times New Roman"/>
          <w:sz w:val="21"/>
          <w:szCs w:val="21"/>
          <w:lang w:val="en-AU" w:eastAsia="en-AU"/>
        </w:rPr>
      </w:pPr>
    </w:p>
    <w:p w:rsidR="00AF5161" w:rsidRDefault="00AF5161" w:rsidP="00836739">
      <w:pPr>
        <w:pStyle w:val="ListParagraph"/>
        <w:ind w:left="0"/>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b/>
          <w:sz w:val="21"/>
          <w:szCs w:val="21"/>
          <w:lang w:val="en-AU" w:eastAsia="en-AU"/>
        </w:rPr>
        <w:t xml:space="preserve">Australia developed realistic expectations for our engagement. </w:t>
      </w:r>
      <w:r w:rsidR="00DF7B6B">
        <w:rPr>
          <w:rFonts w:ascii="Franklin Gothic Book" w:eastAsia="SimSun" w:hAnsi="Franklin Gothic Book" w:cs="Times New Roman"/>
          <w:sz w:val="21"/>
          <w:szCs w:val="21"/>
          <w:lang w:val="en-AU" w:eastAsia="en-AU"/>
        </w:rPr>
        <w:t>Australia</w:t>
      </w:r>
      <w:r w:rsidR="00DF7B6B" w:rsidRPr="00237CCA">
        <w:rPr>
          <w:rFonts w:ascii="Franklin Gothic Book" w:eastAsia="SimSun" w:hAnsi="Franklin Gothic Book" w:cs="Times New Roman"/>
          <w:sz w:val="21"/>
          <w:szCs w:val="21"/>
          <w:lang w:val="en-AU" w:eastAsia="en-AU"/>
        </w:rPr>
        <w:t xml:space="preserve"> </w:t>
      </w:r>
      <w:r w:rsidR="00516528">
        <w:rPr>
          <w:rFonts w:ascii="Franklin Gothic Book" w:eastAsia="SimSun" w:hAnsi="Franklin Gothic Book" w:cs="Times New Roman"/>
          <w:sz w:val="21"/>
          <w:szCs w:val="21"/>
          <w:lang w:val="en-AU" w:eastAsia="en-AU"/>
        </w:rPr>
        <w:t>d</w:t>
      </w:r>
      <w:r w:rsidR="00516528" w:rsidRPr="00237CCA">
        <w:rPr>
          <w:rFonts w:ascii="Franklin Gothic Book" w:eastAsia="SimSun" w:hAnsi="Franklin Gothic Book" w:cs="Times New Roman"/>
          <w:sz w:val="21"/>
          <w:szCs w:val="21"/>
          <w:lang w:val="en-AU" w:eastAsia="en-AU"/>
        </w:rPr>
        <w:t xml:space="preserve">efined </w:t>
      </w:r>
      <w:r w:rsidR="00516528">
        <w:rPr>
          <w:rFonts w:ascii="Franklin Gothic Book" w:eastAsia="SimSun" w:hAnsi="Franklin Gothic Book" w:cs="Times New Roman"/>
          <w:sz w:val="21"/>
          <w:szCs w:val="21"/>
          <w:lang w:val="en-AU" w:eastAsia="en-AU"/>
        </w:rPr>
        <w:t xml:space="preserve">and planned </w:t>
      </w:r>
      <w:r w:rsidRPr="00237CCA">
        <w:rPr>
          <w:rFonts w:ascii="Franklin Gothic Book" w:eastAsia="SimSun" w:hAnsi="Franklin Gothic Book" w:cs="Times New Roman"/>
          <w:sz w:val="21"/>
          <w:szCs w:val="21"/>
          <w:lang w:val="en-AU" w:eastAsia="en-AU"/>
        </w:rPr>
        <w:t xml:space="preserve">our </w:t>
      </w:r>
      <w:r w:rsidR="00516528">
        <w:rPr>
          <w:rFonts w:ascii="Franklin Gothic Book" w:eastAsia="SimSun" w:hAnsi="Franklin Gothic Book" w:cs="Times New Roman"/>
          <w:sz w:val="21"/>
          <w:szCs w:val="21"/>
          <w:lang w:val="en-AU" w:eastAsia="en-AU"/>
        </w:rPr>
        <w:t xml:space="preserve">areas of </w:t>
      </w:r>
      <w:r w:rsidRPr="00237CCA">
        <w:rPr>
          <w:rFonts w:ascii="Franklin Gothic Book" w:eastAsia="SimSun" w:hAnsi="Franklin Gothic Book" w:cs="Times New Roman"/>
          <w:sz w:val="21"/>
          <w:szCs w:val="21"/>
          <w:lang w:val="en-AU" w:eastAsia="en-AU"/>
        </w:rPr>
        <w:t>engagement with civil society organisations</w:t>
      </w:r>
      <w:r w:rsidR="00516528">
        <w:rPr>
          <w:rFonts w:ascii="Franklin Gothic Book" w:eastAsia="SimSun" w:hAnsi="Franklin Gothic Book" w:cs="Times New Roman"/>
          <w:sz w:val="21"/>
          <w:szCs w:val="21"/>
          <w:lang w:val="en-AU" w:eastAsia="en-AU"/>
        </w:rPr>
        <w:t xml:space="preserve"> around clear objectives</w:t>
      </w:r>
      <w:r w:rsidRPr="00237CCA">
        <w:rPr>
          <w:rFonts w:ascii="Franklin Gothic Book" w:eastAsia="SimSun" w:hAnsi="Franklin Gothic Book" w:cs="Times New Roman"/>
          <w:sz w:val="21"/>
          <w:szCs w:val="21"/>
          <w:lang w:val="en-AU" w:eastAsia="en-AU"/>
        </w:rPr>
        <w:t xml:space="preserve"> </w:t>
      </w:r>
      <w:r w:rsidR="00516528">
        <w:rPr>
          <w:rFonts w:ascii="Franklin Gothic Book" w:eastAsia="SimSun" w:hAnsi="Franklin Gothic Book" w:cs="Times New Roman"/>
          <w:sz w:val="21"/>
          <w:szCs w:val="21"/>
          <w:lang w:val="en-AU" w:eastAsia="en-AU"/>
        </w:rPr>
        <w:t>and identified measurable annual targets.</w:t>
      </w:r>
      <w:r w:rsidR="00901E56">
        <w:rPr>
          <w:rStyle w:val="FootnoteReference"/>
          <w:rFonts w:ascii="Franklin Gothic Book" w:eastAsia="SimSun" w:hAnsi="Franklin Gothic Book" w:cs="Times New Roman"/>
          <w:sz w:val="21"/>
          <w:szCs w:val="21"/>
          <w:lang w:val="en-AU" w:eastAsia="en-AU"/>
        </w:rPr>
        <w:footnoteReference w:id="46"/>
      </w:r>
      <w:r w:rsidR="000A0F8C">
        <w:rPr>
          <w:rFonts w:ascii="Franklin Gothic Book" w:eastAsia="SimSun" w:hAnsi="Franklin Gothic Book" w:cs="Times New Roman"/>
          <w:sz w:val="21"/>
          <w:szCs w:val="21"/>
          <w:lang w:val="en-AU" w:eastAsia="en-AU"/>
        </w:rPr>
        <w:t xml:space="preserve"> </w:t>
      </w:r>
      <w:r w:rsidR="00D86D73" w:rsidRPr="00237CCA">
        <w:rPr>
          <w:rFonts w:ascii="Franklin Gothic Book" w:eastAsia="SimSun" w:hAnsi="Franklin Gothic Book" w:cs="Times New Roman"/>
          <w:sz w:val="21"/>
          <w:szCs w:val="21"/>
          <w:lang w:val="en-AU" w:eastAsia="en-AU"/>
        </w:rPr>
        <w:t>This clarification a</w:t>
      </w:r>
      <w:r w:rsidRPr="00237CCA">
        <w:rPr>
          <w:rFonts w:ascii="Franklin Gothic Book" w:eastAsia="SimSun" w:hAnsi="Franklin Gothic Book" w:cs="Times New Roman"/>
          <w:sz w:val="21"/>
          <w:szCs w:val="21"/>
          <w:lang w:val="en-AU" w:eastAsia="en-AU"/>
        </w:rPr>
        <w:t xml:space="preserve">llowed Australia to </w:t>
      </w:r>
      <w:r w:rsidR="000F3118">
        <w:rPr>
          <w:rFonts w:ascii="Franklin Gothic Book" w:eastAsia="SimSun" w:hAnsi="Franklin Gothic Book" w:cs="Times New Roman"/>
          <w:sz w:val="21"/>
          <w:szCs w:val="21"/>
          <w:lang w:val="en-AU" w:eastAsia="en-AU"/>
        </w:rPr>
        <w:t>respond to the needs of women and marginalised groups</w:t>
      </w:r>
      <w:r w:rsidR="000F3118" w:rsidRPr="00237CCA">
        <w:rPr>
          <w:rFonts w:ascii="Franklin Gothic Book" w:eastAsia="SimSun" w:hAnsi="Franklin Gothic Book" w:cs="Times New Roman"/>
          <w:sz w:val="21"/>
          <w:szCs w:val="21"/>
          <w:lang w:val="en-AU" w:eastAsia="en-AU"/>
        </w:rPr>
        <w:t xml:space="preserve"> </w:t>
      </w:r>
      <w:r w:rsidR="000F3118">
        <w:rPr>
          <w:rFonts w:ascii="Franklin Gothic Book" w:eastAsia="SimSun" w:hAnsi="Franklin Gothic Book" w:cs="Times New Roman"/>
          <w:sz w:val="21"/>
          <w:szCs w:val="21"/>
          <w:lang w:val="en-AU" w:eastAsia="en-AU"/>
        </w:rPr>
        <w:t>in a</w:t>
      </w:r>
      <w:r w:rsidR="003B4C87">
        <w:rPr>
          <w:rFonts w:ascii="Franklin Gothic Book" w:eastAsia="SimSun" w:hAnsi="Franklin Gothic Book" w:cs="Times New Roman"/>
          <w:sz w:val="21"/>
          <w:szCs w:val="21"/>
          <w:lang w:val="en-AU" w:eastAsia="en-AU"/>
        </w:rPr>
        <w:t xml:space="preserve"> more</w:t>
      </w:r>
      <w:r w:rsidRPr="00237CCA">
        <w:rPr>
          <w:rFonts w:ascii="Franklin Gothic Book" w:eastAsia="SimSun" w:hAnsi="Franklin Gothic Book" w:cs="Times New Roman"/>
          <w:sz w:val="21"/>
          <w:szCs w:val="21"/>
          <w:lang w:val="en-AU" w:eastAsia="en-AU"/>
        </w:rPr>
        <w:t xml:space="preserve"> efficient way. The efficacy of Australia’s partners (</w:t>
      </w:r>
      <w:r w:rsidR="007C68ED">
        <w:rPr>
          <w:rFonts w:ascii="Franklin Gothic Book" w:eastAsia="SimSun" w:hAnsi="Franklin Gothic Book" w:cs="Times New Roman"/>
          <w:sz w:val="21"/>
          <w:szCs w:val="21"/>
          <w:lang w:val="en-AU" w:eastAsia="en-AU"/>
        </w:rPr>
        <w:t xml:space="preserve">including </w:t>
      </w:r>
      <w:r w:rsidRPr="00237CCA">
        <w:rPr>
          <w:rFonts w:ascii="Franklin Gothic Book" w:eastAsia="SimSun" w:hAnsi="Franklin Gothic Book" w:cs="Times New Roman"/>
          <w:sz w:val="21"/>
          <w:szCs w:val="21"/>
          <w:lang w:val="en-AU" w:eastAsia="en-AU"/>
        </w:rPr>
        <w:t>BRAC</w:t>
      </w:r>
      <w:r w:rsidR="00516528">
        <w:rPr>
          <w:rFonts w:ascii="Franklin Gothic Book" w:eastAsia="SimSun" w:hAnsi="Franklin Gothic Book" w:cs="Times New Roman"/>
          <w:sz w:val="21"/>
          <w:szCs w:val="21"/>
          <w:lang w:val="en-AU" w:eastAsia="en-AU"/>
        </w:rPr>
        <w:t xml:space="preserve">, </w:t>
      </w:r>
      <w:r w:rsidR="00FF3619">
        <w:rPr>
          <w:rFonts w:ascii="Franklin Gothic Book" w:eastAsia="SimSun" w:hAnsi="Franklin Gothic Book" w:cs="Times New Roman"/>
          <w:sz w:val="21"/>
          <w:szCs w:val="21"/>
          <w:lang w:val="en-AU" w:eastAsia="en-AU"/>
        </w:rPr>
        <w:t>icddr,b</w:t>
      </w:r>
      <w:r w:rsidRPr="00237CCA">
        <w:rPr>
          <w:rFonts w:ascii="Franklin Gothic Book" w:eastAsia="SimSun" w:hAnsi="Franklin Gothic Book" w:cs="Times New Roman"/>
          <w:sz w:val="21"/>
          <w:szCs w:val="21"/>
          <w:lang w:val="en-AU" w:eastAsia="en-AU"/>
        </w:rPr>
        <w:t xml:space="preserve"> and MJF)</w:t>
      </w:r>
      <w:r w:rsidR="00516528">
        <w:rPr>
          <w:rFonts w:ascii="Franklin Gothic Book" w:eastAsia="SimSun" w:hAnsi="Franklin Gothic Book" w:cs="Times New Roman"/>
          <w:sz w:val="21"/>
          <w:szCs w:val="21"/>
          <w:lang w:val="en-AU" w:eastAsia="en-AU"/>
        </w:rPr>
        <w:t xml:space="preserve"> </w:t>
      </w:r>
      <w:r w:rsidR="003B4C87">
        <w:rPr>
          <w:rFonts w:ascii="Franklin Gothic Book" w:eastAsia="SimSun" w:hAnsi="Franklin Gothic Book" w:cs="Times New Roman"/>
          <w:sz w:val="21"/>
          <w:szCs w:val="21"/>
          <w:lang w:val="en-AU" w:eastAsia="en-AU"/>
        </w:rPr>
        <w:t xml:space="preserve">benefited from </w:t>
      </w:r>
      <w:r w:rsidR="00F80EAB">
        <w:rPr>
          <w:rFonts w:ascii="Franklin Gothic Book" w:eastAsia="SimSun" w:hAnsi="Franklin Gothic Book" w:cs="Times New Roman"/>
          <w:sz w:val="21"/>
          <w:szCs w:val="21"/>
          <w:lang w:val="en-AU" w:eastAsia="en-AU"/>
        </w:rPr>
        <w:t>e</w:t>
      </w:r>
      <w:r w:rsidR="00DF7B6B">
        <w:rPr>
          <w:rFonts w:ascii="Franklin Gothic Book" w:eastAsia="SimSun" w:hAnsi="Franklin Gothic Book" w:cs="Times New Roman"/>
          <w:sz w:val="21"/>
          <w:szCs w:val="21"/>
          <w:lang w:val="en-AU" w:eastAsia="en-AU"/>
        </w:rPr>
        <w:t>xposure to Australian safeguards</w:t>
      </w:r>
      <w:r w:rsidR="00D01355">
        <w:rPr>
          <w:rFonts w:ascii="Franklin Gothic Book" w:eastAsia="SimSun" w:hAnsi="Franklin Gothic Book" w:cs="Times New Roman"/>
          <w:sz w:val="21"/>
          <w:szCs w:val="21"/>
          <w:lang w:val="en-AU" w:eastAsia="en-AU"/>
        </w:rPr>
        <w:t>. For example</w:t>
      </w:r>
      <w:r w:rsidRPr="00237CCA">
        <w:rPr>
          <w:rFonts w:ascii="Franklin Gothic Book" w:eastAsia="SimSun" w:hAnsi="Franklin Gothic Book" w:cs="Times New Roman"/>
          <w:sz w:val="21"/>
          <w:szCs w:val="21"/>
          <w:lang w:val="en-AU" w:eastAsia="en-AU"/>
        </w:rPr>
        <w:t xml:space="preserve">, </w:t>
      </w:r>
      <w:r w:rsidR="00D01355">
        <w:rPr>
          <w:rFonts w:ascii="Franklin Gothic Book" w:eastAsia="SimSun" w:hAnsi="Franklin Gothic Book" w:cs="Times New Roman"/>
          <w:sz w:val="21"/>
          <w:szCs w:val="21"/>
          <w:lang w:val="en-AU" w:eastAsia="en-AU"/>
        </w:rPr>
        <w:t xml:space="preserve">Australia’s child protection policy guidance, risk management policy guidance and due diligence controls have </w:t>
      </w:r>
      <w:r w:rsidR="007C68ED">
        <w:rPr>
          <w:rFonts w:ascii="Franklin Gothic Book" w:eastAsia="SimSun" w:hAnsi="Franklin Gothic Book" w:cs="Times New Roman"/>
          <w:sz w:val="21"/>
          <w:szCs w:val="21"/>
          <w:lang w:val="en-AU" w:eastAsia="en-AU"/>
        </w:rPr>
        <w:t xml:space="preserve">assisted </w:t>
      </w:r>
      <w:r w:rsidR="00D01355">
        <w:rPr>
          <w:rFonts w:ascii="Franklin Gothic Book" w:eastAsia="SimSun" w:hAnsi="Franklin Gothic Book" w:cs="Times New Roman"/>
          <w:sz w:val="21"/>
          <w:szCs w:val="21"/>
          <w:lang w:val="en-AU" w:eastAsia="en-AU"/>
        </w:rPr>
        <w:t xml:space="preserve">partner organisations to develop action plans to strengthen their systems. </w:t>
      </w:r>
      <w:r w:rsidR="00CF2FBC">
        <w:rPr>
          <w:rFonts w:ascii="Franklin Gothic Book" w:eastAsia="SimSun" w:hAnsi="Franklin Gothic Book" w:cs="Times New Roman"/>
          <w:sz w:val="21"/>
          <w:szCs w:val="21"/>
          <w:lang w:val="en-AU" w:eastAsia="en-AU"/>
        </w:rPr>
        <w:t xml:space="preserve">In </w:t>
      </w:r>
      <w:r w:rsidR="008D1CBE">
        <w:rPr>
          <w:rFonts w:ascii="Franklin Gothic Book" w:eastAsia="SimSun" w:hAnsi="Franklin Gothic Book" w:cs="Times New Roman"/>
          <w:sz w:val="21"/>
          <w:szCs w:val="21"/>
          <w:lang w:val="en-AU" w:eastAsia="en-AU"/>
        </w:rPr>
        <w:t xml:space="preserve">the </w:t>
      </w:r>
      <w:r w:rsidR="008D1CBE" w:rsidRPr="00EB2EAC">
        <w:rPr>
          <w:rFonts w:ascii="Franklin Gothic Book" w:eastAsia="SimSun" w:hAnsi="Franklin Gothic Book" w:cs="Times New Roman"/>
          <w:sz w:val="21"/>
          <w:szCs w:val="21"/>
          <w:lang w:val="en-AU" w:eastAsia="en-AU"/>
        </w:rPr>
        <w:t>second quarter of 2013</w:t>
      </w:r>
      <w:r w:rsidR="00CF2FBC">
        <w:rPr>
          <w:rFonts w:ascii="Franklin Gothic Book" w:eastAsia="SimSun" w:hAnsi="Franklin Gothic Book" w:cs="Times New Roman"/>
          <w:sz w:val="21"/>
          <w:szCs w:val="21"/>
          <w:lang w:val="en-AU" w:eastAsia="en-AU"/>
        </w:rPr>
        <w:t xml:space="preserve"> BRAC</w:t>
      </w:r>
      <w:r w:rsidR="00E004CF">
        <w:rPr>
          <w:rFonts w:ascii="Franklin Gothic Book" w:eastAsia="SimSun" w:hAnsi="Franklin Gothic Book" w:cs="Times New Roman"/>
          <w:sz w:val="21"/>
          <w:szCs w:val="21"/>
          <w:lang w:val="en-AU" w:eastAsia="en-AU"/>
        </w:rPr>
        <w:t>,</w:t>
      </w:r>
      <w:r w:rsidR="00CF2FBC">
        <w:rPr>
          <w:rFonts w:ascii="Franklin Gothic Book" w:eastAsia="SimSun" w:hAnsi="Franklin Gothic Book" w:cs="Times New Roman"/>
          <w:sz w:val="21"/>
          <w:szCs w:val="21"/>
          <w:lang w:val="en-AU" w:eastAsia="en-AU"/>
        </w:rPr>
        <w:t xml:space="preserve"> in part due to the strong due diligence measures applied by Australia and the UK as strategic funding partners, </w:t>
      </w:r>
      <w:r w:rsidR="00E004CF">
        <w:rPr>
          <w:rFonts w:ascii="Franklin Gothic Book" w:eastAsia="SimSun" w:hAnsi="Franklin Gothic Book" w:cs="Times New Roman"/>
          <w:sz w:val="21"/>
          <w:szCs w:val="21"/>
          <w:lang w:val="en-AU" w:eastAsia="en-AU"/>
        </w:rPr>
        <w:t>has been</w:t>
      </w:r>
      <w:r w:rsidR="00CF2FBC">
        <w:rPr>
          <w:rFonts w:ascii="Franklin Gothic Book" w:eastAsia="SimSun" w:hAnsi="Franklin Gothic Book" w:cs="Times New Roman"/>
          <w:sz w:val="21"/>
          <w:szCs w:val="21"/>
          <w:lang w:val="en-AU" w:eastAsia="en-AU"/>
        </w:rPr>
        <w:t xml:space="preserve"> recognised as </w:t>
      </w:r>
      <w:r w:rsidR="008D1CBE" w:rsidRPr="00EB2EAC">
        <w:rPr>
          <w:rFonts w:ascii="Franklin Gothic Book" w:eastAsia="SimSun" w:hAnsi="Franklin Gothic Book" w:cs="Times New Roman"/>
          <w:sz w:val="21"/>
          <w:szCs w:val="21"/>
          <w:lang w:val="en-AU" w:eastAsia="en-AU"/>
        </w:rPr>
        <w:t>an affiliate member of the INGO Accountability charter</w:t>
      </w:r>
      <w:r w:rsidR="00A75086">
        <w:rPr>
          <w:rStyle w:val="FootnoteReference"/>
          <w:rFonts w:ascii="Franklin Gothic Book" w:eastAsia="SimSun" w:hAnsi="Franklin Gothic Book" w:cs="Times New Roman"/>
          <w:sz w:val="21"/>
          <w:szCs w:val="21"/>
          <w:lang w:val="en-AU" w:eastAsia="en-AU"/>
        </w:rPr>
        <w:footnoteReference w:id="47"/>
      </w:r>
      <w:r w:rsidR="00CF2FBC">
        <w:rPr>
          <w:rFonts w:ascii="Franklin Gothic Book" w:eastAsia="SimSun" w:hAnsi="Franklin Gothic Book" w:cs="Times New Roman"/>
          <w:sz w:val="21"/>
          <w:szCs w:val="21"/>
          <w:lang w:val="en-AU" w:eastAsia="en-AU"/>
        </w:rPr>
        <w:t xml:space="preserve">. </w:t>
      </w:r>
      <w:r w:rsidR="00D01355">
        <w:rPr>
          <w:rFonts w:ascii="Franklin Gothic Book" w:eastAsia="SimSun" w:hAnsi="Franklin Gothic Book" w:cs="Times New Roman"/>
          <w:sz w:val="21"/>
          <w:szCs w:val="21"/>
          <w:lang w:val="en-AU" w:eastAsia="en-AU"/>
        </w:rPr>
        <w:t xml:space="preserve">Confidence in our partners’ systems also </w:t>
      </w:r>
      <w:r w:rsidRPr="00237CCA">
        <w:rPr>
          <w:rFonts w:ascii="Franklin Gothic Book" w:eastAsia="SimSun" w:hAnsi="Franklin Gothic Book" w:cs="Times New Roman"/>
          <w:sz w:val="21"/>
          <w:szCs w:val="21"/>
          <w:lang w:val="en-AU" w:eastAsia="en-AU"/>
        </w:rPr>
        <w:t>allow</w:t>
      </w:r>
      <w:r w:rsidR="00D01355">
        <w:rPr>
          <w:rFonts w:ascii="Franklin Gothic Book" w:eastAsia="SimSun" w:hAnsi="Franklin Gothic Book" w:cs="Times New Roman"/>
          <w:sz w:val="21"/>
          <w:szCs w:val="21"/>
          <w:lang w:val="en-AU" w:eastAsia="en-AU"/>
        </w:rPr>
        <w:t xml:space="preserve">s </w:t>
      </w:r>
      <w:r w:rsidRPr="00237CCA">
        <w:rPr>
          <w:rFonts w:ascii="Franklin Gothic Book" w:eastAsia="SimSun" w:hAnsi="Franklin Gothic Book" w:cs="Times New Roman"/>
          <w:sz w:val="21"/>
          <w:szCs w:val="21"/>
          <w:lang w:val="en-AU" w:eastAsia="en-AU"/>
        </w:rPr>
        <w:t xml:space="preserve">Australia to </w:t>
      </w:r>
      <w:r w:rsidR="00FF3619">
        <w:rPr>
          <w:rFonts w:ascii="Franklin Gothic Book" w:eastAsia="SimSun" w:hAnsi="Franklin Gothic Book" w:cs="Times New Roman"/>
          <w:sz w:val="21"/>
          <w:szCs w:val="21"/>
          <w:lang w:val="en-AU" w:eastAsia="en-AU"/>
        </w:rPr>
        <w:t>focus our management input at the strategic level</w:t>
      </w:r>
      <w:r w:rsidRPr="00237CCA">
        <w:rPr>
          <w:rFonts w:ascii="Franklin Gothic Book" w:eastAsia="SimSun" w:hAnsi="Franklin Gothic Book" w:cs="Times New Roman"/>
          <w:sz w:val="21"/>
          <w:szCs w:val="21"/>
          <w:lang w:val="en-AU" w:eastAsia="en-AU"/>
        </w:rPr>
        <w:t xml:space="preserve">. Efficient management arrangements remained important as Australia had limited resourcing to devote to this objective.  </w:t>
      </w:r>
    </w:p>
    <w:p w:rsidR="007E39AC" w:rsidRDefault="007E39AC" w:rsidP="00836739">
      <w:pPr>
        <w:pStyle w:val="ListParagraph"/>
        <w:ind w:left="0"/>
        <w:rPr>
          <w:rFonts w:ascii="Franklin Gothic Book" w:eastAsia="SimSun" w:hAnsi="Franklin Gothic Book" w:cs="Times New Roman"/>
          <w:sz w:val="21"/>
          <w:szCs w:val="21"/>
          <w:lang w:val="en-AU" w:eastAsia="en-AU"/>
        </w:rPr>
      </w:pPr>
    </w:p>
    <w:p w:rsidR="007E39AC" w:rsidRDefault="007E39AC" w:rsidP="00921833">
      <w:pPr>
        <w:pStyle w:val="ListParagraph"/>
        <w:ind w:left="0"/>
        <w:rPr>
          <w:rFonts w:ascii="Franklin Gothic Book" w:eastAsia="SimSun" w:hAnsi="Franklin Gothic Book" w:cs="Times New Roman"/>
          <w:sz w:val="21"/>
          <w:szCs w:val="21"/>
          <w:lang w:val="en-AU" w:eastAsia="en-AU"/>
        </w:rPr>
      </w:pPr>
      <w:r w:rsidRPr="00F2695C">
        <w:rPr>
          <w:rFonts w:ascii="Franklin Gothic Book" w:eastAsia="SimSun" w:hAnsi="Franklin Gothic Book" w:cs="Times New Roman"/>
          <w:b/>
          <w:sz w:val="21"/>
          <w:szCs w:val="21"/>
          <w:lang w:val="en-AU" w:eastAsia="en-AU"/>
        </w:rPr>
        <w:t xml:space="preserve">Australian NGOs working with local </w:t>
      </w:r>
      <w:r w:rsidR="003A06E7" w:rsidRPr="00F2695C">
        <w:rPr>
          <w:rFonts w:ascii="Franklin Gothic Book" w:eastAsia="SimSun" w:hAnsi="Franklin Gothic Book" w:cs="Times New Roman"/>
          <w:b/>
          <w:sz w:val="21"/>
          <w:szCs w:val="21"/>
          <w:lang w:val="en-AU" w:eastAsia="en-AU"/>
        </w:rPr>
        <w:t xml:space="preserve">partner </w:t>
      </w:r>
      <w:r w:rsidRPr="00F2695C">
        <w:rPr>
          <w:rFonts w:ascii="Franklin Gothic Book" w:eastAsia="SimSun" w:hAnsi="Franklin Gothic Book" w:cs="Times New Roman"/>
          <w:b/>
          <w:sz w:val="21"/>
          <w:szCs w:val="21"/>
          <w:lang w:val="en-AU" w:eastAsia="en-AU"/>
        </w:rPr>
        <w:t>organisations delivered community-based social development activities.</w:t>
      </w:r>
      <w:r w:rsidRPr="00F2695C">
        <w:rPr>
          <w:rFonts w:ascii="Franklin Gothic Book" w:eastAsia="SimSun" w:hAnsi="Franklin Gothic Book" w:cs="Times New Roman"/>
          <w:sz w:val="21"/>
          <w:szCs w:val="21"/>
          <w:lang w:val="en-AU" w:eastAsia="en-AU"/>
        </w:rPr>
        <w:t xml:space="preserve"> </w:t>
      </w:r>
      <w:r w:rsidR="003A06E7">
        <w:rPr>
          <w:rFonts w:ascii="Franklin Gothic Book" w:eastAsia="SimSun" w:hAnsi="Franklin Gothic Book" w:cs="Times New Roman"/>
          <w:sz w:val="21"/>
          <w:szCs w:val="21"/>
          <w:lang w:val="en-AU" w:eastAsia="en-AU"/>
        </w:rPr>
        <w:t xml:space="preserve">Australian NGO </w:t>
      </w:r>
      <w:r w:rsidRPr="00F2695C">
        <w:rPr>
          <w:rFonts w:ascii="Franklin Gothic Book" w:eastAsia="SimSun" w:hAnsi="Franklin Gothic Book" w:cs="Times New Roman"/>
          <w:sz w:val="21"/>
          <w:szCs w:val="21"/>
          <w:lang w:val="en-AU" w:eastAsia="en-AU"/>
        </w:rPr>
        <w:t xml:space="preserve">partnerships </w:t>
      </w:r>
      <w:r>
        <w:rPr>
          <w:rFonts w:ascii="Franklin Gothic Book" w:eastAsia="SimSun" w:hAnsi="Franklin Gothic Book" w:cs="Times New Roman"/>
          <w:sz w:val="21"/>
          <w:szCs w:val="21"/>
          <w:lang w:val="en-AU" w:eastAsia="en-AU"/>
        </w:rPr>
        <w:t xml:space="preserve">helped </w:t>
      </w:r>
      <w:r w:rsidR="007F48A5">
        <w:rPr>
          <w:rFonts w:ascii="Franklin Gothic Book" w:eastAsia="SimSun" w:hAnsi="Franklin Gothic Book" w:cs="Times New Roman"/>
          <w:sz w:val="21"/>
          <w:szCs w:val="21"/>
          <w:lang w:val="en-AU" w:eastAsia="en-AU"/>
        </w:rPr>
        <w:t xml:space="preserve">local </w:t>
      </w:r>
      <w:r w:rsidRPr="00F2695C">
        <w:rPr>
          <w:rFonts w:ascii="Franklin Gothic Book" w:eastAsia="SimSun" w:hAnsi="Franklin Gothic Book" w:cs="Times New Roman"/>
          <w:sz w:val="21"/>
          <w:szCs w:val="21"/>
          <w:lang w:val="en-AU" w:eastAsia="en-AU"/>
        </w:rPr>
        <w:t xml:space="preserve">civil society organisations empower local communities to </w:t>
      </w:r>
      <w:r w:rsidR="00FE6801">
        <w:rPr>
          <w:rFonts w:ascii="Franklin Gothic Book" w:eastAsia="SimSun" w:hAnsi="Franklin Gothic Book" w:cs="Times New Roman"/>
          <w:sz w:val="21"/>
          <w:szCs w:val="21"/>
          <w:lang w:val="en-AU" w:eastAsia="en-AU"/>
        </w:rPr>
        <w:t>seek</w:t>
      </w:r>
      <w:r w:rsidR="00FE6801" w:rsidRPr="00F2695C">
        <w:rPr>
          <w:rFonts w:ascii="Franklin Gothic Book" w:eastAsia="SimSun" w:hAnsi="Franklin Gothic Book" w:cs="Times New Roman"/>
          <w:sz w:val="21"/>
          <w:szCs w:val="21"/>
          <w:lang w:val="en-AU" w:eastAsia="en-AU"/>
        </w:rPr>
        <w:t xml:space="preserve"> </w:t>
      </w:r>
      <w:r w:rsidRPr="00F2695C">
        <w:rPr>
          <w:rFonts w:ascii="Franklin Gothic Book" w:eastAsia="SimSun" w:hAnsi="Franklin Gothic Book" w:cs="Times New Roman"/>
          <w:sz w:val="21"/>
          <w:szCs w:val="21"/>
          <w:lang w:val="en-AU" w:eastAsia="en-AU"/>
        </w:rPr>
        <w:t>better services</w:t>
      </w:r>
      <w:r w:rsidR="00FE6801">
        <w:rPr>
          <w:rFonts w:ascii="Franklin Gothic Book" w:eastAsia="SimSun" w:hAnsi="Franklin Gothic Book" w:cs="Times New Roman"/>
          <w:sz w:val="21"/>
          <w:szCs w:val="21"/>
          <w:lang w:val="en-AU" w:eastAsia="en-AU"/>
        </w:rPr>
        <w:t xml:space="preserve">. They also helped </w:t>
      </w:r>
      <w:r w:rsidRPr="00F2695C">
        <w:rPr>
          <w:rFonts w:ascii="Franklin Gothic Book" w:eastAsia="SimSun" w:hAnsi="Franklin Gothic Book" w:cs="Times New Roman"/>
          <w:sz w:val="21"/>
          <w:szCs w:val="21"/>
          <w:lang w:val="en-AU" w:eastAsia="en-AU"/>
        </w:rPr>
        <w:t>link</w:t>
      </w:r>
      <w:r w:rsidR="00FE6801">
        <w:rPr>
          <w:rFonts w:ascii="Franklin Gothic Book" w:eastAsia="SimSun" w:hAnsi="Franklin Gothic Book" w:cs="Times New Roman"/>
          <w:sz w:val="21"/>
          <w:szCs w:val="21"/>
          <w:lang w:val="en-AU" w:eastAsia="en-AU"/>
        </w:rPr>
        <w:t>ed</w:t>
      </w:r>
      <w:r w:rsidRPr="00F2695C">
        <w:rPr>
          <w:rFonts w:ascii="Franklin Gothic Book" w:eastAsia="SimSun" w:hAnsi="Franklin Gothic Book" w:cs="Times New Roman"/>
          <w:sz w:val="21"/>
          <w:szCs w:val="21"/>
          <w:lang w:val="en-AU" w:eastAsia="en-AU"/>
        </w:rPr>
        <w:t xml:space="preserve"> poor families to local government services. </w:t>
      </w:r>
      <w:r>
        <w:rPr>
          <w:rFonts w:ascii="Franklin Gothic Book" w:eastAsia="SimSun" w:hAnsi="Franklin Gothic Book" w:cs="Times New Roman"/>
          <w:sz w:val="21"/>
          <w:szCs w:val="21"/>
          <w:lang w:val="en-AU" w:eastAsia="en-AU"/>
        </w:rPr>
        <w:t xml:space="preserve">Assistance </w:t>
      </w:r>
      <w:r w:rsidRPr="00F2695C">
        <w:rPr>
          <w:rFonts w:ascii="Franklin Gothic Book" w:eastAsia="SimSun" w:hAnsi="Franklin Gothic Book" w:cs="Times New Roman"/>
          <w:sz w:val="21"/>
          <w:szCs w:val="21"/>
          <w:lang w:val="en-AU" w:eastAsia="en-AU"/>
        </w:rPr>
        <w:t>support</w:t>
      </w:r>
      <w:r w:rsidR="00FE6801">
        <w:rPr>
          <w:rFonts w:ascii="Franklin Gothic Book" w:eastAsia="SimSun" w:hAnsi="Franklin Gothic Book" w:cs="Times New Roman"/>
          <w:sz w:val="21"/>
          <w:szCs w:val="21"/>
          <w:lang w:val="en-AU" w:eastAsia="en-AU"/>
        </w:rPr>
        <w:t xml:space="preserve">ed </w:t>
      </w:r>
      <w:r w:rsidRPr="00F2695C">
        <w:rPr>
          <w:rFonts w:ascii="Franklin Gothic Book" w:eastAsia="SimSun" w:hAnsi="Franklin Gothic Book" w:cs="Times New Roman"/>
          <w:sz w:val="21"/>
          <w:szCs w:val="21"/>
          <w:lang w:val="en-AU" w:eastAsia="en-AU"/>
        </w:rPr>
        <w:t xml:space="preserve">people with </w:t>
      </w:r>
      <w:r w:rsidR="00FE6801">
        <w:rPr>
          <w:rFonts w:ascii="Franklin Gothic Book" w:eastAsia="SimSun" w:hAnsi="Franklin Gothic Book" w:cs="Times New Roman"/>
          <w:sz w:val="21"/>
          <w:szCs w:val="21"/>
          <w:lang w:val="en-AU" w:eastAsia="en-AU"/>
        </w:rPr>
        <w:t xml:space="preserve">a </w:t>
      </w:r>
      <w:r w:rsidRPr="00F2695C">
        <w:rPr>
          <w:rFonts w:ascii="Franklin Gothic Book" w:eastAsia="SimSun" w:hAnsi="Franklin Gothic Book" w:cs="Times New Roman"/>
          <w:sz w:val="21"/>
          <w:szCs w:val="21"/>
          <w:lang w:val="en-AU" w:eastAsia="en-AU"/>
        </w:rPr>
        <w:t xml:space="preserve">disability, </w:t>
      </w:r>
      <w:r w:rsidR="00FE6801">
        <w:rPr>
          <w:rFonts w:ascii="Franklin Gothic Book" w:eastAsia="SimSun" w:hAnsi="Franklin Gothic Book" w:cs="Times New Roman"/>
          <w:sz w:val="21"/>
          <w:szCs w:val="21"/>
          <w:lang w:val="en-AU" w:eastAsia="en-AU"/>
        </w:rPr>
        <w:t>built</w:t>
      </w:r>
      <w:r w:rsidR="00FE6801" w:rsidRPr="00F2695C">
        <w:rPr>
          <w:rFonts w:ascii="Franklin Gothic Book" w:eastAsia="SimSun" w:hAnsi="Franklin Gothic Book" w:cs="Times New Roman"/>
          <w:sz w:val="21"/>
          <w:szCs w:val="21"/>
          <w:lang w:val="en-AU" w:eastAsia="en-AU"/>
        </w:rPr>
        <w:t xml:space="preserve"> </w:t>
      </w:r>
      <w:r w:rsidRPr="00F2695C">
        <w:rPr>
          <w:rFonts w:ascii="Franklin Gothic Book" w:eastAsia="SimSun" w:hAnsi="Franklin Gothic Book" w:cs="Times New Roman"/>
          <w:sz w:val="21"/>
          <w:szCs w:val="21"/>
          <w:lang w:val="en-AU" w:eastAsia="en-AU"/>
        </w:rPr>
        <w:t>food security</w:t>
      </w:r>
      <w:r>
        <w:rPr>
          <w:rFonts w:ascii="Franklin Gothic Book" w:eastAsia="SimSun" w:hAnsi="Franklin Gothic Book" w:cs="Times New Roman"/>
          <w:sz w:val="21"/>
          <w:szCs w:val="21"/>
          <w:lang w:val="en-AU" w:eastAsia="en-AU"/>
        </w:rPr>
        <w:t xml:space="preserve"> </w:t>
      </w:r>
      <w:r w:rsidR="00FE6801" w:rsidRPr="00F2695C">
        <w:rPr>
          <w:rFonts w:ascii="Franklin Gothic Book" w:eastAsia="SimSun" w:hAnsi="Franklin Gothic Book" w:cs="Times New Roman"/>
          <w:sz w:val="21"/>
          <w:szCs w:val="21"/>
          <w:lang w:val="en-AU" w:eastAsia="en-AU"/>
        </w:rPr>
        <w:t>and improv</w:t>
      </w:r>
      <w:r w:rsidR="00FE6801">
        <w:rPr>
          <w:rFonts w:ascii="Franklin Gothic Book" w:eastAsia="SimSun" w:hAnsi="Franklin Gothic Book" w:cs="Times New Roman"/>
          <w:sz w:val="21"/>
          <w:szCs w:val="21"/>
          <w:lang w:val="en-AU" w:eastAsia="en-AU"/>
        </w:rPr>
        <w:t>ed</w:t>
      </w:r>
      <w:r w:rsidR="00FE6801" w:rsidRPr="00F2695C">
        <w:rPr>
          <w:rFonts w:ascii="Franklin Gothic Book" w:eastAsia="SimSun" w:hAnsi="Franklin Gothic Book" w:cs="Times New Roman"/>
          <w:sz w:val="21"/>
          <w:szCs w:val="21"/>
          <w:lang w:val="en-AU" w:eastAsia="en-AU"/>
        </w:rPr>
        <w:t xml:space="preserve"> water and sanitation services</w:t>
      </w:r>
      <w:r w:rsidR="00FE6801">
        <w:rPr>
          <w:rFonts w:ascii="Franklin Gothic Book" w:eastAsia="SimSun" w:hAnsi="Franklin Gothic Book" w:cs="Times New Roman"/>
          <w:sz w:val="21"/>
          <w:szCs w:val="21"/>
          <w:lang w:val="en-AU" w:eastAsia="en-AU"/>
        </w:rPr>
        <w:t xml:space="preserve"> </w:t>
      </w:r>
      <w:r>
        <w:rPr>
          <w:rFonts w:ascii="Franklin Gothic Book" w:eastAsia="SimSun" w:hAnsi="Franklin Gothic Book" w:cs="Times New Roman"/>
          <w:sz w:val="21"/>
          <w:szCs w:val="21"/>
          <w:lang w:val="en-AU" w:eastAsia="en-AU"/>
        </w:rPr>
        <w:t>amongst vulnerable communities</w:t>
      </w:r>
      <w:r w:rsidRPr="00F2695C">
        <w:rPr>
          <w:rFonts w:ascii="Franklin Gothic Book" w:eastAsia="SimSun" w:hAnsi="Franklin Gothic Book" w:cs="Times New Roman"/>
          <w:sz w:val="21"/>
          <w:szCs w:val="21"/>
          <w:lang w:val="en-AU" w:eastAsia="en-AU"/>
        </w:rPr>
        <w:t xml:space="preserve">. </w:t>
      </w:r>
    </w:p>
    <w:p w:rsidR="00AF0459" w:rsidRPr="00237CCA" w:rsidRDefault="00AF0459" w:rsidP="00836739">
      <w:pPr>
        <w:pStyle w:val="Heading3"/>
        <w:jc w:val="both"/>
        <w:rPr>
          <w:rStyle w:val="BodyTextChar"/>
          <w:rFonts w:eastAsiaTheme="minorHAnsi" w:cstheme="minorBidi"/>
          <w:b w:val="0"/>
          <w:color w:val="auto"/>
          <w:kern w:val="0"/>
          <w:szCs w:val="21"/>
          <w:lang w:val="en-GB" w:eastAsia="en-US"/>
        </w:rPr>
      </w:pPr>
      <w:r w:rsidRPr="00237CCA">
        <w:rPr>
          <w:b w:val="0"/>
          <w:color w:val="007FAD"/>
          <w:sz w:val="32"/>
          <w:szCs w:val="32"/>
          <w:lang w:eastAsia="en-AU"/>
        </w:rPr>
        <w:t>Mutual Obligations</w:t>
      </w:r>
      <w:r w:rsidRPr="00237CCA">
        <w:rPr>
          <w:b w:val="0"/>
          <w:color w:val="007FAD"/>
          <w:sz w:val="32"/>
          <w:szCs w:val="32"/>
          <w:lang w:eastAsia="en-AU"/>
        </w:rPr>
        <w:tab/>
      </w:r>
      <w:r w:rsidRPr="00237CCA">
        <w:rPr>
          <w:rFonts w:ascii="Franklin Gothic Book" w:hAnsi="Franklin Gothic Book"/>
          <w:sz w:val="21"/>
          <w:szCs w:val="21"/>
        </w:rPr>
        <w:tab/>
      </w:r>
      <w:r w:rsidRPr="00237CCA">
        <w:rPr>
          <w:rFonts w:ascii="Franklin Gothic Book" w:hAnsi="Franklin Gothic Book"/>
          <w:sz w:val="21"/>
          <w:szCs w:val="21"/>
        </w:rPr>
        <w:tab/>
      </w:r>
      <w:r w:rsidRPr="00237CCA">
        <w:rPr>
          <w:rFonts w:ascii="Franklin Gothic Book" w:hAnsi="Franklin Gothic Book"/>
          <w:sz w:val="21"/>
          <w:szCs w:val="21"/>
        </w:rPr>
        <w:tab/>
      </w:r>
    </w:p>
    <w:p w:rsidR="00393250" w:rsidRDefault="00207558" w:rsidP="00921833">
      <w:pPr>
        <w:pStyle w:val="ListParagraph"/>
        <w:ind w:left="0"/>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 xml:space="preserve">The Government of Australia and the Government of Bangladesh </w:t>
      </w:r>
      <w:r w:rsidR="008E7983">
        <w:rPr>
          <w:rFonts w:ascii="Franklin Gothic Book" w:eastAsia="SimSun" w:hAnsi="Franklin Gothic Book" w:cs="Times New Roman"/>
          <w:sz w:val="21"/>
          <w:szCs w:val="21"/>
          <w:lang w:val="en-AU" w:eastAsia="en-AU"/>
        </w:rPr>
        <w:t xml:space="preserve">are </w:t>
      </w:r>
      <w:r w:rsidR="00393250">
        <w:rPr>
          <w:rFonts w:ascii="Franklin Gothic Book" w:eastAsia="SimSun" w:hAnsi="Franklin Gothic Book" w:cs="Times New Roman"/>
          <w:sz w:val="21"/>
          <w:szCs w:val="21"/>
          <w:lang w:val="en-AU" w:eastAsia="en-AU"/>
        </w:rPr>
        <w:t xml:space="preserve">committed to </w:t>
      </w:r>
      <w:r w:rsidRPr="00237CCA">
        <w:rPr>
          <w:rFonts w:ascii="Franklin Gothic Book" w:eastAsia="SimSun" w:hAnsi="Franklin Gothic Book" w:cs="Times New Roman"/>
          <w:sz w:val="21"/>
          <w:szCs w:val="21"/>
          <w:lang w:val="en-AU" w:eastAsia="en-AU"/>
        </w:rPr>
        <w:t xml:space="preserve">work together to achieve sustainable improvements in the quality of life </w:t>
      </w:r>
      <w:r w:rsidR="00876676" w:rsidRPr="00237CCA">
        <w:rPr>
          <w:rFonts w:ascii="Franklin Gothic Book" w:eastAsia="SimSun" w:hAnsi="Franklin Gothic Book" w:cs="Times New Roman"/>
          <w:sz w:val="21"/>
          <w:szCs w:val="21"/>
          <w:lang w:val="en-AU" w:eastAsia="en-AU"/>
        </w:rPr>
        <w:t>of</w:t>
      </w:r>
      <w:r w:rsidRPr="00237CCA">
        <w:rPr>
          <w:rFonts w:ascii="Franklin Gothic Book" w:eastAsia="SimSun" w:hAnsi="Franklin Gothic Book" w:cs="Times New Roman"/>
          <w:sz w:val="21"/>
          <w:szCs w:val="21"/>
          <w:lang w:val="en-AU" w:eastAsia="en-AU"/>
        </w:rPr>
        <w:t xml:space="preserve"> Bangladeshis.</w:t>
      </w:r>
      <w:r w:rsidR="00A177E3">
        <w:rPr>
          <w:rStyle w:val="FootnoteReference"/>
          <w:rFonts w:ascii="Franklin Gothic Book" w:eastAsia="SimSun" w:hAnsi="Franklin Gothic Book" w:cs="Times New Roman"/>
          <w:sz w:val="21"/>
          <w:szCs w:val="21"/>
          <w:lang w:val="en-AU" w:eastAsia="en-AU"/>
        </w:rPr>
        <w:footnoteReference w:id="48"/>
      </w:r>
      <w:r w:rsidRPr="00237CCA">
        <w:rPr>
          <w:rFonts w:ascii="Franklin Gothic Book" w:eastAsia="SimSun" w:hAnsi="Franklin Gothic Book" w:cs="Times New Roman"/>
          <w:sz w:val="21"/>
          <w:szCs w:val="21"/>
          <w:lang w:val="en-AU" w:eastAsia="en-AU"/>
        </w:rPr>
        <w:t xml:space="preserve"> </w:t>
      </w:r>
      <w:r w:rsidR="00852B8C">
        <w:rPr>
          <w:rFonts w:ascii="Franklin Gothic Book" w:eastAsia="SimSun" w:hAnsi="Franklin Gothic Book" w:cs="Times New Roman"/>
          <w:sz w:val="21"/>
          <w:szCs w:val="21"/>
          <w:lang w:val="en-AU" w:eastAsia="en-AU"/>
        </w:rPr>
        <w:t xml:space="preserve">Consistent with this commitment, </w:t>
      </w:r>
      <w:r w:rsidR="00DF7B6B">
        <w:rPr>
          <w:rFonts w:ascii="Franklin Gothic Book" w:eastAsia="SimSun" w:hAnsi="Franklin Gothic Book" w:cs="Times New Roman"/>
          <w:sz w:val="21"/>
          <w:szCs w:val="21"/>
          <w:lang w:val="en-AU" w:eastAsia="en-AU"/>
        </w:rPr>
        <w:t xml:space="preserve">and despite challenges described in this report, </w:t>
      </w:r>
      <w:r w:rsidR="00F30951" w:rsidRPr="00237CCA">
        <w:rPr>
          <w:rFonts w:ascii="Franklin Gothic Book" w:eastAsia="SimSun" w:hAnsi="Franklin Gothic Book" w:cs="Times New Roman"/>
          <w:sz w:val="21"/>
          <w:szCs w:val="21"/>
          <w:lang w:val="en-AU" w:eastAsia="en-AU"/>
        </w:rPr>
        <w:t xml:space="preserve">Bangladesh has made </w:t>
      </w:r>
      <w:r w:rsidR="00E004CF">
        <w:rPr>
          <w:rFonts w:ascii="Franklin Gothic Book" w:eastAsia="SimSun" w:hAnsi="Franklin Gothic Book" w:cs="Times New Roman"/>
          <w:sz w:val="21"/>
          <w:szCs w:val="21"/>
          <w:lang w:val="en-AU" w:eastAsia="en-AU"/>
        </w:rPr>
        <w:t xml:space="preserve">strong </w:t>
      </w:r>
      <w:r w:rsidR="00F30951" w:rsidRPr="00237CCA">
        <w:rPr>
          <w:rFonts w:ascii="Franklin Gothic Book" w:eastAsia="SimSun" w:hAnsi="Franklin Gothic Book" w:cs="Times New Roman"/>
          <w:sz w:val="21"/>
          <w:szCs w:val="21"/>
          <w:lang w:val="en-AU" w:eastAsia="en-AU"/>
        </w:rPr>
        <w:t>progress against its MDGs, particularly in</w:t>
      </w:r>
      <w:r w:rsidR="00876676" w:rsidRPr="00237CCA">
        <w:rPr>
          <w:rFonts w:ascii="Franklin Gothic Book" w:eastAsia="SimSun" w:hAnsi="Franklin Gothic Book" w:cs="Times New Roman"/>
          <w:sz w:val="21"/>
          <w:szCs w:val="21"/>
          <w:lang w:val="en-AU" w:eastAsia="en-AU"/>
        </w:rPr>
        <w:t xml:space="preserve"> the areas of</w:t>
      </w:r>
      <w:r w:rsidR="00F30951" w:rsidRPr="00237CCA">
        <w:rPr>
          <w:rFonts w:ascii="Franklin Gothic Book" w:eastAsia="SimSun" w:hAnsi="Franklin Gothic Book" w:cs="Times New Roman"/>
          <w:sz w:val="21"/>
          <w:szCs w:val="21"/>
          <w:lang w:val="en-AU" w:eastAsia="en-AU"/>
        </w:rPr>
        <w:t xml:space="preserve"> poverty reduction, school enrolment (achieving gender parity)</w:t>
      </w:r>
      <w:r w:rsidR="00393250">
        <w:rPr>
          <w:rFonts w:ascii="Franklin Gothic Book" w:eastAsia="SimSun" w:hAnsi="Franklin Gothic Book" w:cs="Times New Roman"/>
          <w:sz w:val="21"/>
          <w:szCs w:val="21"/>
          <w:lang w:val="en-AU" w:eastAsia="en-AU"/>
        </w:rPr>
        <w:t>, maternal mortality</w:t>
      </w:r>
      <w:r w:rsidR="00F30951" w:rsidRPr="00237CCA">
        <w:rPr>
          <w:rFonts w:ascii="Franklin Gothic Book" w:eastAsia="SimSun" w:hAnsi="Franklin Gothic Book" w:cs="Times New Roman"/>
          <w:sz w:val="21"/>
          <w:szCs w:val="21"/>
          <w:lang w:val="en-AU" w:eastAsia="en-AU"/>
        </w:rPr>
        <w:t xml:space="preserve"> and opportunities for women</w:t>
      </w:r>
      <w:r w:rsidR="008E7983">
        <w:rPr>
          <w:rFonts w:ascii="Franklin Gothic Book" w:eastAsia="SimSun" w:hAnsi="Franklin Gothic Book" w:cs="Times New Roman"/>
          <w:sz w:val="21"/>
          <w:szCs w:val="21"/>
          <w:lang w:val="en-AU" w:eastAsia="en-AU"/>
        </w:rPr>
        <w:t>.</w:t>
      </w:r>
      <w:r w:rsidR="00F30951" w:rsidRPr="00237CCA">
        <w:rPr>
          <w:rStyle w:val="FootnoteReference"/>
          <w:rFonts w:ascii="Franklin Gothic Book" w:eastAsia="SimSun" w:hAnsi="Franklin Gothic Book" w:cs="Times New Roman"/>
          <w:sz w:val="21"/>
          <w:szCs w:val="21"/>
          <w:lang w:val="en-AU" w:eastAsia="en-AU"/>
        </w:rPr>
        <w:footnoteReference w:id="49"/>
      </w:r>
      <w:r w:rsidR="00F30951" w:rsidRPr="00237CCA">
        <w:rPr>
          <w:rFonts w:ascii="Franklin Gothic Book" w:eastAsia="SimSun" w:hAnsi="Franklin Gothic Book" w:cs="Times New Roman"/>
          <w:sz w:val="21"/>
          <w:szCs w:val="21"/>
          <w:lang w:val="en-AU" w:eastAsia="en-AU"/>
        </w:rPr>
        <w:t xml:space="preserve"> </w:t>
      </w:r>
    </w:p>
    <w:p w:rsidR="00393250" w:rsidRDefault="00393250" w:rsidP="00921833">
      <w:pPr>
        <w:pStyle w:val="ListParagraph"/>
        <w:ind w:left="0"/>
        <w:rPr>
          <w:rFonts w:ascii="Franklin Gothic Book" w:eastAsia="SimSun" w:hAnsi="Franklin Gothic Book" w:cs="Times New Roman"/>
          <w:sz w:val="21"/>
          <w:szCs w:val="21"/>
          <w:lang w:val="en-AU" w:eastAsia="en-AU"/>
        </w:rPr>
      </w:pPr>
    </w:p>
    <w:p w:rsidR="00207558" w:rsidRPr="00237CCA" w:rsidRDefault="00852B8C" w:rsidP="00921833">
      <w:pPr>
        <w:pStyle w:val="ListParagraph"/>
        <w:ind w:left="0"/>
        <w:rPr>
          <w:rFonts w:ascii="Franklin Gothic Book" w:eastAsia="SimSun" w:hAnsi="Franklin Gothic Book" w:cs="Times New Roman"/>
          <w:sz w:val="21"/>
          <w:szCs w:val="21"/>
          <w:lang w:val="en-AU" w:eastAsia="en-AU"/>
        </w:rPr>
      </w:pPr>
      <w:r>
        <w:rPr>
          <w:rFonts w:ascii="Franklin Gothic Book" w:eastAsia="SimSun" w:hAnsi="Franklin Gothic Book" w:cs="Times New Roman"/>
          <w:sz w:val="21"/>
          <w:szCs w:val="21"/>
          <w:lang w:val="en-AU" w:eastAsia="en-AU"/>
        </w:rPr>
        <w:t xml:space="preserve">In line </w:t>
      </w:r>
      <w:r w:rsidR="00207558" w:rsidRPr="00237CCA">
        <w:rPr>
          <w:rFonts w:ascii="Franklin Gothic Book" w:eastAsia="SimSun" w:hAnsi="Franklin Gothic Book" w:cs="Times New Roman"/>
          <w:sz w:val="21"/>
          <w:szCs w:val="21"/>
          <w:lang w:val="en-AU" w:eastAsia="en-AU"/>
        </w:rPr>
        <w:t xml:space="preserve">with the </w:t>
      </w:r>
      <w:r w:rsidR="00E004CF">
        <w:rPr>
          <w:rFonts w:ascii="Franklin Gothic Book" w:eastAsia="SimSun" w:hAnsi="Franklin Gothic Book" w:cs="Times New Roman"/>
          <w:sz w:val="21"/>
          <w:szCs w:val="21"/>
          <w:lang w:val="en-AU" w:eastAsia="en-AU"/>
        </w:rPr>
        <w:t>G</w:t>
      </w:r>
      <w:r w:rsidR="008E7983">
        <w:rPr>
          <w:rFonts w:ascii="Franklin Gothic Book" w:eastAsia="SimSun" w:hAnsi="Franklin Gothic Book" w:cs="Times New Roman"/>
          <w:sz w:val="21"/>
          <w:szCs w:val="21"/>
          <w:lang w:val="en-AU" w:eastAsia="en-AU"/>
        </w:rPr>
        <w:t xml:space="preserve">overnment of </w:t>
      </w:r>
      <w:r w:rsidR="00E004CF">
        <w:rPr>
          <w:rFonts w:ascii="Franklin Gothic Book" w:eastAsia="SimSun" w:hAnsi="Franklin Gothic Book" w:cs="Times New Roman"/>
          <w:sz w:val="21"/>
          <w:szCs w:val="21"/>
          <w:lang w:val="en-AU" w:eastAsia="en-AU"/>
        </w:rPr>
        <w:t>B</w:t>
      </w:r>
      <w:r w:rsidR="008E7983">
        <w:rPr>
          <w:rFonts w:ascii="Franklin Gothic Book" w:eastAsia="SimSun" w:hAnsi="Franklin Gothic Book" w:cs="Times New Roman"/>
          <w:sz w:val="21"/>
          <w:szCs w:val="21"/>
          <w:lang w:val="en-AU" w:eastAsia="en-AU"/>
        </w:rPr>
        <w:t>angladesh</w:t>
      </w:r>
      <w:r w:rsidR="00E004CF">
        <w:rPr>
          <w:rFonts w:ascii="Franklin Gothic Book" w:eastAsia="SimSun" w:hAnsi="Franklin Gothic Book" w:cs="Times New Roman"/>
          <w:sz w:val="21"/>
          <w:szCs w:val="21"/>
          <w:lang w:val="en-AU" w:eastAsia="en-AU"/>
        </w:rPr>
        <w:t>’s</w:t>
      </w:r>
      <w:r w:rsidR="00207558" w:rsidRPr="00237CCA">
        <w:rPr>
          <w:rFonts w:ascii="Franklin Gothic Book" w:eastAsia="SimSun" w:hAnsi="Franklin Gothic Book" w:cs="Times New Roman"/>
          <w:sz w:val="21"/>
          <w:szCs w:val="21"/>
          <w:lang w:val="en-AU" w:eastAsia="en-AU"/>
        </w:rPr>
        <w:t xml:space="preserve"> Sixth Five Year Plan (2011 – 2015), the goal of Australian aid to Bangladesh is to help promote inclusive economic growth by addressing the impacts of poverty and supporting human development. This goal </w:t>
      </w:r>
      <w:r w:rsidR="00F30951" w:rsidRPr="00237CCA">
        <w:rPr>
          <w:rFonts w:ascii="Franklin Gothic Book" w:eastAsia="SimSun" w:hAnsi="Franklin Gothic Book" w:cs="Times New Roman"/>
          <w:sz w:val="21"/>
          <w:szCs w:val="21"/>
          <w:lang w:val="en-AU" w:eastAsia="en-AU"/>
        </w:rPr>
        <w:t>was</w:t>
      </w:r>
      <w:r w:rsidR="00207558" w:rsidRPr="00237CCA">
        <w:rPr>
          <w:rFonts w:ascii="Franklin Gothic Book" w:eastAsia="SimSun" w:hAnsi="Franklin Gothic Book" w:cs="Times New Roman"/>
          <w:sz w:val="21"/>
          <w:szCs w:val="21"/>
          <w:lang w:val="en-AU" w:eastAsia="en-AU"/>
        </w:rPr>
        <w:t xml:space="preserve"> pursued through Australian support in the areas of education, health, </w:t>
      </w:r>
      <w:r w:rsidR="00F30951" w:rsidRPr="00237CCA">
        <w:rPr>
          <w:rFonts w:ascii="Franklin Gothic Book" w:eastAsia="SimSun" w:hAnsi="Franklin Gothic Book" w:cs="Times New Roman"/>
          <w:sz w:val="21"/>
          <w:szCs w:val="21"/>
          <w:lang w:val="en-AU" w:eastAsia="en-AU"/>
        </w:rPr>
        <w:t>social protection and humanitarian assistance</w:t>
      </w:r>
      <w:r w:rsidR="00207558" w:rsidRPr="00237CCA">
        <w:rPr>
          <w:rFonts w:ascii="Franklin Gothic Book" w:eastAsia="SimSun" w:hAnsi="Franklin Gothic Book" w:cs="Times New Roman"/>
          <w:sz w:val="21"/>
          <w:szCs w:val="21"/>
          <w:lang w:val="en-AU" w:eastAsia="en-AU"/>
        </w:rPr>
        <w:t>.</w:t>
      </w:r>
      <w:r w:rsidR="00393250">
        <w:rPr>
          <w:rFonts w:ascii="Franklin Gothic Book" w:eastAsia="SimSun" w:hAnsi="Franklin Gothic Book" w:cs="Times New Roman"/>
          <w:sz w:val="21"/>
          <w:szCs w:val="21"/>
          <w:lang w:val="en-AU" w:eastAsia="en-AU"/>
        </w:rPr>
        <w:t xml:space="preserve"> During the </w:t>
      </w:r>
      <w:r w:rsidR="00A95D75">
        <w:rPr>
          <w:rFonts w:ascii="Franklin Gothic Book" w:eastAsia="SimSun" w:hAnsi="Franklin Gothic Book" w:cs="Times New Roman"/>
          <w:sz w:val="21"/>
          <w:szCs w:val="21"/>
          <w:lang w:val="en-AU" w:eastAsia="en-AU"/>
        </w:rPr>
        <w:t>y</w:t>
      </w:r>
      <w:r w:rsidR="00393250">
        <w:rPr>
          <w:rFonts w:ascii="Franklin Gothic Book" w:eastAsia="SimSun" w:hAnsi="Franklin Gothic Book" w:cs="Times New Roman"/>
          <w:sz w:val="21"/>
          <w:szCs w:val="21"/>
          <w:lang w:val="en-AU" w:eastAsia="en-AU"/>
        </w:rPr>
        <w:t>ear the Government</w:t>
      </w:r>
      <w:r w:rsidR="008E7983">
        <w:rPr>
          <w:rFonts w:ascii="Franklin Gothic Book" w:eastAsia="SimSun" w:hAnsi="Franklin Gothic Book" w:cs="Times New Roman"/>
          <w:sz w:val="21"/>
          <w:szCs w:val="21"/>
          <w:lang w:val="en-AU" w:eastAsia="en-AU"/>
        </w:rPr>
        <w:t xml:space="preserve"> of Bangladesh</w:t>
      </w:r>
      <w:r w:rsidR="00393250">
        <w:rPr>
          <w:rFonts w:ascii="Franklin Gothic Book" w:eastAsia="SimSun" w:hAnsi="Franklin Gothic Book" w:cs="Times New Roman"/>
          <w:sz w:val="21"/>
          <w:szCs w:val="21"/>
          <w:lang w:val="en-AU" w:eastAsia="en-AU"/>
        </w:rPr>
        <w:t xml:space="preserve"> achieved </w:t>
      </w:r>
      <w:r w:rsidR="008E7983">
        <w:rPr>
          <w:rFonts w:ascii="Franklin Gothic Book" w:eastAsia="SimSun" w:hAnsi="Franklin Gothic Book" w:cs="Times New Roman"/>
          <w:sz w:val="21"/>
          <w:szCs w:val="21"/>
          <w:lang w:val="en-AU" w:eastAsia="en-AU"/>
        </w:rPr>
        <w:t xml:space="preserve">nine </w:t>
      </w:r>
      <w:r w:rsidR="00393250">
        <w:rPr>
          <w:rFonts w:ascii="Franklin Gothic Book" w:eastAsia="SimSun" w:hAnsi="Franklin Gothic Book" w:cs="Times New Roman"/>
          <w:sz w:val="21"/>
          <w:szCs w:val="21"/>
          <w:lang w:val="en-AU" w:eastAsia="en-AU"/>
        </w:rPr>
        <w:t xml:space="preserve">out of </w:t>
      </w:r>
      <w:r w:rsidR="00A95D75">
        <w:rPr>
          <w:rFonts w:ascii="Franklin Gothic Book" w:eastAsia="SimSun" w:hAnsi="Franklin Gothic Book" w:cs="Times New Roman"/>
          <w:sz w:val="21"/>
          <w:szCs w:val="21"/>
          <w:lang w:val="en-AU" w:eastAsia="en-AU"/>
        </w:rPr>
        <w:t xml:space="preserve">the </w:t>
      </w:r>
      <w:r w:rsidR="008E7983">
        <w:rPr>
          <w:rFonts w:ascii="Franklin Gothic Book" w:eastAsia="SimSun" w:hAnsi="Franklin Gothic Book" w:cs="Times New Roman"/>
          <w:sz w:val="21"/>
          <w:szCs w:val="21"/>
          <w:lang w:val="en-AU" w:eastAsia="en-AU"/>
        </w:rPr>
        <w:t>nine</w:t>
      </w:r>
      <w:r w:rsidR="00393250">
        <w:rPr>
          <w:rFonts w:ascii="Franklin Gothic Book" w:eastAsia="SimSun" w:hAnsi="Franklin Gothic Book" w:cs="Times New Roman"/>
          <w:sz w:val="21"/>
          <w:szCs w:val="21"/>
          <w:lang w:val="en-AU" w:eastAsia="en-AU"/>
        </w:rPr>
        <w:t xml:space="preserve"> indicators linked to donor disbursement of funding under its Primary Education Development Program. </w:t>
      </w:r>
      <w:r w:rsidR="00A95D75">
        <w:rPr>
          <w:rFonts w:ascii="Franklin Gothic Book" w:eastAsia="SimSun" w:hAnsi="Franklin Gothic Book" w:cs="Times New Roman"/>
          <w:sz w:val="21"/>
          <w:szCs w:val="21"/>
          <w:lang w:val="en-AU" w:eastAsia="en-AU"/>
        </w:rPr>
        <w:t>The Government</w:t>
      </w:r>
      <w:r w:rsidR="008E7983">
        <w:rPr>
          <w:rFonts w:ascii="Franklin Gothic Book" w:eastAsia="SimSun" w:hAnsi="Franklin Gothic Book" w:cs="Times New Roman"/>
          <w:sz w:val="21"/>
          <w:szCs w:val="21"/>
          <w:lang w:val="en-AU" w:eastAsia="en-AU"/>
        </w:rPr>
        <w:t xml:space="preserve"> of Bangladesh</w:t>
      </w:r>
      <w:r w:rsidR="00A95D75">
        <w:rPr>
          <w:rFonts w:ascii="Franklin Gothic Book" w:eastAsia="SimSun" w:hAnsi="Franklin Gothic Book" w:cs="Times New Roman"/>
          <w:sz w:val="21"/>
          <w:szCs w:val="21"/>
          <w:lang w:val="en-AU" w:eastAsia="en-AU"/>
        </w:rPr>
        <w:t xml:space="preserve"> finalised </w:t>
      </w:r>
      <w:r w:rsidR="003A377D">
        <w:rPr>
          <w:rFonts w:ascii="Franklin Gothic Book" w:eastAsia="SimSun" w:hAnsi="Franklin Gothic Book" w:cs="Times New Roman"/>
          <w:sz w:val="21"/>
          <w:szCs w:val="21"/>
          <w:lang w:val="en-AU" w:eastAsia="en-AU"/>
        </w:rPr>
        <w:t>a draft of a</w:t>
      </w:r>
      <w:r w:rsidR="00A95D75">
        <w:rPr>
          <w:rFonts w:ascii="Franklin Gothic Book" w:eastAsia="SimSun" w:hAnsi="Franklin Gothic Book" w:cs="Times New Roman"/>
          <w:sz w:val="21"/>
          <w:szCs w:val="21"/>
          <w:lang w:val="en-AU" w:eastAsia="en-AU"/>
        </w:rPr>
        <w:t xml:space="preserve"> National Social Security </w:t>
      </w:r>
      <w:r w:rsidR="00B07750">
        <w:rPr>
          <w:rFonts w:ascii="Franklin Gothic Book" w:eastAsia="SimSun" w:hAnsi="Franklin Gothic Book" w:cs="Times New Roman"/>
          <w:sz w:val="21"/>
          <w:szCs w:val="21"/>
          <w:lang w:val="en-AU" w:eastAsia="en-AU"/>
        </w:rPr>
        <w:t xml:space="preserve">Strategy </w:t>
      </w:r>
      <w:r w:rsidR="00A95D75">
        <w:rPr>
          <w:rFonts w:ascii="Franklin Gothic Book" w:eastAsia="SimSun" w:hAnsi="Franklin Gothic Book" w:cs="Times New Roman"/>
          <w:sz w:val="21"/>
          <w:szCs w:val="21"/>
          <w:lang w:val="en-AU" w:eastAsia="en-AU"/>
        </w:rPr>
        <w:t xml:space="preserve">and released its </w:t>
      </w:r>
      <w:r w:rsidR="0097378E">
        <w:rPr>
          <w:rFonts w:ascii="Franklin Gothic Book" w:eastAsia="SimSun" w:hAnsi="Franklin Gothic Book" w:cs="Times New Roman"/>
          <w:sz w:val="21"/>
          <w:szCs w:val="21"/>
          <w:lang w:val="en-AU" w:eastAsia="en-AU"/>
        </w:rPr>
        <w:t xml:space="preserve">National </w:t>
      </w:r>
      <w:r w:rsidR="00A95D75">
        <w:rPr>
          <w:rFonts w:ascii="Franklin Gothic Book" w:eastAsia="SimSun" w:hAnsi="Franklin Gothic Book" w:cs="Times New Roman"/>
          <w:sz w:val="21"/>
          <w:szCs w:val="21"/>
          <w:lang w:val="en-AU" w:eastAsia="en-AU"/>
        </w:rPr>
        <w:t xml:space="preserve">Strategy </w:t>
      </w:r>
      <w:r w:rsidR="00B07750">
        <w:rPr>
          <w:rFonts w:ascii="Franklin Gothic Book" w:eastAsia="SimSun" w:hAnsi="Franklin Gothic Book" w:cs="Times New Roman"/>
          <w:sz w:val="21"/>
          <w:szCs w:val="21"/>
          <w:lang w:val="en-AU" w:eastAsia="en-AU"/>
        </w:rPr>
        <w:t>on Myanmar Refugees and Undocumented Myanmar Nationals</w:t>
      </w:r>
      <w:r w:rsidR="0097378E">
        <w:rPr>
          <w:rFonts w:ascii="Franklin Gothic Book" w:eastAsia="SimSun" w:hAnsi="Franklin Gothic Book" w:cs="Times New Roman"/>
          <w:sz w:val="21"/>
          <w:szCs w:val="21"/>
          <w:lang w:val="en-AU" w:eastAsia="en-AU"/>
        </w:rPr>
        <w:t xml:space="preserve"> in Bangladesh</w:t>
      </w:r>
      <w:r w:rsidR="00A95D75">
        <w:rPr>
          <w:rFonts w:ascii="Franklin Gothic Book" w:eastAsia="SimSun" w:hAnsi="Franklin Gothic Book" w:cs="Times New Roman"/>
          <w:sz w:val="21"/>
          <w:szCs w:val="21"/>
          <w:lang w:val="en-AU" w:eastAsia="en-AU"/>
        </w:rPr>
        <w:t xml:space="preserve">, which </w:t>
      </w:r>
      <w:r w:rsidR="003A377D">
        <w:rPr>
          <w:rFonts w:ascii="Franklin Gothic Book" w:eastAsia="SimSun" w:hAnsi="Franklin Gothic Book" w:cs="Times New Roman"/>
          <w:sz w:val="21"/>
          <w:szCs w:val="21"/>
          <w:lang w:val="en-AU" w:eastAsia="en-AU"/>
        </w:rPr>
        <w:t xml:space="preserve">is guiding partner assistance </w:t>
      </w:r>
      <w:r w:rsidR="00CE33B1">
        <w:rPr>
          <w:rFonts w:ascii="Franklin Gothic Book" w:eastAsia="SimSun" w:hAnsi="Franklin Gothic Book" w:cs="Times New Roman"/>
          <w:sz w:val="21"/>
          <w:szCs w:val="21"/>
          <w:lang w:val="en-AU" w:eastAsia="en-AU"/>
        </w:rPr>
        <w:t>to</w:t>
      </w:r>
      <w:r w:rsidR="00E004CF">
        <w:rPr>
          <w:rFonts w:ascii="Franklin Gothic Book" w:eastAsia="SimSun" w:hAnsi="Franklin Gothic Book" w:cs="Times New Roman"/>
          <w:sz w:val="21"/>
          <w:szCs w:val="21"/>
          <w:lang w:val="en-AU" w:eastAsia="en-AU"/>
        </w:rPr>
        <w:t xml:space="preserve"> vulnerable Rohingya communities</w:t>
      </w:r>
      <w:r w:rsidR="00CE33B1">
        <w:rPr>
          <w:rFonts w:ascii="Franklin Gothic Book" w:eastAsia="SimSun" w:hAnsi="Franklin Gothic Book" w:cs="Times New Roman"/>
          <w:sz w:val="21"/>
          <w:szCs w:val="21"/>
          <w:lang w:val="en-AU" w:eastAsia="en-AU"/>
        </w:rPr>
        <w:t xml:space="preserve"> </w:t>
      </w:r>
      <w:r w:rsidR="003A377D">
        <w:rPr>
          <w:rFonts w:ascii="Franklin Gothic Book" w:eastAsia="SimSun" w:hAnsi="Franklin Gothic Book" w:cs="Times New Roman"/>
          <w:sz w:val="21"/>
          <w:szCs w:val="21"/>
          <w:lang w:val="en-AU" w:eastAsia="en-AU"/>
        </w:rPr>
        <w:t>in Cox’s Bazar</w:t>
      </w:r>
      <w:r w:rsidR="0097378E">
        <w:rPr>
          <w:rFonts w:ascii="Franklin Gothic Book" w:eastAsia="SimSun" w:hAnsi="Franklin Gothic Book" w:cs="Times New Roman"/>
          <w:sz w:val="21"/>
          <w:szCs w:val="21"/>
          <w:lang w:val="en-AU" w:eastAsia="en-AU"/>
        </w:rPr>
        <w:t xml:space="preserve"> District</w:t>
      </w:r>
      <w:r w:rsidR="003A377D">
        <w:rPr>
          <w:rFonts w:ascii="Franklin Gothic Book" w:eastAsia="SimSun" w:hAnsi="Franklin Gothic Book" w:cs="Times New Roman"/>
          <w:sz w:val="21"/>
          <w:szCs w:val="21"/>
          <w:lang w:val="en-AU" w:eastAsia="en-AU"/>
        </w:rPr>
        <w:t xml:space="preserve">.  </w:t>
      </w:r>
      <w:r w:rsidR="000F3118">
        <w:rPr>
          <w:rFonts w:ascii="Franklin Gothic Book" w:eastAsia="SimSun" w:hAnsi="Franklin Gothic Book" w:cs="Times New Roman"/>
          <w:sz w:val="21"/>
          <w:szCs w:val="21"/>
          <w:lang w:val="en-AU" w:eastAsia="en-AU"/>
        </w:rPr>
        <w:t xml:space="preserve"> </w:t>
      </w:r>
    </w:p>
    <w:p w:rsidR="0095773E" w:rsidRPr="00237CCA" w:rsidRDefault="00AF0459" w:rsidP="00836739">
      <w:pPr>
        <w:pStyle w:val="Heading3"/>
        <w:jc w:val="both"/>
        <w:rPr>
          <w:rFonts w:ascii="Franklin Gothic Book" w:hAnsi="Franklin Gothic Book"/>
          <w:b w:val="0"/>
          <w:sz w:val="21"/>
          <w:szCs w:val="21"/>
        </w:rPr>
      </w:pPr>
      <w:r w:rsidRPr="00237CCA">
        <w:rPr>
          <w:b w:val="0"/>
          <w:color w:val="007FAD"/>
          <w:sz w:val="32"/>
          <w:szCs w:val="32"/>
          <w:lang w:eastAsia="en-AU"/>
        </w:rPr>
        <w:t xml:space="preserve">Program Quality and Management </w:t>
      </w:r>
      <w:r w:rsidRPr="00237CCA">
        <w:rPr>
          <w:b w:val="0"/>
          <w:color w:val="007FAD"/>
          <w:sz w:val="32"/>
          <w:szCs w:val="32"/>
          <w:lang w:eastAsia="en-AU"/>
        </w:rPr>
        <w:tab/>
      </w:r>
      <w:r w:rsidRPr="00237CCA">
        <w:rPr>
          <w:rFonts w:ascii="Franklin Gothic Book" w:hAnsi="Franklin Gothic Book"/>
          <w:sz w:val="21"/>
          <w:szCs w:val="21"/>
        </w:rPr>
        <w:tab/>
      </w:r>
    </w:p>
    <w:p w:rsidR="00DF7B6B" w:rsidRPr="00A624E2" w:rsidRDefault="00DF7B6B" w:rsidP="00DF7B6B">
      <w:pPr>
        <w:pStyle w:val="ListParagraph"/>
        <w:ind w:left="0"/>
        <w:rPr>
          <w:rFonts w:ascii="Franklin Gothic Book" w:eastAsia="SimSun" w:hAnsi="Franklin Gothic Book" w:cs="Times New Roman"/>
          <w:sz w:val="21"/>
          <w:szCs w:val="21"/>
          <w:lang w:val="en-AU" w:eastAsia="en-AU"/>
        </w:rPr>
      </w:pPr>
      <w:r w:rsidRPr="00836739">
        <w:rPr>
          <w:rFonts w:ascii="Franklin Gothic Book" w:eastAsia="SimSun" w:hAnsi="Franklin Gothic Book" w:cs="Times New Roman"/>
          <w:b/>
          <w:sz w:val="21"/>
          <w:szCs w:val="21"/>
          <w:lang w:val="en-AU" w:eastAsia="en-AU"/>
        </w:rPr>
        <w:t>Our approach of providing technical and policy advice through pa</w:t>
      </w:r>
      <w:r w:rsidRPr="005310DE">
        <w:rPr>
          <w:rFonts w:ascii="Franklin Gothic Book" w:eastAsia="SimSun" w:hAnsi="Franklin Gothic Book" w:cs="Times New Roman"/>
          <w:b/>
          <w:sz w:val="21"/>
          <w:szCs w:val="21"/>
          <w:lang w:val="en-AU" w:eastAsia="en-AU"/>
        </w:rPr>
        <w:t xml:space="preserve">rtnerships has delivered </w:t>
      </w:r>
      <w:r>
        <w:rPr>
          <w:rFonts w:ascii="Franklin Gothic Book" w:eastAsia="SimSun" w:hAnsi="Franklin Gothic Book" w:cs="Times New Roman"/>
          <w:b/>
          <w:sz w:val="21"/>
          <w:szCs w:val="21"/>
          <w:lang w:val="en-AU" w:eastAsia="en-AU"/>
        </w:rPr>
        <w:t xml:space="preserve">systemic change. </w:t>
      </w:r>
      <w:r w:rsidRPr="00836739">
        <w:rPr>
          <w:rFonts w:ascii="Franklin Gothic Book" w:eastAsia="SimSun" w:hAnsi="Franklin Gothic Book" w:cs="Times New Roman"/>
          <w:sz w:val="21"/>
          <w:szCs w:val="21"/>
          <w:lang w:val="en-AU" w:eastAsia="en-AU"/>
        </w:rPr>
        <w:t>Working with other donors and te</w:t>
      </w:r>
      <w:r w:rsidRPr="00492145">
        <w:rPr>
          <w:rFonts w:ascii="Franklin Gothic Book" w:eastAsia="SimSun" w:hAnsi="Franklin Gothic Book" w:cs="Times New Roman"/>
          <w:sz w:val="21"/>
          <w:szCs w:val="21"/>
          <w:lang w:val="en-AU" w:eastAsia="en-AU"/>
        </w:rPr>
        <w:t xml:space="preserve">chnical leads, strong </w:t>
      </w:r>
      <w:r w:rsidRPr="00836739">
        <w:rPr>
          <w:rFonts w:ascii="Franklin Gothic Book" w:eastAsia="SimSun" w:hAnsi="Franklin Gothic Book" w:cs="Times New Roman"/>
          <w:sz w:val="21"/>
          <w:szCs w:val="21"/>
          <w:lang w:val="en-AU" w:eastAsia="en-AU"/>
        </w:rPr>
        <w:t xml:space="preserve">cooperation </w:t>
      </w:r>
      <w:r>
        <w:rPr>
          <w:rFonts w:ascii="Franklin Gothic Book" w:eastAsia="SimSun" w:hAnsi="Franklin Gothic Book" w:cs="Times New Roman"/>
          <w:sz w:val="21"/>
          <w:szCs w:val="21"/>
          <w:lang w:val="en-AU" w:eastAsia="en-AU"/>
        </w:rPr>
        <w:t xml:space="preserve">and advocacy </w:t>
      </w:r>
      <w:r w:rsidRPr="00836739">
        <w:rPr>
          <w:rFonts w:ascii="Franklin Gothic Book" w:eastAsia="SimSun" w:hAnsi="Franklin Gothic Book" w:cs="Times New Roman"/>
          <w:sz w:val="21"/>
          <w:szCs w:val="21"/>
          <w:lang w:val="en-AU" w:eastAsia="en-AU"/>
        </w:rPr>
        <w:t xml:space="preserve">through in-country technical specialists </w:t>
      </w:r>
      <w:r>
        <w:rPr>
          <w:rFonts w:ascii="Franklin Gothic Book" w:eastAsia="SimSun" w:hAnsi="Franklin Gothic Book" w:cs="Times New Roman"/>
          <w:sz w:val="21"/>
          <w:szCs w:val="21"/>
          <w:lang w:val="en-AU" w:eastAsia="en-AU"/>
        </w:rPr>
        <w:t xml:space="preserve">and departmental staff </w:t>
      </w:r>
      <w:r w:rsidRPr="00836739">
        <w:rPr>
          <w:rFonts w:ascii="Franklin Gothic Book" w:eastAsia="SimSun" w:hAnsi="Franklin Gothic Book" w:cs="Times New Roman"/>
          <w:sz w:val="21"/>
          <w:szCs w:val="21"/>
          <w:lang w:val="en-AU" w:eastAsia="en-AU"/>
        </w:rPr>
        <w:t>has been an important factor in Australia’s ability to influence change.</w:t>
      </w:r>
      <w:r>
        <w:rPr>
          <w:rFonts w:ascii="Franklin Gothic Book" w:eastAsia="SimSun" w:hAnsi="Franklin Gothic Book" w:cs="Times New Roman"/>
          <w:sz w:val="21"/>
          <w:szCs w:val="21"/>
          <w:lang w:val="en-AU" w:eastAsia="en-AU"/>
        </w:rPr>
        <w:t xml:space="preserve"> Transaction costs for the </w:t>
      </w:r>
      <w:r w:rsidR="00603685">
        <w:rPr>
          <w:rFonts w:ascii="Franklin Gothic Book" w:eastAsia="SimSun" w:hAnsi="Franklin Gothic Book" w:cs="Times New Roman"/>
          <w:sz w:val="21"/>
          <w:szCs w:val="21"/>
          <w:lang w:val="en-AU" w:eastAsia="en-AU"/>
        </w:rPr>
        <w:t xml:space="preserve">Australia’s approach in areas such as primary education </w:t>
      </w:r>
      <w:r>
        <w:rPr>
          <w:rFonts w:ascii="Franklin Gothic Book" w:eastAsia="SimSun" w:hAnsi="Franklin Gothic Book" w:cs="Times New Roman"/>
          <w:sz w:val="21"/>
          <w:szCs w:val="21"/>
          <w:lang w:val="en-AU" w:eastAsia="en-AU"/>
        </w:rPr>
        <w:t xml:space="preserve">are high but have given significant exposure to Australia’s contributions.  he Bangladesh </w:t>
      </w:r>
      <w:r w:rsidR="00274F44">
        <w:rPr>
          <w:rFonts w:ascii="Franklin Gothic Book" w:eastAsia="SimSun" w:hAnsi="Franklin Gothic Book" w:cs="Times New Roman"/>
          <w:sz w:val="21"/>
          <w:szCs w:val="21"/>
          <w:lang w:val="en-AU" w:eastAsia="en-AU"/>
        </w:rPr>
        <w:t>A</w:t>
      </w:r>
      <w:r>
        <w:rPr>
          <w:rFonts w:ascii="Franklin Gothic Book" w:eastAsia="SimSun" w:hAnsi="Franklin Gothic Book" w:cs="Times New Roman"/>
          <w:sz w:val="21"/>
          <w:szCs w:val="21"/>
          <w:lang w:val="en-AU" w:eastAsia="en-AU"/>
        </w:rPr>
        <w:t xml:space="preserve">id </w:t>
      </w:r>
      <w:r w:rsidR="00274F44">
        <w:rPr>
          <w:rFonts w:ascii="Franklin Gothic Book" w:eastAsia="SimSun" w:hAnsi="Franklin Gothic Book" w:cs="Times New Roman"/>
          <w:sz w:val="21"/>
          <w:szCs w:val="21"/>
          <w:lang w:val="en-AU" w:eastAsia="en-AU"/>
        </w:rPr>
        <w:t>I</w:t>
      </w:r>
      <w:r>
        <w:rPr>
          <w:rFonts w:ascii="Franklin Gothic Book" w:eastAsia="SimSun" w:hAnsi="Franklin Gothic Book" w:cs="Times New Roman"/>
          <w:sz w:val="21"/>
          <w:szCs w:val="21"/>
          <w:lang w:val="en-AU" w:eastAsia="en-AU"/>
        </w:rPr>
        <w:t xml:space="preserve">nvestment </w:t>
      </w:r>
      <w:r w:rsidR="00274F44">
        <w:rPr>
          <w:rFonts w:ascii="Franklin Gothic Book" w:eastAsia="SimSun" w:hAnsi="Franklin Gothic Book" w:cs="Times New Roman"/>
          <w:sz w:val="21"/>
          <w:szCs w:val="21"/>
          <w:lang w:val="en-AU" w:eastAsia="en-AU"/>
        </w:rPr>
        <w:t>P</w:t>
      </w:r>
      <w:r>
        <w:rPr>
          <w:rFonts w:ascii="Franklin Gothic Book" w:eastAsia="SimSun" w:hAnsi="Franklin Gothic Book" w:cs="Times New Roman"/>
          <w:sz w:val="21"/>
          <w:szCs w:val="21"/>
          <w:lang w:val="en-AU" w:eastAsia="en-AU"/>
        </w:rPr>
        <w:t xml:space="preserve">lan will weigh up the transaction costs versus the results and </w:t>
      </w:r>
      <w:r w:rsidRPr="00A624E2">
        <w:rPr>
          <w:rFonts w:ascii="Franklin Gothic Book" w:eastAsia="SimSun" w:hAnsi="Franklin Gothic Book" w:cs="Times New Roman"/>
          <w:sz w:val="21"/>
          <w:szCs w:val="21"/>
          <w:lang w:val="en-AU" w:eastAsia="en-AU"/>
        </w:rPr>
        <w:t>visibility to determine whether we should continue to deliver in the same way.</w:t>
      </w:r>
    </w:p>
    <w:p w:rsidR="00470C7D" w:rsidRPr="00A624E2" w:rsidRDefault="00470C7D" w:rsidP="00EB2EAC">
      <w:pPr>
        <w:pStyle w:val="ListBullet"/>
        <w:numPr>
          <w:ilvl w:val="0"/>
          <w:numId w:val="0"/>
        </w:numPr>
        <w:spacing w:after="0"/>
        <w:jc w:val="both"/>
        <w:rPr>
          <w:rFonts w:eastAsia="SimSun"/>
          <w:b/>
          <w:szCs w:val="21"/>
        </w:rPr>
      </w:pPr>
    </w:p>
    <w:p w:rsidR="008F495C" w:rsidRPr="00237CCA" w:rsidRDefault="008F495C" w:rsidP="008F495C">
      <w:pPr>
        <w:pStyle w:val="ListParagraph"/>
        <w:ind w:left="0"/>
        <w:rPr>
          <w:rFonts w:ascii="Franklin Gothic Book" w:eastAsia="SimSun" w:hAnsi="Franklin Gothic Book" w:cs="Times New Roman"/>
          <w:sz w:val="21"/>
          <w:szCs w:val="21"/>
          <w:lang w:val="en-AU" w:eastAsia="en-AU"/>
        </w:rPr>
      </w:pPr>
      <w:r w:rsidRPr="00A624E2">
        <w:rPr>
          <w:rFonts w:ascii="Franklin Gothic Book" w:eastAsia="SimSun" w:hAnsi="Franklin Gothic Book" w:cs="Times New Roman"/>
          <w:b/>
          <w:sz w:val="21"/>
          <w:szCs w:val="21"/>
          <w:lang w:val="en-AU" w:eastAsia="en-AU"/>
        </w:rPr>
        <w:t xml:space="preserve">This year Australia compared performance across all programs in respect of their benefits for women – to build our understanding and strengthen program delivery. </w:t>
      </w:r>
      <w:r w:rsidRPr="00A624E2">
        <w:rPr>
          <w:rFonts w:ascii="Franklin Gothic Book" w:eastAsia="SimSun" w:hAnsi="Franklin Gothic Book" w:cs="Times New Roman"/>
          <w:sz w:val="21"/>
          <w:szCs w:val="21"/>
          <w:lang w:val="en-AU" w:eastAsia="en-AU"/>
        </w:rPr>
        <w:t xml:space="preserve">The comparison concluded that </w:t>
      </w:r>
      <w:r w:rsidR="00C827F6" w:rsidRPr="00A624E2">
        <w:rPr>
          <w:rFonts w:ascii="Franklin Gothic Book" w:eastAsia="SimSun" w:hAnsi="Franklin Gothic Book" w:cs="Times New Roman"/>
          <w:sz w:val="21"/>
          <w:szCs w:val="21"/>
          <w:lang w:val="en-AU" w:eastAsia="en-AU"/>
        </w:rPr>
        <w:t xml:space="preserve">some investments (including those with WFP, BRAC and the Chars Livelihood Program) could improve reporting </w:t>
      </w:r>
      <w:r w:rsidR="007C68ED" w:rsidRPr="00A624E2">
        <w:rPr>
          <w:rFonts w:ascii="Franklin Gothic Book" w:eastAsia="SimSun" w:hAnsi="Franklin Gothic Book" w:cs="Times New Roman"/>
          <w:sz w:val="21"/>
          <w:szCs w:val="21"/>
          <w:lang w:val="en-AU" w:eastAsia="en-AU"/>
        </w:rPr>
        <w:t xml:space="preserve">of </w:t>
      </w:r>
      <w:r w:rsidR="00C827F6" w:rsidRPr="00A624E2">
        <w:rPr>
          <w:rFonts w:ascii="Franklin Gothic Book" w:eastAsia="SimSun" w:hAnsi="Franklin Gothic Book" w:cs="Times New Roman"/>
          <w:sz w:val="21"/>
          <w:szCs w:val="21"/>
          <w:lang w:val="en-AU" w:eastAsia="en-AU"/>
        </w:rPr>
        <w:t>the results they are already achieving on women’s economic empowerment and elimination of violence against women. The review also found that t</w:t>
      </w:r>
      <w:r w:rsidRPr="00A624E2">
        <w:rPr>
          <w:rFonts w:ascii="Franklin Gothic Book" w:eastAsia="SimSun" w:hAnsi="Franklin Gothic Book" w:cs="Times New Roman"/>
          <w:sz w:val="21"/>
          <w:szCs w:val="21"/>
          <w:lang w:val="en-AU" w:eastAsia="en-AU"/>
        </w:rPr>
        <w:t xml:space="preserve">he </w:t>
      </w:r>
      <w:r w:rsidR="00C827F6" w:rsidRPr="00A624E2">
        <w:rPr>
          <w:rFonts w:ascii="Franklin Gothic Book" w:eastAsia="SimSun" w:hAnsi="Franklin Gothic Book" w:cs="Times New Roman"/>
          <w:sz w:val="21"/>
          <w:szCs w:val="21"/>
          <w:lang w:val="en-AU" w:eastAsia="en-AU"/>
        </w:rPr>
        <w:t>e</w:t>
      </w:r>
      <w:r w:rsidRPr="00A624E2">
        <w:rPr>
          <w:rFonts w:ascii="Franklin Gothic Book" w:eastAsia="SimSun" w:hAnsi="Franklin Gothic Book" w:cs="Times New Roman"/>
          <w:sz w:val="21"/>
          <w:szCs w:val="21"/>
          <w:lang w:val="en-AU" w:eastAsia="en-AU"/>
        </w:rPr>
        <w:t>ducation sector program could do more to incorporate ways for women to demand and shape services.</w:t>
      </w:r>
      <w:r w:rsidR="00C827F6" w:rsidRPr="00A624E2">
        <w:rPr>
          <w:rFonts w:ascii="Franklin Gothic Book" w:eastAsia="SimSun" w:hAnsi="Franklin Gothic Book" w:cs="Times New Roman"/>
          <w:sz w:val="21"/>
          <w:szCs w:val="21"/>
          <w:lang w:val="en-AU" w:eastAsia="en-AU"/>
        </w:rPr>
        <w:t xml:space="preserve"> Nevertheless, </w:t>
      </w:r>
      <w:r w:rsidR="007C68ED" w:rsidRPr="00A624E2">
        <w:rPr>
          <w:rFonts w:ascii="Franklin Gothic Book" w:eastAsia="SimSun" w:hAnsi="Franklin Gothic Book" w:cs="Times New Roman"/>
          <w:sz w:val="21"/>
          <w:szCs w:val="21"/>
          <w:lang w:val="en-AU" w:eastAsia="en-AU"/>
        </w:rPr>
        <w:t xml:space="preserve">involvement across </w:t>
      </w:r>
      <w:r w:rsidR="00C827F6" w:rsidRPr="00A624E2">
        <w:rPr>
          <w:rFonts w:ascii="Franklin Gothic Book" w:eastAsia="SimSun" w:hAnsi="Franklin Gothic Book" w:cs="Times New Roman"/>
          <w:sz w:val="21"/>
          <w:szCs w:val="21"/>
          <w:lang w:val="en-AU" w:eastAsia="en-AU"/>
        </w:rPr>
        <w:t xml:space="preserve">all Australia’s investments </w:t>
      </w:r>
      <w:r w:rsidRPr="00A624E2">
        <w:rPr>
          <w:rFonts w:ascii="Franklin Gothic Book" w:eastAsia="SimSun" w:hAnsi="Franklin Gothic Book" w:cs="Times New Roman"/>
          <w:sz w:val="21"/>
          <w:szCs w:val="21"/>
          <w:lang w:val="en-AU" w:eastAsia="en-AU"/>
        </w:rPr>
        <w:t>has deepened participants’ understanding of how social structures combine to put women at a disadvantage in access to services. This greater</w:t>
      </w:r>
      <w:r w:rsidRPr="00684307">
        <w:rPr>
          <w:rFonts w:ascii="Franklin Gothic Book" w:eastAsia="SimSun" w:hAnsi="Franklin Gothic Book" w:cs="Times New Roman"/>
          <w:sz w:val="21"/>
          <w:szCs w:val="21"/>
          <w:lang w:val="en-AU" w:eastAsia="en-AU"/>
        </w:rPr>
        <w:t xml:space="preserve"> awareness is informing Australia’s engagement with partners</w:t>
      </w:r>
      <w:r w:rsidR="00C827F6">
        <w:rPr>
          <w:rFonts w:ascii="Franklin Gothic Book" w:eastAsia="SimSun" w:hAnsi="Franklin Gothic Book" w:cs="Times New Roman"/>
          <w:sz w:val="21"/>
          <w:szCs w:val="21"/>
          <w:lang w:val="en-AU" w:eastAsia="en-AU"/>
        </w:rPr>
        <w:t xml:space="preserve"> who are </w:t>
      </w:r>
      <w:r w:rsidRPr="00684307">
        <w:rPr>
          <w:rFonts w:ascii="Franklin Gothic Book" w:eastAsia="SimSun" w:hAnsi="Franklin Gothic Book" w:cs="Times New Roman"/>
          <w:sz w:val="21"/>
          <w:szCs w:val="21"/>
          <w:lang w:val="en-AU" w:eastAsia="en-AU"/>
        </w:rPr>
        <w:t>rais</w:t>
      </w:r>
      <w:r w:rsidR="00C827F6">
        <w:rPr>
          <w:rFonts w:ascii="Franklin Gothic Book" w:eastAsia="SimSun" w:hAnsi="Franklin Gothic Book" w:cs="Times New Roman"/>
          <w:sz w:val="21"/>
          <w:szCs w:val="21"/>
          <w:lang w:val="en-AU" w:eastAsia="en-AU"/>
        </w:rPr>
        <w:t xml:space="preserve">ing </w:t>
      </w:r>
      <w:r w:rsidRPr="00684307">
        <w:rPr>
          <w:rFonts w:ascii="Franklin Gothic Book" w:eastAsia="SimSun" w:hAnsi="Franklin Gothic Book" w:cs="Times New Roman"/>
          <w:sz w:val="21"/>
          <w:szCs w:val="21"/>
          <w:lang w:val="en-AU" w:eastAsia="en-AU"/>
        </w:rPr>
        <w:t>the voice of women and encourag</w:t>
      </w:r>
      <w:r w:rsidR="00C827F6">
        <w:rPr>
          <w:rFonts w:ascii="Franklin Gothic Book" w:eastAsia="SimSun" w:hAnsi="Franklin Gothic Book" w:cs="Times New Roman"/>
          <w:sz w:val="21"/>
          <w:szCs w:val="21"/>
          <w:lang w:val="en-AU" w:eastAsia="en-AU"/>
        </w:rPr>
        <w:t xml:space="preserve">ing </w:t>
      </w:r>
      <w:r w:rsidRPr="00684307">
        <w:rPr>
          <w:rFonts w:ascii="Franklin Gothic Book" w:eastAsia="SimSun" w:hAnsi="Franklin Gothic Book" w:cs="Times New Roman"/>
          <w:sz w:val="21"/>
          <w:szCs w:val="21"/>
          <w:lang w:val="en-AU" w:eastAsia="en-AU"/>
        </w:rPr>
        <w:t xml:space="preserve">service providers to respond better to their service needs. </w:t>
      </w:r>
      <w:r>
        <w:rPr>
          <w:rFonts w:ascii="Franklin Gothic Book" w:eastAsia="SimSun" w:hAnsi="Franklin Gothic Book" w:cs="Times New Roman"/>
          <w:sz w:val="21"/>
          <w:szCs w:val="21"/>
          <w:lang w:val="en-AU" w:eastAsia="en-AU"/>
        </w:rPr>
        <w:t xml:space="preserve"> </w:t>
      </w:r>
    </w:p>
    <w:p w:rsidR="00E91B20" w:rsidRPr="00FC31F0" w:rsidRDefault="00587D51" w:rsidP="00FC31F0">
      <w:pPr>
        <w:pStyle w:val="ListBullet"/>
        <w:numPr>
          <w:ilvl w:val="0"/>
          <w:numId w:val="0"/>
        </w:numPr>
        <w:jc w:val="both"/>
        <w:rPr>
          <w:rFonts w:eastAsia="SimSun"/>
          <w:szCs w:val="21"/>
        </w:rPr>
      </w:pPr>
      <w:r>
        <w:rPr>
          <w:rFonts w:eastAsia="SimSun"/>
          <w:b/>
          <w:szCs w:val="21"/>
        </w:rPr>
        <w:t xml:space="preserve">Australia’s technical support has been used </w:t>
      </w:r>
      <w:r w:rsidR="0095773E" w:rsidRPr="00FC31F0">
        <w:rPr>
          <w:rFonts w:eastAsia="SimSun"/>
          <w:b/>
          <w:szCs w:val="21"/>
        </w:rPr>
        <w:t xml:space="preserve">to bring together themes for focus across the program. </w:t>
      </w:r>
      <w:r w:rsidR="0095773E" w:rsidRPr="00FC31F0">
        <w:rPr>
          <w:rFonts w:eastAsia="SimSun"/>
          <w:szCs w:val="21"/>
        </w:rPr>
        <w:t xml:space="preserve">The deployment of a </w:t>
      </w:r>
      <w:r w:rsidR="008E7983">
        <w:rPr>
          <w:rFonts w:eastAsia="SimSun"/>
          <w:szCs w:val="21"/>
        </w:rPr>
        <w:t xml:space="preserve">PFM </w:t>
      </w:r>
      <w:r w:rsidR="00E91B20" w:rsidRPr="00FC31F0">
        <w:rPr>
          <w:rFonts w:eastAsia="SimSun"/>
          <w:szCs w:val="21"/>
        </w:rPr>
        <w:t>specialist</w:t>
      </w:r>
      <w:r w:rsidR="0095773E" w:rsidRPr="00FC31F0">
        <w:rPr>
          <w:rFonts w:eastAsia="SimSun"/>
          <w:szCs w:val="21"/>
        </w:rPr>
        <w:t xml:space="preserve"> </w:t>
      </w:r>
      <w:r>
        <w:rPr>
          <w:rFonts w:eastAsia="SimSun"/>
          <w:szCs w:val="21"/>
        </w:rPr>
        <w:t>deepened</w:t>
      </w:r>
      <w:r w:rsidR="0095773E" w:rsidRPr="00FC31F0">
        <w:rPr>
          <w:rFonts w:eastAsia="SimSun"/>
          <w:szCs w:val="21"/>
        </w:rPr>
        <w:t xml:space="preserve"> Australia</w:t>
      </w:r>
      <w:r>
        <w:rPr>
          <w:rFonts w:eastAsia="SimSun"/>
          <w:szCs w:val="21"/>
        </w:rPr>
        <w:t>’s</w:t>
      </w:r>
      <w:r w:rsidR="0095773E" w:rsidRPr="00FC31F0">
        <w:rPr>
          <w:rFonts w:eastAsia="SimSun"/>
          <w:szCs w:val="21"/>
        </w:rPr>
        <w:t xml:space="preserve"> understanding of the systemic risks to its sector investments</w:t>
      </w:r>
      <w:r>
        <w:rPr>
          <w:rFonts w:eastAsia="SimSun"/>
          <w:szCs w:val="21"/>
        </w:rPr>
        <w:t xml:space="preserve">. It also </w:t>
      </w:r>
      <w:r w:rsidR="0095773E" w:rsidRPr="00FC31F0">
        <w:rPr>
          <w:rFonts w:eastAsia="SimSun"/>
          <w:szCs w:val="21"/>
        </w:rPr>
        <w:t>complement</w:t>
      </w:r>
      <w:r>
        <w:rPr>
          <w:rFonts w:eastAsia="SimSun"/>
          <w:szCs w:val="21"/>
        </w:rPr>
        <w:t>ed</w:t>
      </w:r>
      <w:r w:rsidR="0095773E" w:rsidRPr="00FC31F0">
        <w:rPr>
          <w:rFonts w:eastAsia="SimSun"/>
          <w:szCs w:val="21"/>
        </w:rPr>
        <w:t xml:space="preserve"> the expertise of the World Bank</w:t>
      </w:r>
      <w:r w:rsidR="00D01355" w:rsidRPr="00FC31F0">
        <w:rPr>
          <w:rFonts w:eastAsia="SimSun"/>
          <w:szCs w:val="21"/>
        </w:rPr>
        <w:t xml:space="preserve"> and the Asia Development Bank</w:t>
      </w:r>
      <w:r w:rsidR="0095773E" w:rsidRPr="00FC31F0">
        <w:rPr>
          <w:rFonts w:eastAsia="SimSun"/>
          <w:szCs w:val="21"/>
        </w:rPr>
        <w:t xml:space="preserve">, which </w:t>
      </w:r>
      <w:r w:rsidR="00D01355" w:rsidRPr="00FC31F0">
        <w:rPr>
          <w:rFonts w:eastAsia="SimSun"/>
          <w:szCs w:val="21"/>
        </w:rPr>
        <w:t xml:space="preserve">have </w:t>
      </w:r>
      <w:r w:rsidR="0095773E" w:rsidRPr="00FC31F0">
        <w:rPr>
          <w:rFonts w:eastAsia="SimSun"/>
          <w:szCs w:val="21"/>
        </w:rPr>
        <w:t xml:space="preserve">traditionally looked after development partner </w:t>
      </w:r>
      <w:r w:rsidR="0095773E" w:rsidRPr="00FC31F0">
        <w:rPr>
          <w:rFonts w:eastAsia="SimSun"/>
          <w:szCs w:val="21"/>
        </w:rPr>
        <w:lastRenderedPageBreak/>
        <w:t xml:space="preserve">interests in this area. </w:t>
      </w:r>
      <w:r w:rsidR="00E91B20" w:rsidRPr="00FC31F0">
        <w:rPr>
          <w:rFonts w:eastAsia="SimSun"/>
          <w:szCs w:val="21"/>
        </w:rPr>
        <w:t xml:space="preserve">The South Asia Health Specialist has provided </w:t>
      </w:r>
      <w:r w:rsidR="005310DE" w:rsidRPr="00FC31F0">
        <w:rPr>
          <w:rFonts w:eastAsia="SimSun"/>
          <w:szCs w:val="21"/>
        </w:rPr>
        <w:t xml:space="preserve">cross-sectoral </w:t>
      </w:r>
      <w:r w:rsidR="00E91B20" w:rsidRPr="00FC31F0">
        <w:rPr>
          <w:rFonts w:eastAsia="SimSun"/>
          <w:szCs w:val="21"/>
        </w:rPr>
        <w:t>advice on health aspects of disaster and humanitarian response, including the nutrition components of our program with WFP in Cox’s Bazaar, and the school feeding elements of our support to the Government’s primary education programs. The South Asia education specialist contributed to wider development of departmental staff and</w:t>
      </w:r>
      <w:r w:rsidR="005310DE" w:rsidRPr="00FC31F0">
        <w:rPr>
          <w:rFonts w:eastAsia="SimSun"/>
          <w:szCs w:val="21"/>
        </w:rPr>
        <w:t xml:space="preserve"> global and regional</w:t>
      </w:r>
      <w:r w:rsidR="00E91B20" w:rsidRPr="00FC31F0">
        <w:rPr>
          <w:rFonts w:eastAsia="SimSun"/>
          <w:szCs w:val="21"/>
        </w:rPr>
        <w:t xml:space="preserve"> education policy</w:t>
      </w:r>
      <w:r w:rsidR="005310DE" w:rsidRPr="00FC31F0">
        <w:rPr>
          <w:rFonts w:eastAsia="SimSun"/>
          <w:szCs w:val="21"/>
        </w:rPr>
        <w:t xml:space="preserve"> through the education resource facility steering committee, the Systems Approach for Better Education Results (SABER) advisory board, the Global Part</w:t>
      </w:r>
      <w:r w:rsidR="00FC31F0" w:rsidRPr="00FC31F0">
        <w:rPr>
          <w:rFonts w:eastAsia="SimSun"/>
          <w:szCs w:val="21"/>
        </w:rPr>
        <w:t>n</w:t>
      </w:r>
      <w:r w:rsidR="005310DE" w:rsidRPr="00FC31F0">
        <w:rPr>
          <w:rFonts w:eastAsia="SimSun"/>
          <w:szCs w:val="21"/>
        </w:rPr>
        <w:t>ership for Education, and the Literacy and Learning Special Interest Group.</w:t>
      </w:r>
    </w:p>
    <w:p w:rsidR="0095773E" w:rsidRPr="00237CCA" w:rsidRDefault="0095773E" w:rsidP="00921833">
      <w:pPr>
        <w:pStyle w:val="ListParagraph"/>
        <w:ind w:left="0"/>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sz w:val="21"/>
          <w:szCs w:val="21"/>
          <w:lang w:val="en-AU" w:eastAsia="en-AU"/>
        </w:rPr>
        <w:t>The program has also developed its approach to partnerships with civil society through a sector engagement strategy</w:t>
      </w:r>
      <w:r w:rsidR="00852B8C">
        <w:rPr>
          <w:rFonts w:ascii="Franklin Gothic Book" w:eastAsia="SimSun" w:hAnsi="Franklin Gothic Book" w:cs="Times New Roman"/>
          <w:sz w:val="21"/>
          <w:szCs w:val="21"/>
          <w:lang w:val="en-AU" w:eastAsia="en-AU"/>
        </w:rPr>
        <w:t xml:space="preserve">. This strategy </w:t>
      </w:r>
      <w:r w:rsidRPr="00237CCA">
        <w:rPr>
          <w:rFonts w:ascii="Franklin Gothic Book" w:eastAsia="SimSun" w:hAnsi="Franklin Gothic Book" w:cs="Times New Roman"/>
          <w:sz w:val="21"/>
          <w:szCs w:val="21"/>
          <w:lang w:val="en-AU" w:eastAsia="en-AU"/>
        </w:rPr>
        <w:t xml:space="preserve">articulates how the partnerships produce results </w:t>
      </w:r>
      <w:r w:rsidR="00852B8C">
        <w:rPr>
          <w:rFonts w:ascii="Franklin Gothic Book" w:eastAsia="SimSun" w:hAnsi="Franklin Gothic Book" w:cs="Times New Roman"/>
          <w:sz w:val="21"/>
          <w:szCs w:val="21"/>
          <w:lang w:val="en-AU" w:eastAsia="en-AU"/>
        </w:rPr>
        <w:t>and</w:t>
      </w:r>
      <w:r w:rsidR="00852B8C" w:rsidRPr="00237CCA">
        <w:rPr>
          <w:rFonts w:ascii="Franklin Gothic Book" w:eastAsia="SimSun" w:hAnsi="Franklin Gothic Book" w:cs="Times New Roman"/>
          <w:sz w:val="21"/>
          <w:szCs w:val="21"/>
          <w:lang w:val="en-AU" w:eastAsia="en-AU"/>
        </w:rPr>
        <w:t xml:space="preserve"> </w:t>
      </w:r>
      <w:r w:rsidRPr="00237CCA">
        <w:rPr>
          <w:rFonts w:ascii="Franklin Gothic Book" w:eastAsia="SimSun" w:hAnsi="Franklin Gothic Book" w:cs="Times New Roman"/>
          <w:sz w:val="21"/>
          <w:szCs w:val="21"/>
          <w:lang w:val="en-AU" w:eastAsia="en-AU"/>
        </w:rPr>
        <w:t>reinforce the already significant role of civil society across the country in influencing policy, disseminating information and helping poor people to assert their rights.</w:t>
      </w:r>
    </w:p>
    <w:p w:rsidR="00231E72" w:rsidRDefault="00231E72" w:rsidP="00921833">
      <w:pPr>
        <w:pStyle w:val="ListParagraph"/>
        <w:ind w:left="0"/>
        <w:rPr>
          <w:rFonts w:ascii="Franklin Gothic Book" w:eastAsia="SimSun" w:hAnsi="Franklin Gothic Book" w:cs="Times New Roman"/>
          <w:b/>
          <w:sz w:val="21"/>
          <w:szCs w:val="21"/>
          <w:lang w:val="en-AU" w:eastAsia="en-AU"/>
        </w:rPr>
      </w:pPr>
    </w:p>
    <w:p w:rsidR="0095773E" w:rsidRPr="00237CCA" w:rsidRDefault="0095773E" w:rsidP="00921833">
      <w:pPr>
        <w:pStyle w:val="ListParagraph"/>
        <w:ind w:left="0"/>
        <w:rPr>
          <w:rFonts w:ascii="Franklin Gothic Book" w:eastAsia="SimSun" w:hAnsi="Franklin Gothic Book" w:cs="Times New Roman"/>
          <w:sz w:val="21"/>
          <w:szCs w:val="21"/>
          <w:lang w:val="en-AU" w:eastAsia="en-AU"/>
        </w:rPr>
      </w:pPr>
      <w:r w:rsidRPr="00237CCA">
        <w:rPr>
          <w:rFonts w:ascii="Franklin Gothic Book" w:eastAsia="SimSun" w:hAnsi="Franklin Gothic Book" w:cs="Times New Roman"/>
          <w:b/>
          <w:sz w:val="21"/>
          <w:szCs w:val="21"/>
          <w:lang w:val="en-AU" w:eastAsia="en-AU"/>
        </w:rPr>
        <w:t>The Performance Assessment Framework was revised during the year.</w:t>
      </w:r>
      <w:r w:rsidRPr="00237CCA">
        <w:rPr>
          <w:rFonts w:ascii="Franklin Gothic Book" w:eastAsia="SimSun" w:hAnsi="Franklin Gothic Book" w:cs="Times New Roman"/>
          <w:sz w:val="21"/>
          <w:szCs w:val="21"/>
          <w:lang w:val="en-AU" w:eastAsia="en-AU"/>
        </w:rPr>
        <w:t xml:space="preserve"> </w:t>
      </w:r>
      <w:r w:rsidR="00E34155" w:rsidRPr="00237CCA">
        <w:rPr>
          <w:rFonts w:ascii="Franklin Gothic Book" w:eastAsia="SimSun" w:hAnsi="Franklin Gothic Book" w:cs="Times New Roman"/>
          <w:sz w:val="21"/>
          <w:szCs w:val="21"/>
          <w:lang w:val="en-AU" w:eastAsia="en-AU"/>
        </w:rPr>
        <w:t>The P</w:t>
      </w:r>
      <w:r w:rsidR="00E34155">
        <w:rPr>
          <w:rFonts w:ascii="Franklin Gothic Book" w:eastAsia="SimSun" w:hAnsi="Franklin Gothic Book" w:cs="Times New Roman"/>
          <w:sz w:val="21"/>
          <w:szCs w:val="21"/>
          <w:lang w:val="en-AU" w:eastAsia="en-AU"/>
        </w:rPr>
        <w:t xml:space="preserve">erformance Assessment Framework (PAF) </w:t>
      </w:r>
      <w:r w:rsidR="00E34155" w:rsidRPr="00237CCA">
        <w:rPr>
          <w:rFonts w:ascii="Franklin Gothic Book" w:eastAsia="SimSun" w:hAnsi="Franklin Gothic Book" w:cs="Times New Roman"/>
          <w:sz w:val="21"/>
          <w:szCs w:val="21"/>
          <w:lang w:val="en-AU" w:eastAsia="en-AU"/>
        </w:rPr>
        <w:t>was updated with 2013 data before the APPR process and contributed valuable evidence to the assessments made.</w:t>
      </w:r>
      <w:r w:rsidR="00E34155">
        <w:rPr>
          <w:rFonts w:ascii="Franklin Gothic Book" w:eastAsia="SimSun" w:hAnsi="Franklin Gothic Book" w:cs="Times New Roman"/>
          <w:sz w:val="21"/>
          <w:szCs w:val="21"/>
          <w:lang w:val="en-AU" w:eastAsia="en-AU"/>
        </w:rPr>
        <w:t xml:space="preserve"> The PAF</w:t>
      </w:r>
      <w:r w:rsidR="00E34155" w:rsidRPr="00237CCA">
        <w:rPr>
          <w:rFonts w:ascii="Franklin Gothic Book" w:eastAsia="SimSun" w:hAnsi="Franklin Gothic Book" w:cs="Times New Roman"/>
          <w:sz w:val="21"/>
          <w:szCs w:val="21"/>
          <w:lang w:val="en-AU" w:eastAsia="en-AU"/>
        </w:rPr>
        <w:t xml:space="preserve"> </w:t>
      </w:r>
      <w:r w:rsidRPr="00237CCA">
        <w:rPr>
          <w:rFonts w:ascii="Franklin Gothic Book" w:eastAsia="SimSun" w:hAnsi="Franklin Gothic Book" w:cs="Times New Roman"/>
          <w:sz w:val="21"/>
          <w:szCs w:val="21"/>
          <w:lang w:val="en-AU" w:eastAsia="en-AU"/>
        </w:rPr>
        <w:t xml:space="preserve">now </w:t>
      </w:r>
      <w:r w:rsidR="000C3EC1" w:rsidRPr="00237CCA">
        <w:rPr>
          <w:rFonts w:ascii="Franklin Gothic Book" w:eastAsia="SimSun" w:hAnsi="Franklin Gothic Book" w:cs="Times New Roman"/>
          <w:sz w:val="21"/>
          <w:szCs w:val="21"/>
          <w:lang w:val="en-AU" w:eastAsia="en-AU"/>
        </w:rPr>
        <w:t xml:space="preserve">better </w:t>
      </w:r>
      <w:r w:rsidRPr="00237CCA">
        <w:rPr>
          <w:rFonts w:ascii="Franklin Gothic Book" w:eastAsia="SimSun" w:hAnsi="Franklin Gothic Book" w:cs="Times New Roman"/>
          <w:sz w:val="21"/>
          <w:szCs w:val="21"/>
          <w:lang w:val="en-AU" w:eastAsia="en-AU"/>
        </w:rPr>
        <w:t>reflects the intermediate outcomes</w:t>
      </w:r>
      <w:r w:rsidR="00E34155">
        <w:rPr>
          <w:rFonts w:ascii="Franklin Gothic Book" w:eastAsia="SimSun" w:hAnsi="Franklin Gothic Book" w:cs="Times New Roman"/>
          <w:sz w:val="21"/>
          <w:szCs w:val="21"/>
          <w:lang w:val="en-AU" w:eastAsia="en-AU"/>
        </w:rPr>
        <w:t xml:space="preserve"> of the program</w:t>
      </w:r>
      <w:r w:rsidRPr="00237CCA">
        <w:rPr>
          <w:rFonts w:ascii="Franklin Gothic Book" w:eastAsia="SimSun" w:hAnsi="Franklin Gothic Book" w:cs="Times New Roman"/>
          <w:sz w:val="21"/>
          <w:szCs w:val="21"/>
          <w:lang w:val="en-AU" w:eastAsia="en-AU"/>
        </w:rPr>
        <w:t xml:space="preserve">. </w:t>
      </w:r>
    </w:p>
    <w:p w:rsidR="0095773E" w:rsidRPr="00237CCA" w:rsidRDefault="0095773E" w:rsidP="00921833">
      <w:pPr>
        <w:pStyle w:val="ListParagraph"/>
        <w:ind w:left="0"/>
        <w:rPr>
          <w:rFonts w:ascii="Franklin Gothic Book" w:eastAsia="SimSun" w:hAnsi="Franklin Gothic Book" w:cs="Times New Roman"/>
          <w:sz w:val="21"/>
          <w:szCs w:val="21"/>
          <w:lang w:val="en-AU" w:eastAsia="en-AU"/>
        </w:rPr>
      </w:pPr>
    </w:p>
    <w:p w:rsidR="0095773E" w:rsidRPr="00237CCA" w:rsidRDefault="0095773E" w:rsidP="00836739">
      <w:pPr>
        <w:jc w:val="both"/>
        <w:rPr>
          <w:rFonts w:ascii="Franklin Gothic Book" w:hAnsi="Franklin Gothic Book"/>
          <w:sz w:val="21"/>
          <w:szCs w:val="21"/>
        </w:rPr>
      </w:pPr>
      <w:r w:rsidRPr="00237CCA">
        <w:rPr>
          <w:rFonts w:ascii="Franklin Gothic Book" w:hAnsi="Franklin Gothic Book"/>
          <w:b/>
          <w:sz w:val="21"/>
          <w:szCs w:val="21"/>
        </w:rPr>
        <w:t>The implementation of far-reaching management decisions made during the last APPR process has enabled the program to respond flexibly to a new Australian policy environment.</w:t>
      </w:r>
      <w:r w:rsidRPr="00237CCA">
        <w:rPr>
          <w:rFonts w:ascii="Franklin Gothic Book" w:hAnsi="Franklin Gothic Book"/>
          <w:sz w:val="21"/>
          <w:szCs w:val="21"/>
        </w:rPr>
        <w:t xml:space="preserve"> Following the reversal in 2012</w:t>
      </w:r>
      <w:r w:rsidR="000C3EC1">
        <w:rPr>
          <w:rFonts w:ascii="Franklin Gothic Book" w:hAnsi="Franklin Gothic Book"/>
          <w:sz w:val="21"/>
          <w:szCs w:val="21"/>
        </w:rPr>
        <w:t>—</w:t>
      </w:r>
      <w:r w:rsidRPr="00237CCA">
        <w:rPr>
          <w:rFonts w:ascii="Franklin Gothic Book" w:hAnsi="Franklin Gothic Book"/>
          <w:sz w:val="21"/>
          <w:szCs w:val="21"/>
        </w:rPr>
        <w:t xml:space="preserve">13 of assumptions about growth in the program and staff resources, </w:t>
      </w:r>
      <w:r w:rsidR="006B66EE">
        <w:rPr>
          <w:rFonts w:ascii="Franklin Gothic Book" w:hAnsi="Franklin Gothic Book"/>
          <w:sz w:val="21"/>
          <w:szCs w:val="21"/>
        </w:rPr>
        <w:t xml:space="preserve">and influenced by the volatile political and security environment, goals and expectations for the program were adjusted. </w:t>
      </w:r>
      <w:r w:rsidRPr="00237CCA">
        <w:rPr>
          <w:rFonts w:ascii="Franklin Gothic Book" w:hAnsi="Franklin Gothic Book"/>
          <w:sz w:val="21"/>
          <w:szCs w:val="21"/>
        </w:rPr>
        <w:t>Australia closed down contributions to water and sanitation</w:t>
      </w:r>
      <w:r w:rsidR="00FC31F0">
        <w:rPr>
          <w:rFonts w:ascii="Franklin Gothic Book" w:hAnsi="Franklin Gothic Book"/>
          <w:sz w:val="21"/>
          <w:szCs w:val="21"/>
        </w:rPr>
        <w:t xml:space="preserve">, aid effectiveness </w:t>
      </w:r>
      <w:r w:rsidRPr="00237CCA">
        <w:rPr>
          <w:rFonts w:ascii="Franklin Gothic Book" w:hAnsi="Franklin Gothic Book"/>
          <w:sz w:val="21"/>
          <w:szCs w:val="21"/>
        </w:rPr>
        <w:t xml:space="preserve">and reduced engagement in health. Management of climate change financing was transferred to the </w:t>
      </w:r>
      <w:r w:rsidR="00E004CF">
        <w:rPr>
          <w:rFonts w:ascii="Franklin Gothic Book" w:hAnsi="Franklin Gothic Book"/>
          <w:sz w:val="21"/>
          <w:szCs w:val="21"/>
        </w:rPr>
        <w:t xml:space="preserve">South Asia </w:t>
      </w:r>
      <w:r w:rsidRPr="00237CCA">
        <w:rPr>
          <w:rFonts w:ascii="Franklin Gothic Book" w:hAnsi="Franklin Gothic Book"/>
          <w:sz w:val="21"/>
          <w:szCs w:val="21"/>
        </w:rPr>
        <w:t xml:space="preserve">regional team in Canberra. Limited progress in the areas of reduced attention suggests that these were the right decisions. </w:t>
      </w:r>
      <w:r w:rsidR="007823B4">
        <w:rPr>
          <w:rFonts w:ascii="Franklin Gothic Book" w:hAnsi="Franklin Gothic Book"/>
          <w:sz w:val="21"/>
          <w:szCs w:val="21"/>
        </w:rPr>
        <w:t>With</w:t>
      </w:r>
      <w:r w:rsidRPr="00237CCA">
        <w:rPr>
          <w:rFonts w:ascii="Franklin Gothic Book" w:hAnsi="Franklin Gothic Book"/>
          <w:sz w:val="21"/>
          <w:szCs w:val="21"/>
        </w:rPr>
        <w:t xml:space="preserve"> fewer staff resources for managing aid</w:t>
      </w:r>
      <w:r w:rsidR="007823B4">
        <w:rPr>
          <w:rFonts w:ascii="Franklin Gothic Book" w:hAnsi="Franklin Gothic Book"/>
          <w:sz w:val="21"/>
          <w:szCs w:val="21"/>
        </w:rPr>
        <w:t xml:space="preserve"> </w:t>
      </w:r>
      <w:r w:rsidR="00492145">
        <w:rPr>
          <w:rFonts w:ascii="Franklin Gothic Book" w:hAnsi="Franklin Gothic Book"/>
          <w:sz w:val="21"/>
          <w:szCs w:val="21"/>
        </w:rPr>
        <w:t xml:space="preserve">and a different approach to providing technical support, </w:t>
      </w:r>
      <w:r w:rsidRPr="00237CCA">
        <w:rPr>
          <w:rFonts w:ascii="Franklin Gothic Book" w:hAnsi="Franklin Gothic Book"/>
          <w:sz w:val="21"/>
          <w:szCs w:val="21"/>
        </w:rPr>
        <w:t xml:space="preserve">further decisions will need to be made to match the program to capacity.  </w:t>
      </w:r>
      <w:r w:rsidR="00762D47">
        <w:rPr>
          <w:rFonts w:ascii="Franklin Gothic Book" w:hAnsi="Franklin Gothic Book"/>
          <w:sz w:val="21"/>
          <w:szCs w:val="21"/>
        </w:rPr>
        <w:t xml:space="preserve"> </w:t>
      </w:r>
    </w:p>
    <w:p w:rsidR="00AF0459" w:rsidRPr="00237CCA" w:rsidRDefault="00AF0459" w:rsidP="00836739">
      <w:pPr>
        <w:pStyle w:val="Heading3"/>
        <w:jc w:val="both"/>
        <w:rPr>
          <w:b w:val="0"/>
          <w:color w:val="007FAD"/>
          <w:sz w:val="32"/>
          <w:szCs w:val="32"/>
          <w:lang w:eastAsia="en-AU"/>
        </w:rPr>
      </w:pPr>
      <w:r w:rsidRPr="00237CCA">
        <w:rPr>
          <w:b w:val="0"/>
          <w:color w:val="007FAD"/>
          <w:sz w:val="32"/>
          <w:szCs w:val="32"/>
          <w:lang w:eastAsia="en-AU"/>
        </w:rPr>
        <w:t xml:space="preserve">Analysis of Quality at Implementation Reports </w:t>
      </w:r>
    </w:p>
    <w:p w:rsidR="00777851" w:rsidRPr="0034015D" w:rsidRDefault="00777851" w:rsidP="00921833">
      <w:pPr>
        <w:pStyle w:val="ListParagraph"/>
        <w:ind w:left="0"/>
        <w:rPr>
          <w:rFonts w:eastAsia="SimSun"/>
          <w:szCs w:val="21"/>
        </w:rPr>
      </w:pPr>
      <w:r w:rsidRPr="0034015D">
        <w:rPr>
          <w:rFonts w:ascii="Franklin Gothic Book" w:eastAsia="SimSun" w:hAnsi="Franklin Gothic Book" w:cs="Times New Roman"/>
          <w:sz w:val="21"/>
          <w:szCs w:val="21"/>
          <w:lang w:val="en-AU" w:eastAsia="en-AU"/>
        </w:rPr>
        <w:t>In 2013</w:t>
      </w:r>
      <w:r w:rsidR="000C3EC1">
        <w:rPr>
          <w:rFonts w:ascii="Franklin Gothic Book" w:eastAsia="SimSun" w:hAnsi="Franklin Gothic Book" w:cs="Times New Roman"/>
          <w:sz w:val="21"/>
          <w:szCs w:val="21"/>
          <w:lang w:val="en-AU" w:eastAsia="en-AU"/>
        </w:rPr>
        <w:t>—</w:t>
      </w:r>
      <w:r w:rsidRPr="0034015D">
        <w:rPr>
          <w:rFonts w:ascii="Franklin Gothic Book" w:eastAsia="SimSun" w:hAnsi="Franklin Gothic Book" w:cs="Times New Roman"/>
          <w:sz w:val="21"/>
          <w:szCs w:val="21"/>
          <w:lang w:val="en-AU" w:eastAsia="en-AU"/>
        </w:rPr>
        <w:t xml:space="preserve">14, </w:t>
      </w:r>
      <w:r w:rsidR="00C11A4A" w:rsidRPr="0034015D">
        <w:rPr>
          <w:rFonts w:ascii="Franklin Gothic Book" w:eastAsia="SimSun" w:hAnsi="Franklin Gothic Book" w:cs="Times New Roman"/>
          <w:sz w:val="21"/>
          <w:szCs w:val="21"/>
          <w:lang w:val="en-AU" w:eastAsia="en-AU"/>
        </w:rPr>
        <w:t xml:space="preserve">Quality at Implementation </w:t>
      </w:r>
      <w:r w:rsidRPr="0034015D">
        <w:rPr>
          <w:rFonts w:ascii="Franklin Gothic Book" w:eastAsia="SimSun" w:hAnsi="Franklin Gothic Book" w:cs="Times New Roman"/>
          <w:sz w:val="21"/>
          <w:szCs w:val="21"/>
          <w:lang w:val="en-AU" w:eastAsia="en-AU"/>
        </w:rPr>
        <w:t xml:space="preserve">scores were predominantly high, reflecting a strongly performing program. Challenges outside of our immediate control, including coordination shortcomings and </w:t>
      </w:r>
      <w:r w:rsidR="00E004CF">
        <w:rPr>
          <w:rFonts w:ascii="Franklin Gothic Book" w:eastAsia="SimSun" w:hAnsi="Franklin Gothic Book" w:cs="Times New Roman"/>
          <w:sz w:val="21"/>
          <w:szCs w:val="21"/>
          <w:lang w:val="en-AU" w:eastAsia="en-AU"/>
        </w:rPr>
        <w:t>very difficult</w:t>
      </w:r>
      <w:r w:rsidRPr="0034015D">
        <w:rPr>
          <w:rFonts w:ascii="Franklin Gothic Book" w:eastAsia="SimSun" w:hAnsi="Franklin Gothic Book" w:cs="Times New Roman"/>
          <w:sz w:val="21"/>
          <w:szCs w:val="21"/>
          <w:lang w:val="en-AU" w:eastAsia="en-AU"/>
        </w:rPr>
        <w:t xml:space="preserve"> operating environments, lowered scores in </w:t>
      </w:r>
      <w:r w:rsidR="00274F44">
        <w:rPr>
          <w:rFonts w:ascii="Franklin Gothic Book" w:eastAsia="SimSun" w:hAnsi="Franklin Gothic Book" w:cs="Times New Roman"/>
          <w:sz w:val="21"/>
          <w:szCs w:val="21"/>
          <w:lang w:val="en-AU" w:eastAsia="en-AU"/>
        </w:rPr>
        <w:t xml:space="preserve">some areas of </w:t>
      </w:r>
      <w:r w:rsidR="000C3EC1" w:rsidRPr="0034015D">
        <w:rPr>
          <w:rFonts w:ascii="Franklin Gothic Book" w:eastAsia="SimSun" w:hAnsi="Franklin Gothic Book" w:cs="Times New Roman"/>
          <w:sz w:val="21"/>
          <w:szCs w:val="21"/>
          <w:lang w:val="en-AU" w:eastAsia="en-AU"/>
        </w:rPr>
        <w:t>health, education and livelihoods</w:t>
      </w:r>
      <w:r w:rsidR="000C3EC1">
        <w:rPr>
          <w:rFonts w:ascii="Franklin Gothic Book" w:eastAsia="SimSun" w:hAnsi="Franklin Gothic Book" w:cs="Times New Roman"/>
          <w:sz w:val="21"/>
          <w:szCs w:val="21"/>
          <w:lang w:val="en-AU" w:eastAsia="en-AU"/>
        </w:rPr>
        <w:t xml:space="preserve"> </w:t>
      </w:r>
      <w:r w:rsidR="00274F44">
        <w:rPr>
          <w:rFonts w:ascii="Franklin Gothic Book" w:eastAsia="SimSun" w:hAnsi="Franklin Gothic Book" w:cs="Times New Roman"/>
          <w:sz w:val="21"/>
          <w:szCs w:val="21"/>
          <w:lang w:val="en-AU" w:eastAsia="en-AU"/>
        </w:rPr>
        <w:t>act</w:t>
      </w:r>
      <w:r w:rsidRPr="0034015D">
        <w:rPr>
          <w:rFonts w:ascii="Franklin Gothic Book" w:eastAsia="SimSun" w:hAnsi="Franklin Gothic Book" w:cs="Times New Roman"/>
          <w:sz w:val="21"/>
          <w:szCs w:val="21"/>
          <w:lang w:val="en-AU" w:eastAsia="en-AU"/>
        </w:rPr>
        <w:t>ivities</w:t>
      </w:r>
      <w:r w:rsidR="003F5DC1" w:rsidRPr="0034015D">
        <w:rPr>
          <w:rFonts w:ascii="Franklin Gothic Book" w:eastAsia="SimSun" w:hAnsi="Franklin Gothic Book" w:cs="Times New Roman"/>
          <w:sz w:val="21"/>
          <w:szCs w:val="21"/>
          <w:lang w:val="en-AU" w:eastAsia="en-AU"/>
        </w:rPr>
        <w:t xml:space="preserve">. The health sector program saw a drop to ‘less than adequate/needs significant work’ in efficiency and effectiveness. </w:t>
      </w:r>
      <w:r w:rsidR="00321F4E" w:rsidRPr="0034015D">
        <w:rPr>
          <w:rFonts w:ascii="Franklin Gothic Book" w:eastAsia="SimSun" w:hAnsi="Franklin Gothic Book" w:cs="Times New Roman"/>
          <w:sz w:val="21"/>
          <w:szCs w:val="21"/>
          <w:lang w:val="en-AU" w:eastAsia="en-AU"/>
        </w:rPr>
        <w:t>T</w:t>
      </w:r>
      <w:r w:rsidR="00F52FB6" w:rsidRPr="0034015D">
        <w:rPr>
          <w:rFonts w:ascii="Franklin Gothic Book" w:eastAsia="SimSun" w:hAnsi="Franklin Gothic Book" w:cs="Times New Roman"/>
          <w:sz w:val="21"/>
          <w:szCs w:val="21"/>
          <w:lang w:val="en-AU" w:eastAsia="en-AU"/>
        </w:rPr>
        <w:t>here is a</w:t>
      </w:r>
      <w:r w:rsidR="003F5DC1" w:rsidRPr="0034015D">
        <w:rPr>
          <w:rFonts w:ascii="Franklin Gothic Book" w:eastAsia="SimSun" w:hAnsi="Franklin Gothic Book" w:cs="Times New Roman"/>
          <w:sz w:val="21"/>
          <w:szCs w:val="21"/>
          <w:lang w:val="en-AU" w:eastAsia="en-AU"/>
        </w:rPr>
        <w:t xml:space="preserve"> positive </w:t>
      </w:r>
      <w:r w:rsidR="00F52FB6" w:rsidRPr="0034015D">
        <w:rPr>
          <w:rFonts w:ascii="Franklin Gothic Book" w:eastAsia="SimSun" w:hAnsi="Franklin Gothic Book" w:cs="Times New Roman"/>
          <w:sz w:val="21"/>
          <w:szCs w:val="21"/>
          <w:lang w:val="en-AU" w:eastAsia="en-AU"/>
        </w:rPr>
        <w:t xml:space="preserve">message on gender equality </w:t>
      </w:r>
      <w:r w:rsidR="00F52FB6" w:rsidRPr="00A624E2">
        <w:rPr>
          <w:rFonts w:ascii="Franklin Gothic Book" w:eastAsia="SimSun" w:hAnsi="Franklin Gothic Book" w:cs="Times New Roman"/>
          <w:sz w:val="21"/>
          <w:szCs w:val="21"/>
          <w:lang w:val="en-AU" w:eastAsia="en-AU"/>
        </w:rPr>
        <w:t>across the Bangladesh program</w:t>
      </w:r>
      <w:r w:rsidR="00C82A56" w:rsidRPr="00A624E2">
        <w:rPr>
          <w:rFonts w:ascii="Franklin Gothic Book" w:eastAsia="SimSun" w:hAnsi="Franklin Gothic Book" w:cs="Times New Roman"/>
          <w:sz w:val="21"/>
          <w:szCs w:val="21"/>
          <w:lang w:val="en-AU" w:eastAsia="en-AU"/>
        </w:rPr>
        <w:t>, though more action is needed within t</w:t>
      </w:r>
      <w:r w:rsidR="001E5DF6" w:rsidRPr="00A624E2">
        <w:rPr>
          <w:rFonts w:ascii="Franklin Gothic Book" w:eastAsia="SimSun" w:hAnsi="Franklin Gothic Book" w:cs="Times New Roman"/>
          <w:sz w:val="21"/>
          <w:szCs w:val="21"/>
          <w:lang w:val="en-AU" w:eastAsia="en-AU"/>
        </w:rPr>
        <w:t xml:space="preserve">he </w:t>
      </w:r>
      <w:r w:rsidR="00F52FB6" w:rsidRPr="00A624E2">
        <w:rPr>
          <w:rFonts w:ascii="Franklin Gothic Book" w:eastAsia="SimSun" w:hAnsi="Franklin Gothic Book" w:cs="Times New Roman"/>
          <w:sz w:val="21"/>
          <w:szCs w:val="21"/>
          <w:lang w:val="en-AU" w:eastAsia="en-AU"/>
        </w:rPr>
        <w:t>Primary Education Sector Program</w:t>
      </w:r>
      <w:r w:rsidR="00583844" w:rsidRPr="00A624E2">
        <w:rPr>
          <w:rFonts w:ascii="Franklin Gothic Book" w:eastAsia="SimSun" w:hAnsi="Franklin Gothic Book" w:cs="Times New Roman"/>
          <w:sz w:val="21"/>
          <w:szCs w:val="21"/>
          <w:lang w:val="en-AU" w:eastAsia="en-AU"/>
        </w:rPr>
        <w:t>. Our lead role in this program over the next year will provide an opportunity to revitalise the program’s gender focus</w:t>
      </w:r>
      <w:r w:rsidR="001E5DF6" w:rsidRPr="00A624E2">
        <w:rPr>
          <w:rFonts w:ascii="Franklin Gothic Book" w:eastAsia="SimSun" w:hAnsi="Franklin Gothic Book" w:cs="Times New Roman"/>
          <w:sz w:val="21"/>
          <w:szCs w:val="21"/>
          <w:lang w:val="en-AU" w:eastAsia="en-AU"/>
        </w:rPr>
        <w:t xml:space="preserve">. </w:t>
      </w:r>
      <w:r w:rsidR="004E2E8C" w:rsidRPr="00A624E2">
        <w:rPr>
          <w:rFonts w:ascii="Franklin Gothic Book" w:eastAsia="SimSun" w:hAnsi="Franklin Gothic Book" w:cs="Times New Roman"/>
          <w:sz w:val="21"/>
          <w:szCs w:val="21"/>
          <w:lang w:val="en-AU" w:eastAsia="en-AU"/>
        </w:rPr>
        <w:t xml:space="preserve">The challenges </w:t>
      </w:r>
      <w:r w:rsidR="00F86950" w:rsidRPr="00A624E2">
        <w:rPr>
          <w:rFonts w:ascii="Franklin Gothic Book" w:eastAsia="SimSun" w:hAnsi="Franklin Gothic Book" w:cs="Times New Roman"/>
          <w:sz w:val="21"/>
          <w:szCs w:val="21"/>
          <w:lang w:val="en-AU" w:eastAsia="en-AU"/>
        </w:rPr>
        <w:t xml:space="preserve">of sustainability </w:t>
      </w:r>
      <w:r w:rsidR="004E2E8C" w:rsidRPr="00A624E2">
        <w:rPr>
          <w:rFonts w:ascii="Franklin Gothic Book" w:eastAsia="SimSun" w:hAnsi="Franklin Gothic Book" w:cs="Times New Roman"/>
          <w:sz w:val="21"/>
          <w:szCs w:val="21"/>
          <w:lang w:val="en-AU" w:eastAsia="en-AU"/>
        </w:rPr>
        <w:t xml:space="preserve">in the </w:t>
      </w:r>
      <w:r w:rsidR="00F86950" w:rsidRPr="00A624E2">
        <w:rPr>
          <w:rFonts w:ascii="Franklin Gothic Book" w:eastAsia="SimSun" w:hAnsi="Franklin Gothic Book" w:cs="Times New Roman"/>
          <w:sz w:val="21"/>
          <w:szCs w:val="21"/>
          <w:lang w:val="en-AU" w:eastAsia="en-AU"/>
        </w:rPr>
        <w:t xml:space="preserve">Chars Livelihood program </w:t>
      </w:r>
      <w:r w:rsidR="004E2E8C" w:rsidRPr="00A624E2">
        <w:rPr>
          <w:rFonts w:ascii="Franklin Gothic Book" w:eastAsia="SimSun" w:hAnsi="Franklin Gothic Book" w:cs="Times New Roman"/>
          <w:sz w:val="21"/>
          <w:szCs w:val="21"/>
          <w:lang w:val="en-AU" w:eastAsia="en-AU"/>
        </w:rPr>
        <w:t xml:space="preserve">are being </w:t>
      </w:r>
      <w:r w:rsidR="00077DD3" w:rsidRPr="00A624E2">
        <w:rPr>
          <w:rFonts w:ascii="Franklin Gothic Book" w:eastAsia="SimSun" w:hAnsi="Franklin Gothic Book" w:cs="Times New Roman"/>
          <w:sz w:val="21"/>
          <w:szCs w:val="21"/>
          <w:lang w:val="en-AU" w:eastAsia="en-AU"/>
        </w:rPr>
        <w:t xml:space="preserve">prioritised </w:t>
      </w:r>
      <w:r w:rsidR="004E2E8C" w:rsidRPr="00A624E2">
        <w:rPr>
          <w:rFonts w:ascii="Franklin Gothic Book" w:eastAsia="SimSun" w:hAnsi="Franklin Gothic Book" w:cs="Times New Roman"/>
          <w:sz w:val="21"/>
          <w:szCs w:val="21"/>
          <w:lang w:val="en-AU" w:eastAsia="en-AU"/>
        </w:rPr>
        <w:t>by partners</w:t>
      </w:r>
      <w:r w:rsidR="00F86950" w:rsidRPr="00A624E2">
        <w:rPr>
          <w:rFonts w:ascii="Franklin Gothic Book" w:eastAsia="SimSun" w:hAnsi="Franklin Gothic Book" w:cs="Times New Roman"/>
          <w:sz w:val="21"/>
          <w:szCs w:val="21"/>
          <w:lang w:val="en-AU" w:eastAsia="en-AU"/>
        </w:rPr>
        <w:t xml:space="preserve">, while Australia </w:t>
      </w:r>
      <w:r w:rsidR="002105B1" w:rsidRPr="00A624E2">
        <w:rPr>
          <w:rFonts w:ascii="Franklin Gothic Book" w:eastAsia="SimSun" w:hAnsi="Franklin Gothic Book" w:cs="Times New Roman"/>
          <w:sz w:val="21"/>
          <w:szCs w:val="21"/>
          <w:lang w:val="en-AU" w:eastAsia="en-AU"/>
        </w:rPr>
        <w:t xml:space="preserve">has </w:t>
      </w:r>
      <w:r w:rsidR="00F86950" w:rsidRPr="00A624E2">
        <w:rPr>
          <w:rFonts w:ascii="Franklin Gothic Book" w:eastAsia="SimSun" w:hAnsi="Franklin Gothic Book" w:cs="Times New Roman"/>
          <w:sz w:val="21"/>
          <w:szCs w:val="21"/>
          <w:lang w:val="en-AU" w:eastAsia="en-AU"/>
        </w:rPr>
        <w:t>worked with WFP to strengthen the monitoring and evaluation systems for its next phase of operations in Cox’s Bazar</w:t>
      </w:r>
      <w:r w:rsidR="004E2E8C" w:rsidRPr="00A624E2">
        <w:rPr>
          <w:rFonts w:ascii="Franklin Gothic Book" w:eastAsia="SimSun" w:hAnsi="Franklin Gothic Book" w:cs="Times New Roman"/>
          <w:sz w:val="21"/>
          <w:szCs w:val="21"/>
          <w:lang w:val="en-AU" w:eastAsia="en-AU"/>
        </w:rPr>
        <w:t>.</w:t>
      </w:r>
    </w:p>
    <w:p w:rsidR="00AF0459" w:rsidRPr="00237CCA" w:rsidRDefault="00AF0459" w:rsidP="00836739">
      <w:pPr>
        <w:pStyle w:val="Heading3"/>
        <w:jc w:val="both"/>
        <w:rPr>
          <w:b w:val="0"/>
          <w:color w:val="007FAD"/>
          <w:sz w:val="32"/>
          <w:szCs w:val="32"/>
          <w:lang w:eastAsia="en-AU"/>
        </w:rPr>
      </w:pPr>
      <w:r w:rsidRPr="00237CCA">
        <w:rPr>
          <w:b w:val="0"/>
          <w:color w:val="007FAD"/>
          <w:sz w:val="32"/>
          <w:szCs w:val="32"/>
          <w:lang w:eastAsia="en-AU"/>
        </w:rPr>
        <w:t xml:space="preserve">Partner Performance </w:t>
      </w:r>
    </w:p>
    <w:p w:rsidR="0095773E" w:rsidRPr="00237CCA" w:rsidRDefault="0095773E" w:rsidP="00836739">
      <w:pPr>
        <w:jc w:val="both"/>
        <w:rPr>
          <w:rFonts w:ascii="Franklin Gothic Book" w:hAnsi="Franklin Gothic Book"/>
          <w:sz w:val="21"/>
          <w:szCs w:val="21"/>
        </w:rPr>
      </w:pPr>
      <w:r w:rsidRPr="00237CCA">
        <w:rPr>
          <w:rFonts w:ascii="Franklin Gothic Book" w:hAnsi="Franklin Gothic Book"/>
          <w:b/>
          <w:sz w:val="21"/>
          <w:szCs w:val="21"/>
        </w:rPr>
        <w:t>Australia has continued to invest in the partnerships that enable it to contribute to larger scale outcomes.</w:t>
      </w:r>
      <w:r w:rsidRPr="00237CCA">
        <w:rPr>
          <w:rFonts w:ascii="Franklin Gothic Book" w:hAnsi="Franklin Gothic Book"/>
          <w:sz w:val="21"/>
          <w:szCs w:val="21"/>
        </w:rPr>
        <w:t xml:space="preserve"> </w:t>
      </w:r>
      <w:r w:rsidR="005C2065">
        <w:rPr>
          <w:rFonts w:ascii="Franklin Gothic Book" w:hAnsi="Franklin Gothic Book"/>
          <w:sz w:val="21"/>
          <w:szCs w:val="21"/>
        </w:rPr>
        <w:t>S</w:t>
      </w:r>
      <w:r w:rsidR="005C2065" w:rsidRPr="005C2065">
        <w:rPr>
          <w:rFonts w:ascii="Franklin Gothic Book" w:hAnsi="Franklin Gothic Book"/>
          <w:sz w:val="21"/>
          <w:szCs w:val="21"/>
        </w:rPr>
        <w:t>electing partners</w:t>
      </w:r>
      <w:r w:rsidR="005C2065">
        <w:rPr>
          <w:rFonts w:ascii="Franklin Gothic Book" w:hAnsi="Franklin Gothic Book"/>
          <w:sz w:val="21"/>
          <w:szCs w:val="21"/>
        </w:rPr>
        <w:t xml:space="preserve"> with strengths in priority areas and with whom we share </w:t>
      </w:r>
      <w:r w:rsidR="005C2065" w:rsidRPr="005C2065">
        <w:rPr>
          <w:rFonts w:ascii="Franklin Gothic Book" w:hAnsi="Franklin Gothic Book"/>
          <w:sz w:val="21"/>
          <w:szCs w:val="21"/>
        </w:rPr>
        <w:t xml:space="preserve">common goals </w:t>
      </w:r>
      <w:r w:rsidR="005C2065">
        <w:rPr>
          <w:rFonts w:ascii="Franklin Gothic Book" w:hAnsi="Franklin Gothic Book"/>
          <w:sz w:val="21"/>
          <w:szCs w:val="21"/>
        </w:rPr>
        <w:t>and values helps</w:t>
      </w:r>
      <w:r w:rsidR="005C2065" w:rsidRPr="005C2065">
        <w:rPr>
          <w:rFonts w:ascii="Franklin Gothic Book" w:hAnsi="Franklin Gothic Book"/>
          <w:sz w:val="21"/>
          <w:szCs w:val="21"/>
        </w:rPr>
        <w:t xml:space="preserve"> lower transactions costs and </w:t>
      </w:r>
      <w:r w:rsidR="005C2065">
        <w:rPr>
          <w:rFonts w:ascii="Franklin Gothic Book" w:hAnsi="Franklin Gothic Book"/>
          <w:sz w:val="21"/>
          <w:szCs w:val="21"/>
        </w:rPr>
        <w:t xml:space="preserve">increase the impact of Australian aid. </w:t>
      </w:r>
      <w:r w:rsidRPr="00237CCA">
        <w:rPr>
          <w:rFonts w:ascii="Franklin Gothic Book" w:hAnsi="Franklin Gothic Book"/>
          <w:sz w:val="21"/>
          <w:szCs w:val="21"/>
        </w:rPr>
        <w:t>The analysis of multilateral, bilateral and NGO partnerships in last year’s APPR is still largely valid, with the following updates:</w:t>
      </w:r>
    </w:p>
    <w:p w:rsidR="0095773E" w:rsidRPr="00237CCA" w:rsidRDefault="0095773E" w:rsidP="00921833">
      <w:pPr>
        <w:pStyle w:val="ListParagraph"/>
        <w:ind w:left="0"/>
        <w:rPr>
          <w:rFonts w:ascii="Franklin Gothic Book" w:eastAsia="SimSun" w:hAnsi="Franklin Gothic Book" w:cs="Times New Roman"/>
          <w:sz w:val="21"/>
          <w:szCs w:val="21"/>
          <w:lang w:val="en-AU" w:eastAsia="en-AU"/>
        </w:rPr>
      </w:pPr>
    </w:p>
    <w:p w:rsidR="0095773E" w:rsidRPr="00237CCA" w:rsidRDefault="00986447" w:rsidP="00836739">
      <w:pPr>
        <w:pStyle w:val="ListBullet"/>
        <w:tabs>
          <w:tab w:val="clear" w:pos="284"/>
        </w:tabs>
        <w:jc w:val="both"/>
        <w:rPr>
          <w:rFonts w:eastAsia="SimSun"/>
          <w:szCs w:val="21"/>
        </w:rPr>
      </w:pPr>
      <w:r>
        <w:rPr>
          <w:rFonts w:eastAsia="SimSun"/>
          <w:szCs w:val="21"/>
        </w:rPr>
        <w:t>PFM</w:t>
      </w:r>
      <w:r w:rsidR="0095773E" w:rsidRPr="00237CCA">
        <w:rPr>
          <w:rFonts w:eastAsia="SimSun"/>
          <w:szCs w:val="21"/>
        </w:rPr>
        <w:t xml:space="preserve"> inputs to the sector programs identified areas for closer collaboration with the </w:t>
      </w:r>
      <w:r w:rsidR="0095773E" w:rsidRPr="00237CCA">
        <w:rPr>
          <w:rFonts w:eastAsia="SimSun"/>
          <w:b/>
          <w:szCs w:val="21"/>
        </w:rPr>
        <w:t>World Bank</w:t>
      </w:r>
      <w:r w:rsidR="0095773E" w:rsidRPr="00237CCA">
        <w:rPr>
          <w:rFonts w:eastAsia="SimSun"/>
          <w:szCs w:val="21"/>
        </w:rPr>
        <w:t xml:space="preserve"> </w:t>
      </w:r>
      <w:r w:rsidR="003A06E7">
        <w:rPr>
          <w:rFonts w:eastAsia="SimSun"/>
          <w:szCs w:val="21"/>
        </w:rPr>
        <w:t xml:space="preserve">and the </w:t>
      </w:r>
      <w:r w:rsidR="003A06E7" w:rsidRPr="00836739">
        <w:rPr>
          <w:rFonts w:eastAsia="SimSun"/>
          <w:b/>
          <w:szCs w:val="21"/>
        </w:rPr>
        <w:t>Asian Development Bank</w:t>
      </w:r>
      <w:r w:rsidR="003A06E7">
        <w:rPr>
          <w:rFonts w:eastAsia="SimSun"/>
          <w:szCs w:val="21"/>
        </w:rPr>
        <w:t xml:space="preserve"> </w:t>
      </w:r>
      <w:r w:rsidR="0095773E" w:rsidRPr="00237CCA">
        <w:rPr>
          <w:rFonts w:eastAsia="SimSun"/>
          <w:szCs w:val="21"/>
        </w:rPr>
        <w:t xml:space="preserve">over procurement and internal audit issues in the </w:t>
      </w:r>
      <w:r w:rsidR="0095773E" w:rsidRPr="00237CCA">
        <w:rPr>
          <w:rFonts w:eastAsia="SimSun"/>
          <w:szCs w:val="21"/>
        </w:rPr>
        <w:lastRenderedPageBreak/>
        <w:t>relevant Ministries</w:t>
      </w:r>
      <w:r>
        <w:rPr>
          <w:rFonts w:eastAsia="SimSun"/>
          <w:szCs w:val="21"/>
        </w:rPr>
        <w:t>,</w:t>
      </w:r>
      <w:r w:rsidR="0095773E" w:rsidRPr="00237CCA">
        <w:rPr>
          <w:rFonts w:eastAsia="SimSun"/>
          <w:szCs w:val="21"/>
        </w:rPr>
        <w:t xml:space="preserve"> and for </w:t>
      </w:r>
      <w:r w:rsidR="003A06E7">
        <w:rPr>
          <w:rFonts w:eastAsia="SimSun"/>
          <w:szCs w:val="21"/>
        </w:rPr>
        <w:t xml:space="preserve">extending technical assistance to strengthen </w:t>
      </w:r>
      <w:r w:rsidR="0095773E" w:rsidRPr="00237CCA">
        <w:rPr>
          <w:rFonts w:eastAsia="SimSun"/>
          <w:szCs w:val="21"/>
        </w:rPr>
        <w:t xml:space="preserve">financial </w:t>
      </w:r>
      <w:r w:rsidR="003A06E7">
        <w:rPr>
          <w:rFonts w:eastAsia="SimSun"/>
          <w:szCs w:val="21"/>
        </w:rPr>
        <w:t>management</w:t>
      </w:r>
      <w:r w:rsidR="007B56A3">
        <w:rPr>
          <w:rFonts w:eastAsia="SimSun"/>
          <w:szCs w:val="21"/>
        </w:rPr>
        <w:t xml:space="preserve"> </w:t>
      </w:r>
      <w:r w:rsidR="003A06E7">
        <w:rPr>
          <w:rFonts w:eastAsia="SimSun"/>
          <w:szCs w:val="21"/>
        </w:rPr>
        <w:t>and procurement oversight</w:t>
      </w:r>
      <w:r w:rsidR="0095773E" w:rsidRPr="00237CCA">
        <w:rPr>
          <w:rFonts w:eastAsia="SimSun"/>
          <w:szCs w:val="21"/>
        </w:rPr>
        <w:t xml:space="preserve">. While this led to strengthening of oversight in the education sector, </w:t>
      </w:r>
      <w:r w:rsidR="00E004CF">
        <w:rPr>
          <w:rFonts w:eastAsia="SimSun"/>
          <w:szCs w:val="21"/>
        </w:rPr>
        <w:t>shortcomings</w:t>
      </w:r>
      <w:r w:rsidR="0095773E" w:rsidRPr="00237CCA">
        <w:rPr>
          <w:rFonts w:eastAsia="SimSun"/>
          <w:szCs w:val="21"/>
        </w:rPr>
        <w:t xml:space="preserve"> in</w:t>
      </w:r>
      <w:r w:rsidR="00E004CF">
        <w:rPr>
          <w:rFonts w:eastAsia="SimSun"/>
          <w:szCs w:val="21"/>
        </w:rPr>
        <w:t xml:space="preserve"> efforts to strengthen </w:t>
      </w:r>
      <w:r w:rsidR="0095773E" w:rsidRPr="00237CCA">
        <w:rPr>
          <w:rFonts w:eastAsia="SimSun"/>
          <w:szCs w:val="21"/>
        </w:rPr>
        <w:t>financial management</w:t>
      </w:r>
      <w:r w:rsidR="003A06E7">
        <w:rPr>
          <w:rFonts w:eastAsia="SimSun"/>
          <w:szCs w:val="21"/>
        </w:rPr>
        <w:t xml:space="preserve"> systems </w:t>
      </w:r>
      <w:r w:rsidR="0095773E" w:rsidRPr="00237CCA">
        <w:rPr>
          <w:rFonts w:eastAsia="SimSun"/>
          <w:szCs w:val="21"/>
        </w:rPr>
        <w:t>contributed to Australia</w:t>
      </w:r>
      <w:r w:rsidR="00E004CF">
        <w:rPr>
          <w:rFonts w:eastAsia="SimSun"/>
          <w:szCs w:val="21"/>
        </w:rPr>
        <w:t xml:space="preserve">’s decision to withdraw from </w:t>
      </w:r>
      <w:r>
        <w:rPr>
          <w:rFonts w:eastAsia="SimSun"/>
          <w:szCs w:val="21"/>
        </w:rPr>
        <w:t xml:space="preserve">the Government of Bangladesh’s </w:t>
      </w:r>
      <w:r w:rsidR="00E004CF">
        <w:rPr>
          <w:rFonts w:eastAsia="SimSun"/>
          <w:szCs w:val="21"/>
        </w:rPr>
        <w:t>health program</w:t>
      </w:r>
      <w:r w:rsidR="0095773E" w:rsidRPr="00237CCA">
        <w:rPr>
          <w:rFonts w:eastAsia="SimSun"/>
          <w:szCs w:val="21"/>
        </w:rPr>
        <w:t xml:space="preserve">. </w:t>
      </w:r>
    </w:p>
    <w:p w:rsidR="00630C24" w:rsidRPr="00237CCA" w:rsidRDefault="00630C24" w:rsidP="00836739">
      <w:pPr>
        <w:jc w:val="both"/>
        <w:rPr>
          <w:rFonts w:ascii="Franklin Gothic Book" w:hAnsi="Franklin Gothic Book"/>
          <w:sz w:val="21"/>
          <w:szCs w:val="21"/>
        </w:rPr>
      </w:pPr>
    </w:p>
    <w:p w:rsidR="0095773E" w:rsidRPr="00237CCA" w:rsidRDefault="000D30AE" w:rsidP="00E34155">
      <w:pPr>
        <w:pStyle w:val="ListBullet"/>
        <w:tabs>
          <w:tab w:val="clear" w:pos="284"/>
        </w:tabs>
        <w:jc w:val="both"/>
        <w:rPr>
          <w:rFonts w:eastAsia="SimSun"/>
          <w:szCs w:val="21"/>
        </w:rPr>
      </w:pPr>
      <w:r>
        <w:rPr>
          <w:rFonts w:eastAsia="SimSun"/>
          <w:szCs w:val="21"/>
        </w:rPr>
        <w:t>The primary education program</w:t>
      </w:r>
      <w:r w:rsidRPr="00237CCA">
        <w:rPr>
          <w:rFonts w:eastAsia="SimSun"/>
          <w:szCs w:val="21"/>
        </w:rPr>
        <w:t xml:space="preserve"> </w:t>
      </w:r>
      <w:r>
        <w:rPr>
          <w:rFonts w:eastAsia="SimSun"/>
          <w:szCs w:val="21"/>
        </w:rPr>
        <w:t>includes an important technical role for</w:t>
      </w:r>
      <w:r w:rsidR="0095773E" w:rsidRPr="00237CCA">
        <w:rPr>
          <w:rFonts w:eastAsia="SimSun"/>
          <w:szCs w:val="21"/>
        </w:rPr>
        <w:t xml:space="preserve"> </w:t>
      </w:r>
      <w:r w:rsidR="00D01355" w:rsidRPr="00836739">
        <w:rPr>
          <w:rFonts w:eastAsia="SimSun"/>
          <w:b/>
          <w:szCs w:val="21"/>
        </w:rPr>
        <w:t>UNICEF</w:t>
      </w:r>
      <w:r w:rsidR="003A06E7">
        <w:rPr>
          <w:rFonts w:eastAsia="SimSun"/>
          <w:szCs w:val="21"/>
        </w:rPr>
        <w:t xml:space="preserve">, along with the </w:t>
      </w:r>
      <w:r w:rsidR="003A06E7" w:rsidRPr="00836739">
        <w:rPr>
          <w:rFonts w:eastAsia="SimSun"/>
          <w:b/>
          <w:szCs w:val="21"/>
        </w:rPr>
        <w:t>World Bank</w:t>
      </w:r>
      <w:r w:rsidR="000E646C">
        <w:rPr>
          <w:rFonts w:eastAsia="SimSun"/>
          <w:szCs w:val="21"/>
        </w:rPr>
        <w:t xml:space="preserve">. </w:t>
      </w:r>
      <w:r w:rsidR="00DA59A1">
        <w:rPr>
          <w:rFonts w:eastAsia="SimSun"/>
          <w:szCs w:val="21"/>
        </w:rPr>
        <w:t xml:space="preserve">UNICEF has taken a strong lead </w:t>
      </w:r>
      <w:r w:rsidR="000E646C">
        <w:rPr>
          <w:rFonts w:eastAsia="SimSun"/>
          <w:szCs w:val="21"/>
        </w:rPr>
        <w:t>in working with</w:t>
      </w:r>
      <w:r w:rsidR="006D48B9">
        <w:rPr>
          <w:rFonts w:eastAsia="SimSun"/>
          <w:szCs w:val="21"/>
        </w:rPr>
        <w:t xml:space="preserve"> the</w:t>
      </w:r>
      <w:r w:rsidR="000E646C">
        <w:rPr>
          <w:rFonts w:eastAsia="SimSun"/>
          <w:szCs w:val="21"/>
        </w:rPr>
        <w:t xml:space="preserve"> Government</w:t>
      </w:r>
      <w:r w:rsidR="006D48B9">
        <w:rPr>
          <w:rFonts w:eastAsia="SimSun"/>
          <w:szCs w:val="21"/>
        </w:rPr>
        <w:t xml:space="preserve"> of Bangladesh</w:t>
      </w:r>
      <w:r w:rsidR="000E646C">
        <w:rPr>
          <w:rFonts w:eastAsia="SimSun"/>
          <w:szCs w:val="21"/>
        </w:rPr>
        <w:t xml:space="preserve"> to progress </w:t>
      </w:r>
      <w:r w:rsidR="003A06E7">
        <w:rPr>
          <w:rFonts w:eastAsia="SimSun"/>
          <w:szCs w:val="21"/>
        </w:rPr>
        <w:t>pre-primary education reforms</w:t>
      </w:r>
      <w:r w:rsidR="007F48A5">
        <w:rPr>
          <w:rFonts w:eastAsia="SimSun"/>
          <w:szCs w:val="21"/>
        </w:rPr>
        <w:t>. UNICEF</w:t>
      </w:r>
      <w:r w:rsidR="00DA59A1">
        <w:rPr>
          <w:rFonts w:eastAsia="SimSun"/>
          <w:szCs w:val="21"/>
        </w:rPr>
        <w:t xml:space="preserve"> is well placed to </w:t>
      </w:r>
      <w:r w:rsidR="007F48A5">
        <w:rPr>
          <w:rFonts w:eastAsia="SimSun"/>
          <w:szCs w:val="21"/>
        </w:rPr>
        <w:t xml:space="preserve">work </w:t>
      </w:r>
      <w:r w:rsidR="00DA59A1">
        <w:rPr>
          <w:rFonts w:eastAsia="SimSun"/>
          <w:szCs w:val="21"/>
        </w:rPr>
        <w:t xml:space="preserve">closely with </w:t>
      </w:r>
      <w:r w:rsidR="007F48A5">
        <w:rPr>
          <w:rFonts w:eastAsia="SimSun"/>
          <w:szCs w:val="21"/>
        </w:rPr>
        <w:t>the range of dynamic</w:t>
      </w:r>
      <w:r w:rsidR="00DA59A1">
        <w:rPr>
          <w:rFonts w:eastAsia="SimSun"/>
          <w:szCs w:val="21"/>
        </w:rPr>
        <w:t xml:space="preserve"> non-government organisations working in primary education in Bangladesh,</w:t>
      </w:r>
      <w:r w:rsidR="00D01355">
        <w:rPr>
          <w:rFonts w:eastAsia="SimSun"/>
          <w:szCs w:val="21"/>
        </w:rPr>
        <w:t xml:space="preserve"> particularly in the areas of second chance education and community </w:t>
      </w:r>
      <w:r w:rsidR="00DA59A1">
        <w:rPr>
          <w:rFonts w:eastAsia="SimSun"/>
          <w:szCs w:val="21"/>
        </w:rPr>
        <w:t>involvement in school management</w:t>
      </w:r>
      <w:r w:rsidR="000E646C">
        <w:rPr>
          <w:rFonts w:eastAsia="SimSun"/>
          <w:szCs w:val="21"/>
        </w:rPr>
        <w:t xml:space="preserve"> but progress is the</w:t>
      </w:r>
      <w:r w:rsidR="007F48A5">
        <w:rPr>
          <w:rFonts w:eastAsia="SimSun"/>
          <w:szCs w:val="21"/>
        </w:rPr>
        <w:t>s</w:t>
      </w:r>
      <w:r w:rsidR="000E646C">
        <w:rPr>
          <w:rFonts w:eastAsia="SimSun"/>
          <w:szCs w:val="21"/>
        </w:rPr>
        <w:t>e</w:t>
      </w:r>
      <w:r w:rsidR="007F48A5">
        <w:rPr>
          <w:rFonts w:eastAsia="SimSun"/>
          <w:szCs w:val="21"/>
        </w:rPr>
        <w:t xml:space="preserve"> area</w:t>
      </w:r>
      <w:r w:rsidR="000E646C">
        <w:rPr>
          <w:rFonts w:eastAsia="SimSun"/>
          <w:szCs w:val="21"/>
        </w:rPr>
        <w:t>s</w:t>
      </w:r>
      <w:r w:rsidR="007F48A5">
        <w:rPr>
          <w:rFonts w:eastAsia="SimSun"/>
          <w:szCs w:val="21"/>
        </w:rPr>
        <w:t xml:space="preserve"> has been very slow</w:t>
      </w:r>
      <w:r w:rsidR="00D01355">
        <w:rPr>
          <w:rFonts w:eastAsia="SimSun"/>
          <w:szCs w:val="21"/>
        </w:rPr>
        <w:t>. This</w:t>
      </w:r>
      <w:r w:rsidR="00D01355" w:rsidRPr="00237CCA">
        <w:rPr>
          <w:rFonts w:eastAsia="SimSun"/>
          <w:szCs w:val="21"/>
        </w:rPr>
        <w:t xml:space="preserve"> has</w:t>
      </w:r>
      <w:r w:rsidR="0095773E" w:rsidRPr="00237CCA">
        <w:rPr>
          <w:rFonts w:eastAsia="SimSun"/>
          <w:szCs w:val="21"/>
        </w:rPr>
        <w:t xml:space="preserve"> taken up more time than expected</w:t>
      </w:r>
      <w:r w:rsidR="00D01355">
        <w:rPr>
          <w:rFonts w:eastAsia="SimSun"/>
          <w:szCs w:val="21"/>
        </w:rPr>
        <w:t xml:space="preserve"> over the past year</w:t>
      </w:r>
      <w:r w:rsidR="007F48A5">
        <w:rPr>
          <w:rFonts w:eastAsia="SimSun"/>
          <w:szCs w:val="21"/>
        </w:rPr>
        <w:t xml:space="preserve"> and will require our sustained attention over the coming twelve months</w:t>
      </w:r>
      <w:r w:rsidR="0095773E" w:rsidRPr="00237CCA">
        <w:rPr>
          <w:rFonts w:eastAsia="SimSun"/>
          <w:szCs w:val="21"/>
        </w:rPr>
        <w:t>.</w:t>
      </w:r>
    </w:p>
    <w:p w:rsidR="00630C24" w:rsidRPr="00237CCA" w:rsidRDefault="00630C24" w:rsidP="00836739">
      <w:pPr>
        <w:jc w:val="both"/>
        <w:rPr>
          <w:rFonts w:ascii="Franklin Gothic Book" w:hAnsi="Franklin Gothic Book"/>
          <w:sz w:val="21"/>
          <w:szCs w:val="21"/>
        </w:rPr>
      </w:pPr>
    </w:p>
    <w:p w:rsidR="0095773E" w:rsidRDefault="0095773E" w:rsidP="00836739">
      <w:pPr>
        <w:pStyle w:val="ListBullet"/>
        <w:tabs>
          <w:tab w:val="clear" w:pos="284"/>
        </w:tabs>
        <w:jc w:val="both"/>
        <w:rPr>
          <w:rFonts w:eastAsia="SimSun"/>
          <w:szCs w:val="21"/>
        </w:rPr>
      </w:pPr>
      <w:r w:rsidRPr="00237CCA">
        <w:rPr>
          <w:rFonts w:eastAsia="SimSun"/>
          <w:szCs w:val="21"/>
        </w:rPr>
        <w:t xml:space="preserve">DFID and Australia have invested more effort this year in determining how to get added value from the </w:t>
      </w:r>
      <w:r w:rsidR="00E004CF">
        <w:rPr>
          <w:rFonts w:eastAsia="SimSun"/>
          <w:szCs w:val="21"/>
        </w:rPr>
        <w:t>Strategic Part</w:t>
      </w:r>
      <w:r w:rsidR="00307FD8">
        <w:rPr>
          <w:rFonts w:eastAsia="SimSun"/>
          <w:szCs w:val="21"/>
        </w:rPr>
        <w:t>ner</w:t>
      </w:r>
      <w:r w:rsidR="00E004CF">
        <w:rPr>
          <w:rFonts w:eastAsia="SimSun"/>
          <w:szCs w:val="21"/>
        </w:rPr>
        <w:t xml:space="preserve">ship Arrangement (SPA) </w:t>
      </w:r>
      <w:r w:rsidRPr="00237CCA">
        <w:rPr>
          <w:rFonts w:eastAsia="SimSun"/>
          <w:szCs w:val="21"/>
        </w:rPr>
        <w:t xml:space="preserve">with </w:t>
      </w:r>
      <w:r w:rsidRPr="00237CCA">
        <w:rPr>
          <w:rFonts w:eastAsia="SimSun"/>
          <w:b/>
          <w:szCs w:val="21"/>
        </w:rPr>
        <w:t>BRAC</w:t>
      </w:r>
      <w:r w:rsidRPr="00237CCA">
        <w:rPr>
          <w:rFonts w:eastAsia="SimSun"/>
          <w:szCs w:val="21"/>
        </w:rPr>
        <w:t>. Cooperation has continued beyond sectoral programs (for example through a successful visit to Australia by the Fo</w:t>
      </w:r>
      <w:r w:rsidR="005C2065">
        <w:rPr>
          <w:rFonts w:eastAsia="SimSun"/>
          <w:szCs w:val="21"/>
        </w:rPr>
        <w:t xml:space="preserve">under and Chairperson of BRAC). A steering committee was established, which held its inaugural meeting in May to discuss the strategic directions and mutual interests of the </w:t>
      </w:r>
      <w:r w:rsidR="00307FD8">
        <w:rPr>
          <w:rFonts w:eastAsia="SimSun"/>
          <w:szCs w:val="21"/>
        </w:rPr>
        <w:t>SPA</w:t>
      </w:r>
      <w:r w:rsidR="008F495C">
        <w:rPr>
          <w:rFonts w:eastAsia="SimSun"/>
          <w:szCs w:val="21"/>
        </w:rPr>
        <w:t xml:space="preserve"> </w:t>
      </w:r>
      <w:r w:rsidR="005C2065">
        <w:rPr>
          <w:rFonts w:eastAsia="SimSun"/>
          <w:szCs w:val="21"/>
        </w:rPr>
        <w:t>members.</w:t>
      </w:r>
      <w:r w:rsidR="005C2065" w:rsidRPr="00237CCA">
        <w:rPr>
          <w:rFonts w:eastAsia="SimSun"/>
          <w:szCs w:val="21"/>
        </w:rPr>
        <w:t xml:space="preserve"> </w:t>
      </w:r>
      <w:r w:rsidRPr="00237CCA">
        <w:rPr>
          <w:rFonts w:eastAsia="SimSun"/>
          <w:szCs w:val="21"/>
        </w:rPr>
        <w:t>Independent research</w:t>
      </w:r>
      <w:r w:rsidR="0007193D">
        <w:rPr>
          <w:rStyle w:val="FootnoteReference"/>
          <w:rFonts w:eastAsia="SimSun"/>
          <w:szCs w:val="21"/>
        </w:rPr>
        <w:footnoteReference w:id="50"/>
      </w:r>
      <w:r w:rsidRPr="00237CCA">
        <w:rPr>
          <w:rFonts w:eastAsia="SimSun"/>
          <w:szCs w:val="21"/>
        </w:rPr>
        <w:t xml:space="preserve"> into the </w:t>
      </w:r>
      <w:r w:rsidR="00307FD8">
        <w:rPr>
          <w:rFonts w:eastAsia="SimSun"/>
          <w:szCs w:val="21"/>
        </w:rPr>
        <w:t>SPA</w:t>
      </w:r>
      <w:r w:rsidRPr="00237CCA">
        <w:rPr>
          <w:rFonts w:eastAsia="SimSun"/>
          <w:szCs w:val="21"/>
        </w:rPr>
        <w:t xml:space="preserve"> confirms that many of the expectations for greater effectiveness and efficiency are being achieved, and a mid-term review of the </w:t>
      </w:r>
      <w:r w:rsidR="00307FD8">
        <w:rPr>
          <w:rFonts w:eastAsia="SimSun"/>
          <w:szCs w:val="21"/>
        </w:rPr>
        <w:t>SPA</w:t>
      </w:r>
      <w:r w:rsidR="008F495C" w:rsidRPr="00237CCA">
        <w:rPr>
          <w:rFonts w:eastAsia="SimSun"/>
          <w:szCs w:val="21"/>
        </w:rPr>
        <w:t xml:space="preserve"> </w:t>
      </w:r>
      <w:r w:rsidRPr="00237CCA">
        <w:rPr>
          <w:rFonts w:eastAsia="SimSun"/>
          <w:szCs w:val="21"/>
        </w:rPr>
        <w:t xml:space="preserve">confirms that BRAC is holding to its commitments on innovation, integration, results monitoring and organisational change. However, there is scope for greater focus on learning in the </w:t>
      </w:r>
      <w:r w:rsidR="00307FD8">
        <w:rPr>
          <w:rFonts w:eastAsia="SimSun"/>
          <w:szCs w:val="21"/>
        </w:rPr>
        <w:t>SPA</w:t>
      </w:r>
      <w:r w:rsidRPr="00237CCA">
        <w:rPr>
          <w:rFonts w:eastAsia="SimSun"/>
          <w:szCs w:val="21"/>
        </w:rPr>
        <w:t xml:space="preserve"> and for a more collaborative dialogue between technical staff </w:t>
      </w:r>
      <w:r w:rsidR="00105DEF">
        <w:rPr>
          <w:rFonts w:eastAsia="SimSun"/>
          <w:szCs w:val="21"/>
        </w:rPr>
        <w:t>moving on from</w:t>
      </w:r>
      <w:r w:rsidRPr="00237CCA">
        <w:rPr>
          <w:rFonts w:eastAsia="SimSun"/>
          <w:szCs w:val="21"/>
        </w:rPr>
        <w:t xml:space="preserve"> the former project supervision system.</w:t>
      </w:r>
    </w:p>
    <w:p w:rsidR="00AF0459" w:rsidRPr="00237CCA" w:rsidRDefault="00AF0459" w:rsidP="00AF0459">
      <w:pPr>
        <w:pStyle w:val="Heading3"/>
        <w:rPr>
          <w:b w:val="0"/>
          <w:color w:val="007FAD"/>
          <w:sz w:val="32"/>
          <w:szCs w:val="32"/>
          <w:lang w:eastAsia="en-AU"/>
        </w:rPr>
      </w:pPr>
      <w:r w:rsidRPr="00237CCA">
        <w:rPr>
          <w:b w:val="0"/>
          <w:color w:val="007FAD"/>
          <w:sz w:val="32"/>
          <w:szCs w:val="32"/>
          <w:lang w:eastAsia="en-AU"/>
        </w:rPr>
        <w:t>Risks</w:t>
      </w:r>
    </w:p>
    <w:p w:rsidR="00AF0459" w:rsidRPr="000D4756" w:rsidRDefault="00AF0459" w:rsidP="000D4756">
      <w:pPr>
        <w:pStyle w:val="TableTextEntries"/>
      </w:pPr>
      <w:r w:rsidRPr="000D4756">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AF0459" w:rsidRPr="000D4756" w:rsidTr="006762AC">
        <w:tc>
          <w:tcPr>
            <w:tcW w:w="2487" w:type="dxa"/>
            <w:hideMark/>
          </w:tcPr>
          <w:p w:rsidR="00AF0459" w:rsidRPr="006762AC" w:rsidRDefault="00AF0459" w:rsidP="000D4756">
            <w:pPr>
              <w:pStyle w:val="TableTextEntries"/>
              <w:rPr>
                <w:b/>
              </w:rPr>
            </w:pPr>
            <w:r w:rsidRPr="006762AC">
              <w:rPr>
                <w:b/>
              </w:rPr>
              <w:t>Key risks</w:t>
            </w:r>
          </w:p>
        </w:tc>
        <w:tc>
          <w:tcPr>
            <w:tcW w:w="3054" w:type="dxa"/>
          </w:tcPr>
          <w:p w:rsidR="00AF0459" w:rsidRPr="006762AC" w:rsidRDefault="00AF0459" w:rsidP="000D4756">
            <w:pPr>
              <w:pStyle w:val="TableTextEntries"/>
              <w:rPr>
                <w:b/>
              </w:rPr>
            </w:pPr>
            <w:r w:rsidRPr="006762AC">
              <w:rPr>
                <w:b/>
              </w:rPr>
              <w:t>What actions were taken to manage the risks over the past year</w:t>
            </w:r>
          </w:p>
        </w:tc>
        <w:tc>
          <w:tcPr>
            <w:tcW w:w="3124" w:type="dxa"/>
          </w:tcPr>
          <w:p w:rsidR="00AF0459" w:rsidRPr="006762AC" w:rsidRDefault="00AF0459" w:rsidP="000D4756">
            <w:pPr>
              <w:pStyle w:val="TableTextEntries"/>
              <w:rPr>
                <w:b/>
              </w:rPr>
            </w:pPr>
            <w:r w:rsidRPr="006762AC">
              <w:rPr>
                <w:b/>
              </w:rPr>
              <w:t>What further actions will be taken to manage the risks in the coming year</w:t>
            </w:r>
          </w:p>
        </w:tc>
      </w:tr>
      <w:tr w:rsidR="00AF0459" w:rsidRPr="000D4756" w:rsidTr="006762AC">
        <w:tc>
          <w:tcPr>
            <w:tcW w:w="2487" w:type="dxa"/>
          </w:tcPr>
          <w:p w:rsidR="008C1B23" w:rsidRPr="008C1B23" w:rsidRDefault="00464AD1" w:rsidP="002C0099">
            <w:pPr>
              <w:pStyle w:val="TableTextEntries"/>
              <w:numPr>
                <w:ilvl w:val="0"/>
                <w:numId w:val="20"/>
              </w:numPr>
            </w:pPr>
            <w:r>
              <w:t xml:space="preserve">Political instability </w:t>
            </w:r>
            <w:r w:rsidR="00E62C26">
              <w:t xml:space="preserve">related </w:t>
            </w:r>
            <w:r w:rsidR="002C0099">
              <w:t xml:space="preserve">to </w:t>
            </w:r>
            <w:r w:rsidR="00E62C26">
              <w:t>the 2014 election</w:t>
            </w:r>
            <w:r>
              <w:t xml:space="preserve"> slowed program implementation</w:t>
            </w:r>
          </w:p>
        </w:tc>
        <w:tc>
          <w:tcPr>
            <w:tcW w:w="3054" w:type="dxa"/>
          </w:tcPr>
          <w:p w:rsidR="008C1B23" w:rsidRPr="000D4756" w:rsidRDefault="00464AD1" w:rsidP="00307FD8">
            <w:pPr>
              <w:pStyle w:val="TableTextEntries"/>
            </w:pPr>
            <w:r w:rsidRPr="00464AD1">
              <w:t>Post maintain</w:t>
            </w:r>
            <w:r w:rsidR="006762AC">
              <w:t>ed</w:t>
            </w:r>
            <w:r w:rsidRPr="00464AD1">
              <w:t xml:space="preserve"> awareness of </w:t>
            </w:r>
            <w:r w:rsidR="00E62C26">
              <w:t xml:space="preserve">the </w:t>
            </w:r>
            <w:r w:rsidRPr="00464AD1">
              <w:t xml:space="preserve">political </w:t>
            </w:r>
            <w:r w:rsidR="006762AC">
              <w:t>environment</w:t>
            </w:r>
            <w:r w:rsidR="008F495C">
              <w:t xml:space="preserve"> and modified expectations. Post kept close contact with </w:t>
            </w:r>
            <w:r w:rsidRPr="00464AD1">
              <w:t xml:space="preserve">other donors and </w:t>
            </w:r>
            <w:r w:rsidR="001924BC">
              <w:t>Government of Bangladesh</w:t>
            </w:r>
            <w:r w:rsidRPr="00464AD1">
              <w:t xml:space="preserve"> through the L</w:t>
            </w:r>
            <w:r w:rsidR="00307FD8">
              <w:t>ocal Consultative Group</w:t>
            </w:r>
            <w:r w:rsidRPr="00464AD1">
              <w:t xml:space="preserve"> (donor-</w:t>
            </w:r>
            <w:r w:rsidR="001924BC">
              <w:t>Government of Bangladesh</w:t>
            </w:r>
            <w:r w:rsidRPr="00464AD1">
              <w:t xml:space="preserve"> mechanism), HOM and </w:t>
            </w:r>
            <w:r w:rsidR="00307FD8">
              <w:t>other staff</w:t>
            </w:r>
            <w:r w:rsidRPr="00464AD1">
              <w:t>.</w:t>
            </w:r>
            <w:r w:rsidR="008F495C">
              <w:t xml:space="preserve"> </w:t>
            </w:r>
          </w:p>
        </w:tc>
        <w:tc>
          <w:tcPr>
            <w:tcW w:w="3124" w:type="dxa"/>
          </w:tcPr>
          <w:p w:rsidR="008C1B23" w:rsidRPr="000D4756" w:rsidRDefault="00E62C26" w:rsidP="001924BC">
            <w:pPr>
              <w:pStyle w:val="TableTextEntries"/>
            </w:pPr>
            <w:r>
              <w:t>Adjust program expectations according to political context</w:t>
            </w:r>
            <w:r w:rsidR="00464AD1" w:rsidRPr="00464AD1">
              <w:t xml:space="preserve"> and re-align programs as required.</w:t>
            </w:r>
            <w:r w:rsidR="006762AC">
              <w:t xml:space="preserve"> Maintain mix of support through </w:t>
            </w:r>
            <w:r w:rsidR="001924BC">
              <w:t xml:space="preserve">Government </w:t>
            </w:r>
            <w:r w:rsidR="00307FD8">
              <w:t>and non-government</w:t>
            </w:r>
            <w:r w:rsidR="006762AC">
              <w:t xml:space="preserve"> partners.</w:t>
            </w:r>
          </w:p>
        </w:tc>
      </w:tr>
      <w:tr w:rsidR="00AF0459" w:rsidRPr="000D4756" w:rsidTr="006762AC">
        <w:tc>
          <w:tcPr>
            <w:tcW w:w="2487" w:type="dxa"/>
          </w:tcPr>
          <w:p w:rsidR="00AF0459" w:rsidRPr="000D4756" w:rsidRDefault="00464AD1" w:rsidP="00F2695C">
            <w:pPr>
              <w:pStyle w:val="TableTextEntries"/>
              <w:numPr>
                <w:ilvl w:val="0"/>
                <w:numId w:val="20"/>
              </w:numPr>
            </w:pPr>
            <w:r w:rsidRPr="00464AD1">
              <w:t>The program is exposed to fraud or corruption.</w:t>
            </w:r>
          </w:p>
        </w:tc>
        <w:tc>
          <w:tcPr>
            <w:tcW w:w="3054" w:type="dxa"/>
          </w:tcPr>
          <w:p w:rsidR="00AF0459" w:rsidRPr="000D4756" w:rsidRDefault="00464AD1" w:rsidP="00CE6E8F">
            <w:pPr>
              <w:pStyle w:val="TableTextEntries"/>
            </w:pPr>
            <w:r w:rsidRPr="00464AD1">
              <w:t xml:space="preserve">The appointment in 2013 of a Public Financial Management advisor </w:t>
            </w:r>
            <w:r w:rsidR="006762AC">
              <w:t>assisted</w:t>
            </w:r>
            <w:r w:rsidRPr="00464AD1">
              <w:t xml:space="preserve"> to </w:t>
            </w:r>
            <w:r w:rsidR="00E62C26">
              <w:t>deepen Post’s oversight of our partners’ systems and processes for fiduciary risk management</w:t>
            </w:r>
            <w:r w:rsidR="00CE6E8F">
              <w:t>.</w:t>
            </w:r>
          </w:p>
        </w:tc>
        <w:tc>
          <w:tcPr>
            <w:tcW w:w="3124" w:type="dxa"/>
          </w:tcPr>
          <w:p w:rsidR="00AF0459" w:rsidRPr="000D4756" w:rsidRDefault="00464AD1" w:rsidP="00CE6E8F">
            <w:pPr>
              <w:pStyle w:val="TableTextEntries"/>
            </w:pPr>
            <w:r w:rsidRPr="00464AD1">
              <w:t>Consider ways (eg training</w:t>
            </w:r>
            <w:r w:rsidR="00E62C26">
              <w:t>, on-the-job learning</w:t>
            </w:r>
            <w:r w:rsidRPr="00464AD1">
              <w:t>) to build capacity</w:t>
            </w:r>
            <w:r w:rsidR="00E62C26">
              <w:t xml:space="preserve"> </w:t>
            </w:r>
            <w:r w:rsidR="006762AC">
              <w:t xml:space="preserve">of staff </w:t>
            </w:r>
            <w:r w:rsidR="00E62C26">
              <w:t>for oversight of partners’ systems for fiduciary risk management</w:t>
            </w:r>
            <w:r w:rsidRPr="00464AD1">
              <w:t xml:space="preserve">.  </w:t>
            </w:r>
            <w:r w:rsidR="00CE6E8F">
              <w:t>Maintain arrangement with PFM advisor.</w:t>
            </w:r>
          </w:p>
        </w:tc>
      </w:tr>
      <w:tr w:rsidR="00464AD1" w:rsidRPr="000D4756" w:rsidTr="006762AC">
        <w:tc>
          <w:tcPr>
            <w:tcW w:w="2487" w:type="dxa"/>
          </w:tcPr>
          <w:p w:rsidR="00464AD1" w:rsidRPr="00464AD1" w:rsidRDefault="00EB56CF" w:rsidP="00AD079D">
            <w:pPr>
              <w:pStyle w:val="TableTextEntries"/>
              <w:numPr>
                <w:ilvl w:val="0"/>
                <w:numId w:val="20"/>
              </w:numPr>
            </w:pPr>
            <w:r w:rsidRPr="00464AD1">
              <w:lastRenderedPageBreak/>
              <w:t>Management</w:t>
            </w:r>
            <w:r w:rsidR="00464AD1" w:rsidRPr="00464AD1">
              <w:t xml:space="preserve"> of Bangladesh program becomes ineffective and exposes program to additional risks due to premature reduction in resourc</w:t>
            </w:r>
            <w:r w:rsidR="00AD079D">
              <w:t>es to manage the program</w:t>
            </w:r>
            <w:r w:rsidR="00464AD1" w:rsidRPr="00464AD1">
              <w:t xml:space="preserve"> </w:t>
            </w:r>
          </w:p>
        </w:tc>
        <w:tc>
          <w:tcPr>
            <w:tcW w:w="3054" w:type="dxa"/>
          </w:tcPr>
          <w:p w:rsidR="00464AD1" w:rsidRPr="00464AD1" w:rsidRDefault="001205BB" w:rsidP="006762AC">
            <w:pPr>
              <w:pStyle w:val="TableTextEntries"/>
            </w:pPr>
            <w:r>
              <w:t>Post made major c</w:t>
            </w:r>
            <w:r w:rsidR="00464AD1" w:rsidRPr="00464AD1">
              <w:t xml:space="preserve">onsolidation </w:t>
            </w:r>
            <w:r w:rsidR="00AD079D">
              <w:t>decisions</w:t>
            </w:r>
            <w:r>
              <w:t xml:space="preserve"> in 2013</w:t>
            </w:r>
            <w:r w:rsidR="00AD079D">
              <w:t>: including withdrawing from the national health sector program, adjusting management approaches to D</w:t>
            </w:r>
            <w:r w:rsidR="001924BC">
              <w:t xml:space="preserve">isaster </w:t>
            </w:r>
            <w:r w:rsidR="00AD079D">
              <w:t>R</w:t>
            </w:r>
            <w:r w:rsidR="001924BC">
              <w:t xml:space="preserve">isk </w:t>
            </w:r>
            <w:r w:rsidR="00AD079D">
              <w:t>R</w:t>
            </w:r>
            <w:r w:rsidR="001924BC">
              <w:t>eduction</w:t>
            </w:r>
            <w:r w:rsidR="00AD079D">
              <w:t xml:space="preserve"> and climate change, withdrawing from the aid effectiveness project and water and sanitation project.  </w:t>
            </w:r>
            <w:r w:rsidR="00464AD1" w:rsidRPr="00464AD1">
              <w:t xml:space="preserve"> </w:t>
            </w:r>
          </w:p>
        </w:tc>
        <w:tc>
          <w:tcPr>
            <w:tcW w:w="3124" w:type="dxa"/>
          </w:tcPr>
          <w:p w:rsidR="00464AD1" w:rsidRPr="00464AD1" w:rsidRDefault="00AD079D" w:rsidP="001924BC">
            <w:pPr>
              <w:pStyle w:val="TableTextEntries"/>
            </w:pPr>
            <w:r>
              <w:t>Continue to monitor management capacity and program complexity, Options such as</w:t>
            </w:r>
            <w:r w:rsidR="00CE6E8F">
              <w:t xml:space="preserve"> disengagement and </w:t>
            </w:r>
            <w:r w:rsidR="00253997">
              <w:t xml:space="preserve">delegated cooperation </w:t>
            </w:r>
            <w:r w:rsidR="001205BB">
              <w:t>for the remaining parts of the program</w:t>
            </w:r>
            <w:r w:rsidR="002C0099">
              <w:t xml:space="preserve"> </w:t>
            </w:r>
            <w:r w:rsidR="00253997">
              <w:t xml:space="preserve">will need to be discussed </w:t>
            </w:r>
            <w:r w:rsidR="00852B8C">
              <w:t xml:space="preserve">further </w:t>
            </w:r>
            <w:r w:rsidR="00253997">
              <w:t xml:space="preserve">during the development </w:t>
            </w:r>
            <w:r w:rsidR="00CE6E8F">
              <w:t>of the Aid Investment Plan</w:t>
            </w:r>
            <w:r w:rsidR="00253997">
              <w:t>.</w:t>
            </w:r>
          </w:p>
        </w:tc>
      </w:tr>
      <w:tr w:rsidR="00464AD1" w:rsidRPr="000D4756" w:rsidTr="006762AC">
        <w:tc>
          <w:tcPr>
            <w:tcW w:w="2487" w:type="dxa"/>
          </w:tcPr>
          <w:p w:rsidR="00464AD1" w:rsidRDefault="00464AD1" w:rsidP="00464AD1">
            <w:pPr>
              <w:pStyle w:val="TableTextEntries"/>
              <w:numPr>
                <w:ilvl w:val="0"/>
                <w:numId w:val="20"/>
              </w:numPr>
            </w:pPr>
            <w:r>
              <w:t>R</w:t>
            </w:r>
            <w:r w:rsidRPr="00464AD1">
              <w:t xml:space="preserve">elationship between </w:t>
            </w:r>
            <w:r w:rsidR="001924BC">
              <w:t>G</w:t>
            </w:r>
            <w:r w:rsidRPr="00464AD1">
              <w:t>overnment</w:t>
            </w:r>
            <w:r w:rsidR="001924BC">
              <w:t xml:space="preserve"> of Bangladesh</w:t>
            </w:r>
            <w:r w:rsidRPr="00464AD1">
              <w:t xml:space="preserve"> and civil society organisations increases the complexity and sensitivity of the sector and management of relationships</w:t>
            </w:r>
          </w:p>
        </w:tc>
        <w:tc>
          <w:tcPr>
            <w:tcW w:w="3054" w:type="dxa"/>
          </w:tcPr>
          <w:p w:rsidR="00464AD1" w:rsidRPr="00464AD1" w:rsidRDefault="001205BB" w:rsidP="001205BB">
            <w:pPr>
              <w:pStyle w:val="TableTextEntries"/>
            </w:pPr>
            <w:r>
              <w:t>Post</w:t>
            </w:r>
            <w:r w:rsidR="00464AD1" w:rsidRPr="00464AD1">
              <w:t xml:space="preserve"> remains sensitive to the relationships each partner has with </w:t>
            </w:r>
            <w:r>
              <w:t>the Bangladesh Government and supports partner led advocacy and influence</w:t>
            </w:r>
          </w:p>
        </w:tc>
        <w:tc>
          <w:tcPr>
            <w:tcW w:w="3124" w:type="dxa"/>
          </w:tcPr>
          <w:p w:rsidR="00464AD1" w:rsidRPr="00464AD1" w:rsidRDefault="00464AD1" w:rsidP="00274F44">
            <w:pPr>
              <w:pStyle w:val="TableTextEntries"/>
            </w:pPr>
            <w:r w:rsidRPr="00464AD1">
              <w:t xml:space="preserve">Assessments of potential partners will continue to include </w:t>
            </w:r>
            <w:r w:rsidR="001205BB">
              <w:t xml:space="preserve">ability to influence and/or complement government in a way that improves country systems and accountability </w:t>
            </w:r>
          </w:p>
        </w:tc>
      </w:tr>
    </w:tbl>
    <w:p w:rsidR="00AF0459" w:rsidRPr="00237CCA" w:rsidRDefault="00AF0459" w:rsidP="00E34155">
      <w:pPr>
        <w:pStyle w:val="Heading3"/>
        <w:jc w:val="both"/>
        <w:rPr>
          <w:rStyle w:val="BodyTextChar"/>
          <w:rFonts w:eastAsia="SimSun" w:cs="Times New Roman"/>
          <w:b w:val="0"/>
          <w:iCs/>
          <w:color w:val="auto"/>
          <w:kern w:val="0"/>
          <w:szCs w:val="21"/>
          <w:lang w:eastAsia="en-AU"/>
        </w:rPr>
      </w:pPr>
      <w:r w:rsidRPr="00237CCA">
        <w:rPr>
          <w:b w:val="0"/>
          <w:color w:val="007FAD"/>
          <w:sz w:val="32"/>
          <w:szCs w:val="32"/>
          <w:lang w:eastAsia="en-AU"/>
        </w:rPr>
        <w:t>Management Responses</w:t>
      </w:r>
      <w:r w:rsidRPr="00237CCA">
        <w:rPr>
          <w:rFonts w:ascii="Franklin Gothic Book" w:hAnsi="Franklin Gothic Book"/>
          <w:b w:val="0"/>
          <w:color w:val="007FAD"/>
          <w:sz w:val="21"/>
          <w:szCs w:val="21"/>
          <w:lang w:eastAsia="en-AU"/>
        </w:rPr>
        <w:tab/>
      </w:r>
      <w:r w:rsidRPr="00237CCA">
        <w:rPr>
          <w:rFonts w:ascii="Franklin Gothic Book" w:hAnsi="Franklin Gothic Book"/>
          <w:sz w:val="21"/>
          <w:szCs w:val="21"/>
        </w:rPr>
        <w:tab/>
      </w:r>
      <w:r w:rsidR="003B2F86" w:rsidRPr="00237CCA">
        <w:rPr>
          <w:rStyle w:val="BodyTextChar"/>
          <w:b w:val="0"/>
          <w:color w:val="auto"/>
          <w:szCs w:val="21"/>
        </w:rPr>
        <w:t xml:space="preserve"> </w:t>
      </w:r>
    </w:p>
    <w:p w:rsidR="00C675A7" w:rsidRPr="00237CCA" w:rsidRDefault="005C0F8C" w:rsidP="00E34155">
      <w:pPr>
        <w:pStyle w:val="ListBullet"/>
        <w:numPr>
          <w:ilvl w:val="0"/>
          <w:numId w:val="0"/>
        </w:numPr>
        <w:tabs>
          <w:tab w:val="clear" w:pos="284"/>
        </w:tabs>
        <w:jc w:val="both"/>
        <w:rPr>
          <w:szCs w:val="21"/>
        </w:rPr>
      </w:pPr>
      <w:r w:rsidRPr="00237CCA">
        <w:rPr>
          <w:szCs w:val="21"/>
        </w:rPr>
        <w:t xml:space="preserve">The Bangladesh aid program will develop an </w:t>
      </w:r>
      <w:r w:rsidRPr="00237CCA">
        <w:rPr>
          <w:b/>
          <w:szCs w:val="21"/>
        </w:rPr>
        <w:t>Aid Investment Plan</w:t>
      </w:r>
      <w:r w:rsidRPr="00237CCA">
        <w:rPr>
          <w:szCs w:val="21"/>
        </w:rPr>
        <w:t xml:space="preserve"> by July 2015, adapting the program to Australia’s new aid policy (</w:t>
      </w:r>
      <w:r w:rsidR="00C675A7" w:rsidRPr="00237CCA">
        <w:rPr>
          <w:szCs w:val="21"/>
        </w:rPr>
        <w:t xml:space="preserve">released </w:t>
      </w:r>
      <w:r w:rsidRPr="00237CCA">
        <w:rPr>
          <w:szCs w:val="21"/>
        </w:rPr>
        <w:t>June 2014).</w:t>
      </w:r>
      <w:r w:rsidR="006D763F" w:rsidRPr="00237CCA">
        <w:rPr>
          <w:szCs w:val="21"/>
        </w:rPr>
        <w:t xml:space="preserve"> </w:t>
      </w:r>
      <w:r w:rsidR="005E0C5C">
        <w:rPr>
          <w:szCs w:val="21"/>
        </w:rPr>
        <w:t>T</w:t>
      </w:r>
      <w:r w:rsidR="006D763F" w:rsidRPr="00237CCA">
        <w:rPr>
          <w:szCs w:val="21"/>
        </w:rPr>
        <w:t xml:space="preserve">he program will </w:t>
      </w:r>
      <w:r w:rsidR="005E0C5C">
        <w:rPr>
          <w:szCs w:val="21"/>
        </w:rPr>
        <w:t>need to carefully consider how it can balance delivering on the financial and risk management, monitoring and reporting requirements of a top 10 country program with the resources of a significantly smaller program</w:t>
      </w:r>
      <w:r w:rsidR="006D763F" w:rsidRPr="00237CCA">
        <w:rPr>
          <w:szCs w:val="21"/>
        </w:rPr>
        <w:t xml:space="preserve">. </w:t>
      </w:r>
      <w:r w:rsidR="00964F35" w:rsidRPr="00237CCA">
        <w:rPr>
          <w:szCs w:val="21"/>
        </w:rPr>
        <w:t xml:space="preserve">In developing </w:t>
      </w:r>
      <w:r w:rsidR="006D763F" w:rsidRPr="00237CCA">
        <w:rPr>
          <w:szCs w:val="21"/>
        </w:rPr>
        <w:t>the AIP</w:t>
      </w:r>
      <w:r w:rsidR="001924BC">
        <w:rPr>
          <w:szCs w:val="21"/>
        </w:rPr>
        <w:t>,</w:t>
      </w:r>
      <w:r w:rsidR="006D763F" w:rsidRPr="00237CCA">
        <w:rPr>
          <w:szCs w:val="21"/>
        </w:rPr>
        <w:t xml:space="preserve"> Australia </w:t>
      </w:r>
      <w:r w:rsidR="00C675A7" w:rsidRPr="00237CCA">
        <w:rPr>
          <w:szCs w:val="21"/>
        </w:rPr>
        <w:t>will</w:t>
      </w:r>
    </w:p>
    <w:p w:rsidR="00C675A7" w:rsidRPr="00FC31F0" w:rsidRDefault="004B28DE" w:rsidP="00E34155">
      <w:pPr>
        <w:pStyle w:val="ListBullet"/>
        <w:jc w:val="both"/>
        <w:rPr>
          <w:rFonts w:eastAsia="SimSun"/>
        </w:rPr>
      </w:pPr>
      <w:r w:rsidRPr="00FC31F0">
        <w:rPr>
          <w:rFonts w:eastAsia="SimSun"/>
        </w:rPr>
        <w:t>revise</w:t>
      </w:r>
      <w:r w:rsidR="005C0F8C" w:rsidRPr="00FC31F0">
        <w:rPr>
          <w:rFonts w:eastAsia="SimSun"/>
        </w:rPr>
        <w:t xml:space="preserve"> the</w:t>
      </w:r>
      <w:r w:rsidRPr="00FC31F0">
        <w:rPr>
          <w:rFonts w:eastAsia="SimSun"/>
        </w:rPr>
        <w:t xml:space="preserve"> program’s </w:t>
      </w:r>
      <w:r w:rsidR="005C0F8C" w:rsidRPr="00FC31F0">
        <w:rPr>
          <w:rFonts w:eastAsia="SimSun"/>
        </w:rPr>
        <w:t xml:space="preserve">objectives and approach </w:t>
      </w:r>
    </w:p>
    <w:p w:rsidR="00C675A7" w:rsidRPr="00FC31F0" w:rsidRDefault="00C675A7" w:rsidP="00E34155">
      <w:pPr>
        <w:pStyle w:val="ListBullet"/>
        <w:jc w:val="both"/>
        <w:rPr>
          <w:rFonts w:eastAsia="SimSun"/>
        </w:rPr>
      </w:pPr>
      <w:r w:rsidRPr="00FC31F0">
        <w:rPr>
          <w:rFonts w:eastAsia="SimSun"/>
        </w:rPr>
        <w:t>consider o</w:t>
      </w:r>
      <w:r w:rsidR="005C0F8C" w:rsidRPr="00FC31F0">
        <w:rPr>
          <w:rFonts w:eastAsia="SimSun"/>
        </w:rPr>
        <w:t>pportunities</w:t>
      </w:r>
      <w:r w:rsidR="00443129" w:rsidRPr="00FC31F0">
        <w:rPr>
          <w:rFonts w:eastAsia="SimSun"/>
        </w:rPr>
        <w:t xml:space="preserve"> to respond to</w:t>
      </w:r>
      <w:r w:rsidR="00F17483" w:rsidRPr="00FC31F0">
        <w:rPr>
          <w:rFonts w:eastAsia="SimSun"/>
        </w:rPr>
        <w:t xml:space="preserve"> Australian</w:t>
      </w:r>
      <w:r w:rsidR="00443129" w:rsidRPr="00FC31F0">
        <w:rPr>
          <w:rFonts w:eastAsia="SimSun"/>
        </w:rPr>
        <w:t xml:space="preserve"> aid policy priorities </w:t>
      </w:r>
    </w:p>
    <w:p w:rsidR="00942BFB" w:rsidRPr="00FC31F0" w:rsidRDefault="00942BFB" w:rsidP="00E34155">
      <w:pPr>
        <w:pStyle w:val="ListBullet"/>
        <w:jc w:val="both"/>
        <w:rPr>
          <w:rFonts w:eastAsia="SimSun"/>
        </w:rPr>
      </w:pPr>
      <w:r w:rsidRPr="00FC31F0">
        <w:rPr>
          <w:rFonts w:eastAsia="SimSun"/>
        </w:rPr>
        <w:t xml:space="preserve">develop performance benchmarks </w:t>
      </w:r>
      <w:r w:rsidR="00F17483" w:rsidRPr="00FC31F0">
        <w:rPr>
          <w:rFonts w:eastAsia="SimSun"/>
        </w:rPr>
        <w:t>for the program</w:t>
      </w:r>
      <w:r w:rsidRPr="00FC31F0">
        <w:rPr>
          <w:rFonts w:eastAsia="SimSun"/>
        </w:rPr>
        <w:t>, building from those included in this report</w:t>
      </w:r>
      <w:r w:rsidR="00F17483" w:rsidRPr="00FC31F0">
        <w:rPr>
          <w:rFonts w:eastAsia="SimSun"/>
        </w:rPr>
        <w:t xml:space="preserve"> (for 2014</w:t>
      </w:r>
      <w:r w:rsidR="001924BC">
        <w:rPr>
          <w:rFonts w:eastAsia="SimSun"/>
        </w:rPr>
        <w:t>—</w:t>
      </w:r>
      <w:r w:rsidR="00F17483" w:rsidRPr="00FC31F0">
        <w:rPr>
          <w:rFonts w:eastAsia="SimSun"/>
        </w:rPr>
        <w:t>15)</w:t>
      </w:r>
      <w:r w:rsidR="00682F22">
        <w:rPr>
          <w:rFonts w:eastAsia="SimSun"/>
        </w:rPr>
        <w:t>.</w:t>
      </w:r>
    </w:p>
    <w:p w:rsidR="0050473E" w:rsidRPr="00237CCA" w:rsidRDefault="0050473E" w:rsidP="00E34155">
      <w:pPr>
        <w:pStyle w:val="ListBullet"/>
        <w:numPr>
          <w:ilvl w:val="0"/>
          <w:numId w:val="0"/>
        </w:numPr>
        <w:tabs>
          <w:tab w:val="clear" w:pos="284"/>
        </w:tabs>
        <w:jc w:val="both"/>
        <w:rPr>
          <w:szCs w:val="21"/>
        </w:rPr>
      </w:pPr>
      <w:r w:rsidRPr="00237CCA">
        <w:rPr>
          <w:szCs w:val="21"/>
        </w:rPr>
        <w:t>Australia will manage existing investments throughout 2014</w:t>
      </w:r>
      <w:r w:rsidR="001924BC">
        <w:rPr>
          <w:szCs w:val="21"/>
        </w:rPr>
        <w:t>—</w:t>
      </w:r>
      <w:r w:rsidRPr="00237CCA">
        <w:rPr>
          <w:szCs w:val="21"/>
        </w:rPr>
        <w:t xml:space="preserve">15 to support a smooth transition to </w:t>
      </w:r>
      <w:r w:rsidR="0054034D" w:rsidRPr="00237CCA">
        <w:rPr>
          <w:szCs w:val="21"/>
        </w:rPr>
        <w:t>the</w:t>
      </w:r>
      <w:r w:rsidRPr="00237CCA">
        <w:rPr>
          <w:szCs w:val="21"/>
        </w:rPr>
        <w:t xml:space="preserve"> AIP perio</w:t>
      </w:r>
      <w:r w:rsidR="0054034D" w:rsidRPr="00237CCA">
        <w:rPr>
          <w:szCs w:val="21"/>
        </w:rPr>
        <w:t>d (2015</w:t>
      </w:r>
      <w:r w:rsidR="001924BC">
        <w:rPr>
          <w:szCs w:val="21"/>
        </w:rPr>
        <w:t>—</w:t>
      </w:r>
      <w:r w:rsidR="0054034D" w:rsidRPr="00237CCA">
        <w:rPr>
          <w:szCs w:val="21"/>
        </w:rPr>
        <w:t>16 to 2018</w:t>
      </w:r>
      <w:r w:rsidR="001924BC">
        <w:rPr>
          <w:szCs w:val="21"/>
        </w:rPr>
        <w:t>—</w:t>
      </w:r>
      <w:r w:rsidR="0054034D" w:rsidRPr="00237CCA">
        <w:rPr>
          <w:szCs w:val="21"/>
        </w:rPr>
        <w:t>19)</w:t>
      </w:r>
    </w:p>
    <w:p w:rsidR="000806DA" w:rsidRPr="00FC31F0" w:rsidRDefault="000806DA" w:rsidP="00E34155">
      <w:pPr>
        <w:pStyle w:val="ListBullet"/>
        <w:jc w:val="both"/>
        <w:rPr>
          <w:rFonts w:eastAsia="SimSun"/>
        </w:rPr>
      </w:pPr>
      <w:r w:rsidRPr="00FC31F0">
        <w:rPr>
          <w:rFonts w:eastAsia="SimSun"/>
        </w:rPr>
        <w:t>In the short term, we will continue to allocate significant resources to  support our lead role in primary education, reviewing this continued role as part of the AIP</w:t>
      </w:r>
    </w:p>
    <w:p w:rsidR="00C20B4C" w:rsidRPr="00FC31F0" w:rsidRDefault="00C20B4C" w:rsidP="00FC31F0">
      <w:pPr>
        <w:pStyle w:val="ListBullet"/>
        <w:rPr>
          <w:rFonts w:eastAsia="SimSun"/>
        </w:rPr>
      </w:pPr>
      <w:r w:rsidRPr="00FC31F0">
        <w:rPr>
          <w:rFonts w:eastAsia="SimSun"/>
        </w:rPr>
        <w:t xml:space="preserve">Australia will use the findings of the BRAC SPA Mid-term review to consider opportunities for future engagement, </w:t>
      </w:r>
      <w:r w:rsidR="003A7084" w:rsidRPr="00FC31F0">
        <w:rPr>
          <w:rFonts w:eastAsia="SimSun"/>
        </w:rPr>
        <w:t xml:space="preserve">potentially including further </w:t>
      </w:r>
      <w:r w:rsidRPr="00FC31F0">
        <w:rPr>
          <w:rFonts w:eastAsia="SimSun"/>
        </w:rPr>
        <w:t>work with BRAC in</w:t>
      </w:r>
      <w:r w:rsidR="003A7084" w:rsidRPr="00FC31F0">
        <w:rPr>
          <w:rFonts w:eastAsia="SimSun"/>
        </w:rPr>
        <w:t xml:space="preserve"> the area of skills development, empowerment of women and girls and </w:t>
      </w:r>
      <w:r w:rsidRPr="00FC31F0">
        <w:rPr>
          <w:rFonts w:eastAsia="SimSun"/>
        </w:rPr>
        <w:t xml:space="preserve">the role of the </w:t>
      </w:r>
      <w:r w:rsidR="003A7084" w:rsidRPr="00FC31F0">
        <w:rPr>
          <w:rFonts w:eastAsia="SimSun"/>
        </w:rPr>
        <w:t>private sector</w:t>
      </w:r>
    </w:p>
    <w:p w:rsidR="00583844" w:rsidRPr="00A624E2" w:rsidRDefault="00B25140" w:rsidP="00FC31F0">
      <w:pPr>
        <w:pStyle w:val="ListBullet"/>
        <w:rPr>
          <w:rFonts w:eastAsia="SimSun"/>
        </w:rPr>
      </w:pPr>
      <w:r w:rsidRPr="00A624E2">
        <w:rPr>
          <w:rFonts w:eastAsia="SimSun"/>
        </w:rPr>
        <w:t xml:space="preserve">Opportunities to help civil societies </w:t>
      </w:r>
      <w:r w:rsidR="00532AE2" w:rsidRPr="00A624E2">
        <w:rPr>
          <w:rFonts w:eastAsia="SimSun"/>
        </w:rPr>
        <w:t xml:space="preserve">build responsiveness to the </w:t>
      </w:r>
      <w:r w:rsidRPr="00A624E2">
        <w:rPr>
          <w:rFonts w:eastAsia="SimSun"/>
        </w:rPr>
        <w:t xml:space="preserve">needs of marginalised groups </w:t>
      </w:r>
      <w:r w:rsidR="00532AE2" w:rsidRPr="00A624E2">
        <w:rPr>
          <w:rFonts w:eastAsia="SimSun"/>
        </w:rPr>
        <w:t xml:space="preserve">will be tested through existing support for </w:t>
      </w:r>
      <w:r w:rsidR="001924BC">
        <w:rPr>
          <w:rFonts w:eastAsia="SimSun"/>
        </w:rPr>
        <w:t>MJF</w:t>
      </w:r>
      <w:r w:rsidR="00532AE2" w:rsidRPr="00A624E2">
        <w:rPr>
          <w:rFonts w:eastAsia="SimSun"/>
        </w:rPr>
        <w:t xml:space="preserve"> and BRAC</w:t>
      </w:r>
    </w:p>
    <w:p w:rsidR="00B25140" w:rsidRPr="00A624E2" w:rsidRDefault="00583844" w:rsidP="00FC31F0">
      <w:pPr>
        <w:pStyle w:val="ListBullet"/>
        <w:rPr>
          <w:rFonts w:eastAsia="SimSun"/>
        </w:rPr>
      </w:pPr>
      <w:r w:rsidRPr="00A624E2">
        <w:rPr>
          <w:rFonts w:eastAsia="SimSun"/>
          <w:szCs w:val="21"/>
        </w:rPr>
        <w:t xml:space="preserve">Bring a renewed gender focus for our investments in primary education, </w:t>
      </w:r>
      <w:r w:rsidR="004F6559" w:rsidRPr="00A624E2">
        <w:rPr>
          <w:rFonts w:eastAsia="SimSun"/>
          <w:szCs w:val="21"/>
        </w:rPr>
        <w:t>social protection</w:t>
      </w:r>
      <w:r w:rsidRPr="00A624E2">
        <w:rPr>
          <w:rFonts w:eastAsia="SimSun"/>
          <w:szCs w:val="21"/>
        </w:rPr>
        <w:t xml:space="preserve"> and BRAC.  </w:t>
      </w:r>
    </w:p>
    <w:p w:rsidR="00C675A7" w:rsidRPr="00237CCA" w:rsidRDefault="00C675A7" w:rsidP="00FC31F0">
      <w:pPr>
        <w:pStyle w:val="ListBullet"/>
        <w:numPr>
          <w:ilvl w:val="0"/>
          <w:numId w:val="0"/>
        </w:numPr>
        <w:tabs>
          <w:tab w:val="clear" w:pos="284"/>
        </w:tabs>
        <w:rPr>
          <w:szCs w:val="21"/>
        </w:rPr>
      </w:pPr>
      <w:r w:rsidRPr="00A624E2">
        <w:rPr>
          <w:szCs w:val="21"/>
        </w:rPr>
        <w:t xml:space="preserve">The </w:t>
      </w:r>
      <w:r w:rsidRPr="00A624E2">
        <w:rPr>
          <w:b/>
          <w:szCs w:val="21"/>
        </w:rPr>
        <w:t>human resource structure</w:t>
      </w:r>
      <w:r w:rsidRPr="00A624E2">
        <w:rPr>
          <w:szCs w:val="21"/>
        </w:rPr>
        <w:t xml:space="preserve"> allocated to Australia’s aid program to Bangladesh has changed</w:t>
      </w:r>
      <w:r w:rsidR="00C20B4C" w:rsidRPr="00A624E2">
        <w:rPr>
          <w:szCs w:val="21"/>
        </w:rPr>
        <w:t xml:space="preserve"> as a result of the aid program being integrated into DFAT</w:t>
      </w:r>
      <w:r w:rsidRPr="00A624E2">
        <w:rPr>
          <w:szCs w:val="21"/>
        </w:rPr>
        <w:t xml:space="preserve">. Over the coming </w:t>
      </w:r>
      <w:r w:rsidR="001924BC">
        <w:rPr>
          <w:szCs w:val="21"/>
        </w:rPr>
        <w:t>12</w:t>
      </w:r>
      <w:r w:rsidR="001924BC" w:rsidRPr="00A624E2">
        <w:rPr>
          <w:szCs w:val="21"/>
        </w:rPr>
        <w:t xml:space="preserve"> </w:t>
      </w:r>
      <w:r w:rsidRPr="00A624E2">
        <w:rPr>
          <w:szCs w:val="21"/>
        </w:rPr>
        <w:t>months</w:t>
      </w:r>
      <w:r w:rsidR="006D763F" w:rsidRPr="00A624E2">
        <w:rPr>
          <w:szCs w:val="21"/>
        </w:rPr>
        <w:t xml:space="preserve"> Australia will</w:t>
      </w:r>
    </w:p>
    <w:p w:rsidR="00C675A7" w:rsidRPr="00FC31F0" w:rsidRDefault="00C675A7" w:rsidP="00FC31F0">
      <w:pPr>
        <w:pStyle w:val="ListBullet"/>
        <w:rPr>
          <w:rFonts w:eastAsia="SimSun"/>
        </w:rPr>
      </w:pPr>
      <w:r w:rsidRPr="00FC31F0">
        <w:rPr>
          <w:rFonts w:eastAsia="SimSun"/>
        </w:rPr>
        <w:t xml:space="preserve">support staff to adapt their skills to new aid policy priorities </w:t>
      </w:r>
    </w:p>
    <w:p w:rsidR="00FA4F0D" w:rsidRPr="00237CCA" w:rsidRDefault="00C675A7" w:rsidP="00A624E2">
      <w:pPr>
        <w:pStyle w:val="ListBullet"/>
        <w:rPr>
          <w:szCs w:val="21"/>
        </w:rPr>
      </w:pPr>
      <w:r w:rsidRPr="00A624E2">
        <w:rPr>
          <w:rFonts w:eastAsia="SimSun"/>
        </w:rPr>
        <w:t>c</w:t>
      </w:r>
      <w:r w:rsidR="005C0F8C" w:rsidRPr="00A624E2">
        <w:rPr>
          <w:rFonts w:eastAsia="SimSun"/>
        </w:rPr>
        <w:t xml:space="preserve">onsider options to access additional resources (including through the new Australia </w:t>
      </w:r>
      <w:r w:rsidR="00852B8C" w:rsidRPr="00A624E2">
        <w:rPr>
          <w:rFonts w:eastAsia="SimSun"/>
        </w:rPr>
        <w:t>A</w:t>
      </w:r>
      <w:r w:rsidR="005C0F8C" w:rsidRPr="00A624E2">
        <w:rPr>
          <w:rFonts w:eastAsia="SimSun"/>
        </w:rPr>
        <w:t xml:space="preserve">wards program and </w:t>
      </w:r>
      <w:r w:rsidR="00864B01" w:rsidRPr="00A624E2">
        <w:rPr>
          <w:rFonts w:eastAsia="SimSun"/>
        </w:rPr>
        <w:t xml:space="preserve">a potential </w:t>
      </w:r>
      <w:r w:rsidR="005C0F8C" w:rsidRPr="00A624E2">
        <w:rPr>
          <w:rFonts w:eastAsia="SimSun"/>
        </w:rPr>
        <w:t>resource facility for the bilateral and regional South Asia programs</w:t>
      </w:r>
      <w:r w:rsidR="00864B01" w:rsidRPr="00A624E2">
        <w:rPr>
          <w:rFonts w:eastAsia="SimSun"/>
        </w:rPr>
        <w:t>)</w:t>
      </w:r>
      <w:r w:rsidR="00682F22" w:rsidRPr="00A624E2">
        <w:rPr>
          <w:rFonts w:eastAsia="SimSun"/>
        </w:rPr>
        <w:t>.</w:t>
      </w:r>
    </w:p>
    <w:p w:rsidR="00FA4F0D" w:rsidRPr="00237CCA" w:rsidRDefault="00FA4F0D" w:rsidP="00FA4F0D">
      <w:pPr>
        <w:rPr>
          <w:rFonts w:ascii="Franklin Gothic Book" w:hAnsi="Franklin Gothic Book"/>
          <w:sz w:val="21"/>
          <w:szCs w:val="21"/>
        </w:rPr>
      </w:pPr>
    </w:p>
    <w:p w:rsidR="005C0F8C" w:rsidRPr="00237CCA" w:rsidRDefault="005C0F8C" w:rsidP="00B7471A">
      <w:pPr>
        <w:pStyle w:val="ListBullet"/>
        <w:numPr>
          <w:ilvl w:val="0"/>
          <w:numId w:val="0"/>
        </w:numPr>
        <w:tabs>
          <w:tab w:val="clear" w:pos="284"/>
        </w:tabs>
        <w:ind w:left="360" w:hanging="360"/>
        <w:rPr>
          <w:rFonts w:cs="Arial"/>
          <w:color w:val="124486"/>
          <w:spacing w:val="-10"/>
          <w:kern w:val="28"/>
          <w:szCs w:val="21"/>
        </w:rPr>
        <w:sectPr w:rsidR="005C0F8C" w:rsidRPr="00237CCA" w:rsidSect="00D175E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381" w:right="1701" w:bottom="907" w:left="1701" w:header="850" w:footer="567" w:gutter="0"/>
          <w:pgNumType w:start="1"/>
          <w:cols w:space="720"/>
          <w:docGrid w:linePitch="326"/>
        </w:sectPr>
      </w:pPr>
    </w:p>
    <w:p w:rsidR="00AF0459" w:rsidRPr="00894582" w:rsidRDefault="00AF0459" w:rsidP="00AF0459">
      <w:pPr>
        <w:pStyle w:val="Heading2"/>
        <w:rPr>
          <w:rFonts w:ascii="Franklin Gothic Book" w:hAnsi="Franklin Gothic Book"/>
          <w:sz w:val="17"/>
          <w:szCs w:val="17"/>
        </w:rPr>
      </w:pPr>
      <w:r w:rsidRPr="00894582">
        <w:rPr>
          <w:rFonts w:ascii="Franklin Gothic Book" w:hAnsi="Franklin Gothic Book"/>
          <w:sz w:val="17"/>
          <w:szCs w:val="17"/>
        </w:rPr>
        <w:lastRenderedPageBreak/>
        <w:t xml:space="preserve">Annex A </w:t>
      </w:r>
    </w:p>
    <w:p w:rsidR="00AF0459" w:rsidRPr="00894582" w:rsidRDefault="00AF0459" w:rsidP="00AF0459">
      <w:pPr>
        <w:pStyle w:val="Heading2"/>
        <w:rPr>
          <w:rFonts w:ascii="Franklin Gothic Book" w:hAnsi="Franklin Gothic Book"/>
          <w:sz w:val="17"/>
          <w:szCs w:val="17"/>
        </w:rPr>
      </w:pPr>
      <w:r w:rsidRPr="00894582">
        <w:rPr>
          <w:rFonts w:ascii="Franklin Gothic Book" w:hAnsi="Franklin Gothic Book"/>
          <w:sz w:val="17"/>
          <w:szCs w:val="17"/>
        </w:rPr>
        <w:t>Progress in addressing 2012-13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AF0459" w:rsidRPr="00894582" w:rsidTr="00D175E3">
        <w:trPr>
          <w:cnfStyle w:val="000000010000" w:firstRow="0" w:lastRow="0" w:firstColumn="0" w:lastColumn="0" w:oddVBand="0" w:evenVBand="0" w:oddHBand="0" w:evenHBand="1" w:firstRowFirstColumn="0" w:firstRowLastColumn="0" w:lastRowFirstColumn="0" w:lastRowLastColumn="0"/>
        </w:trPr>
        <w:tc>
          <w:tcPr>
            <w:tcW w:w="6473" w:type="dxa"/>
          </w:tcPr>
          <w:p w:rsidR="00AF0459" w:rsidRPr="00894582" w:rsidRDefault="00AF0459" w:rsidP="001924BC">
            <w:pPr>
              <w:pStyle w:val="TableTextColumnHeading"/>
              <w:tabs>
                <w:tab w:val="left" w:pos="1185"/>
              </w:tabs>
              <w:rPr>
                <w:szCs w:val="17"/>
              </w:rPr>
            </w:pPr>
            <w:r w:rsidRPr="00894582">
              <w:rPr>
                <w:szCs w:val="17"/>
              </w:rPr>
              <w:t>Management consequences identified in 2012</w:t>
            </w:r>
            <w:r w:rsidR="001924BC">
              <w:rPr>
                <w:szCs w:val="17"/>
              </w:rPr>
              <w:t>—</w:t>
            </w:r>
            <w:r w:rsidRPr="00894582">
              <w:rPr>
                <w:szCs w:val="17"/>
              </w:rPr>
              <w:t>13 APPR</w:t>
            </w:r>
            <w:r w:rsidRPr="00894582">
              <w:rPr>
                <w:szCs w:val="17"/>
              </w:rPr>
              <w:tab/>
            </w:r>
          </w:p>
        </w:tc>
        <w:tc>
          <w:tcPr>
            <w:tcW w:w="964" w:type="dxa"/>
          </w:tcPr>
          <w:p w:rsidR="00AF0459" w:rsidRPr="00894582" w:rsidRDefault="00AF0459" w:rsidP="00D175E3">
            <w:pPr>
              <w:pStyle w:val="TableTextColumnHeading"/>
              <w:rPr>
                <w:szCs w:val="17"/>
              </w:rPr>
            </w:pPr>
            <w:r w:rsidRPr="00894582">
              <w:rPr>
                <w:szCs w:val="17"/>
              </w:rPr>
              <w:t>Rating</w:t>
            </w:r>
          </w:p>
        </w:tc>
        <w:tc>
          <w:tcPr>
            <w:tcW w:w="6896" w:type="dxa"/>
          </w:tcPr>
          <w:p w:rsidR="00AF0459" w:rsidRPr="00894582" w:rsidRDefault="00AF0459" w:rsidP="001924BC">
            <w:pPr>
              <w:pStyle w:val="TableTextColumnHeading"/>
              <w:rPr>
                <w:szCs w:val="17"/>
              </w:rPr>
            </w:pPr>
            <w:r w:rsidRPr="00894582">
              <w:rPr>
                <w:szCs w:val="17"/>
              </w:rPr>
              <w:t>Progress made in 2013</w:t>
            </w:r>
            <w:r w:rsidR="001924BC">
              <w:rPr>
                <w:szCs w:val="17"/>
              </w:rPr>
              <w:t>—</w:t>
            </w:r>
            <w:r w:rsidRPr="00894582">
              <w:rPr>
                <w:szCs w:val="17"/>
              </w:rPr>
              <w:t>14</w:t>
            </w:r>
          </w:p>
        </w:tc>
      </w:tr>
      <w:tr w:rsidR="00AF0459" w:rsidRPr="00894582" w:rsidTr="00D175E3">
        <w:trPr>
          <w:cnfStyle w:val="000000010000" w:firstRow="0" w:lastRow="0" w:firstColumn="0" w:lastColumn="0" w:oddVBand="0" w:evenVBand="0" w:oddHBand="0" w:evenHBand="1" w:firstRowFirstColumn="0" w:firstRowLastColumn="0" w:lastRowFirstColumn="0" w:lastRowLastColumn="0"/>
        </w:trPr>
        <w:tc>
          <w:tcPr>
            <w:tcW w:w="6473" w:type="dxa"/>
          </w:tcPr>
          <w:p w:rsidR="00B21ED8" w:rsidRPr="00894582" w:rsidRDefault="005D67FB">
            <w:pPr>
              <w:pStyle w:val="BodyText"/>
              <w:rPr>
                <w:sz w:val="17"/>
                <w:szCs w:val="17"/>
              </w:rPr>
            </w:pPr>
            <w:r w:rsidRPr="00894582">
              <w:rPr>
                <w:b/>
                <w:sz w:val="17"/>
                <w:szCs w:val="17"/>
              </w:rPr>
              <w:t>Education</w:t>
            </w:r>
            <w:r w:rsidRPr="00894582">
              <w:rPr>
                <w:sz w:val="17"/>
                <w:szCs w:val="17"/>
              </w:rPr>
              <w:t xml:space="preserve">. </w:t>
            </w:r>
            <w:r w:rsidR="00864B01" w:rsidRPr="00894582">
              <w:rPr>
                <w:sz w:val="17"/>
                <w:szCs w:val="17"/>
              </w:rPr>
              <w:t>As Co-chair of the Education Donor Consortium, we will: play a pivotal role in the Mid-term Review in 2014; improve education quality ; work with partners to strengthen sector-wide approach management practices.</w:t>
            </w:r>
            <w:r w:rsidR="00B21ED8" w:rsidRPr="00894582">
              <w:rPr>
                <w:sz w:val="17"/>
                <w:szCs w:val="17"/>
              </w:rPr>
              <w:t xml:space="preserve"> </w:t>
            </w:r>
            <w:r w:rsidRPr="00894582">
              <w:rPr>
                <w:b/>
                <w:sz w:val="17"/>
                <w:szCs w:val="17"/>
              </w:rPr>
              <w:t>Health</w:t>
            </w:r>
            <w:r w:rsidRPr="00894582">
              <w:rPr>
                <w:sz w:val="17"/>
                <w:szCs w:val="17"/>
              </w:rPr>
              <w:t xml:space="preserve">. Narrowing our focus to assist the </w:t>
            </w:r>
            <w:r w:rsidR="001924BC">
              <w:rPr>
                <w:sz w:val="17"/>
                <w:szCs w:val="17"/>
              </w:rPr>
              <w:t>Government of Bangladesh</w:t>
            </w:r>
            <w:r w:rsidRPr="00894582">
              <w:rPr>
                <w:sz w:val="17"/>
                <w:szCs w:val="17"/>
              </w:rPr>
              <w:t xml:space="preserve"> implement reforms, take on lessons learned, support icddr,b’s institutional strengthening. </w:t>
            </w:r>
            <w:r w:rsidRPr="00894582">
              <w:rPr>
                <w:b/>
                <w:sz w:val="17"/>
                <w:szCs w:val="17"/>
              </w:rPr>
              <w:t>Social protection.</w:t>
            </w:r>
            <w:r w:rsidRPr="00894582">
              <w:rPr>
                <w:sz w:val="17"/>
                <w:szCs w:val="17"/>
              </w:rPr>
              <w:t xml:space="preserve"> Finalise a delivery strategy for engagement in social protection. </w:t>
            </w:r>
            <w:r w:rsidRPr="00894582">
              <w:rPr>
                <w:b/>
                <w:sz w:val="17"/>
                <w:szCs w:val="17"/>
              </w:rPr>
              <w:t>BRAC</w:t>
            </w:r>
            <w:r w:rsidRPr="00894582">
              <w:rPr>
                <w:sz w:val="17"/>
                <w:szCs w:val="17"/>
              </w:rPr>
              <w:t xml:space="preserve"> . Finalise risk management matrix; support establishment of a steering committee; support a visit from BRAC’s Chairperson</w:t>
            </w:r>
            <w:r w:rsidR="00E63952" w:rsidRPr="00894582">
              <w:rPr>
                <w:sz w:val="17"/>
                <w:szCs w:val="17"/>
              </w:rPr>
              <w:t xml:space="preserve">; </w:t>
            </w:r>
            <w:r w:rsidRPr="00894582">
              <w:rPr>
                <w:sz w:val="17"/>
                <w:szCs w:val="17"/>
              </w:rPr>
              <w:t xml:space="preserve">support research to demonstrate </w:t>
            </w:r>
            <w:r w:rsidR="00E63952" w:rsidRPr="00894582">
              <w:rPr>
                <w:sz w:val="17"/>
                <w:szCs w:val="17"/>
              </w:rPr>
              <w:t>impact of support</w:t>
            </w:r>
            <w:r w:rsidRPr="00894582">
              <w:rPr>
                <w:sz w:val="17"/>
                <w:szCs w:val="17"/>
              </w:rPr>
              <w:t xml:space="preserve">.  </w:t>
            </w:r>
            <w:r w:rsidR="00B21ED8" w:rsidRPr="00894582">
              <w:rPr>
                <w:b/>
                <w:sz w:val="17"/>
                <w:szCs w:val="17"/>
              </w:rPr>
              <w:t>Climate change</w:t>
            </w:r>
            <w:r w:rsidR="00B21ED8" w:rsidRPr="00894582">
              <w:rPr>
                <w:sz w:val="17"/>
                <w:szCs w:val="17"/>
              </w:rPr>
              <w:t xml:space="preserve">. </w:t>
            </w:r>
            <w:r w:rsidR="00034181" w:rsidRPr="00894582">
              <w:rPr>
                <w:sz w:val="17"/>
                <w:szCs w:val="17"/>
              </w:rPr>
              <w:t xml:space="preserve">Align resources with regional program. </w:t>
            </w:r>
            <w:r w:rsidR="00B21ED8" w:rsidRPr="00894582">
              <w:rPr>
                <w:b/>
                <w:sz w:val="17"/>
                <w:szCs w:val="17"/>
              </w:rPr>
              <w:t>Scholarships program</w:t>
            </w:r>
            <w:r w:rsidR="00034181" w:rsidRPr="00894582">
              <w:rPr>
                <w:b/>
                <w:sz w:val="17"/>
                <w:szCs w:val="17"/>
              </w:rPr>
              <w:t xml:space="preserve">. </w:t>
            </w:r>
            <w:r w:rsidR="00034181" w:rsidRPr="00894582">
              <w:rPr>
                <w:sz w:val="17"/>
                <w:szCs w:val="17"/>
              </w:rPr>
              <w:t xml:space="preserve">Look for opportunities to build on </w:t>
            </w:r>
            <w:r w:rsidR="00B21ED8" w:rsidRPr="00894582">
              <w:rPr>
                <w:sz w:val="17"/>
                <w:szCs w:val="17"/>
              </w:rPr>
              <w:t>alumni programs</w:t>
            </w:r>
            <w:r w:rsidR="00034181" w:rsidRPr="00894582">
              <w:rPr>
                <w:sz w:val="17"/>
                <w:szCs w:val="17"/>
              </w:rPr>
              <w:t xml:space="preserve">.  </w:t>
            </w:r>
            <w:r w:rsidR="00B21ED8" w:rsidRPr="00894582">
              <w:rPr>
                <w:b/>
                <w:sz w:val="17"/>
                <w:szCs w:val="17"/>
              </w:rPr>
              <w:t>Humanitarian activities</w:t>
            </w:r>
            <w:r w:rsidR="00034181" w:rsidRPr="00894582">
              <w:rPr>
                <w:b/>
                <w:sz w:val="17"/>
                <w:szCs w:val="17"/>
              </w:rPr>
              <w:t xml:space="preserve">. </w:t>
            </w:r>
            <w:r w:rsidR="00034181" w:rsidRPr="00894582">
              <w:rPr>
                <w:sz w:val="17"/>
                <w:szCs w:val="17"/>
              </w:rPr>
              <w:t>D</w:t>
            </w:r>
            <w:r w:rsidR="00B21ED8" w:rsidRPr="00894582">
              <w:rPr>
                <w:sz w:val="17"/>
                <w:szCs w:val="17"/>
              </w:rPr>
              <w:t>esign long</w:t>
            </w:r>
            <w:r w:rsidR="00034181" w:rsidRPr="00894582">
              <w:rPr>
                <w:sz w:val="17"/>
                <w:szCs w:val="17"/>
              </w:rPr>
              <w:t xml:space="preserve">-term program in </w:t>
            </w:r>
            <w:r w:rsidR="00B21ED8" w:rsidRPr="00894582">
              <w:rPr>
                <w:sz w:val="17"/>
                <w:szCs w:val="17"/>
              </w:rPr>
              <w:t>Cox’s Bazar</w:t>
            </w:r>
            <w:r w:rsidR="0097378E">
              <w:rPr>
                <w:sz w:val="17"/>
                <w:szCs w:val="17"/>
              </w:rPr>
              <w:t xml:space="preserve"> District</w:t>
            </w:r>
            <w:r w:rsidR="00B21ED8" w:rsidRPr="00894582">
              <w:rPr>
                <w:sz w:val="17"/>
                <w:szCs w:val="17"/>
              </w:rPr>
              <w:t>.</w:t>
            </w:r>
            <w:r w:rsidR="00034181" w:rsidRPr="00894582">
              <w:rPr>
                <w:sz w:val="17"/>
                <w:szCs w:val="17"/>
              </w:rPr>
              <w:t xml:space="preserve"> </w:t>
            </w:r>
            <w:r w:rsidR="00034181" w:rsidRPr="00894582">
              <w:rPr>
                <w:b/>
                <w:sz w:val="17"/>
                <w:szCs w:val="17"/>
              </w:rPr>
              <w:t>Small investments.</w:t>
            </w:r>
            <w:r w:rsidR="00034181" w:rsidRPr="00894582">
              <w:rPr>
                <w:sz w:val="17"/>
                <w:szCs w:val="17"/>
              </w:rPr>
              <w:t xml:space="preserve"> R</w:t>
            </w:r>
            <w:r w:rsidR="00B21ED8" w:rsidRPr="00894582">
              <w:rPr>
                <w:sz w:val="17"/>
                <w:szCs w:val="17"/>
              </w:rPr>
              <w:t xml:space="preserve">ationalise </w:t>
            </w:r>
            <w:r w:rsidR="00034181" w:rsidRPr="00894582">
              <w:rPr>
                <w:sz w:val="17"/>
                <w:szCs w:val="17"/>
              </w:rPr>
              <w:t>investments below $10m.</w:t>
            </w:r>
          </w:p>
          <w:p w:rsidR="005D67FB" w:rsidRPr="00894582" w:rsidRDefault="005D67FB" w:rsidP="00B7471A">
            <w:pPr>
              <w:pStyle w:val="BodyText"/>
              <w:rPr>
                <w:sz w:val="17"/>
                <w:szCs w:val="17"/>
              </w:rPr>
            </w:pPr>
          </w:p>
        </w:tc>
        <w:tc>
          <w:tcPr>
            <w:tcW w:w="964" w:type="dxa"/>
            <w:shd w:val="clear" w:color="auto" w:fill="72AF2F"/>
          </w:tcPr>
          <w:p w:rsidR="00AF0459" w:rsidRPr="00894582" w:rsidRDefault="00AF0459" w:rsidP="00D175E3">
            <w:pPr>
              <w:pStyle w:val="TableTextEntries"/>
              <w:jc w:val="center"/>
              <w:rPr>
                <w:color w:val="FFFFFF" w:themeColor="background1"/>
              </w:rPr>
            </w:pPr>
            <w:r w:rsidRPr="00894582">
              <w:rPr>
                <w:color w:val="FFFFFF" w:themeColor="background1"/>
              </w:rPr>
              <w:t>Achieved</w:t>
            </w:r>
          </w:p>
        </w:tc>
        <w:tc>
          <w:tcPr>
            <w:tcW w:w="6896" w:type="dxa"/>
          </w:tcPr>
          <w:p w:rsidR="00B21ED8" w:rsidRPr="00894582" w:rsidRDefault="00B21ED8" w:rsidP="007E227D">
            <w:pPr>
              <w:pStyle w:val="BodyText"/>
              <w:rPr>
                <w:sz w:val="17"/>
                <w:szCs w:val="17"/>
              </w:rPr>
            </w:pPr>
            <w:r w:rsidRPr="00894582">
              <w:rPr>
                <w:b/>
                <w:sz w:val="17"/>
                <w:szCs w:val="17"/>
              </w:rPr>
              <w:t>Education</w:t>
            </w:r>
            <w:r w:rsidRPr="00894582">
              <w:rPr>
                <w:sz w:val="17"/>
                <w:szCs w:val="17"/>
              </w:rPr>
              <w:t xml:space="preserve">. </w:t>
            </w:r>
            <w:r w:rsidR="00864B01" w:rsidRPr="00894582">
              <w:rPr>
                <w:sz w:val="17"/>
                <w:szCs w:val="17"/>
              </w:rPr>
              <w:t xml:space="preserve">Australia </w:t>
            </w:r>
            <w:r w:rsidR="005D67FB" w:rsidRPr="00894582">
              <w:rPr>
                <w:sz w:val="17"/>
                <w:szCs w:val="17"/>
              </w:rPr>
              <w:t xml:space="preserve">coordinated the </w:t>
            </w:r>
            <w:r w:rsidR="00864B01" w:rsidRPr="00894582">
              <w:rPr>
                <w:sz w:val="17"/>
                <w:szCs w:val="17"/>
              </w:rPr>
              <w:t xml:space="preserve">Mid-term Review of </w:t>
            </w:r>
            <w:r w:rsidR="001924BC">
              <w:rPr>
                <w:sz w:val="17"/>
                <w:szCs w:val="17"/>
              </w:rPr>
              <w:t>Government of Bangladesh</w:t>
            </w:r>
            <w:r w:rsidR="00864B01" w:rsidRPr="00894582">
              <w:rPr>
                <w:sz w:val="17"/>
                <w:szCs w:val="17"/>
              </w:rPr>
              <w:t>’s primary education program</w:t>
            </w:r>
            <w:r w:rsidR="005D67FB" w:rsidRPr="00894582">
              <w:rPr>
                <w:sz w:val="17"/>
                <w:szCs w:val="17"/>
              </w:rPr>
              <w:t xml:space="preserve"> with the World Bank</w:t>
            </w:r>
            <w:r w:rsidR="00864B01" w:rsidRPr="00894582">
              <w:rPr>
                <w:sz w:val="17"/>
                <w:szCs w:val="17"/>
              </w:rPr>
              <w:t xml:space="preserve">. </w:t>
            </w:r>
            <w:r w:rsidR="00B1027A" w:rsidRPr="00894582">
              <w:rPr>
                <w:sz w:val="17"/>
                <w:szCs w:val="17"/>
              </w:rPr>
              <w:t>Approaches to improve teacher training and student assessment progressed with Australian support and management through shared goals (disbursement linked indicators) was broadly supported.</w:t>
            </w:r>
            <w:r w:rsidR="005D67FB" w:rsidRPr="00894582">
              <w:rPr>
                <w:sz w:val="17"/>
                <w:szCs w:val="17"/>
              </w:rPr>
              <w:t xml:space="preserve"> </w:t>
            </w:r>
            <w:r w:rsidRPr="00894582">
              <w:rPr>
                <w:b/>
                <w:sz w:val="17"/>
                <w:szCs w:val="17"/>
              </w:rPr>
              <w:t>Health</w:t>
            </w:r>
            <w:r w:rsidR="00DA06DF" w:rsidRPr="00894582">
              <w:rPr>
                <w:b/>
                <w:sz w:val="17"/>
                <w:szCs w:val="17"/>
              </w:rPr>
              <w:t>.</w:t>
            </w:r>
            <w:r w:rsidR="00FA4F0D" w:rsidRPr="00894582">
              <w:rPr>
                <w:b/>
                <w:sz w:val="17"/>
                <w:szCs w:val="17"/>
              </w:rPr>
              <w:t xml:space="preserve"> </w:t>
            </w:r>
            <w:r w:rsidRPr="00894582">
              <w:rPr>
                <w:sz w:val="17"/>
                <w:szCs w:val="17"/>
              </w:rPr>
              <w:t xml:space="preserve">Support </w:t>
            </w:r>
            <w:r w:rsidR="00C7231D" w:rsidRPr="00894582">
              <w:rPr>
                <w:sz w:val="17"/>
                <w:szCs w:val="17"/>
              </w:rPr>
              <w:t xml:space="preserve">was </w:t>
            </w:r>
            <w:r w:rsidRPr="00894582">
              <w:rPr>
                <w:sz w:val="17"/>
                <w:szCs w:val="17"/>
              </w:rPr>
              <w:t>provided to promote uptake of reforms, following budget changes decision taken to withdraw from SWAp, Australia supported icddr,b to take steps to strengthen internal controls.</w:t>
            </w:r>
            <w:r w:rsidR="00034181" w:rsidRPr="00894582">
              <w:rPr>
                <w:sz w:val="17"/>
                <w:szCs w:val="17"/>
              </w:rPr>
              <w:t xml:space="preserve"> </w:t>
            </w:r>
            <w:r w:rsidRPr="00894582">
              <w:rPr>
                <w:b/>
                <w:sz w:val="17"/>
                <w:szCs w:val="17"/>
              </w:rPr>
              <w:t>Social protection</w:t>
            </w:r>
            <w:r w:rsidRPr="00894582">
              <w:rPr>
                <w:sz w:val="17"/>
                <w:szCs w:val="17"/>
              </w:rPr>
              <w:t xml:space="preserve">. </w:t>
            </w:r>
            <w:r w:rsidR="007E227D">
              <w:rPr>
                <w:sz w:val="17"/>
                <w:szCs w:val="17"/>
              </w:rPr>
              <w:t xml:space="preserve">A proposal to the Foreign Minister to continue engagement (which was agreed to) drew on </w:t>
            </w:r>
            <w:r w:rsidRPr="00894582">
              <w:rPr>
                <w:sz w:val="17"/>
                <w:szCs w:val="17"/>
              </w:rPr>
              <w:t xml:space="preserve">analysis </w:t>
            </w:r>
            <w:r w:rsidR="00690BBC" w:rsidRPr="00894582">
              <w:rPr>
                <w:sz w:val="17"/>
                <w:szCs w:val="17"/>
              </w:rPr>
              <w:t>from</w:t>
            </w:r>
            <w:r w:rsidRPr="00894582">
              <w:rPr>
                <w:sz w:val="17"/>
                <w:szCs w:val="17"/>
              </w:rPr>
              <w:t xml:space="preserve"> </w:t>
            </w:r>
            <w:r w:rsidR="007E227D">
              <w:rPr>
                <w:sz w:val="17"/>
                <w:szCs w:val="17"/>
              </w:rPr>
              <w:t>a</w:t>
            </w:r>
            <w:r w:rsidR="00C7231D" w:rsidRPr="00894582">
              <w:rPr>
                <w:sz w:val="17"/>
                <w:szCs w:val="17"/>
              </w:rPr>
              <w:t xml:space="preserve"> </w:t>
            </w:r>
            <w:r w:rsidRPr="00894582">
              <w:rPr>
                <w:sz w:val="17"/>
                <w:szCs w:val="17"/>
              </w:rPr>
              <w:t>draft delivery strategy.</w:t>
            </w:r>
            <w:r w:rsidR="00034181" w:rsidRPr="00894582">
              <w:rPr>
                <w:sz w:val="17"/>
                <w:szCs w:val="17"/>
              </w:rPr>
              <w:t xml:space="preserve"> </w:t>
            </w:r>
            <w:r w:rsidRPr="00894582">
              <w:rPr>
                <w:b/>
                <w:sz w:val="17"/>
                <w:szCs w:val="17"/>
              </w:rPr>
              <w:t>BRAC</w:t>
            </w:r>
            <w:r w:rsidRPr="00894582">
              <w:rPr>
                <w:sz w:val="17"/>
                <w:szCs w:val="17"/>
              </w:rPr>
              <w:t xml:space="preserve">. Risk matrix finalised, steering committee established and functioning, first report of research finalised and informing future direction of partnership. </w:t>
            </w:r>
            <w:r w:rsidR="00034181" w:rsidRPr="00894582">
              <w:rPr>
                <w:b/>
                <w:sz w:val="17"/>
                <w:szCs w:val="17"/>
              </w:rPr>
              <w:t>Climate Change.</w:t>
            </w:r>
            <w:r w:rsidR="00034181" w:rsidRPr="00894582">
              <w:rPr>
                <w:sz w:val="17"/>
                <w:szCs w:val="17"/>
              </w:rPr>
              <w:t xml:space="preserve"> </w:t>
            </w:r>
            <w:r w:rsidR="003B2F86" w:rsidRPr="00894582">
              <w:rPr>
                <w:sz w:val="17"/>
                <w:szCs w:val="17"/>
              </w:rPr>
              <w:t xml:space="preserve">The South Asia Regional program took on responsibility for climate change, </w:t>
            </w:r>
            <w:r w:rsidR="00C7231D" w:rsidRPr="00894582">
              <w:rPr>
                <w:sz w:val="17"/>
                <w:szCs w:val="17"/>
              </w:rPr>
              <w:t xml:space="preserve">and </w:t>
            </w:r>
            <w:r w:rsidR="003B2F86" w:rsidRPr="00894582">
              <w:rPr>
                <w:sz w:val="17"/>
                <w:szCs w:val="17"/>
              </w:rPr>
              <w:t xml:space="preserve">as a consequence responsibility for management of climate change activities in Bangladesh moved to </w:t>
            </w:r>
            <w:r w:rsidR="00C7231D" w:rsidRPr="00894582">
              <w:rPr>
                <w:sz w:val="17"/>
                <w:szCs w:val="17"/>
              </w:rPr>
              <w:t>the regional</w:t>
            </w:r>
            <w:r w:rsidR="003B2F86" w:rsidRPr="00894582">
              <w:rPr>
                <w:sz w:val="17"/>
                <w:szCs w:val="17"/>
              </w:rPr>
              <w:t xml:space="preserve"> program. </w:t>
            </w:r>
            <w:r w:rsidR="00034181" w:rsidRPr="00894582">
              <w:rPr>
                <w:b/>
                <w:sz w:val="17"/>
                <w:szCs w:val="17"/>
              </w:rPr>
              <w:t>Scholarships program.</w:t>
            </w:r>
            <w:r w:rsidR="00034181" w:rsidRPr="00894582">
              <w:rPr>
                <w:sz w:val="17"/>
                <w:szCs w:val="17"/>
              </w:rPr>
              <w:t xml:space="preserve"> Australia </w:t>
            </w:r>
            <w:r w:rsidR="003B2F86" w:rsidRPr="00894582">
              <w:rPr>
                <w:sz w:val="17"/>
                <w:szCs w:val="17"/>
              </w:rPr>
              <w:t>aligned awards more closely with strategic objectives</w:t>
            </w:r>
            <w:r w:rsidR="00C7231D" w:rsidRPr="00894582">
              <w:rPr>
                <w:sz w:val="17"/>
                <w:szCs w:val="17"/>
              </w:rPr>
              <w:t xml:space="preserve"> and is maintaining an active alumni network. </w:t>
            </w:r>
            <w:r w:rsidR="000806DA" w:rsidRPr="00894582">
              <w:rPr>
                <w:b/>
                <w:sz w:val="17"/>
                <w:szCs w:val="17"/>
              </w:rPr>
              <w:t xml:space="preserve"> Humanitarian activities.</w:t>
            </w:r>
            <w:r w:rsidR="000806DA" w:rsidRPr="00894582">
              <w:rPr>
                <w:sz w:val="17"/>
                <w:szCs w:val="17"/>
              </w:rPr>
              <w:t xml:space="preserve"> Australia is maintaining support for </w:t>
            </w:r>
            <w:r w:rsidR="0097378E">
              <w:rPr>
                <w:sz w:val="17"/>
                <w:szCs w:val="17"/>
              </w:rPr>
              <w:t xml:space="preserve">refugees </w:t>
            </w:r>
            <w:r w:rsidR="000806DA" w:rsidRPr="00894582">
              <w:rPr>
                <w:sz w:val="17"/>
                <w:szCs w:val="17"/>
              </w:rPr>
              <w:t>in Cox’s Bazar</w:t>
            </w:r>
            <w:r w:rsidR="0097378E">
              <w:rPr>
                <w:sz w:val="17"/>
                <w:szCs w:val="17"/>
              </w:rPr>
              <w:t xml:space="preserve"> District</w:t>
            </w:r>
            <w:r w:rsidR="000806DA" w:rsidRPr="00894582">
              <w:rPr>
                <w:sz w:val="17"/>
                <w:szCs w:val="17"/>
              </w:rPr>
              <w:t xml:space="preserve">, </w:t>
            </w:r>
            <w:r w:rsidR="000806DA">
              <w:rPr>
                <w:sz w:val="17"/>
                <w:szCs w:val="17"/>
              </w:rPr>
              <w:t>design of</w:t>
            </w:r>
            <w:r w:rsidR="000806DA" w:rsidRPr="00894582">
              <w:rPr>
                <w:sz w:val="17"/>
                <w:szCs w:val="17"/>
              </w:rPr>
              <w:t xml:space="preserve"> a new </w:t>
            </w:r>
            <w:r w:rsidR="000806DA">
              <w:rPr>
                <w:sz w:val="17"/>
                <w:szCs w:val="17"/>
              </w:rPr>
              <w:t>three</w:t>
            </w:r>
            <w:r w:rsidR="000806DA" w:rsidRPr="00894582">
              <w:rPr>
                <w:sz w:val="17"/>
                <w:szCs w:val="17"/>
              </w:rPr>
              <w:t xml:space="preserve"> year program</w:t>
            </w:r>
            <w:r w:rsidR="000806DA">
              <w:rPr>
                <w:sz w:val="17"/>
                <w:szCs w:val="17"/>
              </w:rPr>
              <w:t xml:space="preserve"> is underway</w:t>
            </w:r>
            <w:r w:rsidR="000806DA" w:rsidRPr="00894582">
              <w:rPr>
                <w:sz w:val="17"/>
                <w:szCs w:val="17"/>
              </w:rPr>
              <w:t xml:space="preserve">. </w:t>
            </w:r>
            <w:r w:rsidR="000806DA" w:rsidRPr="00894582">
              <w:rPr>
                <w:b/>
                <w:sz w:val="17"/>
                <w:szCs w:val="17"/>
              </w:rPr>
              <w:t>Small investments.</w:t>
            </w:r>
            <w:r w:rsidR="000806DA" w:rsidRPr="00894582">
              <w:rPr>
                <w:sz w:val="17"/>
                <w:szCs w:val="17"/>
              </w:rPr>
              <w:t xml:space="preserve"> Australia has consolidated its aid program and is no longer engaged in water and sanitation or in the aid effectiveness project.</w:t>
            </w:r>
          </w:p>
        </w:tc>
      </w:tr>
      <w:tr w:rsidR="00AF0459" w:rsidRPr="00894582" w:rsidTr="00D175E3">
        <w:trPr>
          <w:cnfStyle w:val="000000010000" w:firstRow="0" w:lastRow="0" w:firstColumn="0" w:lastColumn="0" w:oddVBand="0" w:evenVBand="0" w:oddHBand="0" w:evenHBand="1" w:firstRowFirstColumn="0" w:firstRowLastColumn="0" w:lastRowFirstColumn="0" w:lastRowLastColumn="0"/>
        </w:trPr>
        <w:tc>
          <w:tcPr>
            <w:tcW w:w="6473" w:type="dxa"/>
          </w:tcPr>
          <w:p w:rsidR="00C7231D" w:rsidRPr="00894582" w:rsidRDefault="00F4316D" w:rsidP="00B7471A">
            <w:pPr>
              <w:pStyle w:val="BodyText"/>
              <w:rPr>
                <w:sz w:val="17"/>
                <w:szCs w:val="17"/>
              </w:rPr>
            </w:pPr>
            <w:r w:rsidRPr="00894582">
              <w:rPr>
                <w:sz w:val="17"/>
                <w:szCs w:val="17"/>
              </w:rPr>
              <w:t>Analyse</w:t>
            </w:r>
            <w:r w:rsidR="00C7231D" w:rsidRPr="00894582">
              <w:rPr>
                <w:sz w:val="17"/>
                <w:szCs w:val="17"/>
              </w:rPr>
              <w:t xml:space="preserve"> change in </w:t>
            </w:r>
            <w:r w:rsidR="00C7231D" w:rsidRPr="00894582">
              <w:rPr>
                <w:b/>
                <w:sz w:val="17"/>
                <w:szCs w:val="17"/>
              </w:rPr>
              <w:t>education</w:t>
            </w:r>
            <w:r w:rsidR="00C7231D" w:rsidRPr="00894582">
              <w:rPr>
                <w:sz w:val="17"/>
                <w:szCs w:val="17"/>
              </w:rPr>
              <w:t xml:space="preserve"> (and possibly health) to </w:t>
            </w:r>
            <w:r w:rsidRPr="00894582">
              <w:rPr>
                <w:sz w:val="17"/>
                <w:szCs w:val="17"/>
              </w:rPr>
              <w:t>focus engagement</w:t>
            </w:r>
            <w:r w:rsidR="00C7231D" w:rsidRPr="00894582">
              <w:rPr>
                <w:sz w:val="17"/>
                <w:szCs w:val="17"/>
              </w:rPr>
              <w:t>.</w:t>
            </w:r>
            <w:r w:rsidRPr="00894582">
              <w:rPr>
                <w:sz w:val="17"/>
                <w:szCs w:val="17"/>
              </w:rPr>
              <w:t xml:space="preserve"> </w:t>
            </w:r>
            <w:r w:rsidR="00C7231D" w:rsidRPr="00894582">
              <w:rPr>
                <w:sz w:val="17"/>
                <w:szCs w:val="17"/>
              </w:rPr>
              <w:t xml:space="preserve">Assess expectations for achieving objectives, by </w:t>
            </w:r>
            <w:r w:rsidR="00C7231D" w:rsidRPr="00894582">
              <w:rPr>
                <w:b/>
                <w:sz w:val="17"/>
                <w:szCs w:val="17"/>
              </w:rPr>
              <w:t>supporting national systems</w:t>
            </w:r>
            <w:r w:rsidR="00C7231D" w:rsidRPr="00894582">
              <w:rPr>
                <w:sz w:val="17"/>
                <w:szCs w:val="17"/>
              </w:rPr>
              <w:t xml:space="preserve">, in light of current political, economic and social developments. Increasing knowledge of the </w:t>
            </w:r>
            <w:r w:rsidR="00C7231D" w:rsidRPr="00894582">
              <w:rPr>
                <w:b/>
                <w:sz w:val="17"/>
                <w:szCs w:val="17"/>
              </w:rPr>
              <w:t>obstacles faced by</w:t>
            </w:r>
            <w:r w:rsidRPr="00894582">
              <w:rPr>
                <w:b/>
                <w:sz w:val="17"/>
                <w:szCs w:val="17"/>
              </w:rPr>
              <w:t xml:space="preserve"> women and marginalised people</w:t>
            </w:r>
            <w:r w:rsidRPr="00894582">
              <w:rPr>
                <w:sz w:val="17"/>
                <w:szCs w:val="17"/>
              </w:rPr>
              <w:t xml:space="preserve">. </w:t>
            </w:r>
            <w:r w:rsidR="00C7231D" w:rsidRPr="00894582">
              <w:rPr>
                <w:sz w:val="17"/>
                <w:szCs w:val="17"/>
              </w:rPr>
              <w:t xml:space="preserve">Scoping opportunities for greater engagement on </w:t>
            </w:r>
            <w:r w:rsidR="00C7231D" w:rsidRPr="00894582">
              <w:rPr>
                <w:b/>
                <w:sz w:val="17"/>
                <w:szCs w:val="17"/>
              </w:rPr>
              <w:t>institutional strengthening</w:t>
            </w:r>
            <w:r w:rsidR="00C7231D" w:rsidRPr="00894582">
              <w:rPr>
                <w:sz w:val="17"/>
                <w:szCs w:val="17"/>
              </w:rPr>
              <w:t>, including in public financial management.</w:t>
            </w:r>
            <w:r w:rsidRPr="00894582">
              <w:rPr>
                <w:sz w:val="17"/>
                <w:szCs w:val="17"/>
              </w:rPr>
              <w:t xml:space="preserve"> </w:t>
            </w:r>
            <w:r w:rsidR="00C7231D" w:rsidRPr="00894582">
              <w:rPr>
                <w:sz w:val="17"/>
                <w:szCs w:val="17"/>
              </w:rPr>
              <w:t xml:space="preserve">Preparing for a </w:t>
            </w:r>
            <w:r w:rsidR="00C7231D" w:rsidRPr="00894582">
              <w:rPr>
                <w:b/>
                <w:sz w:val="17"/>
                <w:szCs w:val="17"/>
              </w:rPr>
              <w:t>mid-term review</w:t>
            </w:r>
            <w:r w:rsidR="00C7231D" w:rsidRPr="00894582">
              <w:rPr>
                <w:sz w:val="17"/>
                <w:szCs w:val="17"/>
              </w:rPr>
              <w:t xml:space="preserve"> of the current country strategy by the end of 2014.</w:t>
            </w:r>
          </w:p>
          <w:p w:rsidR="00AF0459" w:rsidRPr="00894582" w:rsidRDefault="00AF0459" w:rsidP="00D175E3">
            <w:pPr>
              <w:pStyle w:val="TableTextEntries"/>
            </w:pPr>
          </w:p>
        </w:tc>
        <w:tc>
          <w:tcPr>
            <w:tcW w:w="964" w:type="dxa"/>
            <w:shd w:val="clear" w:color="auto" w:fill="72AF2F"/>
          </w:tcPr>
          <w:p w:rsidR="00AF0459" w:rsidRPr="00894582" w:rsidRDefault="00AF0459" w:rsidP="00D175E3">
            <w:pPr>
              <w:pStyle w:val="TableTextEntries"/>
              <w:jc w:val="center"/>
              <w:rPr>
                <w:color w:val="FFFFFF" w:themeColor="background1"/>
              </w:rPr>
            </w:pPr>
            <w:r w:rsidRPr="00894582">
              <w:rPr>
                <w:color w:val="FFFFFF" w:themeColor="background1"/>
              </w:rPr>
              <w:t>Achieved</w:t>
            </w:r>
            <w:r w:rsidRPr="00894582">
              <w:rPr>
                <w:color w:val="FFFFFF" w:themeColor="background1"/>
              </w:rPr>
              <w:fldChar w:fldCharType="begin"/>
            </w:r>
            <w:r w:rsidRPr="00894582">
              <w:rPr>
                <w:color w:val="FFFFFF" w:themeColor="background1"/>
              </w:rPr>
              <w:instrText xml:space="preserve"> AUTOTEXTLIST  \s "Rating bullet"\t "Right click to choose a rating" \* MERGEFORMAT </w:instrText>
            </w:r>
            <w:r w:rsidRPr="00894582">
              <w:rPr>
                <w:color w:val="FFFFFF" w:themeColor="background1"/>
              </w:rPr>
              <w:fldChar w:fldCharType="end"/>
            </w:r>
          </w:p>
        </w:tc>
        <w:tc>
          <w:tcPr>
            <w:tcW w:w="6896" w:type="dxa"/>
          </w:tcPr>
          <w:p w:rsidR="00AF0459" w:rsidRPr="00894582" w:rsidRDefault="00F4316D" w:rsidP="001924BC">
            <w:pPr>
              <w:pStyle w:val="BodyText"/>
              <w:rPr>
                <w:color w:val="92D050"/>
                <w:sz w:val="17"/>
                <w:szCs w:val="17"/>
              </w:rPr>
            </w:pPr>
            <w:r w:rsidRPr="00894582">
              <w:rPr>
                <w:sz w:val="17"/>
                <w:szCs w:val="17"/>
              </w:rPr>
              <w:t xml:space="preserve">Australia commissioned three of the five analytical reports that the Mid-term Review of the </w:t>
            </w:r>
            <w:r w:rsidR="001924BC">
              <w:rPr>
                <w:sz w:val="17"/>
                <w:szCs w:val="17"/>
              </w:rPr>
              <w:t>Government of Bangladesh</w:t>
            </w:r>
            <w:r w:rsidRPr="00894582">
              <w:rPr>
                <w:sz w:val="17"/>
                <w:szCs w:val="17"/>
              </w:rPr>
              <w:t xml:space="preserve">’s primary </w:t>
            </w:r>
            <w:r w:rsidRPr="00894582">
              <w:rPr>
                <w:b/>
                <w:sz w:val="17"/>
                <w:szCs w:val="17"/>
              </w:rPr>
              <w:t>education</w:t>
            </w:r>
            <w:r w:rsidRPr="00894582">
              <w:rPr>
                <w:sz w:val="17"/>
                <w:szCs w:val="17"/>
              </w:rPr>
              <w:t xml:space="preserve"> program, informing dialogue on refinements to the program. Despite political uncertainty (due to elections) </w:t>
            </w:r>
            <w:r w:rsidR="00E94A49" w:rsidRPr="00894582">
              <w:rPr>
                <w:sz w:val="17"/>
                <w:szCs w:val="17"/>
              </w:rPr>
              <w:t>Australia</w:t>
            </w:r>
            <w:r w:rsidRPr="00894582">
              <w:rPr>
                <w:sz w:val="17"/>
                <w:szCs w:val="17"/>
              </w:rPr>
              <w:t xml:space="preserve"> </w:t>
            </w:r>
            <w:r w:rsidRPr="00894582">
              <w:rPr>
                <w:b/>
                <w:sz w:val="17"/>
                <w:szCs w:val="17"/>
              </w:rPr>
              <w:t>supported national systems</w:t>
            </w:r>
            <w:r w:rsidRPr="00894582">
              <w:rPr>
                <w:sz w:val="17"/>
                <w:szCs w:val="17"/>
              </w:rPr>
              <w:t xml:space="preserve"> to progress</w:t>
            </w:r>
            <w:r w:rsidR="00E94A49" w:rsidRPr="00894582">
              <w:rPr>
                <w:sz w:val="17"/>
                <w:szCs w:val="17"/>
              </w:rPr>
              <w:t xml:space="preserve"> policy reform in </w:t>
            </w:r>
            <w:r w:rsidRPr="00894582">
              <w:rPr>
                <w:sz w:val="17"/>
                <w:szCs w:val="17"/>
              </w:rPr>
              <w:t>education</w:t>
            </w:r>
            <w:r w:rsidR="007E227D">
              <w:rPr>
                <w:sz w:val="17"/>
                <w:szCs w:val="17"/>
              </w:rPr>
              <w:t xml:space="preserve">. </w:t>
            </w:r>
            <w:r w:rsidRPr="00894582">
              <w:rPr>
                <w:sz w:val="17"/>
                <w:szCs w:val="17"/>
              </w:rPr>
              <w:t xml:space="preserve">Australia withdrew from the </w:t>
            </w:r>
            <w:r w:rsidR="001924BC">
              <w:rPr>
                <w:sz w:val="17"/>
                <w:szCs w:val="17"/>
              </w:rPr>
              <w:t>Government of Bangladesh</w:t>
            </w:r>
            <w:r w:rsidRPr="00894582">
              <w:rPr>
                <w:sz w:val="17"/>
                <w:szCs w:val="17"/>
              </w:rPr>
              <w:t>’s health program due to budget cuts</w:t>
            </w:r>
            <w:r w:rsidR="000806DA">
              <w:rPr>
                <w:sz w:val="17"/>
                <w:szCs w:val="17"/>
              </w:rPr>
              <w:t xml:space="preserve">. Australia </w:t>
            </w:r>
            <w:r w:rsidR="00E94A49" w:rsidRPr="00894582">
              <w:rPr>
                <w:sz w:val="17"/>
                <w:szCs w:val="17"/>
              </w:rPr>
              <w:t>learn</w:t>
            </w:r>
            <w:r w:rsidR="00D43173">
              <w:rPr>
                <w:sz w:val="17"/>
                <w:szCs w:val="17"/>
              </w:rPr>
              <w:t>t</w:t>
            </w:r>
            <w:r w:rsidR="00E94A49" w:rsidRPr="00894582">
              <w:rPr>
                <w:sz w:val="17"/>
                <w:szCs w:val="17"/>
              </w:rPr>
              <w:t xml:space="preserve"> more of </w:t>
            </w:r>
            <w:r w:rsidR="000806DA">
              <w:rPr>
                <w:sz w:val="17"/>
                <w:szCs w:val="17"/>
              </w:rPr>
              <w:t>the</w:t>
            </w:r>
            <w:r w:rsidR="00E94A49" w:rsidRPr="00894582">
              <w:rPr>
                <w:b/>
                <w:sz w:val="17"/>
                <w:szCs w:val="17"/>
              </w:rPr>
              <w:t xml:space="preserve"> obstacles faced by women and marginalised people</w:t>
            </w:r>
            <w:r w:rsidR="00E94A49" w:rsidRPr="00894582">
              <w:rPr>
                <w:sz w:val="17"/>
                <w:szCs w:val="17"/>
              </w:rPr>
              <w:t xml:space="preserve"> through a deepened engagement with </w:t>
            </w:r>
            <w:r w:rsidR="001924BC">
              <w:rPr>
                <w:sz w:val="17"/>
                <w:szCs w:val="17"/>
              </w:rPr>
              <w:t>MJF,</w:t>
            </w:r>
            <w:r w:rsidR="00E94A49" w:rsidRPr="00894582">
              <w:rPr>
                <w:sz w:val="17"/>
                <w:szCs w:val="17"/>
              </w:rPr>
              <w:t xml:space="preserve"> BRAC</w:t>
            </w:r>
            <w:r w:rsidR="009B1867">
              <w:rPr>
                <w:sz w:val="17"/>
                <w:szCs w:val="17"/>
              </w:rPr>
              <w:t xml:space="preserve"> and WFP</w:t>
            </w:r>
            <w:r w:rsidR="00E94A49" w:rsidRPr="00894582">
              <w:rPr>
                <w:sz w:val="17"/>
                <w:szCs w:val="17"/>
              </w:rPr>
              <w:t xml:space="preserve">. Australia supported </w:t>
            </w:r>
            <w:r w:rsidR="00E94A49" w:rsidRPr="00894582">
              <w:rPr>
                <w:b/>
                <w:sz w:val="17"/>
                <w:szCs w:val="17"/>
              </w:rPr>
              <w:t>institutional strengthening</w:t>
            </w:r>
            <w:r w:rsidR="00E94A49" w:rsidRPr="00894582">
              <w:rPr>
                <w:sz w:val="17"/>
                <w:szCs w:val="17"/>
              </w:rPr>
              <w:t>, including in icddr,b</w:t>
            </w:r>
            <w:r w:rsidR="007E227D">
              <w:rPr>
                <w:sz w:val="17"/>
                <w:szCs w:val="17"/>
              </w:rPr>
              <w:t>. We are</w:t>
            </w:r>
            <w:r w:rsidR="00E94A49" w:rsidRPr="00894582">
              <w:rPr>
                <w:sz w:val="17"/>
                <w:szCs w:val="17"/>
              </w:rPr>
              <w:t xml:space="preserve"> </w:t>
            </w:r>
            <w:r w:rsidR="00E94A49" w:rsidRPr="00894582">
              <w:rPr>
                <w:b/>
                <w:sz w:val="17"/>
                <w:szCs w:val="17"/>
              </w:rPr>
              <w:t>reviewing</w:t>
            </w:r>
            <w:r w:rsidR="00E94A49" w:rsidRPr="00894582">
              <w:rPr>
                <w:sz w:val="17"/>
                <w:szCs w:val="17"/>
              </w:rPr>
              <w:t xml:space="preserve"> our approach to inform a new </w:t>
            </w:r>
            <w:r w:rsidR="001924BC">
              <w:rPr>
                <w:sz w:val="17"/>
                <w:szCs w:val="17"/>
              </w:rPr>
              <w:t>AIP</w:t>
            </w:r>
            <w:r w:rsidR="00E94A49" w:rsidRPr="00894582">
              <w:rPr>
                <w:sz w:val="17"/>
                <w:szCs w:val="17"/>
              </w:rPr>
              <w:t xml:space="preserve"> by Jul</w:t>
            </w:r>
            <w:r w:rsidR="007E227D">
              <w:rPr>
                <w:sz w:val="17"/>
                <w:szCs w:val="17"/>
              </w:rPr>
              <w:t>y</w:t>
            </w:r>
            <w:r w:rsidR="00E94A49" w:rsidRPr="00894582">
              <w:rPr>
                <w:sz w:val="17"/>
                <w:szCs w:val="17"/>
              </w:rPr>
              <w:t xml:space="preserve"> 2015. </w:t>
            </w:r>
          </w:p>
        </w:tc>
      </w:tr>
      <w:tr w:rsidR="00AF0459" w:rsidRPr="00894582" w:rsidTr="00D175E3">
        <w:trPr>
          <w:cnfStyle w:val="000000010000" w:firstRow="0" w:lastRow="0" w:firstColumn="0" w:lastColumn="0" w:oddVBand="0" w:evenVBand="0" w:oddHBand="0" w:evenHBand="1" w:firstRowFirstColumn="0" w:firstRowLastColumn="0" w:lastRowFirstColumn="0" w:lastRowLastColumn="0"/>
        </w:trPr>
        <w:tc>
          <w:tcPr>
            <w:tcW w:w="6473" w:type="dxa"/>
          </w:tcPr>
          <w:p w:rsidR="00DA06DF" w:rsidRPr="00894582" w:rsidRDefault="00DA06DF" w:rsidP="00B7471A">
            <w:pPr>
              <w:pStyle w:val="BodyText"/>
              <w:rPr>
                <w:sz w:val="17"/>
                <w:szCs w:val="17"/>
              </w:rPr>
            </w:pPr>
            <w:r w:rsidRPr="00894582">
              <w:rPr>
                <w:sz w:val="17"/>
                <w:szCs w:val="17"/>
              </w:rPr>
              <w:lastRenderedPageBreak/>
              <w:t xml:space="preserve">Develop a </w:t>
            </w:r>
            <w:r w:rsidRPr="00894582">
              <w:rPr>
                <w:b/>
                <w:sz w:val="17"/>
                <w:szCs w:val="17"/>
              </w:rPr>
              <w:t>work plan</w:t>
            </w:r>
            <w:r w:rsidRPr="00894582">
              <w:rPr>
                <w:sz w:val="17"/>
                <w:szCs w:val="17"/>
              </w:rPr>
              <w:t xml:space="preserve"> to help identify the most efficient use of resources. Review options for providing efficient and effective </w:t>
            </w:r>
            <w:r w:rsidRPr="00894582">
              <w:rPr>
                <w:b/>
                <w:sz w:val="17"/>
                <w:szCs w:val="17"/>
              </w:rPr>
              <w:t>program support</w:t>
            </w:r>
            <w:r w:rsidRPr="00894582">
              <w:rPr>
                <w:sz w:val="17"/>
                <w:szCs w:val="17"/>
              </w:rPr>
              <w:t xml:space="preserve">. Ongoing assessment of </w:t>
            </w:r>
            <w:r w:rsidRPr="00894582">
              <w:rPr>
                <w:b/>
                <w:sz w:val="17"/>
                <w:szCs w:val="17"/>
              </w:rPr>
              <w:t>staff safety</w:t>
            </w:r>
            <w:r w:rsidRPr="00894582">
              <w:rPr>
                <w:sz w:val="17"/>
                <w:szCs w:val="17"/>
              </w:rPr>
              <w:t xml:space="preserve">. Completing an overseas-based, work-level standard </w:t>
            </w:r>
            <w:r w:rsidRPr="00894582">
              <w:rPr>
                <w:b/>
                <w:sz w:val="17"/>
                <w:szCs w:val="17"/>
              </w:rPr>
              <w:t>assessment</w:t>
            </w:r>
            <w:r w:rsidRPr="00894582">
              <w:rPr>
                <w:sz w:val="17"/>
                <w:szCs w:val="17"/>
              </w:rPr>
              <w:t xml:space="preserve"> and remuneration review. Develop strategies to use</w:t>
            </w:r>
            <w:r w:rsidRPr="00894582">
              <w:rPr>
                <w:b/>
                <w:sz w:val="17"/>
                <w:szCs w:val="17"/>
              </w:rPr>
              <w:t xml:space="preserve"> specialist expertise </w:t>
            </w:r>
            <w:r w:rsidRPr="00894582">
              <w:rPr>
                <w:sz w:val="17"/>
                <w:szCs w:val="17"/>
              </w:rPr>
              <w:t>strategically.</w:t>
            </w:r>
          </w:p>
          <w:p w:rsidR="00AF0459" w:rsidRPr="00894582" w:rsidRDefault="00AF0459" w:rsidP="00D175E3">
            <w:pPr>
              <w:pStyle w:val="TableTextEntries"/>
            </w:pPr>
          </w:p>
        </w:tc>
        <w:tc>
          <w:tcPr>
            <w:tcW w:w="964" w:type="dxa"/>
            <w:shd w:val="clear" w:color="auto" w:fill="72AF2F"/>
          </w:tcPr>
          <w:p w:rsidR="00AF0459" w:rsidRPr="00894582" w:rsidRDefault="00AF0459" w:rsidP="00D175E3">
            <w:pPr>
              <w:pStyle w:val="TableTextEntries"/>
              <w:jc w:val="center"/>
              <w:rPr>
                <w:color w:val="FFFFFF" w:themeColor="background1"/>
              </w:rPr>
            </w:pPr>
            <w:r w:rsidRPr="00894582">
              <w:rPr>
                <w:color w:val="FFFFFF" w:themeColor="background1"/>
              </w:rPr>
              <w:t>Achieved</w:t>
            </w:r>
          </w:p>
        </w:tc>
        <w:tc>
          <w:tcPr>
            <w:tcW w:w="6896" w:type="dxa"/>
          </w:tcPr>
          <w:p w:rsidR="00AF0459" w:rsidRPr="00894582" w:rsidRDefault="000806DA" w:rsidP="007E227D">
            <w:pPr>
              <w:pStyle w:val="BodyText"/>
              <w:rPr>
                <w:color w:val="92D050"/>
                <w:sz w:val="17"/>
                <w:szCs w:val="17"/>
              </w:rPr>
            </w:pPr>
            <w:r w:rsidRPr="00894582">
              <w:rPr>
                <w:sz w:val="17"/>
                <w:szCs w:val="17"/>
              </w:rPr>
              <w:t xml:space="preserve">A revised team structure and </w:t>
            </w:r>
            <w:r w:rsidRPr="00894582">
              <w:rPr>
                <w:b/>
                <w:sz w:val="17"/>
                <w:szCs w:val="17"/>
              </w:rPr>
              <w:t>work plan</w:t>
            </w:r>
            <w:r w:rsidRPr="00894582">
              <w:rPr>
                <w:sz w:val="17"/>
                <w:szCs w:val="17"/>
              </w:rPr>
              <w:t xml:space="preserve"> is being developed </w:t>
            </w:r>
            <w:r w:rsidR="007E227D">
              <w:rPr>
                <w:sz w:val="17"/>
                <w:szCs w:val="17"/>
              </w:rPr>
              <w:t>in furtherance of the DFAT integration process</w:t>
            </w:r>
            <w:r>
              <w:rPr>
                <w:sz w:val="17"/>
                <w:szCs w:val="17"/>
              </w:rPr>
              <w:t>.</w:t>
            </w:r>
            <w:r w:rsidRPr="00894582">
              <w:rPr>
                <w:sz w:val="17"/>
                <w:szCs w:val="17"/>
              </w:rPr>
              <w:t xml:space="preserve"> </w:t>
            </w:r>
            <w:r w:rsidRPr="00894582">
              <w:rPr>
                <w:b/>
                <w:sz w:val="17"/>
                <w:szCs w:val="17"/>
              </w:rPr>
              <w:t>Staff safety</w:t>
            </w:r>
            <w:r w:rsidRPr="00894582">
              <w:rPr>
                <w:sz w:val="17"/>
                <w:szCs w:val="17"/>
              </w:rPr>
              <w:t xml:space="preserve"> was </w:t>
            </w:r>
            <w:r w:rsidR="00852B8C" w:rsidRPr="00894582">
              <w:rPr>
                <w:sz w:val="17"/>
                <w:szCs w:val="17"/>
              </w:rPr>
              <w:t xml:space="preserve">assessed </w:t>
            </w:r>
            <w:r w:rsidRPr="00894582">
              <w:rPr>
                <w:sz w:val="17"/>
                <w:szCs w:val="17"/>
              </w:rPr>
              <w:t xml:space="preserve">closely particularly surrounding the elections. A work level standard </w:t>
            </w:r>
            <w:r w:rsidRPr="00894582">
              <w:rPr>
                <w:b/>
                <w:sz w:val="17"/>
                <w:szCs w:val="17"/>
              </w:rPr>
              <w:t>assessment</w:t>
            </w:r>
            <w:r w:rsidRPr="00894582">
              <w:rPr>
                <w:sz w:val="17"/>
                <w:szCs w:val="17"/>
              </w:rPr>
              <w:t xml:space="preserve"> was completed and </w:t>
            </w:r>
            <w:r w:rsidRPr="00894582">
              <w:rPr>
                <w:b/>
                <w:sz w:val="17"/>
                <w:szCs w:val="17"/>
              </w:rPr>
              <w:t>specialist expertise</w:t>
            </w:r>
            <w:r w:rsidRPr="00894582">
              <w:rPr>
                <w:sz w:val="17"/>
                <w:szCs w:val="17"/>
              </w:rPr>
              <w:t xml:space="preserve"> supported our lead role in primary education.   </w:t>
            </w:r>
          </w:p>
        </w:tc>
      </w:tr>
    </w:tbl>
    <w:p w:rsidR="00AF0459" w:rsidRPr="00894582" w:rsidRDefault="00AF0459" w:rsidP="00AF0459">
      <w:pPr>
        <w:pStyle w:val="Note"/>
        <w:rPr>
          <w:sz w:val="17"/>
          <w:szCs w:val="17"/>
        </w:rPr>
      </w:pPr>
      <w:r w:rsidRPr="00894582">
        <w:rPr>
          <w:sz w:val="17"/>
          <w:szCs w:val="17"/>
        </w:rPr>
        <w:t xml:space="preserve">Note: </w:t>
      </w:r>
    </w:p>
    <w:p w:rsidR="00AF0459" w:rsidRPr="00894582" w:rsidRDefault="00AF0459" w:rsidP="00AF0459">
      <w:pPr>
        <w:pStyle w:val="Note"/>
        <w:rPr>
          <w:sz w:val="17"/>
          <w:szCs w:val="17"/>
        </w:rPr>
      </w:pPr>
      <w:r w:rsidRPr="00894582">
        <w:rPr>
          <w:color w:val="72AF2F"/>
          <w:sz w:val="17"/>
          <w:szCs w:val="17"/>
        </w:rPr>
        <w:sym w:font="Webdings" w:char="F067"/>
      </w:r>
      <w:r w:rsidRPr="00894582">
        <w:rPr>
          <w:sz w:val="17"/>
          <w:szCs w:val="17"/>
        </w:rPr>
        <w:t> </w:t>
      </w:r>
      <w:r w:rsidRPr="00894582">
        <w:rPr>
          <w:sz w:val="17"/>
          <w:szCs w:val="17"/>
        </w:rPr>
        <w:t xml:space="preserve"> Achieved.  Significant progress has been made in addressing the issue </w:t>
      </w:r>
    </w:p>
    <w:p w:rsidR="00AF0459" w:rsidRPr="00894582" w:rsidRDefault="00AF0459" w:rsidP="00AF0459">
      <w:pPr>
        <w:pStyle w:val="Note"/>
        <w:rPr>
          <w:sz w:val="17"/>
          <w:szCs w:val="17"/>
        </w:rPr>
      </w:pPr>
      <w:r w:rsidRPr="00894582">
        <w:rPr>
          <w:color w:val="E36C0A"/>
          <w:sz w:val="17"/>
          <w:szCs w:val="17"/>
        </w:rPr>
        <w:sym w:font="Webdings" w:char="F067"/>
      </w:r>
      <w:r w:rsidRPr="00894582">
        <w:rPr>
          <w:sz w:val="17"/>
          <w:szCs w:val="17"/>
        </w:rPr>
        <w:t> </w:t>
      </w:r>
      <w:r w:rsidRPr="00894582">
        <w:rPr>
          <w:sz w:val="17"/>
          <w:szCs w:val="17"/>
        </w:rPr>
        <w:t xml:space="preserve"> Partly achieved.  Some progress has been made in addressing the issue, but the issue has not been resolved </w:t>
      </w:r>
    </w:p>
    <w:p w:rsidR="00AF0459" w:rsidRPr="00894582" w:rsidRDefault="00AF0459" w:rsidP="00AF0459">
      <w:pPr>
        <w:pStyle w:val="Note"/>
        <w:rPr>
          <w:sz w:val="17"/>
          <w:szCs w:val="17"/>
        </w:rPr>
      </w:pPr>
      <w:r w:rsidRPr="00894582">
        <w:rPr>
          <w:color w:val="FF0000"/>
          <w:sz w:val="17"/>
          <w:szCs w:val="17"/>
        </w:rPr>
        <w:sym w:font="Webdings" w:char="F067"/>
      </w:r>
      <w:r w:rsidRPr="00894582">
        <w:rPr>
          <w:sz w:val="17"/>
          <w:szCs w:val="17"/>
        </w:rPr>
        <w:t> </w:t>
      </w:r>
      <w:r w:rsidRPr="00894582">
        <w:rPr>
          <w:sz w:val="17"/>
          <w:szCs w:val="17"/>
        </w:rPr>
        <w:t xml:space="preserve"> Not achieved. Progress in addressing the issue has been significantly below expectations</w:t>
      </w:r>
    </w:p>
    <w:p w:rsidR="00AF0459" w:rsidRPr="00894582" w:rsidRDefault="00AF0459" w:rsidP="00AF0459">
      <w:pPr>
        <w:pStyle w:val="BodyText"/>
        <w:rPr>
          <w:sz w:val="17"/>
          <w:szCs w:val="17"/>
        </w:rPr>
      </w:pPr>
    </w:p>
    <w:p w:rsidR="00AF0459" w:rsidRPr="00894582" w:rsidRDefault="00AF0459" w:rsidP="00AF0459">
      <w:pPr>
        <w:spacing w:after="200" w:line="276" w:lineRule="auto"/>
        <w:rPr>
          <w:rFonts w:ascii="Franklin Gothic Book" w:hAnsi="Franklin Gothic Book"/>
          <w:sz w:val="17"/>
          <w:szCs w:val="17"/>
        </w:rPr>
      </w:pPr>
      <w:r w:rsidRPr="00894582">
        <w:rPr>
          <w:rFonts w:ascii="Franklin Gothic Book" w:hAnsi="Franklin Gothic Book"/>
          <w:sz w:val="17"/>
          <w:szCs w:val="17"/>
        </w:rPr>
        <w:br w:type="page"/>
      </w:r>
    </w:p>
    <w:p w:rsidR="00AF0459" w:rsidRPr="00894582" w:rsidRDefault="00AF0459" w:rsidP="00AF0459">
      <w:pPr>
        <w:pStyle w:val="Heading2"/>
        <w:tabs>
          <w:tab w:val="left" w:pos="1560"/>
        </w:tabs>
        <w:rPr>
          <w:rFonts w:ascii="Franklin Gothic Book" w:hAnsi="Franklin Gothic Book"/>
          <w:sz w:val="17"/>
          <w:szCs w:val="17"/>
        </w:rPr>
      </w:pPr>
      <w:r w:rsidRPr="00894582">
        <w:rPr>
          <w:rFonts w:ascii="Franklin Gothic Book" w:hAnsi="Franklin Gothic Book"/>
          <w:sz w:val="17"/>
          <w:szCs w:val="17"/>
        </w:rPr>
        <w:lastRenderedPageBreak/>
        <w:t xml:space="preserve">Annex B </w:t>
      </w:r>
      <w:r w:rsidRPr="00894582">
        <w:rPr>
          <w:rFonts w:ascii="Franklin Gothic Book" w:hAnsi="Franklin Gothic Book"/>
          <w:sz w:val="17"/>
          <w:szCs w:val="17"/>
        </w:rPr>
        <w:tab/>
      </w:r>
    </w:p>
    <w:p w:rsidR="00AF0459" w:rsidRPr="00894582" w:rsidRDefault="00AF0459" w:rsidP="00AF0459">
      <w:pPr>
        <w:pStyle w:val="Heading2"/>
        <w:rPr>
          <w:rFonts w:ascii="Franklin Gothic Book" w:hAnsi="Franklin Gothic Book"/>
          <w:sz w:val="17"/>
          <w:szCs w:val="17"/>
        </w:rPr>
      </w:pPr>
      <w:r w:rsidRPr="00894582">
        <w:rPr>
          <w:rFonts w:ascii="Franklin Gothic Book" w:hAnsi="Franklin Gothic Book"/>
          <w:sz w:val="17"/>
          <w:szCs w:val="17"/>
        </w:rPr>
        <w:t>Quality at Implementation ratings</w:t>
      </w:r>
    </w:p>
    <w:tbl>
      <w:tblPr>
        <w:tblStyle w:val="APPR"/>
        <w:tblW w:w="4244" w:type="pct"/>
        <w:tblBorders>
          <w:top w:val="none" w:sz="0" w:space="0" w:color="auto"/>
          <w:bottom w:val="none" w:sz="0" w:space="0" w:color="auto"/>
        </w:tblBorders>
        <w:tblLayout w:type="fixed"/>
        <w:tblLook w:val="0000" w:firstRow="0" w:lastRow="0" w:firstColumn="0" w:lastColumn="0" w:noHBand="0" w:noVBand="0"/>
      </w:tblPr>
      <w:tblGrid>
        <w:gridCol w:w="2446"/>
        <w:gridCol w:w="1780"/>
        <w:gridCol w:w="1142"/>
        <w:gridCol w:w="714"/>
        <w:gridCol w:w="1149"/>
        <w:gridCol w:w="1008"/>
        <w:gridCol w:w="1008"/>
        <w:gridCol w:w="1068"/>
        <w:gridCol w:w="941"/>
        <w:gridCol w:w="1005"/>
      </w:tblGrid>
      <w:tr w:rsidR="005E371D" w:rsidRPr="00894582" w:rsidTr="001C67E8">
        <w:trPr>
          <w:cnfStyle w:val="000000010000" w:firstRow="0" w:lastRow="0" w:firstColumn="0" w:lastColumn="0" w:oddVBand="0" w:evenVBand="0" w:oddHBand="0" w:evenHBand="1" w:firstRowFirstColumn="0" w:firstRowLastColumn="0" w:lastRowFirstColumn="0" w:lastRowLastColumn="0"/>
          <w:trHeight w:val="1413"/>
        </w:trPr>
        <w:tc>
          <w:tcPr>
            <w:tcW w:w="983" w:type="pct"/>
          </w:tcPr>
          <w:p w:rsidR="005E371D" w:rsidRPr="00894582" w:rsidRDefault="005E371D" w:rsidP="001C67E8">
            <w:pPr>
              <w:pStyle w:val="TableTextColumnHeading"/>
              <w:rPr>
                <w:szCs w:val="17"/>
              </w:rPr>
            </w:pPr>
            <w:r w:rsidRPr="00894582">
              <w:rPr>
                <w:noProof/>
                <w:szCs w:val="17"/>
              </w:rPr>
              <w:drawing>
                <wp:anchor distT="0" distB="0" distL="114300" distR="114300" simplePos="0" relativeHeight="251663360" behindDoc="0" locked="0" layoutInCell="1" allowOverlap="1" wp14:anchorId="149CB5E7" wp14:editId="5AFB0C8C">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582">
              <w:rPr>
                <w:szCs w:val="17"/>
              </w:rPr>
              <w:t>Investment name</w:t>
            </w:r>
          </w:p>
        </w:tc>
        <w:tc>
          <w:tcPr>
            <w:tcW w:w="716" w:type="pct"/>
            <w:textDirection w:val="btLr"/>
          </w:tcPr>
          <w:p w:rsidR="005E371D" w:rsidRPr="00894582" w:rsidRDefault="005E371D" w:rsidP="001C67E8">
            <w:pPr>
              <w:pStyle w:val="TableTextColumnHeading"/>
              <w:rPr>
                <w:szCs w:val="17"/>
              </w:rPr>
            </w:pPr>
            <w:r w:rsidRPr="00894582">
              <w:rPr>
                <w:szCs w:val="17"/>
              </w:rPr>
              <w:t>Approved budget and duration</w:t>
            </w:r>
          </w:p>
        </w:tc>
        <w:tc>
          <w:tcPr>
            <w:tcW w:w="455" w:type="pct"/>
            <w:textDirection w:val="btLr"/>
          </w:tcPr>
          <w:p w:rsidR="005E371D" w:rsidRPr="00894582" w:rsidRDefault="005E371D" w:rsidP="001C67E8">
            <w:pPr>
              <w:pStyle w:val="TableTextColumnHeading"/>
              <w:rPr>
                <w:szCs w:val="17"/>
              </w:rPr>
            </w:pPr>
            <w:r w:rsidRPr="00894582">
              <w:rPr>
                <w:szCs w:val="17"/>
              </w:rPr>
              <w:t>QaI year</w:t>
            </w:r>
          </w:p>
        </w:tc>
        <w:tc>
          <w:tcPr>
            <w:tcW w:w="738" w:type="pct"/>
            <w:gridSpan w:val="2"/>
            <w:textDirection w:val="btLr"/>
          </w:tcPr>
          <w:p w:rsidR="005E371D" w:rsidRPr="00894582" w:rsidRDefault="005E371D" w:rsidP="001C67E8">
            <w:pPr>
              <w:pStyle w:val="TableTextColumnHeading"/>
              <w:rPr>
                <w:szCs w:val="17"/>
              </w:rPr>
            </w:pPr>
            <w:r w:rsidRPr="00894582">
              <w:rPr>
                <w:szCs w:val="17"/>
              </w:rPr>
              <w:t>Relevance</w:t>
            </w:r>
          </w:p>
        </w:tc>
        <w:tc>
          <w:tcPr>
            <w:tcW w:w="401" w:type="pct"/>
            <w:textDirection w:val="btLr"/>
          </w:tcPr>
          <w:p w:rsidR="005E371D" w:rsidRPr="00894582" w:rsidRDefault="005E371D" w:rsidP="001C67E8">
            <w:pPr>
              <w:pStyle w:val="TableTextColumnHeading"/>
              <w:rPr>
                <w:szCs w:val="17"/>
              </w:rPr>
            </w:pPr>
            <w:r w:rsidRPr="00894582">
              <w:rPr>
                <w:szCs w:val="17"/>
              </w:rPr>
              <w:t>Effectiveness</w:t>
            </w:r>
          </w:p>
        </w:tc>
        <w:tc>
          <w:tcPr>
            <w:tcW w:w="401" w:type="pct"/>
            <w:textDirection w:val="btLr"/>
          </w:tcPr>
          <w:p w:rsidR="005E371D" w:rsidRPr="00894582" w:rsidRDefault="005E371D" w:rsidP="001C67E8">
            <w:pPr>
              <w:pStyle w:val="TableTextColumnHeading"/>
              <w:rPr>
                <w:szCs w:val="17"/>
              </w:rPr>
            </w:pPr>
            <w:r w:rsidRPr="00894582">
              <w:rPr>
                <w:szCs w:val="17"/>
              </w:rPr>
              <w:t>Efficiency</w:t>
            </w:r>
          </w:p>
        </w:tc>
        <w:tc>
          <w:tcPr>
            <w:tcW w:w="425" w:type="pct"/>
            <w:textDirection w:val="btLr"/>
          </w:tcPr>
          <w:p w:rsidR="005E371D" w:rsidRPr="00894582" w:rsidRDefault="005E371D" w:rsidP="001C67E8">
            <w:pPr>
              <w:pStyle w:val="TableTextColumnHeading"/>
              <w:rPr>
                <w:szCs w:val="17"/>
              </w:rPr>
            </w:pPr>
            <w:r w:rsidRPr="00894582">
              <w:rPr>
                <w:szCs w:val="17"/>
              </w:rPr>
              <w:t>Monitoring and Evaluation</w:t>
            </w:r>
          </w:p>
        </w:tc>
        <w:tc>
          <w:tcPr>
            <w:tcW w:w="373" w:type="pct"/>
            <w:textDirection w:val="btLr"/>
          </w:tcPr>
          <w:p w:rsidR="005E371D" w:rsidRPr="00894582" w:rsidRDefault="005E371D" w:rsidP="001C67E8">
            <w:pPr>
              <w:pStyle w:val="TableTextColumnHeading"/>
              <w:rPr>
                <w:szCs w:val="17"/>
              </w:rPr>
            </w:pPr>
            <w:r w:rsidRPr="00894582">
              <w:rPr>
                <w:szCs w:val="17"/>
              </w:rPr>
              <w:t>Sustainability</w:t>
            </w:r>
          </w:p>
        </w:tc>
        <w:tc>
          <w:tcPr>
            <w:tcW w:w="394" w:type="pct"/>
            <w:textDirection w:val="btLr"/>
          </w:tcPr>
          <w:p w:rsidR="005E371D" w:rsidRPr="00894582" w:rsidRDefault="005E371D" w:rsidP="001C67E8">
            <w:pPr>
              <w:pStyle w:val="TableTextColumnHeading"/>
              <w:rPr>
                <w:szCs w:val="17"/>
              </w:rPr>
            </w:pPr>
            <w:r w:rsidRPr="00894582">
              <w:rPr>
                <w:szCs w:val="17"/>
              </w:rPr>
              <w:t>Gender equality</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val="restart"/>
          </w:tcPr>
          <w:p w:rsidR="005E371D" w:rsidRPr="00894582" w:rsidRDefault="005E371D" w:rsidP="001C67E8">
            <w:pPr>
              <w:pStyle w:val="TableTextEntries"/>
            </w:pPr>
            <w:r w:rsidRPr="00894582">
              <w:t>Australian Development Scholarships</w:t>
            </w:r>
          </w:p>
        </w:tc>
        <w:tc>
          <w:tcPr>
            <w:tcW w:w="716" w:type="pct"/>
            <w:vMerge w:val="restart"/>
          </w:tcPr>
          <w:p w:rsidR="005E371D" w:rsidRPr="00894582" w:rsidRDefault="005E371D" w:rsidP="001C67E8">
            <w:pPr>
              <w:pStyle w:val="TableTextEntries"/>
            </w:pPr>
            <w:r w:rsidRPr="00894582">
              <w:t>$5.3m</w:t>
            </w:r>
          </w:p>
          <w:p w:rsidR="005E371D" w:rsidRPr="00894582" w:rsidRDefault="00281F07" w:rsidP="001C67E8">
            <w:pPr>
              <w:pStyle w:val="TableTextEntries"/>
            </w:pPr>
            <w:r>
              <w:t>annual</w:t>
            </w:r>
          </w:p>
        </w:tc>
        <w:tc>
          <w:tcPr>
            <w:tcW w:w="735" w:type="pct"/>
            <w:gridSpan w:val="2"/>
          </w:tcPr>
          <w:p w:rsidR="005E371D" w:rsidRPr="00894582" w:rsidRDefault="005E371D" w:rsidP="001C67E8">
            <w:pPr>
              <w:pStyle w:val="TableTextEntries"/>
            </w:pPr>
            <w:r w:rsidRPr="00894582">
              <w:t>2013</w:t>
            </w:r>
          </w:p>
        </w:tc>
        <w:tc>
          <w:tcPr>
            <w:tcW w:w="458"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FFFF00"/>
            <w:noWrap/>
          </w:tcPr>
          <w:p w:rsidR="005E371D" w:rsidRPr="00894582" w:rsidRDefault="005E371D" w:rsidP="001C67E8">
            <w:pPr>
              <w:pStyle w:val="TableTextEntries"/>
              <w:jc w:val="center"/>
            </w:pPr>
            <w:r w:rsidRPr="00894582">
              <w:t>4</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FFFF00"/>
            <w:noWrap/>
          </w:tcPr>
          <w:p w:rsidR="005E371D" w:rsidRPr="00894582" w:rsidRDefault="005E371D" w:rsidP="001C67E8">
            <w:pPr>
              <w:pStyle w:val="TableTextEntries"/>
              <w:jc w:val="center"/>
            </w:pPr>
            <w:r w:rsidRPr="00894582">
              <w:t>4</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FFFF00"/>
            <w:noWrap/>
          </w:tcPr>
          <w:p w:rsidR="005E371D" w:rsidRPr="00894582" w:rsidRDefault="005E371D" w:rsidP="001C67E8">
            <w:pPr>
              <w:pStyle w:val="TableTextEntries"/>
              <w:jc w:val="center"/>
            </w:pPr>
            <w:r w:rsidRPr="00894582">
              <w:t>4</w:t>
            </w:r>
          </w:p>
        </w:tc>
        <w:tc>
          <w:tcPr>
            <w:tcW w:w="425" w:type="pct"/>
            <w:shd w:val="clear" w:color="auto" w:fill="FFFF00"/>
            <w:noWrap/>
          </w:tcPr>
          <w:p w:rsidR="005E371D" w:rsidRPr="00894582" w:rsidRDefault="005E371D" w:rsidP="001C67E8">
            <w:pPr>
              <w:pStyle w:val="TableTextEntries"/>
              <w:jc w:val="center"/>
            </w:pPr>
            <w:r w:rsidRPr="00894582">
              <w:t>4</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val="restart"/>
          </w:tcPr>
          <w:p w:rsidR="005E371D" w:rsidRPr="00894582" w:rsidRDefault="005E371D" w:rsidP="001C67E8">
            <w:pPr>
              <w:pStyle w:val="TableTextEntries"/>
            </w:pPr>
            <w:r w:rsidRPr="00894582">
              <w:t>Chars Livelihood</w:t>
            </w:r>
          </w:p>
          <w:p w:rsidR="005E371D" w:rsidRPr="00894582" w:rsidRDefault="005E371D" w:rsidP="001C67E8">
            <w:pPr>
              <w:pStyle w:val="TableTextEntries"/>
            </w:pPr>
            <w:r w:rsidRPr="00894582">
              <w:t>Programme</w:t>
            </w:r>
          </w:p>
        </w:tc>
        <w:tc>
          <w:tcPr>
            <w:tcW w:w="716" w:type="pct"/>
            <w:vMerge w:val="restart"/>
          </w:tcPr>
          <w:p w:rsidR="005E371D" w:rsidRPr="00894582" w:rsidRDefault="005E371D" w:rsidP="001C67E8">
            <w:pPr>
              <w:pStyle w:val="TableTextEntries"/>
            </w:pPr>
            <w:r w:rsidRPr="00894582">
              <w:t>$15.7m</w:t>
            </w:r>
          </w:p>
          <w:p w:rsidR="005E371D" w:rsidRPr="00894582" w:rsidRDefault="005E371D" w:rsidP="005E371D">
            <w:pPr>
              <w:pStyle w:val="TableTextEntries"/>
            </w:pPr>
            <w:r w:rsidRPr="00894582">
              <w:t>7 years</w:t>
            </w:r>
          </w:p>
        </w:tc>
        <w:tc>
          <w:tcPr>
            <w:tcW w:w="735" w:type="pct"/>
            <w:gridSpan w:val="2"/>
          </w:tcPr>
          <w:p w:rsidR="005E371D" w:rsidRPr="00894582" w:rsidRDefault="005E371D" w:rsidP="001C67E8">
            <w:pPr>
              <w:pStyle w:val="TableTextEntries"/>
            </w:pPr>
            <w:r w:rsidRPr="00894582">
              <w:t>2013</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92D050"/>
            <w:noWrap/>
          </w:tcPr>
          <w:p w:rsidR="005E371D" w:rsidRPr="00894582" w:rsidRDefault="005E371D" w:rsidP="001C67E8">
            <w:pPr>
              <w:pStyle w:val="TableTextEntries"/>
              <w:jc w:val="center"/>
            </w:pPr>
            <w:r w:rsidRPr="00894582">
              <w:t>5</w:t>
            </w:r>
          </w:p>
        </w:tc>
        <w:tc>
          <w:tcPr>
            <w:tcW w:w="373" w:type="pct"/>
            <w:shd w:val="clear" w:color="auto" w:fill="FFC000"/>
            <w:noWrap/>
          </w:tcPr>
          <w:p w:rsidR="005E371D" w:rsidRPr="00894582" w:rsidRDefault="005E371D" w:rsidP="001C67E8">
            <w:pPr>
              <w:pStyle w:val="TableTextEntries"/>
              <w:jc w:val="center"/>
            </w:pPr>
            <w:r w:rsidRPr="00894582">
              <w:t>3</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shd w:val="clear" w:color="auto" w:fill="92D050"/>
            <w:noWrap/>
          </w:tcPr>
          <w:p w:rsidR="005E371D" w:rsidRPr="00894582" w:rsidRDefault="005E371D" w:rsidP="001C67E8">
            <w:pPr>
              <w:pStyle w:val="TableTextEntries"/>
              <w:jc w:val="center"/>
            </w:pPr>
            <w:r w:rsidRPr="00894582">
              <w:t>6</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92D050"/>
            <w:noWrap/>
          </w:tcPr>
          <w:p w:rsidR="005E371D" w:rsidRPr="00894582" w:rsidRDefault="005E371D" w:rsidP="001C67E8">
            <w:pPr>
              <w:pStyle w:val="TableTextEntries"/>
              <w:jc w:val="center"/>
            </w:pPr>
            <w:r w:rsidRPr="00894582">
              <w:t>5</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90"/>
        </w:trPr>
        <w:tc>
          <w:tcPr>
            <w:tcW w:w="983" w:type="pct"/>
            <w:vMerge w:val="restart"/>
          </w:tcPr>
          <w:p w:rsidR="005E371D" w:rsidRPr="00894582" w:rsidRDefault="005E371D" w:rsidP="001C67E8">
            <w:pPr>
              <w:pStyle w:val="TableTextEntries"/>
            </w:pPr>
            <w:r w:rsidRPr="00894582">
              <w:t xml:space="preserve">BRAC Strategic </w:t>
            </w:r>
          </w:p>
          <w:p w:rsidR="005E371D" w:rsidRPr="00894582" w:rsidRDefault="005E371D" w:rsidP="001C67E8">
            <w:pPr>
              <w:pStyle w:val="TableTextEntries"/>
            </w:pPr>
            <w:r w:rsidRPr="00894582">
              <w:t>Partnership</w:t>
            </w:r>
          </w:p>
          <w:p w:rsidR="005E371D" w:rsidRPr="00894582" w:rsidRDefault="005E371D" w:rsidP="001C67E8">
            <w:pPr>
              <w:pStyle w:val="TableTextEntries"/>
            </w:pPr>
            <w:r w:rsidRPr="00894582">
              <w:t xml:space="preserve">Arrangement </w:t>
            </w:r>
          </w:p>
        </w:tc>
        <w:tc>
          <w:tcPr>
            <w:tcW w:w="716" w:type="pct"/>
            <w:vMerge w:val="restart"/>
          </w:tcPr>
          <w:p w:rsidR="005E371D" w:rsidRPr="00894582" w:rsidRDefault="005E371D" w:rsidP="001C67E8">
            <w:pPr>
              <w:pStyle w:val="TableTextEntries"/>
            </w:pPr>
            <w:r w:rsidRPr="00894582">
              <w:t xml:space="preserve">$180m </w:t>
            </w:r>
          </w:p>
          <w:p w:rsidR="005E371D" w:rsidRPr="00894582" w:rsidRDefault="005E371D" w:rsidP="001C67E8">
            <w:pPr>
              <w:pStyle w:val="TableTextEntries"/>
            </w:pPr>
            <w:r w:rsidRPr="00894582">
              <w:t>5 years</w:t>
            </w:r>
          </w:p>
        </w:tc>
        <w:tc>
          <w:tcPr>
            <w:tcW w:w="735" w:type="pct"/>
            <w:gridSpan w:val="2"/>
          </w:tcPr>
          <w:p w:rsidR="005E371D" w:rsidRPr="00894582" w:rsidRDefault="005E371D" w:rsidP="001C67E8">
            <w:pPr>
              <w:pStyle w:val="TableTextEntries"/>
            </w:pPr>
            <w:r w:rsidRPr="00894582">
              <w:t>2013</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92D050"/>
            <w:noWrap/>
          </w:tcPr>
          <w:p w:rsidR="005E371D" w:rsidRPr="00894582" w:rsidRDefault="005E371D" w:rsidP="001C67E8">
            <w:pPr>
              <w:pStyle w:val="TableTextEntries"/>
              <w:jc w:val="center"/>
            </w:pPr>
            <w:r w:rsidRPr="00894582">
              <w:t>5</w:t>
            </w:r>
          </w:p>
        </w:tc>
        <w:tc>
          <w:tcPr>
            <w:tcW w:w="373" w:type="pct"/>
            <w:shd w:val="clear" w:color="auto" w:fill="92D050"/>
            <w:noWrap/>
          </w:tcPr>
          <w:p w:rsidR="005E371D" w:rsidRPr="00894582" w:rsidRDefault="005E371D" w:rsidP="001C67E8">
            <w:pPr>
              <w:pStyle w:val="TableTextEntries"/>
              <w:jc w:val="center"/>
            </w:pPr>
            <w:r w:rsidRPr="00894582">
              <w:t>5</w:t>
            </w:r>
          </w:p>
        </w:tc>
        <w:tc>
          <w:tcPr>
            <w:tcW w:w="394" w:type="pct"/>
            <w:shd w:val="clear" w:color="auto" w:fill="92D050"/>
            <w:noWrap/>
          </w:tcPr>
          <w:p w:rsidR="005E371D" w:rsidRPr="00894582" w:rsidRDefault="005E371D" w:rsidP="001C67E8">
            <w:pPr>
              <w:pStyle w:val="TableTextEntries"/>
              <w:jc w:val="center"/>
            </w:pPr>
            <w:r w:rsidRPr="00894582">
              <w:t>6</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FFFF00"/>
            <w:noWrap/>
          </w:tcPr>
          <w:p w:rsidR="005E371D" w:rsidRPr="00894582" w:rsidRDefault="005E371D" w:rsidP="001C67E8">
            <w:pPr>
              <w:pStyle w:val="TableTextEntries"/>
              <w:jc w:val="center"/>
            </w:pPr>
            <w:r w:rsidRPr="00894582">
              <w:t>4</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val="restart"/>
          </w:tcPr>
          <w:p w:rsidR="005E371D" w:rsidRPr="00894582" w:rsidRDefault="005E371D" w:rsidP="001C67E8">
            <w:pPr>
              <w:pStyle w:val="TableTextEntries"/>
            </w:pPr>
            <w:r w:rsidRPr="00894582">
              <w:t>Bangladesh Primary Education Sector Program</w:t>
            </w:r>
          </w:p>
        </w:tc>
        <w:tc>
          <w:tcPr>
            <w:tcW w:w="716" w:type="pct"/>
            <w:vMerge w:val="restart"/>
          </w:tcPr>
          <w:p w:rsidR="005E371D" w:rsidRPr="00894582" w:rsidRDefault="005E371D" w:rsidP="001C67E8">
            <w:pPr>
              <w:pStyle w:val="TableTextEntries"/>
            </w:pPr>
            <w:r w:rsidRPr="00894582">
              <w:t xml:space="preserve">$48.8m </w:t>
            </w:r>
          </w:p>
          <w:p w:rsidR="005E371D" w:rsidRPr="00894582" w:rsidRDefault="005E371D" w:rsidP="001C67E8">
            <w:pPr>
              <w:pStyle w:val="TableTextEntries"/>
            </w:pPr>
            <w:r w:rsidRPr="00894582">
              <w:t>4 years</w:t>
            </w:r>
          </w:p>
        </w:tc>
        <w:tc>
          <w:tcPr>
            <w:tcW w:w="735" w:type="pct"/>
            <w:gridSpan w:val="2"/>
          </w:tcPr>
          <w:p w:rsidR="005E371D" w:rsidRPr="00894582" w:rsidRDefault="005E371D" w:rsidP="001C67E8">
            <w:pPr>
              <w:pStyle w:val="TableTextEntries"/>
            </w:pPr>
            <w:r w:rsidRPr="00894582">
              <w:t>2013</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92D050"/>
            <w:noWrap/>
          </w:tcPr>
          <w:p w:rsidR="005E371D" w:rsidRPr="00894582" w:rsidRDefault="005E371D" w:rsidP="001C67E8">
            <w:pPr>
              <w:pStyle w:val="TableTextEntries"/>
              <w:jc w:val="center"/>
            </w:pPr>
            <w:r w:rsidRPr="00894582">
              <w:t>5</w:t>
            </w:r>
          </w:p>
        </w:tc>
        <w:tc>
          <w:tcPr>
            <w:tcW w:w="373" w:type="pct"/>
            <w:shd w:val="clear" w:color="auto" w:fill="92D050"/>
            <w:noWrap/>
          </w:tcPr>
          <w:p w:rsidR="005E371D" w:rsidRPr="00894582" w:rsidRDefault="005E371D" w:rsidP="001C67E8">
            <w:pPr>
              <w:pStyle w:val="TableTextEntries"/>
              <w:jc w:val="center"/>
            </w:pPr>
            <w:r w:rsidRPr="00894582">
              <w:t>5</w:t>
            </w:r>
          </w:p>
        </w:tc>
        <w:tc>
          <w:tcPr>
            <w:tcW w:w="394" w:type="pct"/>
            <w:shd w:val="clear" w:color="auto" w:fill="FFC000"/>
            <w:noWrap/>
          </w:tcPr>
          <w:p w:rsidR="005E371D" w:rsidRPr="00894582" w:rsidRDefault="005E371D" w:rsidP="001C67E8">
            <w:pPr>
              <w:pStyle w:val="TableTextEntries"/>
              <w:jc w:val="center"/>
            </w:pPr>
            <w:r w:rsidRPr="00894582">
              <w:t>3</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FFFF00"/>
            <w:noWrap/>
          </w:tcPr>
          <w:p w:rsidR="005E371D" w:rsidRPr="00894582" w:rsidRDefault="005E371D" w:rsidP="001C67E8">
            <w:pPr>
              <w:pStyle w:val="TableTextEntries"/>
              <w:jc w:val="center"/>
            </w:pPr>
            <w:r w:rsidRPr="00894582">
              <w:t>4</w:t>
            </w:r>
          </w:p>
        </w:tc>
        <w:tc>
          <w:tcPr>
            <w:tcW w:w="425" w:type="pct"/>
            <w:shd w:val="clear" w:color="auto" w:fill="92D050"/>
            <w:noWrap/>
          </w:tcPr>
          <w:p w:rsidR="005E371D" w:rsidRPr="00894582" w:rsidRDefault="005E371D" w:rsidP="001C67E8">
            <w:pPr>
              <w:pStyle w:val="TableTextEntries"/>
              <w:jc w:val="center"/>
            </w:pPr>
            <w:r w:rsidRPr="00894582">
              <w:t>5</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FFFF00"/>
            <w:noWrap/>
          </w:tcPr>
          <w:p w:rsidR="005E371D" w:rsidRPr="00894582" w:rsidRDefault="005E371D" w:rsidP="001C67E8">
            <w:pPr>
              <w:pStyle w:val="TableTextEntries"/>
              <w:jc w:val="center"/>
            </w:pPr>
            <w:r w:rsidRPr="00894582">
              <w:t>4</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val="restart"/>
          </w:tcPr>
          <w:p w:rsidR="005E371D" w:rsidRPr="00894582" w:rsidRDefault="005E371D" w:rsidP="001C67E8">
            <w:pPr>
              <w:pStyle w:val="TableTextEntries"/>
            </w:pPr>
            <w:r w:rsidRPr="00894582">
              <w:t>Health Sector Program HPNSDP</w:t>
            </w:r>
          </w:p>
        </w:tc>
        <w:tc>
          <w:tcPr>
            <w:tcW w:w="716" w:type="pct"/>
            <w:vMerge w:val="restart"/>
          </w:tcPr>
          <w:p w:rsidR="005E371D" w:rsidRPr="00894582" w:rsidRDefault="005E371D" w:rsidP="001C67E8">
            <w:pPr>
              <w:pStyle w:val="TableTextEntries"/>
            </w:pPr>
            <w:r w:rsidRPr="00894582">
              <w:t>$</w:t>
            </w:r>
            <w:r w:rsidR="000806DA">
              <w:t>7.8</w:t>
            </w:r>
            <w:r w:rsidRPr="00894582">
              <w:t>m</w:t>
            </w:r>
          </w:p>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2013</w:t>
            </w:r>
          </w:p>
        </w:tc>
        <w:tc>
          <w:tcPr>
            <w:tcW w:w="458"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FFC000"/>
            <w:noWrap/>
          </w:tcPr>
          <w:p w:rsidR="005E371D" w:rsidRPr="00894582" w:rsidRDefault="005E371D" w:rsidP="001C67E8">
            <w:pPr>
              <w:pStyle w:val="TableTextEntries"/>
              <w:jc w:val="center"/>
            </w:pPr>
            <w:r w:rsidRPr="00894582">
              <w:t>3</w:t>
            </w:r>
          </w:p>
        </w:tc>
        <w:tc>
          <w:tcPr>
            <w:tcW w:w="401" w:type="pct"/>
            <w:shd w:val="clear" w:color="auto" w:fill="FFC000"/>
            <w:noWrap/>
          </w:tcPr>
          <w:p w:rsidR="005E371D" w:rsidRPr="00894582" w:rsidRDefault="005E371D" w:rsidP="001C67E8">
            <w:pPr>
              <w:pStyle w:val="TableTextEntries"/>
              <w:jc w:val="center"/>
            </w:pPr>
            <w:r w:rsidRPr="00894582">
              <w:t>3</w:t>
            </w:r>
          </w:p>
        </w:tc>
        <w:tc>
          <w:tcPr>
            <w:tcW w:w="425" w:type="pct"/>
            <w:shd w:val="clear" w:color="auto" w:fill="FFFF00"/>
            <w:noWrap/>
          </w:tcPr>
          <w:p w:rsidR="005E371D" w:rsidRPr="00894582" w:rsidRDefault="005E371D" w:rsidP="001C67E8">
            <w:pPr>
              <w:pStyle w:val="TableTextEntries"/>
              <w:jc w:val="center"/>
            </w:pPr>
            <w:r w:rsidRPr="00894582">
              <w:t>4</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FFFF00"/>
            <w:noWrap/>
          </w:tcPr>
          <w:p w:rsidR="005E371D" w:rsidRPr="00894582" w:rsidRDefault="005E371D" w:rsidP="001C67E8">
            <w:pPr>
              <w:pStyle w:val="TableTextEntries"/>
              <w:jc w:val="center"/>
            </w:pPr>
            <w:r w:rsidRPr="00894582">
              <w:t>4</w:t>
            </w:r>
          </w:p>
        </w:tc>
        <w:tc>
          <w:tcPr>
            <w:tcW w:w="425" w:type="pct"/>
            <w:shd w:val="clear" w:color="auto" w:fill="FFFF00"/>
            <w:noWrap/>
          </w:tcPr>
          <w:p w:rsidR="005E371D" w:rsidRPr="00894582" w:rsidRDefault="005E371D" w:rsidP="001C67E8">
            <w:pPr>
              <w:pStyle w:val="TableTextEntries"/>
              <w:jc w:val="center"/>
            </w:pPr>
            <w:r w:rsidRPr="00894582">
              <w:t>4</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val="restart"/>
          </w:tcPr>
          <w:p w:rsidR="005E371D" w:rsidRPr="00894582" w:rsidRDefault="005E371D" w:rsidP="001C67E8">
            <w:pPr>
              <w:pStyle w:val="TableTextEntries"/>
            </w:pPr>
            <w:r w:rsidRPr="00894582">
              <w:t>International Centre for</w:t>
            </w:r>
          </w:p>
          <w:p w:rsidR="005E371D" w:rsidRPr="00894582" w:rsidRDefault="005E371D" w:rsidP="001C67E8">
            <w:pPr>
              <w:pStyle w:val="TableTextEntries"/>
            </w:pPr>
            <w:r w:rsidRPr="00894582">
              <w:t>Diarrhoeal Disease Research,</w:t>
            </w:r>
          </w:p>
          <w:p w:rsidR="005E371D" w:rsidRPr="00894582" w:rsidRDefault="005E371D" w:rsidP="001C67E8">
            <w:pPr>
              <w:pStyle w:val="TableTextEntries"/>
            </w:pPr>
            <w:r w:rsidRPr="00894582">
              <w:t>Bangladesh</w:t>
            </w:r>
          </w:p>
        </w:tc>
        <w:tc>
          <w:tcPr>
            <w:tcW w:w="716" w:type="pct"/>
            <w:vMerge w:val="restart"/>
          </w:tcPr>
          <w:p w:rsidR="005E371D" w:rsidRPr="00894582" w:rsidRDefault="005E371D" w:rsidP="001C67E8">
            <w:pPr>
              <w:pStyle w:val="TableTextEntries"/>
            </w:pPr>
            <w:r w:rsidRPr="00894582">
              <w:t>$15.45m</w:t>
            </w:r>
          </w:p>
          <w:p w:rsidR="005E371D" w:rsidRPr="00894582" w:rsidRDefault="005E371D" w:rsidP="001C67E8">
            <w:pPr>
              <w:pStyle w:val="TableTextEntries"/>
            </w:pPr>
            <w:r w:rsidRPr="00894582">
              <w:t>3 years</w:t>
            </w:r>
          </w:p>
        </w:tc>
        <w:tc>
          <w:tcPr>
            <w:tcW w:w="735" w:type="pct"/>
            <w:gridSpan w:val="2"/>
          </w:tcPr>
          <w:p w:rsidR="005E371D" w:rsidRPr="00894582" w:rsidRDefault="005E371D" w:rsidP="001C67E8">
            <w:pPr>
              <w:pStyle w:val="TableTextEntries"/>
            </w:pPr>
            <w:r w:rsidRPr="00894582">
              <w:t>2013</w:t>
            </w:r>
          </w:p>
        </w:tc>
        <w:tc>
          <w:tcPr>
            <w:tcW w:w="458"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FFC000"/>
            <w:noWrap/>
          </w:tcPr>
          <w:p w:rsidR="005E371D" w:rsidRPr="00894582" w:rsidRDefault="005E371D" w:rsidP="001C67E8">
            <w:pPr>
              <w:pStyle w:val="TableTextEntries"/>
              <w:jc w:val="center"/>
            </w:pPr>
            <w:r w:rsidRPr="00894582">
              <w:t>3</w:t>
            </w:r>
          </w:p>
        </w:tc>
        <w:tc>
          <w:tcPr>
            <w:tcW w:w="425" w:type="pct"/>
            <w:shd w:val="clear" w:color="auto" w:fill="FFFF00"/>
            <w:noWrap/>
          </w:tcPr>
          <w:p w:rsidR="005E371D" w:rsidRPr="00894582" w:rsidRDefault="005E371D" w:rsidP="001C67E8">
            <w:pPr>
              <w:pStyle w:val="TableTextEntries"/>
              <w:jc w:val="center"/>
            </w:pPr>
            <w:r w:rsidRPr="00894582">
              <w:t>4</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FFFF00"/>
            <w:noWrap/>
          </w:tcPr>
          <w:p w:rsidR="005E371D" w:rsidRPr="00894582" w:rsidRDefault="005E371D" w:rsidP="001C67E8">
            <w:pPr>
              <w:pStyle w:val="TableTextEntries"/>
              <w:jc w:val="center"/>
            </w:pPr>
            <w:r w:rsidRPr="00894582">
              <w:t>4</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shd w:val="clear" w:color="auto" w:fill="92D050"/>
            <w:noWrap/>
          </w:tcPr>
          <w:p w:rsidR="005E371D" w:rsidRPr="00894582" w:rsidRDefault="005E371D" w:rsidP="001C67E8">
            <w:pPr>
              <w:pStyle w:val="TableTextEntries"/>
              <w:jc w:val="center"/>
            </w:pPr>
            <w:r w:rsidRPr="00894582">
              <w:t>6</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FFFF00"/>
            <w:noWrap/>
          </w:tcPr>
          <w:p w:rsidR="005E371D" w:rsidRPr="00894582" w:rsidRDefault="005E371D" w:rsidP="001C67E8">
            <w:pPr>
              <w:pStyle w:val="TableTextEntries"/>
              <w:jc w:val="center"/>
            </w:pPr>
            <w:r w:rsidRPr="00894582">
              <w:t>4</w:t>
            </w:r>
          </w:p>
        </w:tc>
        <w:tc>
          <w:tcPr>
            <w:tcW w:w="425" w:type="pct"/>
            <w:shd w:val="clear" w:color="auto" w:fill="92D050"/>
            <w:noWrap/>
          </w:tcPr>
          <w:p w:rsidR="005E371D" w:rsidRPr="00894582" w:rsidRDefault="005E371D" w:rsidP="001C67E8">
            <w:pPr>
              <w:pStyle w:val="TableTextEntries"/>
              <w:jc w:val="center"/>
            </w:pPr>
            <w:r w:rsidRPr="00894582">
              <w:t>5</w:t>
            </w:r>
          </w:p>
        </w:tc>
        <w:tc>
          <w:tcPr>
            <w:tcW w:w="373" w:type="pct"/>
            <w:shd w:val="clear" w:color="auto" w:fill="92D050"/>
            <w:noWrap/>
          </w:tcPr>
          <w:p w:rsidR="005E371D" w:rsidRPr="00894582" w:rsidRDefault="005E371D" w:rsidP="001C67E8">
            <w:pPr>
              <w:pStyle w:val="TableTextEntries"/>
              <w:jc w:val="center"/>
            </w:pPr>
            <w:r w:rsidRPr="00894582">
              <w:t>5</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val="restart"/>
          </w:tcPr>
          <w:p w:rsidR="005E371D" w:rsidRPr="00894582" w:rsidRDefault="005E371D" w:rsidP="001C67E8">
            <w:pPr>
              <w:pStyle w:val="TableTextEntries"/>
            </w:pPr>
            <w:r w:rsidRPr="00894582">
              <w:t>Manusher Jonno Foundation, Bangladesh</w:t>
            </w:r>
          </w:p>
        </w:tc>
        <w:tc>
          <w:tcPr>
            <w:tcW w:w="716" w:type="pct"/>
            <w:vMerge w:val="restart"/>
          </w:tcPr>
          <w:p w:rsidR="005E371D" w:rsidRPr="00894582" w:rsidRDefault="005E371D" w:rsidP="001C67E8">
            <w:pPr>
              <w:pStyle w:val="TableTextEntries"/>
            </w:pPr>
            <w:r w:rsidRPr="00894582">
              <w:t xml:space="preserve">$4.4m </w:t>
            </w:r>
          </w:p>
          <w:p w:rsidR="005E371D" w:rsidRPr="00894582" w:rsidRDefault="005E371D" w:rsidP="001C67E8">
            <w:pPr>
              <w:pStyle w:val="TableTextEntries"/>
            </w:pPr>
            <w:r w:rsidRPr="00894582">
              <w:t>2 years</w:t>
            </w:r>
          </w:p>
        </w:tc>
        <w:tc>
          <w:tcPr>
            <w:tcW w:w="735" w:type="pct"/>
            <w:gridSpan w:val="2"/>
          </w:tcPr>
          <w:p w:rsidR="005E371D" w:rsidRPr="00894582" w:rsidRDefault="005E371D" w:rsidP="001C67E8">
            <w:pPr>
              <w:pStyle w:val="TableTextEntries"/>
            </w:pPr>
            <w:r w:rsidRPr="00894582">
              <w:t>2013</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92D050"/>
            <w:noWrap/>
          </w:tcPr>
          <w:p w:rsidR="005E371D" w:rsidRPr="00894582" w:rsidRDefault="005E371D" w:rsidP="001C67E8">
            <w:pPr>
              <w:pStyle w:val="TableTextEntries"/>
              <w:jc w:val="center"/>
            </w:pPr>
            <w:r w:rsidRPr="00894582">
              <w:t>5</w:t>
            </w:r>
          </w:p>
        </w:tc>
        <w:tc>
          <w:tcPr>
            <w:tcW w:w="373" w:type="pct"/>
            <w:shd w:val="clear" w:color="auto" w:fill="92D050"/>
            <w:noWrap/>
          </w:tcPr>
          <w:p w:rsidR="005E371D" w:rsidRPr="00894582" w:rsidRDefault="005E371D" w:rsidP="001C67E8">
            <w:pPr>
              <w:pStyle w:val="TableTextEntries"/>
              <w:jc w:val="center"/>
            </w:pPr>
            <w:r w:rsidRPr="00894582">
              <w:t>6</w:t>
            </w:r>
          </w:p>
        </w:tc>
        <w:tc>
          <w:tcPr>
            <w:tcW w:w="394" w:type="pct"/>
            <w:shd w:val="clear" w:color="auto" w:fill="92D050"/>
            <w:noWrap/>
          </w:tcPr>
          <w:p w:rsidR="005E371D" w:rsidRPr="00894582" w:rsidRDefault="005E371D" w:rsidP="001C67E8">
            <w:pPr>
              <w:pStyle w:val="TableTextEntries"/>
              <w:jc w:val="center"/>
            </w:pPr>
            <w:r w:rsidRPr="00894582">
              <w:t>6</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noWrap/>
          </w:tcPr>
          <w:p w:rsidR="005E371D" w:rsidRPr="00894582" w:rsidRDefault="005E371D" w:rsidP="001C67E8">
            <w:pPr>
              <w:pStyle w:val="TableTextEntries"/>
              <w:jc w:val="center"/>
            </w:pPr>
            <w:r w:rsidRPr="00894582">
              <w:t>NA</w:t>
            </w:r>
          </w:p>
        </w:tc>
        <w:tc>
          <w:tcPr>
            <w:tcW w:w="401" w:type="pct"/>
            <w:noWrap/>
          </w:tcPr>
          <w:p w:rsidR="005E371D" w:rsidRPr="00894582" w:rsidRDefault="005E371D" w:rsidP="001C67E8">
            <w:pPr>
              <w:pStyle w:val="TableTextEntries"/>
              <w:jc w:val="center"/>
            </w:pPr>
            <w:r w:rsidRPr="00894582">
              <w:t>NA</w:t>
            </w:r>
          </w:p>
        </w:tc>
        <w:tc>
          <w:tcPr>
            <w:tcW w:w="401" w:type="pct"/>
            <w:noWrap/>
          </w:tcPr>
          <w:p w:rsidR="005E371D" w:rsidRPr="00894582" w:rsidRDefault="005E371D" w:rsidP="001C67E8">
            <w:pPr>
              <w:pStyle w:val="TableTextEntries"/>
              <w:jc w:val="center"/>
            </w:pPr>
            <w:r w:rsidRPr="00894582">
              <w:t>NA</w:t>
            </w:r>
          </w:p>
        </w:tc>
        <w:tc>
          <w:tcPr>
            <w:tcW w:w="425" w:type="pct"/>
            <w:noWrap/>
          </w:tcPr>
          <w:p w:rsidR="005E371D" w:rsidRPr="00894582" w:rsidRDefault="005E371D" w:rsidP="001C67E8">
            <w:pPr>
              <w:pStyle w:val="TableTextEntries"/>
              <w:jc w:val="center"/>
            </w:pPr>
            <w:r w:rsidRPr="00894582">
              <w:t>NA</w:t>
            </w:r>
          </w:p>
        </w:tc>
        <w:tc>
          <w:tcPr>
            <w:tcW w:w="373" w:type="pct"/>
            <w:noWrap/>
          </w:tcPr>
          <w:p w:rsidR="005E371D" w:rsidRPr="00894582" w:rsidRDefault="005E371D" w:rsidP="001C67E8">
            <w:pPr>
              <w:pStyle w:val="TableTextEntries"/>
              <w:jc w:val="center"/>
            </w:pPr>
            <w:r w:rsidRPr="00894582">
              <w:t>NA</w:t>
            </w:r>
          </w:p>
        </w:tc>
        <w:tc>
          <w:tcPr>
            <w:tcW w:w="394" w:type="pct"/>
            <w:noWrap/>
          </w:tcPr>
          <w:p w:rsidR="005E371D" w:rsidRPr="00894582" w:rsidRDefault="005E371D" w:rsidP="001C67E8">
            <w:pPr>
              <w:pStyle w:val="TableTextEntries"/>
              <w:jc w:val="center"/>
            </w:pPr>
            <w:r w:rsidRPr="00894582">
              <w:t>NA</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val="restart"/>
          </w:tcPr>
          <w:p w:rsidR="005E371D" w:rsidRPr="00894582" w:rsidRDefault="005E371D" w:rsidP="001C67E8">
            <w:pPr>
              <w:pStyle w:val="TableTextEntries"/>
            </w:pPr>
            <w:r w:rsidRPr="00894582">
              <w:t>World Food Programme Cox’s Bazar, Bangladesh Project</w:t>
            </w:r>
          </w:p>
        </w:tc>
        <w:tc>
          <w:tcPr>
            <w:tcW w:w="716" w:type="pct"/>
            <w:vMerge w:val="restart"/>
          </w:tcPr>
          <w:p w:rsidR="005E371D" w:rsidRPr="00894582" w:rsidRDefault="005E371D" w:rsidP="001C67E8">
            <w:pPr>
              <w:pStyle w:val="TableTextEntries"/>
            </w:pPr>
            <w:r w:rsidRPr="00894582">
              <w:t>$</w:t>
            </w:r>
            <w:r w:rsidR="00281F07">
              <w:t>6.7</w:t>
            </w:r>
            <w:r w:rsidRPr="00894582">
              <w:t>m</w:t>
            </w:r>
          </w:p>
          <w:p w:rsidR="005E371D" w:rsidRPr="00894582" w:rsidRDefault="00281F07" w:rsidP="001C67E8">
            <w:pPr>
              <w:pStyle w:val="TableTextEntries"/>
            </w:pPr>
            <w:r w:rsidRPr="00281F07">
              <w:t>3</w:t>
            </w:r>
            <w:r w:rsidR="005E371D" w:rsidRPr="00281F07">
              <w:t xml:space="preserve"> years</w:t>
            </w:r>
          </w:p>
        </w:tc>
        <w:tc>
          <w:tcPr>
            <w:tcW w:w="735" w:type="pct"/>
            <w:gridSpan w:val="2"/>
          </w:tcPr>
          <w:p w:rsidR="005E371D" w:rsidRPr="00894582" w:rsidRDefault="005E371D" w:rsidP="001C67E8">
            <w:pPr>
              <w:pStyle w:val="TableTextEntries"/>
            </w:pPr>
            <w:r w:rsidRPr="00894582">
              <w:t>2013</w:t>
            </w:r>
          </w:p>
        </w:tc>
        <w:tc>
          <w:tcPr>
            <w:tcW w:w="458" w:type="pct"/>
            <w:shd w:val="clear" w:color="auto" w:fill="92D050"/>
            <w:noWrap/>
          </w:tcPr>
          <w:p w:rsidR="005E371D" w:rsidRPr="00894582" w:rsidRDefault="005E371D" w:rsidP="001C67E8">
            <w:pPr>
              <w:pStyle w:val="TableTextEntries"/>
              <w:jc w:val="center"/>
            </w:pPr>
            <w:r w:rsidRPr="00894582">
              <w:t>5</w:t>
            </w:r>
          </w:p>
        </w:tc>
        <w:tc>
          <w:tcPr>
            <w:tcW w:w="401"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92D050"/>
            <w:noWrap/>
          </w:tcPr>
          <w:p w:rsidR="005E371D" w:rsidRPr="00894582" w:rsidRDefault="005E371D" w:rsidP="001C67E8">
            <w:pPr>
              <w:pStyle w:val="TableTextEntries"/>
              <w:jc w:val="center"/>
            </w:pPr>
            <w:r w:rsidRPr="00894582">
              <w:t>5</w:t>
            </w:r>
          </w:p>
        </w:tc>
        <w:tc>
          <w:tcPr>
            <w:tcW w:w="425" w:type="pct"/>
            <w:shd w:val="clear" w:color="auto" w:fill="FFC000"/>
            <w:noWrap/>
          </w:tcPr>
          <w:p w:rsidR="005E371D" w:rsidRPr="00894582" w:rsidRDefault="005E371D" w:rsidP="001C67E8">
            <w:pPr>
              <w:pStyle w:val="TableTextEntries"/>
              <w:jc w:val="center"/>
            </w:pPr>
            <w:r w:rsidRPr="00894582">
              <w:t>3</w:t>
            </w:r>
          </w:p>
        </w:tc>
        <w:tc>
          <w:tcPr>
            <w:tcW w:w="373" w:type="pct"/>
            <w:shd w:val="clear" w:color="auto" w:fill="FFFF00"/>
            <w:noWrap/>
          </w:tcPr>
          <w:p w:rsidR="005E371D" w:rsidRPr="00894582" w:rsidRDefault="005E371D" w:rsidP="001C67E8">
            <w:pPr>
              <w:pStyle w:val="TableTextEntries"/>
              <w:jc w:val="center"/>
            </w:pPr>
            <w:r w:rsidRPr="00894582">
              <w:t>4</w:t>
            </w:r>
          </w:p>
        </w:tc>
        <w:tc>
          <w:tcPr>
            <w:tcW w:w="394" w:type="pct"/>
            <w:shd w:val="clear" w:color="auto" w:fill="92D050"/>
            <w:noWrap/>
          </w:tcPr>
          <w:p w:rsidR="005E371D" w:rsidRPr="00894582" w:rsidRDefault="005E371D" w:rsidP="001C67E8">
            <w:pPr>
              <w:pStyle w:val="TableTextEntries"/>
              <w:jc w:val="center"/>
            </w:pPr>
            <w:r w:rsidRPr="00894582">
              <w:t>5</w:t>
            </w:r>
          </w:p>
        </w:tc>
      </w:tr>
      <w:tr w:rsidR="005E371D" w:rsidRPr="00894582" w:rsidTr="001C67E8">
        <w:trPr>
          <w:cnfStyle w:val="000000010000" w:firstRow="0" w:lastRow="0" w:firstColumn="0" w:lastColumn="0" w:oddVBand="0" w:evenVBand="0" w:oddHBand="0" w:evenHBand="1" w:firstRowFirstColumn="0" w:firstRowLastColumn="0" w:lastRowFirstColumn="0" w:lastRowLastColumn="0"/>
          <w:trHeight w:val="284"/>
        </w:trPr>
        <w:tc>
          <w:tcPr>
            <w:tcW w:w="983" w:type="pct"/>
            <w:vMerge/>
          </w:tcPr>
          <w:p w:rsidR="005E371D" w:rsidRPr="00894582" w:rsidRDefault="005E371D" w:rsidP="001C67E8">
            <w:pPr>
              <w:pStyle w:val="TableTextEntries"/>
            </w:pPr>
          </w:p>
        </w:tc>
        <w:tc>
          <w:tcPr>
            <w:tcW w:w="716" w:type="pct"/>
            <w:vMerge/>
          </w:tcPr>
          <w:p w:rsidR="005E371D" w:rsidRPr="00894582" w:rsidRDefault="005E371D" w:rsidP="001C67E8">
            <w:pPr>
              <w:pStyle w:val="TableTextEntries"/>
            </w:pPr>
          </w:p>
        </w:tc>
        <w:tc>
          <w:tcPr>
            <w:tcW w:w="735" w:type="pct"/>
            <w:gridSpan w:val="2"/>
          </w:tcPr>
          <w:p w:rsidR="005E371D" w:rsidRPr="00894582" w:rsidRDefault="005E371D" w:rsidP="001C67E8">
            <w:pPr>
              <w:pStyle w:val="TableTextEntries"/>
            </w:pPr>
            <w:r w:rsidRPr="00894582">
              <w:t>2012</w:t>
            </w:r>
          </w:p>
        </w:tc>
        <w:tc>
          <w:tcPr>
            <w:tcW w:w="458"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FFFF00"/>
            <w:noWrap/>
          </w:tcPr>
          <w:p w:rsidR="005E371D" w:rsidRPr="00894582" w:rsidRDefault="005E371D" w:rsidP="001C67E8">
            <w:pPr>
              <w:pStyle w:val="TableTextEntries"/>
              <w:jc w:val="center"/>
            </w:pPr>
            <w:r w:rsidRPr="00894582">
              <w:t>4</w:t>
            </w:r>
          </w:p>
        </w:tc>
        <w:tc>
          <w:tcPr>
            <w:tcW w:w="401" w:type="pct"/>
            <w:shd w:val="clear" w:color="auto" w:fill="FF0000"/>
            <w:noWrap/>
          </w:tcPr>
          <w:p w:rsidR="005E371D" w:rsidRPr="00894582" w:rsidRDefault="005E371D" w:rsidP="001C67E8">
            <w:pPr>
              <w:pStyle w:val="TableTextEntries"/>
              <w:jc w:val="center"/>
            </w:pPr>
            <w:r w:rsidRPr="00894582">
              <w:t>2</w:t>
            </w:r>
          </w:p>
        </w:tc>
        <w:tc>
          <w:tcPr>
            <w:tcW w:w="425" w:type="pct"/>
            <w:shd w:val="clear" w:color="auto" w:fill="FF0000"/>
            <w:noWrap/>
          </w:tcPr>
          <w:p w:rsidR="005E371D" w:rsidRPr="00894582" w:rsidRDefault="005E371D" w:rsidP="001C67E8">
            <w:pPr>
              <w:pStyle w:val="TableTextEntries"/>
              <w:jc w:val="center"/>
            </w:pPr>
            <w:r w:rsidRPr="00894582">
              <w:t>2</w:t>
            </w:r>
          </w:p>
        </w:tc>
        <w:tc>
          <w:tcPr>
            <w:tcW w:w="373" w:type="pct"/>
            <w:shd w:val="clear" w:color="auto" w:fill="FFC000"/>
            <w:noWrap/>
          </w:tcPr>
          <w:p w:rsidR="005E371D" w:rsidRPr="00894582" w:rsidRDefault="005E371D" w:rsidP="001C67E8">
            <w:pPr>
              <w:pStyle w:val="TableTextEntries"/>
              <w:jc w:val="center"/>
            </w:pPr>
            <w:r w:rsidRPr="00894582">
              <w:t>3</w:t>
            </w:r>
          </w:p>
        </w:tc>
        <w:tc>
          <w:tcPr>
            <w:tcW w:w="394" w:type="pct"/>
            <w:shd w:val="clear" w:color="auto" w:fill="FFFF00"/>
            <w:noWrap/>
          </w:tcPr>
          <w:p w:rsidR="005E371D" w:rsidRPr="00894582" w:rsidRDefault="005E371D" w:rsidP="001C67E8">
            <w:pPr>
              <w:pStyle w:val="TableTextEntries"/>
              <w:jc w:val="center"/>
            </w:pPr>
            <w:r w:rsidRPr="00894582">
              <w:t>4</w:t>
            </w:r>
          </w:p>
        </w:tc>
      </w:tr>
    </w:tbl>
    <w:p w:rsidR="00AF0459" w:rsidRPr="00894582" w:rsidRDefault="00AF0459" w:rsidP="00AF0459">
      <w:pPr>
        <w:pStyle w:val="Note"/>
        <w:rPr>
          <w:sz w:val="17"/>
          <w:szCs w:val="17"/>
        </w:rPr>
      </w:pPr>
      <w:r w:rsidRPr="00894582">
        <w:rPr>
          <w:sz w:val="17"/>
          <w:szCs w:val="17"/>
        </w:rPr>
        <w:lastRenderedPageBreak/>
        <w:t>Definitions of rating scale:</w:t>
      </w:r>
      <w:r w:rsidRPr="00894582">
        <w:rPr>
          <w:sz w:val="17"/>
          <w:szCs w:val="17"/>
        </w:rPr>
        <w:tab/>
      </w:r>
    </w:p>
    <w:p w:rsidR="00AF0459" w:rsidRPr="00894582" w:rsidRDefault="00AF0459" w:rsidP="00AF0459">
      <w:pPr>
        <w:pStyle w:val="Note"/>
        <w:rPr>
          <w:sz w:val="17"/>
          <w:szCs w:val="17"/>
        </w:rPr>
      </w:pPr>
      <w:r w:rsidRPr="00894582">
        <w:rPr>
          <w:sz w:val="17"/>
          <w:szCs w:val="17"/>
        </w:rPr>
        <w:t>Satisfactory (4, 5 and 6)</w:t>
      </w:r>
    </w:p>
    <w:p w:rsidR="00AF0459" w:rsidRPr="00894582" w:rsidRDefault="00AF0459" w:rsidP="00AF0459">
      <w:pPr>
        <w:pStyle w:val="Note"/>
        <w:rPr>
          <w:sz w:val="17"/>
          <w:szCs w:val="17"/>
        </w:rPr>
      </w:pPr>
      <w:r w:rsidRPr="00894582">
        <w:rPr>
          <w:color w:val="72AF2F"/>
          <w:sz w:val="17"/>
          <w:szCs w:val="17"/>
        </w:rPr>
        <w:sym w:font="Webdings" w:char="F067"/>
      </w:r>
      <w:r w:rsidRPr="00894582">
        <w:rPr>
          <w:sz w:val="17"/>
          <w:szCs w:val="17"/>
        </w:rPr>
        <w:t xml:space="preserve"> = 6 = Very high quality</w:t>
      </w:r>
    </w:p>
    <w:p w:rsidR="00AF0459" w:rsidRPr="00894582" w:rsidRDefault="00AF0459" w:rsidP="00AF0459">
      <w:pPr>
        <w:pStyle w:val="Note"/>
        <w:rPr>
          <w:sz w:val="17"/>
          <w:szCs w:val="17"/>
        </w:rPr>
      </w:pPr>
      <w:r w:rsidRPr="00894582">
        <w:rPr>
          <w:color w:val="72AF2F"/>
          <w:sz w:val="17"/>
          <w:szCs w:val="17"/>
        </w:rPr>
        <w:sym w:font="Webdings" w:char="F067"/>
      </w:r>
      <w:r w:rsidRPr="00894582">
        <w:rPr>
          <w:sz w:val="17"/>
          <w:szCs w:val="17"/>
        </w:rPr>
        <w:t xml:space="preserve"> = 5 = Good quality</w:t>
      </w:r>
    </w:p>
    <w:p w:rsidR="00AF0459" w:rsidRPr="00894582" w:rsidRDefault="00AF0459" w:rsidP="00AF0459">
      <w:pPr>
        <w:pStyle w:val="Note"/>
        <w:rPr>
          <w:sz w:val="17"/>
          <w:szCs w:val="17"/>
        </w:rPr>
      </w:pPr>
      <w:r w:rsidRPr="00894582">
        <w:rPr>
          <w:color w:val="FFFF00"/>
          <w:sz w:val="17"/>
          <w:szCs w:val="17"/>
        </w:rPr>
        <w:sym w:font="Webdings" w:char="F067"/>
      </w:r>
      <w:r w:rsidRPr="00894582">
        <w:rPr>
          <w:sz w:val="17"/>
          <w:szCs w:val="17"/>
        </w:rPr>
        <w:t xml:space="preserve"> = 4 = Adequate quality, needs some work</w:t>
      </w:r>
    </w:p>
    <w:p w:rsidR="00AF0459" w:rsidRPr="00894582" w:rsidRDefault="00AF0459" w:rsidP="00AF0459">
      <w:pPr>
        <w:pStyle w:val="Note"/>
        <w:rPr>
          <w:sz w:val="17"/>
          <w:szCs w:val="17"/>
        </w:rPr>
      </w:pPr>
      <w:r w:rsidRPr="00894582">
        <w:rPr>
          <w:sz w:val="17"/>
          <w:szCs w:val="17"/>
        </w:rPr>
        <w:t>Less than satisfactory (1, 2 and 3)</w:t>
      </w:r>
    </w:p>
    <w:p w:rsidR="00AF0459" w:rsidRPr="00894582" w:rsidRDefault="00AF0459" w:rsidP="00AF0459">
      <w:pPr>
        <w:pStyle w:val="Note"/>
        <w:rPr>
          <w:sz w:val="17"/>
          <w:szCs w:val="17"/>
        </w:rPr>
      </w:pPr>
      <w:r w:rsidRPr="00894582">
        <w:rPr>
          <w:color w:val="E36C0A"/>
          <w:sz w:val="17"/>
          <w:szCs w:val="17"/>
        </w:rPr>
        <w:sym w:font="Webdings" w:char="F067"/>
      </w:r>
      <w:r w:rsidRPr="00894582">
        <w:rPr>
          <w:color w:val="E36C0A"/>
          <w:sz w:val="17"/>
          <w:szCs w:val="17"/>
        </w:rPr>
        <w:t xml:space="preserve"> </w:t>
      </w:r>
      <w:r w:rsidRPr="00894582">
        <w:rPr>
          <w:sz w:val="17"/>
          <w:szCs w:val="17"/>
        </w:rPr>
        <w:t>= 3 = Less than adequate quality; needs significant work</w:t>
      </w:r>
    </w:p>
    <w:p w:rsidR="00AF0459" w:rsidRPr="00894582" w:rsidRDefault="00AF0459" w:rsidP="00AF0459">
      <w:pPr>
        <w:pStyle w:val="Note"/>
        <w:rPr>
          <w:sz w:val="17"/>
          <w:szCs w:val="17"/>
        </w:rPr>
      </w:pPr>
      <w:r w:rsidRPr="00894582">
        <w:rPr>
          <w:color w:val="FF0000"/>
          <w:sz w:val="17"/>
          <w:szCs w:val="17"/>
        </w:rPr>
        <w:sym w:font="Webdings" w:char="F067"/>
      </w:r>
      <w:r w:rsidRPr="00894582">
        <w:rPr>
          <w:sz w:val="17"/>
          <w:szCs w:val="17"/>
        </w:rPr>
        <w:t xml:space="preserve"> = 2 = Poor quality; needs major work to improve</w:t>
      </w:r>
    </w:p>
    <w:p w:rsidR="00AF0459" w:rsidRPr="00894582" w:rsidRDefault="00AF0459" w:rsidP="00AF0459">
      <w:pPr>
        <w:pStyle w:val="Note"/>
        <w:rPr>
          <w:sz w:val="17"/>
          <w:szCs w:val="17"/>
        </w:rPr>
      </w:pPr>
      <w:r w:rsidRPr="00894582">
        <w:rPr>
          <w:color w:val="FF0000"/>
          <w:sz w:val="17"/>
          <w:szCs w:val="17"/>
        </w:rPr>
        <w:sym w:font="Webdings" w:char="F067"/>
      </w:r>
      <w:r w:rsidRPr="00894582">
        <w:rPr>
          <w:sz w:val="17"/>
          <w:szCs w:val="17"/>
        </w:rPr>
        <w:t xml:space="preserve"> = 1 = Very poor quality; needs major overhaul</w:t>
      </w:r>
    </w:p>
    <w:p w:rsidR="00AF0459" w:rsidRPr="00894582" w:rsidRDefault="00AF0459" w:rsidP="00AF0459">
      <w:pPr>
        <w:pStyle w:val="Note"/>
        <w:rPr>
          <w:sz w:val="17"/>
          <w:szCs w:val="17"/>
        </w:rPr>
      </w:pPr>
    </w:p>
    <w:p w:rsidR="00AF0459" w:rsidRPr="00894582" w:rsidRDefault="00AF0459" w:rsidP="00AF0459">
      <w:pPr>
        <w:spacing w:after="200" w:line="276" w:lineRule="auto"/>
        <w:rPr>
          <w:rFonts w:ascii="Franklin Gothic Book" w:hAnsi="Franklin Gothic Book" w:cs="Arial"/>
          <w:color w:val="AD495D"/>
          <w:kern w:val="28"/>
          <w:sz w:val="17"/>
          <w:szCs w:val="17"/>
        </w:rPr>
      </w:pPr>
      <w:r w:rsidRPr="00894582">
        <w:rPr>
          <w:rFonts w:ascii="Franklin Gothic Book" w:hAnsi="Franklin Gothic Book"/>
          <w:sz w:val="17"/>
          <w:szCs w:val="17"/>
        </w:rPr>
        <w:br w:type="page"/>
      </w:r>
    </w:p>
    <w:p w:rsidR="00AF0459" w:rsidRPr="00894582" w:rsidRDefault="00AF0459" w:rsidP="00AF0459">
      <w:pPr>
        <w:pStyle w:val="Heading2"/>
        <w:rPr>
          <w:rFonts w:ascii="Franklin Gothic Book" w:hAnsi="Franklin Gothic Book"/>
          <w:sz w:val="17"/>
          <w:szCs w:val="17"/>
        </w:rPr>
      </w:pPr>
      <w:r w:rsidRPr="00894582">
        <w:rPr>
          <w:rFonts w:ascii="Franklin Gothic Book" w:hAnsi="Franklin Gothic Book"/>
          <w:sz w:val="17"/>
          <w:szCs w:val="17"/>
        </w:rPr>
        <w:lastRenderedPageBreak/>
        <w:t>Annex C</w:t>
      </w:r>
    </w:p>
    <w:p w:rsidR="00AF0459" w:rsidRPr="00894582" w:rsidRDefault="00AF0459" w:rsidP="00AF0459">
      <w:pPr>
        <w:pStyle w:val="Heading2"/>
        <w:rPr>
          <w:rFonts w:ascii="Franklin Gothic Book" w:hAnsi="Franklin Gothic Book"/>
          <w:sz w:val="17"/>
          <w:szCs w:val="17"/>
        </w:rPr>
      </w:pPr>
      <w:r w:rsidRPr="00894582">
        <w:rPr>
          <w:rFonts w:ascii="Franklin Gothic Book" w:hAnsi="Franklin Gothic Book"/>
          <w:sz w:val="17"/>
          <w:szCs w:val="17"/>
        </w:rPr>
        <w:t>Evaluation and Review Pipeline Planning</w:t>
      </w:r>
    </w:p>
    <w:p w:rsidR="00AF0459" w:rsidRPr="00894582" w:rsidRDefault="00AF0459" w:rsidP="00AF0459">
      <w:pPr>
        <w:pStyle w:val="Caption"/>
        <w:rPr>
          <w:sz w:val="17"/>
          <w:szCs w:val="17"/>
        </w:rPr>
      </w:pPr>
      <w:r w:rsidRPr="00894582">
        <w:rPr>
          <w:sz w:val="17"/>
          <w:szCs w:val="17"/>
        </w:rPr>
        <w:t xml:space="preserve">List of evaluations completed 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AF0459" w:rsidRPr="00894582" w:rsidTr="00D175E3">
        <w:trPr>
          <w:cnfStyle w:val="100000000000" w:firstRow="1" w:lastRow="0" w:firstColumn="0" w:lastColumn="0" w:oddVBand="0" w:evenVBand="0" w:oddHBand="0" w:evenHBand="0" w:firstRowFirstColumn="0" w:firstRowLastColumn="0" w:lastRowFirstColumn="0" w:lastRowLastColumn="0"/>
        </w:trPr>
        <w:tc>
          <w:tcPr>
            <w:tcW w:w="1902" w:type="dxa"/>
          </w:tcPr>
          <w:p w:rsidR="00AF0459" w:rsidRPr="00894582" w:rsidRDefault="00AF0459" w:rsidP="00D175E3">
            <w:pPr>
              <w:pStyle w:val="TableTextColumnHeading"/>
              <w:rPr>
                <w:rFonts w:ascii="Franklin Gothic Book" w:hAnsi="Franklin Gothic Book"/>
                <w:b w:val="0"/>
                <w:szCs w:val="17"/>
              </w:rPr>
            </w:pPr>
            <w:r w:rsidRPr="00894582">
              <w:rPr>
                <w:rFonts w:ascii="Franklin Gothic Book" w:hAnsi="Franklin Gothic Book"/>
                <w:szCs w:val="17"/>
              </w:rPr>
              <w:t>Name of Investment</w:t>
            </w:r>
          </w:p>
        </w:tc>
        <w:tc>
          <w:tcPr>
            <w:tcW w:w="1933" w:type="dxa"/>
          </w:tcPr>
          <w:p w:rsidR="00AF0459" w:rsidRPr="00894582" w:rsidRDefault="00AF0459" w:rsidP="00D175E3">
            <w:pPr>
              <w:pStyle w:val="TableTextColumnHeading"/>
              <w:rPr>
                <w:rFonts w:ascii="Franklin Gothic Book" w:hAnsi="Franklin Gothic Book"/>
                <w:b w:val="0"/>
                <w:szCs w:val="17"/>
              </w:rPr>
            </w:pPr>
            <w:r w:rsidRPr="00894582">
              <w:rPr>
                <w:rFonts w:ascii="Franklin Gothic Book" w:hAnsi="Franklin Gothic Book"/>
                <w:szCs w:val="17"/>
              </w:rPr>
              <w:t>Aid</w:t>
            </w:r>
            <w:r w:rsidR="006F23FB">
              <w:rPr>
                <w:rFonts w:ascii="Franklin Gothic Book" w:hAnsi="Franklin Gothic Book"/>
                <w:szCs w:val="17"/>
              </w:rPr>
              <w:t>W</w:t>
            </w:r>
            <w:r w:rsidRPr="00894582">
              <w:rPr>
                <w:rFonts w:ascii="Franklin Gothic Book" w:hAnsi="Franklin Gothic Book"/>
                <w:szCs w:val="17"/>
              </w:rPr>
              <w:t>orks number</w:t>
            </w:r>
          </w:p>
        </w:tc>
        <w:tc>
          <w:tcPr>
            <w:tcW w:w="2031" w:type="dxa"/>
          </w:tcPr>
          <w:p w:rsidR="00AF0459" w:rsidRPr="00894582" w:rsidRDefault="00AF0459" w:rsidP="00D175E3">
            <w:pPr>
              <w:pStyle w:val="TableTextColumnHeading"/>
              <w:rPr>
                <w:rFonts w:ascii="Franklin Gothic Book" w:hAnsi="Franklin Gothic Book"/>
                <w:b w:val="0"/>
                <w:szCs w:val="17"/>
              </w:rPr>
            </w:pPr>
            <w:r w:rsidRPr="00894582">
              <w:rPr>
                <w:rFonts w:ascii="Franklin Gothic Book" w:hAnsi="Franklin Gothic Book"/>
                <w:szCs w:val="17"/>
              </w:rPr>
              <w:t>Name of evaluation</w:t>
            </w:r>
          </w:p>
        </w:tc>
        <w:tc>
          <w:tcPr>
            <w:tcW w:w="1939" w:type="dxa"/>
          </w:tcPr>
          <w:p w:rsidR="00AF0459" w:rsidRPr="00894582" w:rsidRDefault="00AF0459" w:rsidP="00D175E3">
            <w:pPr>
              <w:pStyle w:val="TableTextColumnHeading"/>
              <w:rPr>
                <w:rFonts w:ascii="Franklin Gothic Book" w:hAnsi="Franklin Gothic Book"/>
                <w:b w:val="0"/>
                <w:szCs w:val="17"/>
              </w:rPr>
            </w:pPr>
            <w:r w:rsidRPr="00894582">
              <w:rPr>
                <w:rFonts w:ascii="Franklin Gothic Book" w:hAnsi="Franklin Gothic Book"/>
                <w:szCs w:val="17"/>
              </w:rPr>
              <w:t>Date finalised</w:t>
            </w:r>
          </w:p>
        </w:tc>
        <w:tc>
          <w:tcPr>
            <w:tcW w:w="1921" w:type="dxa"/>
          </w:tcPr>
          <w:p w:rsidR="00AF0459" w:rsidRPr="00894582" w:rsidRDefault="00AF0459" w:rsidP="00D175E3">
            <w:pPr>
              <w:pStyle w:val="TableTextColumnHeading"/>
              <w:rPr>
                <w:rFonts w:ascii="Franklin Gothic Book" w:hAnsi="Franklin Gothic Book"/>
                <w:b w:val="0"/>
                <w:szCs w:val="17"/>
              </w:rPr>
            </w:pPr>
            <w:r w:rsidRPr="00894582">
              <w:rPr>
                <w:rFonts w:ascii="Franklin Gothic Book" w:hAnsi="Franklin Gothic Book"/>
                <w:szCs w:val="17"/>
              </w:rPr>
              <w:t>Date Evaluation report Uploaded into Aidworks</w:t>
            </w:r>
          </w:p>
        </w:tc>
        <w:tc>
          <w:tcPr>
            <w:tcW w:w="1743" w:type="dxa"/>
          </w:tcPr>
          <w:p w:rsidR="00AF0459" w:rsidRPr="00894582" w:rsidRDefault="00AF0459" w:rsidP="00D175E3">
            <w:pPr>
              <w:pStyle w:val="TableTextColumnHeading"/>
              <w:rPr>
                <w:rFonts w:ascii="Franklin Gothic Book" w:hAnsi="Franklin Gothic Book"/>
                <w:b w:val="0"/>
                <w:szCs w:val="17"/>
              </w:rPr>
            </w:pPr>
            <w:r w:rsidRPr="00894582">
              <w:rPr>
                <w:rFonts w:ascii="Franklin Gothic Book" w:hAnsi="Franklin Gothic Book"/>
                <w:szCs w:val="17"/>
              </w:rPr>
              <w:t>Date Management response uploaded into Aidworks</w:t>
            </w:r>
          </w:p>
        </w:tc>
        <w:tc>
          <w:tcPr>
            <w:tcW w:w="1503" w:type="dxa"/>
          </w:tcPr>
          <w:p w:rsidR="00AF0459" w:rsidRPr="00894582" w:rsidRDefault="00AF0459" w:rsidP="00D175E3">
            <w:pPr>
              <w:pStyle w:val="TableTextColumnHeading"/>
              <w:rPr>
                <w:rFonts w:ascii="Franklin Gothic Book" w:hAnsi="Franklin Gothic Book"/>
                <w:b w:val="0"/>
                <w:szCs w:val="17"/>
              </w:rPr>
            </w:pPr>
            <w:r w:rsidRPr="00894582">
              <w:rPr>
                <w:rFonts w:ascii="Franklin Gothic Book" w:hAnsi="Franklin Gothic Book"/>
                <w:szCs w:val="17"/>
              </w:rPr>
              <w:t>Published on website</w:t>
            </w:r>
          </w:p>
        </w:tc>
      </w:tr>
      <w:tr w:rsidR="000806DA" w:rsidRPr="00894582" w:rsidTr="00D175E3">
        <w:trPr>
          <w:cnfStyle w:val="100000000000" w:firstRow="1" w:lastRow="0" w:firstColumn="0" w:lastColumn="0" w:oddVBand="0" w:evenVBand="0" w:oddHBand="0" w:evenHBand="0" w:firstRowFirstColumn="0" w:firstRowLastColumn="0" w:lastRowFirstColumn="0" w:lastRowLastColumn="0"/>
        </w:trPr>
        <w:tc>
          <w:tcPr>
            <w:tcW w:w="1902" w:type="dxa"/>
          </w:tcPr>
          <w:p w:rsidR="000806DA" w:rsidRPr="00894582" w:rsidRDefault="000806DA" w:rsidP="00307FD8">
            <w:pPr>
              <w:pStyle w:val="TableTextEntries"/>
            </w:pPr>
            <w:r>
              <w:t>BRAC Strategic Partnership A</w:t>
            </w:r>
            <w:r w:rsidR="00307FD8">
              <w:t xml:space="preserve">rrangement </w:t>
            </w:r>
          </w:p>
        </w:tc>
        <w:tc>
          <w:tcPr>
            <w:tcW w:w="1933" w:type="dxa"/>
          </w:tcPr>
          <w:p w:rsidR="000806DA" w:rsidRPr="00281F07" w:rsidRDefault="000806DA" w:rsidP="00D175E3">
            <w:pPr>
              <w:pStyle w:val="TableTextEntries"/>
              <w:rPr>
                <w:b w:val="0"/>
              </w:rPr>
            </w:pPr>
            <w:r w:rsidRPr="00281F07">
              <w:rPr>
                <w:b w:val="0"/>
              </w:rPr>
              <w:t>INJ597</w:t>
            </w:r>
          </w:p>
        </w:tc>
        <w:tc>
          <w:tcPr>
            <w:tcW w:w="2031" w:type="dxa"/>
          </w:tcPr>
          <w:p w:rsidR="000806DA" w:rsidRPr="00281F07" w:rsidRDefault="000806DA" w:rsidP="00D175E3">
            <w:pPr>
              <w:pStyle w:val="TableTextEntries"/>
              <w:rPr>
                <w:b w:val="0"/>
              </w:rPr>
            </w:pPr>
            <w:r w:rsidRPr="00281F07">
              <w:rPr>
                <w:b w:val="0"/>
              </w:rPr>
              <w:t>Research on Documenting the Development and Implementation of the Strategic Partnership  Arrangement (SPA) between BRAC, DFID and DFAT</w:t>
            </w:r>
          </w:p>
        </w:tc>
        <w:tc>
          <w:tcPr>
            <w:tcW w:w="1939" w:type="dxa"/>
          </w:tcPr>
          <w:p w:rsidR="000806DA" w:rsidRPr="00281F07" w:rsidRDefault="000806DA" w:rsidP="00D175E3">
            <w:pPr>
              <w:pStyle w:val="TableTextEntries"/>
              <w:rPr>
                <w:b w:val="0"/>
              </w:rPr>
            </w:pPr>
            <w:r w:rsidRPr="00281F07">
              <w:rPr>
                <w:b w:val="0"/>
              </w:rPr>
              <w:t>12</w:t>
            </w:r>
            <w:r w:rsidR="001924BC">
              <w:rPr>
                <w:b w:val="0"/>
              </w:rPr>
              <w:t xml:space="preserve"> </w:t>
            </w:r>
            <w:r w:rsidRPr="00281F07">
              <w:rPr>
                <w:b w:val="0"/>
              </w:rPr>
              <w:t>Jun</w:t>
            </w:r>
            <w:r w:rsidR="001924BC">
              <w:rPr>
                <w:b w:val="0"/>
              </w:rPr>
              <w:t xml:space="preserve">e </w:t>
            </w:r>
            <w:r w:rsidRPr="00281F07">
              <w:rPr>
                <w:b w:val="0"/>
              </w:rPr>
              <w:t>2014</w:t>
            </w:r>
          </w:p>
        </w:tc>
        <w:tc>
          <w:tcPr>
            <w:tcW w:w="1921" w:type="dxa"/>
          </w:tcPr>
          <w:p w:rsidR="000806DA" w:rsidRPr="00281F07" w:rsidRDefault="000A06F7" w:rsidP="00D175E3">
            <w:pPr>
              <w:pStyle w:val="TableTextEntries"/>
              <w:rPr>
                <w:b w:val="0"/>
              </w:rPr>
            </w:pPr>
            <w:r>
              <w:rPr>
                <w:b w:val="0"/>
              </w:rPr>
              <w:t>NO</w:t>
            </w:r>
          </w:p>
        </w:tc>
        <w:tc>
          <w:tcPr>
            <w:tcW w:w="1743" w:type="dxa"/>
          </w:tcPr>
          <w:p w:rsidR="000806DA" w:rsidRPr="00281F07" w:rsidRDefault="000A06F7" w:rsidP="00D175E3">
            <w:pPr>
              <w:pStyle w:val="TableTextEntries"/>
              <w:rPr>
                <w:b w:val="0"/>
              </w:rPr>
            </w:pPr>
            <w:r>
              <w:rPr>
                <w:b w:val="0"/>
              </w:rPr>
              <w:t>NO</w:t>
            </w:r>
          </w:p>
        </w:tc>
        <w:tc>
          <w:tcPr>
            <w:tcW w:w="1503" w:type="dxa"/>
          </w:tcPr>
          <w:p w:rsidR="000806DA" w:rsidRPr="00281F07" w:rsidRDefault="000A06F7" w:rsidP="00D175E3">
            <w:pPr>
              <w:pStyle w:val="TableTextEntries"/>
              <w:rPr>
                <w:b w:val="0"/>
              </w:rPr>
            </w:pPr>
            <w:r>
              <w:rPr>
                <w:b w:val="0"/>
              </w:rPr>
              <w:t>NO</w:t>
            </w:r>
          </w:p>
        </w:tc>
      </w:tr>
      <w:tr w:rsidR="000806DA" w:rsidRPr="00894582" w:rsidTr="00D175E3">
        <w:trPr>
          <w:cnfStyle w:val="100000000000" w:firstRow="1" w:lastRow="0" w:firstColumn="0" w:lastColumn="0" w:oddVBand="0" w:evenVBand="0" w:oddHBand="0" w:evenHBand="0" w:firstRowFirstColumn="0" w:firstRowLastColumn="0" w:lastRowFirstColumn="0" w:lastRowLastColumn="0"/>
        </w:trPr>
        <w:tc>
          <w:tcPr>
            <w:tcW w:w="1902" w:type="dxa"/>
          </w:tcPr>
          <w:p w:rsidR="000806DA" w:rsidRPr="00894582" w:rsidRDefault="000806DA" w:rsidP="00D175E3">
            <w:pPr>
              <w:pStyle w:val="TableTextEntries"/>
            </w:pPr>
            <w:r>
              <w:t xml:space="preserve">BRAC Strategic Partnership </w:t>
            </w:r>
            <w:r w:rsidR="00307FD8">
              <w:t>Arrangement</w:t>
            </w:r>
          </w:p>
        </w:tc>
        <w:tc>
          <w:tcPr>
            <w:tcW w:w="1933" w:type="dxa"/>
          </w:tcPr>
          <w:p w:rsidR="000806DA" w:rsidRPr="00281F07" w:rsidRDefault="000806DA" w:rsidP="00D175E3">
            <w:pPr>
              <w:pStyle w:val="TableTextEntries"/>
              <w:rPr>
                <w:b w:val="0"/>
              </w:rPr>
            </w:pPr>
            <w:r w:rsidRPr="00281F07">
              <w:rPr>
                <w:b w:val="0"/>
              </w:rPr>
              <w:t>INJ597</w:t>
            </w:r>
          </w:p>
        </w:tc>
        <w:tc>
          <w:tcPr>
            <w:tcW w:w="2031" w:type="dxa"/>
          </w:tcPr>
          <w:p w:rsidR="000806DA" w:rsidRPr="00281F07" w:rsidRDefault="000806DA" w:rsidP="00D175E3">
            <w:pPr>
              <w:pStyle w:val="TableTextEntries"/>
              <w:rPr>
                <w:b w:val="0"/>
              </w:rPr>
            </w:pPr>
            <w:r w:rsidRPr="00281F07">
              <w:rPr>
                <w:b w:val="0"/>
              </w:rPr>
              <w:t xml:space="preserve">Part 1 of the Mid Term Review of the Strategic Partnership </w:t>
            </w:r>
            <w:r w:rsidR="00307FD8" w:rsidRPr="00307FD8">
              <w:rPr>
                <w:b w:val="0"/>
              </w:rPr>
              <w:t>Arrangement</w:t>
            </w:r>
          </w:p>
        </w:tc>
        <w:tc>
          <w:tcPr>
            <w:tcW w:w="1939" w:type="dxa"/>
          </w:tcPr>
          <w:p w:rsidR="000806DA" w:rsidRPr="00281F07" w:rsidRDefault="000806DA" w:rsidP="00D175E3">
            <w:pPr>
              <w:pStyle w:val="TableTextEntries"/>
              <w:rPr>
                <w:b w:val="0"/>
              </w:rPr>
            </w:pPr>
            <w:r w:rsidRPr="00281F07">
              <w:rPr>
                <w:b w:val="0"/>
              </w:rPr>
              <w:t>Mar</w:t>
            </w:r>
            <w:r w:rsidR="001924BC">
              <w:rPr>
                <w:b w:val="0"/>
              </w:rPr>
              <w:t>ch</w:t>
            </w:r>
            <w:r w:rsidRPr="00281F07">
              <w:rPr>
                <w:b w:val="0"/>
              </w:rPr>
              <w:t xml:space="preserve"> 2014</w:t>
            </w:r>
          </w:p>
        </w:tc>
        <w:tc>
          <w:tcPr>
            <w:tcW w:w="1921" w:type="dxa"/>
          </w:tcPr>
          <w:p w:rsidR="000806DA" w:rsidRPr="00281F07" w:rsidRDefault="000A06F7" w:rsidP="00D175E3">
            <w:pPr>
              <w:pStyle w:val="TableTextEntries"/>
              <w:rPr>
                <w:b w:val="0"/>
              </w:rPr>
            </w:pPr>
            <w:r>
              <w:rPr>
                <w:b w:val="0"/>
              </w:rPr>
              <w:t>NO</w:t>
            </w:r>
          </w:p>
        </w:tc>
        <w:tc>
          <w:tcPr>
            <w:tcW w:w="1743" w:type="dxa"/>
          </w:tcPr>
          <w:p w:rsidR="000806DA" w:rsidRPr="00281F07" w:rsidRDefault="000A06F7" w:rsidP="00D175E3">
            <w:pPr>
              <w:pStyle w:val="TableTextEntries"/>
              <w:rPr>
                <w:b w:val="0"/>
              </w:rPr>
            </w:pPr>
            <w:r>
              <w:rPr>
                <w:b w:val="0"/>
              </w:rPr>
              <w:t>NO</w:t>
            </w:r>
          </w:p>
        </w:tc>
        <w:tc>
          <w:tcPr>
            <w:tcW w:w="1503" w:type="dxa"/>
          </w:tcPr>
          <w:p w:rsidR="000806DA" w:rsidRPr="00281F07" w:rsidRDefault="000A06F7" w:rsidP="00D175E3">
            <w:pPr>
              <w:pStyle w:val="TableTextEntries"/>
              <w:rPr>
                <w:b w:val="0"/>
              </w:rPr>
            </w:pPr>
            <w:r>
              <w:rPr>
                <w:b w:val="0"/>
              </w:rPr>
              <w:t>NO</w:t>
            </w:r>
          </w:p>
        </w:tc>
      </w:tr>
      <w:tr w:rsidR="000806DA" w:rsidRPr="00894582" w:rsidTr="00D175E3">
        <w:trPr>
          <w:cnfStyle w:val="100000000000" w:firstRow="1" w:lastRow="0" w:firstColumn="0" w:lastColumn="0" w:oddVBand="0" w:evenVBand="0" w:oddHBand="0" w:evenHBand="0" w:firstRowFirstColumn="0" w:firstRowLastColumn="0" w:lastRowFirstColumn="0" w:lastRowLastColumn="0"/>
        </w:trPr>
        <w:tc>
          <w:tcPr>
            <w:tcW w:w="1902" w:type="dxa"/>
          </w:tcPr>
          <w:p w:rsidR="000806DA" w:rsidRDefault="000806DA" w:rsidP="00D175E3">
            <w:pPr>
              <w:pStyle w:val="TableTextEntries"/>
            </w:pPr>
          </w:p>
        </w:tc>
        <w:tc>
          <w:tcPr>
            <w:tcW w:w="1933" w:type="dxa"/>
          </w:tcPr>
          <w:p w:rsidR="000806DA" w:rsidRPr="00281F07" w:rsidRDefault="000806DA" w:rsidP="00D175E3">
            <w:pPr>
              <w:pStyle w:val="TableTextEntries"/>
              <w:rPr>
                <w:b w:val="0"/>
              </w:rPr>
            </w:pPr>
          </w:p>
        </w:tc>
        <w:tc>
          <w:tcPr>
            <w:tcW w:w="2031" w:type="dxa"/>
          </w:tcPr>
          <w:p w:rsidR="000806DA" w:rsidRPr="00281F07" w:rsidRDefault="000806DA" w:rsidP="00D175E3">
            <w:pPr>
              <w:pStyle w:val="TableTextEntries"/>
              <w:rPr>
                <w:b w:val="0"/>
              </w:rPr>
            </w:pPr>
          </w:p>
        </w:tc>
        <w:tc>
          <w:tcPr>
            <w:tcW w:w="1939" w:type="dxa"/>
          </w:tcPr>
          <w:p w:rsidR="000806DA" w:rsidRPr="00281F07" w:rsidRDefault="000806DA" w:rsidP="00D175E3">
            <w:pPr>
              <w:pStyle w:val="TableTextEntries"/>
              <w:rPr>
                <w:b w:val="0"/>
              </w:rPr>
            </w:pPr>
          </w:p>
        </w:tc>
        <w:tc>
          <w:tcPr>
            <w:tcW w:w="1921" w:type="dxa"/>
          </w:tcPr>
          <w:p w:rsidR="000806DA" w:rsidRPr="00281F07" w:rsidRDefault="000806DA" w:rsidP="00D175E3">
            <w:pPr>
              <w:pStyle w:val="TableTextEntries"/>
              <w:rPr>
                <w:b w:val="0"/>
              </w:rPr>
            </w:pPr>
          </w:p>
        </w:tc>
        <w:tc>
          <w:tcPr>
            <w:tcW w:w="1743" w:type="dxa"/>
          </w:tcPr>
          <w:p w:rsidR="000806DA" w:rsidRPr="00281F07" w:rsidRDefault="000806DA" w:rsidP="00D175E3">
            <w:pPr>
              <w:pStyle w:val="TableTextEntries"/>
              <w:rPr>
                <w:b w:val="0"/>
              </w:rPr>
            </w:pPr>
          </w:p>
        </w:tc>
        <w:tc>
          <w:tcPr>
            <w:tcW w:w="1503" w:type="dxa"/>
          </w:tcPr>
          <w:p w:rsidR="000806DA" w:rsidRPr="00281F07" w:rsidRDefault="000806DA" w:rsidP="00D175E3">
            <w:pPr>
              <w:pStyle w:val="TableTextEntries"/>
              <w:rPr>
                <w:b w:val="0"/>
              </w:rPr>
            </w:pPr>
          </w:p>
        </w:tc>
      </w:tr>
      <w:tr w:rsidR="008B5EA9" w:rsidRPr="00894582" w:rsidTr="00D175E3">
        <w:trPr>
          <w:cnfStyle w:val="100000000000" w:firstRow="1" w:lastRow="0" w:firstColumn="0" w:lastColumn="0" w:oddVBand="0" w:evenVBand="0" w:oddHBand="0" w:evenHBand="0" w:firstRowFirstColumn="0" w:firstRowLastColumn="0" w:lastRowFirstColumn="0" w:lastRowLastColumn="0"/>
        </w:trPr>
        <w:tc>
          <w:tcPr>
            <w:tcW w:w="1902" w:type="dxa"/>
          </w:tcPr>
          <w:p w:rsidR="008B5EA9" w:rsidRDefault="008B5EA9" w:rsidP="00D76F42">
            <w:pPr>
              <w:pStyle w:val="TableTextEntries"/>
            </w:pPr>
            <w:r>
              <w:t xml:space="preserve">Support to World Food Programme – integrated hunger and under-nutrition </w:t>
            </w:r>
          </w:p>
          <w:p w:rsidR="008B5EA9" w:rsidRDefault="008B5EA9" w:rsidP="00D76F42">
            <w:pPr>
              <w:pStyle w:val="TableTextEntries"/>
            </w:pPr>
            <w:r>
              <w:t>Fund</w:t>
            </w:r>
          </w:p>
          <w:p w:rsidR="008B5EA9" w:rsidRDefault="008B5EA9" w:rsidP="00D175E3">
            <w:pPr>
              <w:pStyle w:val="TableTextEntries"/>
            </w:pPr>
          </w:p>
        </w:tc>
        <w:tc>
          <w:tcPr>
            <w:tcW w:w="1933" w:type="dxa"/>
          </w:tcPr>
          <w:p w:rsidR="008B5EA9" w:rsidRPr="00281F07" w:rsidRDefault="008B5EA9" w:rsidP="00D175E3">
            <w:pPr>
              <w:pStyle w:val="TableTextEntries"/>
              <w:rPr>
                <w:b w:val="0"/>
              </w:rPr>
            </w:pPr>
            <w:r w:rsidRPr="00281F07">
              <w:rPr>
                <w:b w:val="0"/>
              </w:rPr>
              <w:t>INJ346</w:t>
            </w:r>
          </w:p>
        </w:tc>
        <w:tc>
          <w:tcPr>
            <w:tcW w:w="2031" w:type="dxa"/>
          </w:tcPr>
          <w:p w:rsidR="008B5EA9" w:rsidRPr="00281F07" w:rsidRDefault="00E437F4" w:rsidP="00D175E3">
            <w:pPr>
              <w:pStyle w:val="TableTextEntries"/>
              <w:rPr>
                <w:b w:val="0"/>
              </w:rPr>
            </w:pPr>
            <w:r>
              <w:rPr>
                <w:b w:val="0"/>
              </w:rPr>
              <w:t>Formative Evaluation</w:t>
            </w:r>
          </w:p>
        </w:tc>
        <w:tc>
          <w:tcPr>
            <w:tcW w:w="1939" w:type="dxa"/>
          </w:tcPr>
          <w:p w:rsidR="008B5EA9" w:rsidRPr="00281F07" w:rsidRDefault="008B5EA9" w:rsidP="00D175E3">
            <w:pPr>
              <w:pStyle w:val="TableTextEntries"/>
              <w:rPr>
                <w:b w:val="0"/>
              </w:rPr>
            </w:pPr>
            <w:r>
              <w:rPr>
                <w:b w:val="0"/>
              </w:rPr>
              <w:t>February 2014</w:t>
            </w:r>
          </w:p>
        </w:tc>
        <w:tc>
          <w:tcPr>
            <w:tcW w:w="1921" w:type="dxa"/>
          </w:tcPr>
          <w:p w:rsidR="008B5EA9" w:rsidRPr="00281F07" w:rsidRDefault="008B5EA9" w:rsidP="00D175E3">
            <w:pPr>
              <w:pStyle w:val="TableTextEntries"/>
              <w:rPr>
                <w:b w:val="0"/>
              </w:rPr>
            </w:pPr>
            <w:r>
              <w:rPr>
                <w:b w:val="0"/>
              </w:rPr>
              <w:t>30 April 2014</w:t>
            </w:r>
          </w:p>
        </w:tc>
        <w:tc>
          <w:tcPr>
            <w:tcW w:w="1743" w:type="dxa"/>
          </w:tcPr>
          <w:p w:rsidR="008B5EA9" w:rsidRPr="00281F07" w:rsidRDefault="008B5EA9" w:rsidP="00D175E3">
            <w:pPr>
              <w:pStyle w:val="TableTextEntries"/>
              <w:rPr>
                <w:b w:val="0"/>
              </w:rPr>
            </w:pPr>
            <w:r>
              <w:rPr>
                <w:b w:val="0"/>
              </w:rPr>
              <w:t>No</w:t>
            </w:r>
          </w:p>
        </w:tc>
        <w:tc>
          <w:tcPr>
            <w:tcW w:w="1503" w:type="dxa"/>
          </w:tcPr>
          <w:p w:rsidR="008B5EA9" w:rsidRPr="00281F07" w:rsidRDefault="008B5EA9" w:rsidP="00D175E3">
            <w:pPr>
              <w:pStyle w:val="TableTextEntries"/>
              <w:rPr>
                <w:b w:val="0"/>
              </w:rPr>
            </w:pPr>
            <w:r w:rsidRPr="00281F07">
              <w:rPr>
                <w:b w:val="0"/>
              </w:rPr>
              <w:t>No</w:t>
            </w:r>
          </w:p>
        </w:tc>
      </w:tr>
      <w:tr w:rsidR="008B5EA9" w:rsidRPr="00894582" w:rsidDel="000A06F7" w:rsidTr="00D175E3">
        <w:trPr>
          <w:cnfStyle w:val="100000000000" w:firstRow="1" w:lastRow="0" w:firstColumn="0" w:lastColumn="0" w:oddVBand="0" w:evenVBand="0" w:oddHBand="0" w:evenHBand="0" w:firstRowFirstColumn="0" w:firstRowLastColumn="0" w:lastRowFirstColumn="0" w:lastRowLastColumn="0"/>
        </w:trPr>
        <w:tc>
          <w:tcPr>
            <w:tcW w:w="1902" w:type="dxa"/>
          </w:tcPr>
          <w:p w:rsidR="008B5EA9" w:rsidDel="000A06F7" w:rsidRDefault="008B5EA9" w:rsidP="00D76F42">
            <w:pPr>
              <w:pStyle w:val="TableTextEntries"/>
            </w:pPr>
            <w:r>
              <w:t xml:space="preserve">Chars Livelihood Programme (CLP) </w:t>
            </w:r>
          </w:p>
        </w:tc>
        <w:tc>
          <w:tcPr>
            <w:tcW w:w="1933" w:type="dxa"/>
          </w:tcPr>
          <w:p w:rsidR="008B5EA9" w:rsidRPr="00281F07" w:rsidDel="000A06F7" w:rsidRDefault="008B5EA9" w:rsidP="00D175E3">
            <w:pPr>
              <w:pStyle w:val="TableTextEntries"/>
            </w:pPr>
            <w:r>
              <w:t>INJ103</w:t>
            </w:r>
          </w:p>
        </w:tc>
        <w:tc>
          <w:tcPr>
            <w:tcW w:w="2031" w:type="dxa"/>
          </w:tcPr>
          <w:p w:rsidR="008B5EA9" w:rsidRPr="00281F07" w:rsidDel="000A06F7" w:rsidRDefault="008B5EA9" w:rsidP="00D175E3">
            <w:pPr>
              <w:pStyle w:val="TableTextEntries"/>
              <w:rPr>
                <w:b w:val="0"/>
              </w:rPr>
            </w:pPr>
            <w:r>
              <w:rPr>
                <w:b w:val="0"/>
              </w:rPr>
              <w:t>Chars Livelihood Programme: Annual Review 2014</w:t>
            </w:r>
          </w:p>
        </w:tc>
        <w:tc>
          <w:tcPr>
            <w:tcW w:w="1939" w:type="dxa"/>
          </w:tcPr>
          <w:p w:rsidR="008B5EA9" w:rsidRPr="00281F07" w:rsidDel="000A06F7" w:rsidRDefault="008B5EA9" w:rsidP="00D175E3">
            <w:pPr>
              <w:pStyle w:val="TableTextEntries"/>
              <w:rPr>
                <w:b w:val="0"/>
              </w:rPr>
            </w:pPr>
            <w:r>
              <w:rPr>
                <w:b w:val="0"/>
              </w:rPr>
              <w:t>April 2014</w:t>
            </w:r>
          </w:p>
        </w:tc>
        <w:tc>
          <w:tcPr>
            <w:tcW w:w="1921" w:type="dxa"/>
          </w:tcPr>
          <w:p w:rsidR="008B5EA9" w:rsidRPr="00281F07" w:rsidDel="000A06F7" w:rsidRDefault="008B5EA9" w:rsidP="00D175E3">
            <w:pPr>
              <w:pStyle w:val="TableTextEntries"/>
              <w:rPr>
                <w:b w:val="0"/>
              </w:rPr>
            </w:pPr>
            <w:r>
              <w:rPr>
                <w:b w:val="0"/>
              </w:rPr>
              <w:t>29 May 2014</w:t>
            </w:r>
          </w:p>
        </w:tc>
        <w:tc>
          <w:tcPr>
            <w:tcW w:w="1743" w:type="dxa"/>
          </w:tcPr>
          <w:p w:rsidR="008B5EA9" w:rsidRPr="00281F07" w:rsidDel="000A06F7" w:rsidRDefault="00D46068" w:rsidP="00D175E3">
            <w:pPr>
              <w:pStyle w:val="TableTextEntries"/>
              <w:rPr>
                <w:b w:val="0"/>
              </w:rPr>
            </w:pPr>
            <w:r>
              <w:rPr>
                <w:b w:val="0"/>
              </w:rPr>
              <w:t>No</w:t>
            </w:r>
          </w:p>
        </w:tc>
        <w:tc>
          <w:tcPr>
            <w:tcW w:w="1503" w:type="dxa"/>
          </w:tcPr>
          <w:p w:rsidR="008B5EA9" w:rsidRPr="00281F07" w:rsidDel="000A06F7" w:rsidRDefault="00D46068" w:rsidP="00D175E3">
            <w:pPr>
              <w:pStyle w:val="TableTextEntries"/>
              <w:rPr>
                <w:b w:val="0"/>
              </w:rPr>
            </w:pPr>
            <w:r>
              <w:rPr>
                <w:b w:val="0"/>
              </w:rPr>
              <w:t>No</w:t>
            </w:r>
          </w:p>
        </w:tc>
      </w:tr>
    </w:tbl>
    <w:p w:rsidR="00AF0459" w:rsidRPr="00894582" w:rsidRDefault="00AF0459" w:rsidP="00AF0459">
      <w:pPr>
        <w:rPr>
          <w:rFonts w:ascii="Franklin Gothic Book" w:hAnsi="Franklin Gothic Book"/>
          <w:b/>
          <w:sz w:val="17"/>
          <w:szCs w:val="17"/>
        </w:rPr>
      </w:pPr>
    </w:p>
    <w:p w:rsidR="00746619" w:rsidRDefault="00746619" w:rsidP="00AF0459">
      <w:pPr>
        <w:pStyle w:val="Caption"/>
        <w:rPr>
          <w:sz w:val="17"/>
          <w:szCs w:val="17"/>
        </w:rPr>
      </w:pPr>
    </w:p>
    <w:p w:rsidR="00746619" w:rsidRDefault="00746619" w:rsidP="00AF0459">
      <w:pPr>
        <w:pStyle w:val="Caption"/>
        <w:rPr>
          <w:sz w:val="17"/>
          <w:szCs w:val="17"/>
        </w:rPr>
      </w:pPr>
    </w:p>
    <w:p w:rsidR="00AF0459" w:rsidRPr="00894582" w:rsidRDefault="00AF0459" w:rsidP="00AF0459">
      <w:pPr>
        <w:pStyle w:val="Caption"/>
        <w:rPr>
          <w:sz w:val="17"/>
          <w:szCs w:val="17"/>
        </w:rPr>
      </w:pPr>
      <w:r w:rsidRPr="00894582">
        <w:rPr>
          <w:sz w:val="17"/>
          <w:szCs w:val="17"/>
        </w:rPr>
        <w:t xml:space="preserve">List of evaluations planned in the next 12 months </w:t>
      </w:r>
    </w:p>
    <w:p w:rsidR="00AF0459" w:rsidRPr="00894582" w:rsidRDefault="00AF0459" w:rsidP="00AF0459">
      <w:pPr>
        <w:pStyle w:val="TableTextColumnHeading"/>
        <w:rPr>
          <w:rFonts w:ascii="Franklin Gothic Book" w:hAnsi="Franklin Gothic Book"/>
          <w:sz w:val="17"/>
          <w:szCs w:val="17"/>
        </w:rPr>
        <w:sectPr w:rsidR="00AF0459" w:rsidRPr="00894582" w:rsidSect="00D175E3">
          <w:headerReference w:type="even" r:id="rId17"/>
          <w:footerReference w:type="first" r:id="rId18"/>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AF0459" w:rsidRPr="00894582" w:rsidTr="00D175E3">
        <w:tc>
          <w:tcPr>
            <w:tcW w:w="2601" w:type="dxa"/>
          </w:tcPr>
          <w:p w:rsidR="00AF0459" w:rsidRPr="00281F07" w:rsidRDefault="00AF0459" w:rsidP="00D175E3">
            <w:pPr>
              <w:pStyle w:val="TableTextColumnHeading"/>
              <w:rPr>
                <w:b/>
                <w:szCs w:val="17"/>
              </w:rPr>
            </w:pPr>
            <w:r w:rsidRPr="00281F07">
              <w:rPr>
                <w:b/>
                <w:szCs w:val="17"/>
              </w:rPr>
              <w:lastRenderedPageBreak/>
              <w:t>Name of Investment</w:t>
            </w:r>
          </w:p>
        </w:tc>
        <w:tc>
          <w:tcPr>
            <w:tcW w:w="2530" w:type="dxa"/>
          </w:tcPr>
          <w:p w:rsidR="00AF0459" w:rsidRPr="00281F07" w:rsidRDefault="00AF0459" w:rsidP="00D175E3">
            <w:pPr>
              <w:pStyle w:val="TableTextColumnHeading"/>
              <w:rPr>
                <w:b/>
                <w:szCs w:val="17"/>
              </w:rPr>
            </w:pPr>
            <w:r w:rsidRPr="00281F07">
              <w:rPr>
                <w:b/>
                <w:szCs w:val="17"/>
              </w:rPr>
              <w:t>Aid</w:t>
            </w:r>
            <w:r w:rsidR="006F23FB">
              <w:rPr>
                <w:b/>
                <w:szCs w:val="17"/>
              </w:rPr>
              <w:t>W</w:t>
            </w:r>
            <w:r w:rsidRPr="00281F07">
              <w:rPr>
                <w:b/>
                <w:szCs w:val="17"/>
              </w:rPr>
              <w:t>orks number</w:t>
            </w:r>
          </w:p>
        </w:tc>
        <w:tc>
          <w:tcPr>
            <w:tcW w:w="2612" w:type="dxa"/>
          </w:tcPr>
          <w:p w:rsidR="00AF0459" w:rsidRPr="00281F07" w:rsidRDefault="00AF0459" w:rsidP="00D175E3">
            <w:pPr>
              <w:pStyle w:val="TableTextColumnHeading"/>
              <w:rPr>
                <w:b/>
                <w:szCs w:val="17"/>
              </w:rPr>
            </w:pPr>
            <w:r w:rsidRPr="00281F07">
              <w:rPr>
                <w:b/>
                <w:szCs w:val="17"/>
              </w:rPr>
              <w:t>Type of evaluation</w:t>
            </w:r>
          </w:p>
        </w:tc>
        <w:tc>
          <w:tcPr>
            <w:tcW w:w="2612" w:type="dxa"/>
          </w:tcPr>
          <w:p w:rsidR="00AF0459" w:rsidRPr="00281F07" w:rsidRDefault="00AF0459" w:rsidP="00D175E3">
            <w:pPr>
              <w:pStyle w:val="TableTextColumnHeading"/>
              <w:rPr>
                <w:b/>
                <w:szCs w:val="17"/>
              </w:rPr>
            </w:pPr>
            <w:r w:rsidRPr="00281F07">
              <w:rPr>
                <w:b/>
                <w:szCs w:val="17"/>
              </w:rPr>
              <w:t>Purpose of evaluation</w:t>
            </w:r>
          </w:p>
        </w:tc>
        <w:tc>
          <w:tcPr>
            <w:tcW w:w="2617" w:type="dxa"/>
          </w:tcPr>
          <w:p w:rsidR="00AF0459" w:rsidRPr="00281F07" w:rsidRDefault="00AF0459" w:rsidP="00D175E3">
            <w:pPr>
              <w:pStyle w:val="TableTextColumnHeading"/>
              <w:rPr>
                <w:b/>
                <w:szCs w:val="17"/>
              </w:rPr>
            </w:pPr>
            <w:r w:rsidRPr="00281F07">
              <w:rPr>
                <w:b/>
                <w:szCs w:val="17"/>
              </w:rPr>
              <w:t>Expected completion date</w:t>
            </w:r>
          </w:p>
        </w:tc>
      </w:tr>
      <w:tr w:rsidR="0020428D" w:rsidRPr="00894582" w:rsidTr="00D175E3">
        <w:tc>
          <w:tcPr>
            <w:tcW w:w="2601" w:type="dxa"/>
          </w:tcPr>
          <w:p w:rsidR="0020428D" w:rsidRPr="00281F07" w:rsidRDefault="0020428D" w:rsidP="00D175E3">
            <w:pPr>
              <w:pStyle w:val="TableTextEntries"/>
              <w:rPr>
                <w:b/>
              </w:rPr>
            </w:pPr>
            <w:r w:rsidRPr="00281F07">
              <w:rPr>
                <w:b/>
              </w:rPr>
              <w:t xml:space="preserve">BRAC Strategic Partnership </w:t>
            </w:r>
            <w:r w:rsidR="00307FD8" w:rsidRPr="00307FD8">
              <w:rPr>
                <w:b/>
              </w:rPr>
              <w:t>Arrangement</w:t>
            </w:r>
          </w:p>
        </w:tc>
        <w:tc>
          <w:tcPr>
            <w:tcW w:w="2530" w:type="dxa"/>
          </w:tcPr>
          <w:p w:rsidR="0020428D" w:rsidRPr="00894582" w:rsidRDefault="0020428D" w:rsidP="00D175E3">
            <w:pPr>
              <w:pStyle w:val="TableTextEntries"/>
            </w:pPr>
            <w:r>
              <w:t>INJ597</w:t>
            </w:r>
          </w:p>
        </w:tc>
        <w:tc>
          <w:tcPr>
            <w:tcW w:w="2612" w:type="dxa"/>
          </w:tcPr>
          <w:p w:rsidR="0020428D" w:rsidRPr="00894582" w:rsidRDefault="0020428D" w:rsidP="00D175E3">
            <w:pPr>
              <w:pStyle w:val="TableTextEntries"/>
            </w:pPr>
            <w:r>
              <w:t>Part 2 of Mid Term Review</w:t>
            </w:r>
          </w:p>
        </w:tc>
        <w:tc>
          <w:tcPr>
            <w:tcW w:w="2612" w:type="dxa"/>
          </w:tcPr>
          <w:p w:rsidR="0020428D" w:rsidRPr="00894582" w:rsidRDefault="000A06F7" w:rsidP="00D175E3">
            <w:pPr>
              <w:pStyle w:val="TableTextEntries"/>
              <w:rPr>
                <w:color w:val="000000" w:themeColor="text1" w:themeShade="BF"/>
              </w:rPr>
            </w:pPr>
            <w:r>
              <w:t>To assess how the partnership is tracking and identify areas for improvement.</w:t>
            </w:r>
          </w:p>
        </w:tc>
        <w:tc>
          <w:tcPr>
            <w:tcW w:w="2617" w:type="dxa"/>
          </w:tcPr>
          <w:p w:rsidR="0020428D" w:rsidRPr="00894582" w:rsidRDefault="000A06F7" w:rsidP="00D175E3">
            <w:pPr>
              <w:pStyle w:val="TableTextEntries"/>
            </w:pPr>
            <w:r>
              <w:t>October 2014</w:t>
            </w:r>
          </w:p>
        </w:tc>
      </w:tr>
      <w:tr w:rsidR="0020428D" w:rsidRPr="00894582" w:rsidTr="00D175E3">
        <w:tc>
          <w:tcPr>
            <w:tcW w:w="2601" w:type="dxa"/>
          </w:tcPr>
          <w:p w:rsidR="0020428D" w:rsidRPr="00281F07" w:rsidRDefault="0020428D" w:rsidP="008A6534">
            <w:pPr>
              <w:pStyle w:val="TableTextEntries"/>
              <w:rPr>
                <w:b/>
              </w:rPr>
            </w:pPr>
            <w:r w:rsidRPr="00281F07">
              <w:rPr>
                <w:b/>
              </w:rPr>
              <w:lastRenderedPageBreak/>
              <w:t xml:space="preserve">Core Support to </w:t>
            </w:r>
            <w:r w:rsidR="008A6534">
              <w:rPr>
                <w:b/>
              </w:rPr>
              <w:t>icddr,b</w:t>
            </w:r>
            <w:r w:rsidRPr="00281F07">
              <w:rPr>
                <w:b/>
              </w:rPr>
              <w:t xml:space="preserve"> for 2010/11– 2013/14</w:t>
            </w:r>
          </w:p>
        </w:tc>
        <w:tc>
          <w:tcPr>
            <w:tcW w:w="2530" w:type="dxa"/>
          </w:tcPr>
          <w:p w:rsidR="0020428D" w:rsidRPr="00894582" w:rsidRDefault="0020428D" w:rsidP="00D175E3">
            <w:pPr>
              <w:pStyle w:val="TableTextEntries"/>
            </w:pPr>
            <w:r>
              <w:t>INJ580</w:t>
            </w:r>
          </w:p>
        </w:tc>
        <w:tc>
          <w:tcPr>
            <w:tcW w:w="2612" w:type="dxa"/>
          </w:tcPr>
          <w:p w:rsidR="0020428D" w:rsidRPr="00894582" w:rsidRDefault="0020428D" w:rsidP="00D175E3">
            <w:pPr>
              <w:pStyle w:val="TableTextEntries"/>
            </w:pPr>
            <w:r>
              <w:t>Core ICDDR,B Annual Review</w:t>
            </w:r>
          </w:p>
        </w:tc>
        <w:tc>
          <w:tcPr>
            <w:tcW w:w="2612" w:type="dxa"/>
          </w:tcPr>
          <w:p w:rsidR="0020428D" w:rsidRPr="00894582" w:rsidRDefault="0020428D" w:rsidP="00D175E3">
            <w:pPr>
              <w:pStyle w:val="TableTextEntries"/>
            </w:pPr>
            <w:r>
              <w:t>To assess ICDDR,B’s performance against indicators</w:t>
            </w:r>
          </w:p>
        </w:tc>
        <w:tc>
          <w:tcPr>
            <w:tcW w:w="2617" w:type="dxa"/>
          </w:tcPr>
          <w:p w:rsidR="0020428D" w:rsidRPr="00894582" w:rsidRDefault="005D3986" w:rsidP="00D175E3">
            <w:pPr>
              <w:pStyle w:val="TableTextEntries"/>
            </w:pPr>
            <w:r>
              <w:t>October 2014</w:t>
            </w:r>
          </w:p>
        </w:tc>
      </w:tr>
      <w:tr w:rsidR="000A06F7" w:rsidRPr="00894582" w:rsidTr="00D175E3">
        <w:tc>
          <w:tcPr>
            <w:tcW w:w="2601" w:type="dxa"/>
          </w:tcPr>
          <w:p w:rsidR="000A06F7" w:rsidRPr="00CF4893" w:rsidRDefault="000A06F7" w:rsidP="00D175E3">
            <w:pPr>
              <w:pStyle w:val="TableTextEntries"/>
              <w:rPr>
                <w:b/>
              </w:rPr>
            </w:pPr>
            <w:r w:rsidRPr="006C29D6">
              <w:rPr>
                <w:b/>
              </w:rPr>
              <w:t>Support to PEDP3</w:t>
            </w:r>
          </w:p>
        </w:tc>
        <w:tc>
          <w:tcPr>
            <w:tcW w:w="2530" w:type="dxa"/>
          </w:tcPr>
          <w:p w:rsidR="000A06F7" w:rsidRPr="00CF4893" w:rsidRDefault="000A06F7" w:rsidP="00D175E3">
            <w:pPr>
              <w:pStyle w:val="TableTextEntries"/>
            </w:pPr>
            <w:r w:rsidRPr="006C29D6">
              <w:t>INJ957</w:t>
            </w:r>
          </w:p>
        </w:tc>
        <w:tc>
          <w:tcPr>
            <w:tcW w:w="2612" w:type="dxa"/>
          </w:tcPr>
          <w:p w:rsidR="000A06F7" w:rsidRDefault="000A06F7" w:rsidP="00D175E3">
            <w:pPr>
              <w:pStyle w:val="TableTextEntries"/>
            </w:pPr>
            <w:r>
              <w:t>Mid Term Review</w:t>
            </w:r>
          </w:p>
        </w:tc>
        <w:tc>
          <w:tcPr>
            <w:tcW w:w="2612" w:type="dxa"/>
          </w:tcPr>
          <w:p w:rsidR="000A06F7" w:rsidRDefault="000A06F7" w:rsidP="00D175E3">
            <w:pPr>
              <w:pStyle w:val="TableTextEntries"/>
            </w:pPr>
            <w:r>
              <w:t>To assess how the program is performing and adjust programs according to the outcomes of the review.</w:t>
            </w:r>
          </w:p>
        </w:tc>
        <w:tc>
          <w:tcPr>
            <w:tcW w:w="2617" w:type="dxa"/>
          </w:tcPr>
          <w:p w:rsidR="000A06F7" w:rsidRPr="00894582" w:rsidRDefault="000A06F7" w:rsidP="00D175E3">
            <w:pPr>
              <w:pStyle w:val="TableTextEntries"/>
            </w:pPr>
            <w:r>
              <w:t>September 2014</w:t>
            </w:r>
          </w:p>
        </w:tc>
      </w:tr>
      <w:tr w:rsidR="000A06F7" w:rsidRPr="00894582" w:rsidTr="00D175E3">
        <w:tc>
          <w:tcPr>
            <w:tcW w:w="2601" w:type="dxa"/>
          </w:tcPr>
          <w:p w:rsidR="000A06F7" w:rsidRDefault="001E2F13" w:rsidP="00D175E3">
            <w:pPr>
              <w:pStyle w:val="TableTextEntries"/>
              <w:rPr>
                <w:b/>
              </w:rPr>
            </w:pPr>
            <w:r>
              <w:rPr>
                <w:b/>
              </w:rPr>
              <w:t>Strengthen</w:t>
            </w:r>
            <w:r w:rsidR="00DB28CC">
              <w:rPr>
                <w:b/>
              </w:rPr>
              <w:t xml:space="preserve">ing </w:t>
            </w:r>
            <w:r>
              <w:rPr>
                <w:b/>
              </w:rPr>
              <w:t xml:space="preserve">Government Social Protection Systems for the Poor (SGSP) </w:t>
            </w:r>
          </w:p>
          <w:p w:rsidR="00BE73D0" w:rsidRDefault="00BE73D0" w:rsidP="00D175E3">
            <w:pPr>
              <w:pStyle w:val="TableTextEntries"/>
              <w:rPr>
                <w:b/>
              </w:rPr>
            </w:pPr>
          </w:p>
          <w:p w:rsidR="00BE73D0" w:rsidRDefault="00BE73D0" w:rsidP="00D175E3">
            <w:pPr>
              <w:pStyle w:val="TableTextEntries"/>
              <w:rPr>
                <w:b/>
              </w:rPr>
            </w:pPr>
          </w:p>
          <w:p w:rsidR="00BE73D0" w:rsidRDefault="00BE73D0" w:rsidP="00D175E3">
            <w:pPr>
              <w:pStyle w:val="TableTextEntries"/>
              <w:rPr>
                <w:b/>
              </w:rPr>
            </w:pPr>
          </w:p>
          <w:p w:rsidR="00BE73D0" w:rsidRPr="00281F07" w:rsidRDefault="00BE73D0" w:rsidP="00D175E3">
            <w:pPr>
              <w:pStyle w:val="TableTextEntries"/>
              <w:rPr>
                <w:b/>
              </w:rPr>
            </w:pPr>
            <w:r>
              <w:rPr>
                <w:b/>
              </w:rPr>
              <w:t>Chars Livelihoods Program</w:t>
            </w:r>
          </w:p>
        </w:tc>
        <w:tc>
          <w:tcPr>
            <w:tcW w:w="2530" w:type="dxa"/>
          </w:tcPr>
          <w:p w:rsidR="000A06F7" w:rsidRDefault="001E2F13" w:rsidP="00D175E3">
            <w:pPr>
              <w:pStyle w:val="TableTextEntries"/>
            </w:pPr>
            <w:r>
              <w:t>INL234</w:t>
            </w: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r>
              <w:t>INL234</w:t>
            </w:r>
          </w:p>
        </w:tc>
        <w:tc>
          <w:tcPr>
            <w:tcW w:w="2612" w:type="dxa"/>
          </w:tcPr>
          <w:p w:rsidR="000A06F7" w:rsidRDefault="001E2F13" w:rsidP="00D175E3">
            <w:pPr>
              <w:pStyle w:val="TableTextEntries"/>
            </w:pPr>
            <w:r>
              <w:t>Annual Review</w:t>
            </w: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r>
              <w:t>Annual Review</w:t>
            </w:r>
          </w:p>
        </w:tc>
        <w:tc>
          <w:tcPr>
            <w:tcW w:w="2612" w:type="dxa"/>
          </w:tcPr>
          <w:p w:rsidR="001E2F13" w:rsidRDefault="00A5245B" w:rsidP="001E2F13">
            <w:pPr>
              <w:rPr>
                <w:rFonts w:eastAsiaTheme="minorHAnsi"/>
                <w:iCs/>
                <w:szCs w:val="17"/>
                <w:lang w:eastAsia="en-US"/>
              </w:rPr>
            </w:pPr>
            <w:r w:rsidRPr="00D46068">
              <w:rPr>
                <w:rFonts w:eastAsiaTheme="minorHAnsi"/>
                <w:iCs/>
                <w:szCs w:val="17"/>
                <w:lang w:eastAsia="en-US"/>
              </w:rPr>
              <w:t xml:space="preserve">To assess the program performance and </w:t>
            </w:r>
            <w:r w:rsidR="001E2F13" w:rsidRPr="00D46068">
              <w:rPr>
                <w:rFonts w:eastAsiaTheme="minorHAnsi"/>
                <w:iCs/>
                <w:szCs w:val="17"/>
                <w:lang w:eastAsia="en-US"/>
              </w:rPr>
              <w:t>suggest if adjustments need to be made in in terms of outputs, indicators and milestones, risks and assumptions.</w:t>
            </w:r>
          </w:p>
          <w:p w:rsidR="00BE73D0" w:rsidRPr="00836739" w:rsidRDefault="00BE73D0" w:rsidP="001E2F13">
            <w:pPr>
              <w:rPr>
                <w:rFonts w:eastAsiaTheme="minorHAnsi"/>
                <w:iCs/>
                <w:szCs w:val="17"/>
                <w:lang w:eastAsia="en-US"/>
              </w:rPr>
            </w:pPr>
          </w:p>
          <w:p w:rsidR="00BE73D0" w:rsidRDefault="00BE73D0" w:rsidP="00BE73D0">
            <w:pPr>
              <w:rPr>
                <w:rFonts w:eastAsiaTheme="minorHAnsi"/>
                <w:iCs/>
                <w:szCs w:val="17"/>
                <w:lang w:eastAsia="en-US"/>
              </w:rPr>
            </w:pPr>
            <w:r w:rsidRPr="00D46068">
              <w:rPr>
                <w:rFonts w:eastAsiaTheme="minorHAnsi"/>
                <w:iCs/>
                <w:szCs w:val="17"/>
                <w:lang w:eastAsia="en-US"/>
              </w:rPr>
              <w:t xml:space="preserve">To assess program performance and </w:t>
            </w:r>
            <w:r w:rsidR="00A624E2">
              <w:rPr>
                <w:rFonts w:eastAsiaTheme="minorHAnsi"/>
                <w:iCs/>
                <w:szCs w:val="17"/>
                <w:lang w:eastAsia="en-US"/>
              </w:rPr>
              <w:t>recommend adjustments to</w:t>
            </w:r>
            <w:r w:rsidRPr="00D46068">
              <w:rPr>
                <w:rFonts w:eastAsiaTheme="minorHAnsi"/>
                <w:iCs/>
                <w:szCs w:val="17"/>
                <w:lang w:eastAsia="en-US"/>
              </w:rPr>
              <w:t xml:space="preserve"> outputs, indicators and milestones, risks and assumptions.</w:t>
            </w:r>
          </w:p>
          <w:p w:rsidR="000A06F7" w:rsidRDefault="000A06F7" w:rsidP="00D46068"/>
        </w:tc>
        <w:tc>
          <w:tcPr>
            <w:tcW w:w="2617" w:type="dxa"/>
          </w:tcPr>
          <w:p w:rsidR="000A06F7" w:rsidRDefault="00A5245B" w:rsidP="00D175E3">
            <w:pPr>
              <w:pStyle w:val="TableTextEntries"/>
            </w:pPr>
            <w:r>
              <w:t>August 2014</w:t>
            </w: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Default="00BE73D0" w:rsidP="00D175E3">
            <w:pPr>
              <w:pStyle w:val="TableTextEntries"/>
            </w:pPr>
          </w:p>
          <w:p w:rsidR="00BE73D0" w:rsidRPr="00894582" w:rsidRDefault="00BE73D0" w:rsidP="00D175E3">
            <w:pPr>
              <w:pStyle w:val="TableTextEntries"/>
            </w:pPr>
            <w:r>
              <w:t>February 2015</w:t>
            </w:r>
          </w:p>
        </w:tc>
      </w:tr>
      <w:tr w:rsidR="000A06F7" w:rsidRPr="00894582" w:rsidTr="00D175E3">
        <w:tc>
          <w:tcPr>
            <w:tcW w:w="2601" w:type="dxa"/>
          </w:tcPr>
          <w:p w:rsidR="000A06F7" w:rsidRPr="00281F07" w:rsidRDefault="000A06F7" w:rsidP="00D175E3">
            <w:pPr>
              <w:pStyle w:val="TableTextEntries"/>
              <w:rPr>
                <w:b/>
              </w:rPr>
            </w:pPr>
          </w:p>
        </w:tc>
        <w:tc>
          <w:tcPr>
            <w:tcW w:w="2530" w:type="dxa"/>
          </w:tcPr>
          <w:p w:rsidR="000A06F7" w:rsidRDefault="000A06F7" w:rsidP="00D175E3">
            <w:pPr>
              <w:pStyle w:val="TableTextEntries"/>
            </w:pPr>
          </w:p>
        </w:tc>
        <w:tc>
          <w:tcPr>
            <w:tcW w:w="2612" w:type="dxa"/>
          </w:tcPr>
          <w:p w:rsidR="000A06F7" w:rsidRDefault="000A06F7" w:rsidP="00D175E3">
            <w:pPr>
              <w:pStyle w:val="TableTextEntries"/>
            </w:pPr>
          </w:p>
        </w:tc>
        <w:tc>
          <w:tcPr>
            <w:tcW w:w="2612" w:type="dxa"/>
          </w:tcPr>
          <w:p w:rsidR="000A06F7" w:rsidRDefault="000A06F7" w:rsidP="00D175E3">
            <w:pPr>
              <w:pStyle w:val="TableTextEntries"/>
            </w:pPr>
          </w:p>
        </w:tc>
        <w:tc>
          <w:tcPr>
            <w:tcW w:w="2617" w:type="dxa"/>
          </w:tcPr>
          <w:p w:rsidR="000A06F7" w:rsidRPr="00894582" w:rsidRDefault="000A06F7" w:rsidP="00D175E3">
            <w:pPr>
              <w:pStyle w:val="TableTextEntries"/>
            </w:pPr>
          </w:p>
        </w:tc>
      </w:tr>
    </w:tbl>
    <w:p w:rsidR="00AF0459" w:rsidRPr="00894582" w:rsidRDefault="00AF0459" w:rsidP="00AF0459">
      <w:pPr>
        <w:rPr>
          <w:rFonts w:ascii="Franklin Gothic Book" w:hAnsi="Franklin Gothic Book"/>
          <w:b/>
          <w:sz w:val="17"/>
          <w:szCs w:val="17"/>
        </w:rPr>
        <w:sectPr w:rsidR="00AF0459" w:rsidRPr="00894582" w:rsidSect="00D175E3">
          <w:footnotePr>
            <w:numRestart w:val="eachPage"/>
          </w:footnotePr>
          <w:type w:val="continuous"/>
          <w:pgSz w:w="16838" w:h="11906" w:orient="landscape" w:code="9"/>
          <w:pgMar w:top="1814" w:right="1814" w:bottom="851" w:left="851" w:header="709" w:footer="425" w:gutter="0"/>
          <w:cols w:space="708"/>
          <w:titlePg/>
          <w:docGrid w:linePitch="360"/>
        </w:sectPr>
      </w:pPr>
    </w:p>
    <w:p w:rsidR="00AF0459" w:rsidRPr="00894582" w:rsidRDefault="00AF0459" w:rsidP="00AF0459">
      <w:pPr>
        <w:pStyle w:val="Heading2"/>
        <w:rPr>
          <w:rFonts w:ascii="Franklin Gothic Book" w:hAnsi="Franklin Gothic Book"/>
          <w:sz w:val="17"/>
          <w:szCs w:val="17"/>
        </w:rPr>
      </w:pPr>
      <w:r w:rsidRPr="00894582">
        <w:rPr>
          <w:rFonts w:ascii="Franklin Gothic Book" w:hAnsi="Franklin Gothic Book"/>
          <w:sz w:val="17"/>
          <w:szCs w:val="17"/>
        </w:rPr>
        <w:lastRenderedPageBreak/>
        <w:t>Annex D</w:t>
      </w:r>
    </w:p>
    <w:p w:rsidR="00AF0459" w:rsidRPr="00894582" w:rsidRDefault="00AF0459" w:rsidP="00AF0459">
      <w:pPr>
        <w:pStyle w:val="Heading2"/>
        <w:rPr>
          <w:rFonts w:ascii="Franklin Gothic Book" w:hAnsi="Franklin Gothic Book"/>
          <w:sz w:val="17"/>
          <w:szCs w:val="17"/>
        </w:rPr>
      </w:pPr>
      <w:r w:rsidRPr="00894582">
        <w:rPr>
          <w:rFonts w:ascii="Franklin Gothic Book" w:hAnsi="Franklin Gothic Book"/>
          <w:sz w:val="17"/>
          <w:szCs w:val="17"/>
        </w:rPr>
        <w:t>Performance Benchmarks 2014</w:t>
      </w:r>
      <w:r w:rsidR="008A6534">
        <w:rPr>
          <w:rFonts w:ascii="Franklin Gothic Book" w:hAnsi="Franklin Gothic Book"/>
          <w:sz w:val="17"/>
          <w:szCs w:val="17"/>
        </w:rPr>
        <w:t>—</w:t>
      </w:r>
      <w:r w:rsidRPr="00894582">
        <w:rPr>
          <w:rFonts w:ascii="Franklin Gothic Book" w:hAnsi="Franklin Gothic Book"/>
          <w:sz w:val="17"/>
          <w:szCs w:val="17"/>
        </w:rPr>
        <w:t>15</w:t>
      </w:r>
    </w:p>
    <w:tbl>
      <w:tblPr>
        <w:tblStyle w:val="DFATTable"/>
        <w:tblW w:w="5000" w:type="pct"/>
        <w:tblLook w:val="04A0" w:firstRow="1" w:lastRow="0" w:firstColumn="1" w:lastColumn="0" w:noHBand="0" w:noVBand="1"/>
      </w:tblPr>
      <w:tblGrid>
        <w:gridCol w:w="3301"/>
        <w:gridCol w:w="3301"/>
        <w:gridCol w:w="7279"/>
      </w:tblGrid>
      <w:tr w:rsidR="00AF0459" w:rsidRPr="00894582" w:rsidTr="00FC0F5B">
        <w:trPr>
          <w:trHeight w:val="259"/>
          <w:tblHeader/>
        </w:trPr>
        <w:tc>
          <w:tcPr>
            <w:tcW w:w="1189" w:type="pct"/>
            <w:tcMar>
              <w:top w:w="57" w:type="dxa"/>
              <w:bottom w:w="57" w:type="dxa"/>
            </w:tcMar>
          </w:tcPr>
          <w:p w:rsidR="00AF0459" w:rsidRPr="00894582" w:rsidRDefault="00AF0459" w:rsidP="00D175E3">
            <w:pPr>
              <w:pStyle w:val="TableHeading1"/>
            </w:pPr>
            <w:r w:rsidRPr="00894582">
              <w:t>Program strategic objective</w:t>
            </w:r>
          </w:p>
        </w:tc>
        <w:tc>
          <w:tcPr>
            <w:tcW w:w="1189" w:type="pct"/>
          </w:tcPr>
          <w:p w:rsidR="00AF0459" w:rsidRPr="00894582" w:rsidRDefault="00AF0459" w:rsidP="00D175E3">
            <w:pPr>
              <w:pStyle w:val="TableHeading1"/>
            </w:pPr>
            <w:r w:rsidRPr="00894582">
              <w:t>2014</w:t>
            </w:r>
            <w:r w:rsidR="008A6534">
              <w:t>—</w:t>
            </w:r>
            <w:r w:rsidRPr="00894582">
              <w:t xml:space="preserve">15 benchmark </w:t>
            </w:r>
          </w:p>
        </w:tc>
        <w:tc>
          <w:tcPr>
            <w:tcW w:w="2622" w:type="pct"/>
          </w:tcPr>
          <w:p w:rsidR="00AF0459" w:rsidRPr="00894582" w:rsidRDefault="00AF0459" w:rsidP="00D175E3">
            <w:pPr>
              <w:pStyle w:val="TableHeading1"/>
            </w:pPr>
            <w:r w:rsidRPr="00894582">
              <w:t>Rationale for selecting this performance benchmark</w:t>
            </w:r>
          </w:p>
        </w:tc>
      </w:tr>
      <w:tr w:rsidR="00AF0459" w:rsidRPr="00894582" w:rsidTr="00D175E3">
        <w:tc>
          <w:tcPr>
            <w:tcW w:w="1189" w:type="pct"/>
            <w:tcMar>
              <w:top w:w="57" w:type="dxa"/>
              <w:bottom w:w="57" w:type="dxa"/>
            </w:tcMar>
          </w:tcPr>
          <w:p w:rsidR="00AF0459" w:rsidRDefault="00FC0F5B" w:rsidP="00D175E3">
            <w:pPr>
              <w:pStyle w:val="TableTextEntries"/>
              <w:rPr>
                <w:sz w:val="18"/>
                <w:szCs w:val="18"/>
              </w:rPr>
            </w:pPr>
            <w:r>
              <w:rPr>
                <w:sz w:val="18"/>
                <w:szCs w:val="18"/>
              </w:rPr>
              <w:t xml:space="preserve">Objective 1: </w:t>
            </w:r>
            <w:r w:rsidR="00284091" w:rsidRPr="000A3AF0">
              <w:rPr>
                <w:sz w:val="18"/>
                <w:szCs w:val="18"/>
              </w:rPr>
              <w:t>Increased equity of access to, and improved outcomes from, health and education services</w:t>
            </w: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284091" w:rsidRDefault="00284091" w:rsidP="00D175E3">
            <w:pPr>
              <w:pStyle w:val="TableTextEntries"/>
              <w:rPr>
                <w:sz w:val="18"/>
                <w:szCs w:val="18"/>
              </w:rPr>
            </w:pPr>
          </w:p>
          <w:p w:rsidR="00485285" w:rsidRDefault="00485285" w:rsidP="00D175E3">
            <w:pPr>
              <w:pStyle w:val="TableTextEntries"/>
              <w:rPr>
                <w:sz w:val="18"/>
                <w:szCs w:val="18"/>
              </w:rPr>
            </w:pPr>
          </w:p>
          <w:p w:rsidR="00485285" w:rsidRDefault="00485285" w:rsidP="00D175E3">
            <w:pPr>
              <w:pStyle w:val="TableTextEntries"/>
              <w:rPr>
                <w:sz w:val="18"/>
                <w:szCs w:val="18"/>
              </w:rPr>
            </w:pPr>
          </w:p>
          <w:p w:rsidR="00485285" w:rsidRDefault="00485285" w:rsidP="00D175E3">
            <w:pPr>
              <w:pStyle w:val="TableTextEntries"/>
              <w:rPr>
                <w:sz w:val="18"/>
                <w:szCs w:val="18"/>
              </w:rPr>
            </w:pPr>
          </w:p>
          <w:p w:rsidR="000C7A7A" w:rsidRDefault="000C7A7A" w:rsidP="00D175E3">
            <w:pPr>
              <w:pStyle w:val="TableTextEntries"/>
              <w:rPr>
                <w:sz w:val="18"/>
                <w:szCs w:val="18"/>
              </w:rPr>
            </w:pPr>
          </w:p>
          <w:p w:rsidR="000C7A7A" w:rsidRDefault="000C7A7A" w:rsidP="00D175E3">
            <w:pPr>
              <w:pStyle w:val="TableTextEntries"/>
              <w:rPr>
                <w:sz w:val="18"/>
                <w:szCs w:val="18"/>
              </w:rPr>
            </w:pPr>
          </w:p>
          <w:p w:rsidR="000C7A7A" w:rsidRDefault="000C7A7A" w:rsidP="00D175E3">
            <w:pPr>
              <w:pStyle w:val="TableTextEntries"/>
              <w:rPr>
                <w:sz w:val="18"/>
                <w:szCs w:val="18"/>
              </w:rPr>
            </w:pPr>
          </w:p>
          <w:p w:rsidR="0027058D" w:rsidRDefault="0027058D" w:rsidP="00D175E3">
            <w:pPr>
              <w:pStyle w:val="TableTextEntries"/>
              <w:rPr>
                <w:sz w:val="18"/>
                <w:szCs w:val="18"/>
              </w:rPr>
            </w:pPr>
          </w:p>
          <w:p w:rsidR="0091037E" w:rsidRDefault="0091037E" w:rsidP="00D175E3">
            <w:pPr>
              <w:pStyle w:val="TableTextEntries"/>
              <w:rPr>
                <w:sz w:val="18"/>
                <w:szCs w:val="18"/>
              </w:rPr>
            </w:pPr>
          </w:p>
          <w:p w:rsidR="00284091" w:rsidRDefault="00FC0F5B" w:rsidP="00D175E3">
            <w:pPr>
              <w:pStyle w:val="TableTextEntries"/>
              <w:rPr>
                <w:sz w:val="18"/>
                <w:szCs w:val="18"/>
              </w:rPr>
            </w:pPr>
            <w:r>
              <w:rPr>
                <w:sz w:val="18"/>
                <w:szCs w:val="18"/>
              </w:rPr>
              <w:t xml:space="preserve">Objective 2: </w:t>
            </w:r>
            <w:r w:rsidR="00284091">
              <w:rPr>
                <w:sz w:val="18"/>
                <w:szCs w:val="18"/>
              </w:rPr>
              <w:t>F</w:t>
            </w:r>
            <w:r w:rsidR="00284091" w:rsidRPr="00C22173">
              <w:rPr>
                <w:sz w:val="18"/>
                <w:szCs w:val="18"/>
              </w:rPr>
              <w:t>ewer women and men living in extreme poverty and vulnerable to economic and natural shocks</w:t>
            </w:r>
          </w:p>
          <w:p w:rsidR="00F9108A" w:rsidRDefault="00F9108A" w:rsidP="00D175E3">
            <w:pPr>
              <w:pStyle w:val="TableTextEntries"/>
              <w:rPr>
                <w:sz w:val="18"/>
                <w:szCs w:val="18"/>
              </w:rPr>
            </w:pPr>
          </w:p>
          <w:p w:rsidR="00F9108A" w:rsidRDefault="00F9108A" w:rsidP="00D175E3">
            <w:pPr>
              <w:pStyle w:val="TableTextEntries"/>
              <w:rPr>
                <w:sz w:val="18"/>
                <w:szCs w:val="18"/>
              </w:rPr>
            </w:pPr>
          </w:p>
          <w:p w:rsidR="00682F22" w:rsidRDefault="00682F22" w:rsidP="00D175E3">
            <w:pPr>
              <w:pStyle w:val="TableTextEntries"/>
              <w:rPr>
                <w:sz w:val="18"/>
                <w:szCs w:val="18"/>
              </w:rPr>
            </w:pPr>
          </w:p>
          <w:p w:rsidR="00A12C43" w:rsidRDefault="00A12C43" w:rsidP="00D175E3">
            <w:pPr>
              <w:pStyle w:val="TableTextEntries"/>
              <w:rPr>
                <w:sz w:val="18"/>
                <w:szCs w:val="18"/>
              </w:rPr>
            </w:pPr>
          </w:p>
          <w:p w:rsidR="00A12C43" w:rsidRDefault="00A12C43" w:rsidP="00D175E3">
            <w:pPr>
              <w:pStyle w:val="TableTextEntries"/>
              <w:rPr>
                <w:sz w:val="18"/>
                <w:szCs w:val="18"/>
              </w:rPr>
            </w:pPr>
          </w:p>
          <w:p w:rsidR="000C5008" w:rsidRDefault="000C5008" w:rsidP="00D175E3">
            <w:pPr>
              <w:pStyle w:val="TableTextEntries"/>
              <w:rPr>
                <w:sz w:val="18"/>
                <w:szCs w:val="18"/>
              </w:rPr>
            </w:pPr>
          </w:p>
          <w:p w:rsidR="000C5008" w:rsidRDefault="000C5008" w:rsidP="00D175E3">
            <w:pPr>
              <w:pStyle w:val="TableTextEntries"/>
              <w:rPr>
                <w:sz w:val="18"/>
                <w:szCs w:val="18"/>
              </w:rPr>
            </w:pPr>
          </w:p>
          <w:p w:rsidR="00F9108A" w:rsidRDefault="0027058D" w:rsidP="00D175E3">
            <w:pPr>
              <w:pStyle w:val="TableTextEntries"/>
              <w:rPr>
                <w:sz w:val="18"/>
                <w:szCs w:val="18"/>
              </w:rPr>
            </w:pPr>
            <w:r>
              <w:rPr>
                <w:sz w:val="18"/>
                <w:szCs w:val="18"/>
              </w:rPr>
              <w:t>O</w:t>
            </w:r>
            <w:r w:rsidR="00FC0F5B">
              <w:rPr>
                <w:sz w:val="18"/>
                <w:szCs w:val="18"/>
              </w:rPr>
              <w:t xml:space="preserve">bjective 3: </w:t>
            </w:r>
            <w:r w:rsidR="00F9108A" w:rsidRPr="00F34518">
              <w:rPr>
                <w:sz w:val="18"/>
                <w:szCs w:val="18"/>
              </w:rPr>
              <w:t>Women and marginalised groups better able to demand services and assert rights</w:t>
            </w:r>
          </w:p>
          <w:p w:rsidR="00C111E3" w:rsidRDefault="00C111E3" w:rsidP="00D175E3">
            <w:pPr>
              <w:pStyle w:val="TableTextEntries"/>
              <w:rPr>
                <w:sz w:val="18"/>
                <w:szCs w:val="18"/>
              </w:rPr>
            </w:pPr>
          </w:p>
          <w:p w:rsidR="00C111E3" w:rsidRDefault="00C111E3" w:rsidP="00D175E3">
            <w:pPr>
              <w:pStyle w:val="TableTextEntries"/>
              <w:rPr>
                <w:sz w:val="18"/>
                <w:szCs w:val="18"/>
              </w:rPr>
            </w:pPr>
          </w:p>
          <w:p w:rsidR="00C111E3" w:rsidRDefault="00C111E3" w:rsidP="00D175E3">
            <w:pPr>
              <w:pStyle w:val="TableTextEntries"/>
              <w:rPr>
                <w:sz w:val="18"/>
                <w:szCs w:val="18"/>
              </w:rPr>
            </w:pPr>
          </w:p>
          <w:p w:rsidR="00C111E3" w:rsidRDefault="00C111E3" w:rsidP="00D175E3">
            <w:pPr>
              <w:pStyle w:val="TableTextEntries"/>
              <w:rPr>
                <w:sz w:val="18"/>
                <w:szCs w:val="18"/>
              </w:rPr>
            </w:pPr>
          </w:p>
          <w:p w:rsidR="00C111E3" w:rsidRDefault="00C111E3" w:rsidP="00D175E3">
            <w:pPr>
              <w:pStyle w:val="TableTextEntries"/>
              <w:rPr>
                <w:sz w:val="18"/>
                <w:szCs w:val="18"/>
              </w:rPr>
            </w:pPr>
          </w:p>
          <w:p w:rsidR="00C111E3" w:rsidRDefault="00C111E3" w:rsidP="00D175E3">
            <w:pPr>
              <w:pStyle w:val="TableTextEntries"/>
              <w:rPr>
                <w:sz w:val="18"/>
                <w:szCs w:val="18"/>
              </w:rPr>
            </w:pPr>
          </w:p>
          <w:p w:rsidR="00C111E3" w:rsidRDefault="00C111E3" w:rsidP="00D175E3">
            <w:pPr>
              <w:pStyle w:val="TableTextEntries"/>
              <w:rPr>
                <w:sz w:val="18"/>
                <w:szCs w:val="18"/>
              </w:rPr>
            </w:pPr>
          </w:p>
          <w:p w:rsidR="00C111E3" w:rsidRDefault="00C111E3" w:rsidP="00D175E3">
            <w:pPr>
              <w:pStyle w:val="TableTextEntries"/>
              <w:rPr>
                <w:sz w:val="18"/>
                <w:szCs w:val="18"/>
              </w:rPr>
            </w:pPr>
          </w:p>
          <w:p w:rsidR="00284091" w:rsidRPr="00894582" w:rsidRDefault="00284091" w:rsidP="00817CE1">
            <w:pPr>
              <w:pStyle w:val="TableTextEntries"/>
            </w:pPr>
          </w:p>
        </w:tc>
        <w:tc>
          <w:tcPr>
            <w:tcW w:w="1189" w:type="pct"/>
          </w:tcPr>
          <w:p w:rsidR="00284091" w:rsidRDefault="00284091" w:rsidP="00284091">
            <w:pPr>
              <w:rPr>
                <w:rFonts w:ascii="Franklin Gothic Book" w:hAnsi="Franklin Gothic Book"/>
                <w:iCs/>
                <w:sz w:val="18"/>
                <w:szCs w:val="18"/>
              </w:rPr>
            </w:pPr>
            <w:r>
              <w:rPr>
                <w:rFonts w:ascii="Franklin Gothic Book" w:hAnsi="Franklin Gothic Book"/>
                <w:iCs/>
                <w:sz w:val="18"/>
                <w:szCs w:val="18"/>
              </w:rPr>
              <w:lastRenderedPageBreak/>
              <w:t>368,450 children (60% girls) complete a course of primary or pre-primary education in BRAC schools</w:t>
            </w:r>
          </w:p>
          <w:p w:rsidR="00284091" w:rsidRDefault="00284091" w:rsidP="00284091">
            <w:pPr>
              <w:rPr>
                <w:rFonts w:ascii="Franklin Gothic Book" w:hAnsi="Franklin Gothic Book"/>
                <w:iCs/>
                <w:sz w:val="18"/>
                <w:szCs w:val="18"/>
              </w:rPr>
            </w:pPr>
          </w:p>
          <w:p w:rsidR="00FA7F97" w:rsidRDefault="00FA7F97" w:rsidP="00284091">
            <w:pPr>
              <w:rPr>
                <w:rFonts w:ascii="Franklin Gothic Book" w:hAnsi="Franklin Gothic Book"/>
                <w:iCs/>
                <w:sz w:val="18"/>
                <w:szCs w:val="18"/>
              </w:rPr>
            </w:pPr>
          </w:p>
          <w:p w:rsidR="00FA7F97" w:rsidRDefault="00FA7F97" w:rsidP="00284091">
            <w:pPr>
              <w:rPr>
                <w:rFonts w:ascii="Franklin Gothic Book" w:hAnsi="Franklin Gothic Book"/>
                <w:iCs/>
                <w:sz w:val="18"/>
                <w:szCs w:val="18"/>
              </w:rPr>
            </w:pPr>
          </w:p>
          <w:p w:rsidR="00922C38" w:rsidRDefault="00922C38" w:rsidP="00284091">
            <w:pPr>
              <w:rPr>
                <w:rFonts w:ascii="Franklin Gothic Book" w:hAnsi="Franklin Gothic Book"/>
                <w:iCs/>
                <w:sz w:val="18"/>
                <w:szCs w:val="18"/>
              </w:rPr>
            </w:pPr>
          </w:p>
          <w:p w:rsidR="00A624E2" w:rsidRDefault="00A624E2" w:rsidP="00284091">
            <w:pPr>
              <w:rPr>
                <w:rFonts w:ascii="Franklin Gothic Book" w:hAnsi="Franklin Gothic Book"/>
                <w:iCs/>
                <w:sz w:val="18"/>
                <w:szCs w:val="18"/>
              </w:rPr>
            </w:pPr>
          </w:p>
          <w:p w:rsidR="0091037E" w:rsidRDefault="0091037E" w:rsidP="00284091">
            <w:pPr>
              <w:rPr>
                <w:rFonts w:ascii="Franklin Gothic Book" w:hAnsi="Franklin Gothic Book"/>
                <w:iCs/>
                <w:sz w:val="18"/>
                <w:szCs w:val="18"/>
              </w:rPr>
            </w:pPr>
          </w:p>
          <w:p w:rsidR="00410EB6" w:rsidRDefault="00410EB6" w:rsidP="00284091">
            <w:pPr>
              <w:rPr>
                <w:rFonts w:ascii="Franklin Gothic Book" w:hAnsi="Franklin Gothic Book"/>
                <w:iCs/>
                <w:sz w:val="18"/>
                <w:szCs w:val="18"/>
              </w:rPr>
            </w:pPr>
            <w:r>
              <w:rPr>
                <w:rFonts w:ascii="Franklin Gothic Book" w:hAnsi="Franklin Gothic Book"/>
                <w:iCs/>
                <w:sz w:val="18"/>
                <w:szCs w:val="18"/>
              </w:rPr>
              <w:t>Chairing donor consortium to the Government of Bangladesh’s Primary Education Development Program</w:t>
            </w:r>
          </w:p>
          <w:p w:rsidR="00922C38" w:rsidRDefault="00922C38" w:rsidP="00284091">
            <w:pPr>
              <w:rPr>
                <w:rFonts w:ascii="Franklin Gothic Book" w:hAnsi="Franklin Gothic Book"/>
                <w:iCs/>
                <w:sz w:val="18"/>
                <w:szCs w:val="18"/>
              </w:rPr>
            </w:pPr>
          </w:p>
          <w:p w:rsidR="00922C38" w:rsidRDefault="00922C38" w:rsidP="00922C38">
            <w:pPr>
              <w:rPr>
                <w:rFonts w:ascii="Franklin Gothic Book" w:hAnsi="Franklin Gothic Book"/>
                <w:iCs/>
                <w:sz w:val="18"/>
                <w:szCs w:val="18"/>
              </w:rPr>
            </w:pPr>
          </w:p>
          <w:p w:rsidR="00E34155" w:rsidRDefault="00E34155" w:rsidP="00922C38">
            <w:pPr>
              <w:rPr>
                <w:rFonts w:ascii="Franklin Gothic Book" w:hAnsi="Franklin Gothic Book"/>
                <w:iCs/>
                <w:sz w:val="18"/>
                <w:szCs w:val="18"/>
              </w:rPr>
            </w:pPr>
          </w:p>
          <w:p w:rsidR="00922C38" w:rsidRDefault="00780DD6" w:rsidP="00922C38">
            <w:pPr>
              <w:rPr>
                <w:rFonts w:ascii="Franklin Gothic Book" w:hAnsi="Franklin Gothic Book"/>
                <w:iCs/>
                <w:sz w:val="18"/>
                <w:szCs w:val="18"/>
              </w:rPr>
            </w:pPr>
            <w:r>
              <w:rPr>
                <w:rFonts w:ascii="Franklin Gothic Book" w:hAnsi="Franklin Gothic Book"/>
                <w:iCs/>
                <w:sz w:val="18"/>
                <w:szCs w:val="18"/>
              </w:rPr>
              <w:t>50</w:t>
            </w:r>
            <w:r w:rsidR="00922C38">
              <w:rPr>
                <w:rFonts w:ascii="Franklin Gothic Book" w:hAnsi="Franklin Gothic Book"/>
                <w:iCs/>
                <w:sz w:val="18"/>
                <w:szCs w:val="18"/>
              </w:rPr>
              <w:t>% of</w:t>
            </w:r>
            <w:r w:rsidR="00682F22">
              <w:rPr>
                <w:rFonts w:ascii="Franklin Gothic Book" w:hAnsi="Franklin Gothic Book"/>
                <w:iCs/>
                <w:sz w:val="18"/>
                <w:szCs w:val="18"/>
              </w:rPr>
              <w:t xml:space="preserve"> donor fund disbursement is </w:t>
            </w:r>
            <w:r w:rsidR="00922C38">
              <w:rPr>
                <w:rFonts w:ascii="Franklin Gothic Book" w:hAnsi="Franklin Gothic Book"/>
                <w:iCs/>
                <w:sz w:val="18"/>
                <w:szCs w:val="18"/>
              </w:rPr>
              <w:t>directly linked to results achieved (under the Government</w:t>
            </w:r>
            <w:r w:rsidR="008A6534">
              <w:rPr>
                <w:rFonts w:ascii="Franklin Gothic Book" w:hAnsi="Franklin Gothic Book"/>
                <w:iCs/>
                <w:sz w:val="18"/>
                <w:szCs w:val="18"/>
              </w:rPr>
              <w:t xml:space="preserve"> of Bangladesh</w:t>
            </w:r>
            <w:r w:rsidR="00922C38">
              <w:rPr>
                <w:rFonts w:ascii="Franklin Gothic Book" w:hAnsi="Franklin Gothic Book"/>
                <w:iCs/>
                <w:sz w:val="18"/>
                <w:szCs w:val="18"/>
              </w:rPr>
              <w:t>’s primary education program) with the remaining 50% subject to meeting annual audit requirements</w:t>
            </w:r>
          </w:p>
          <w:p w:rsidR="00410EB6" w:rsidRDefault="00410EB6" w:rsidP="00284091">
            <w:pPr>
              <w:rPr>
                <w:rFonts w:ascii="Franklin Gothic Book" w:hAnsi="Franklin Gothic Book"/>
                <w:iCs/>
                <w:sz w:val="18"/>
                <w:szCs w:val="18"/>
              </w:rPr>
            </w:pPr>
          </w:p>
          <w:p w:rsidR="00F12498" w:rsidRDefault="00F12498" w:rsidP="00284091">
            <w:pPr>
              <w:rPr>
                <w:rFonts w:ascii="Franklin Gothic Book" w:hAnsi="Franklin Gothic Book"/>
                <w:iCs/>
                <w:sz w:val="18"/>
                <w:szCs w:val="18"/>
              </w:rPr>
            </w:pPr>
          </w:p>
          <w:p w:rsidR="00F12498" w:rsidRDefault="008B5EA9" w:rsidP="00F12498">
            <w:pPr>
              <w:rPr>
                <w:rFonts w:ascii="Franklin Gothic Book" w:hAnsi="Franklin Gothic Book"/>
                <w:iCs/>
                <w:sz w:val="18"/>
                <w:szCs w:val="18"/>
              </w:rPr>
            </w:pPr>
            <w:r>
              <w:rPr>
                <w:rFonts w:ascii="Franklin Gothic Book" w:hAnsi="Franklin Gothic Book"/>
                <w:iCs/>
                <w:sz w:val="18"/>
                <w:szCs w:val="18"/>
              </w:rPr>
              <w:t>At least 50% of scholarships in each intake awarded to women</w:t>
            </w:r>
            <w:r w:rsidR="00F12498">
              <w:rPr>
                <w:rFonts w:ascii="Franklin Gothic Book" w:hAnsi="Franklin Gothic Book"/>
                <w:iCs/>
                <w:sz w:val="18"/>
                <w:szCs w:val="18"/>
              </w:rPr>
              <w:t xml:space="preserve"> </w:t>
            </w:r>
          </w:p>
          <w:p w:rsidR="00F12498" w:rsidRDefault="00F12498" w:rsidP="00284091">
            <w:pPr>
              <w:rPr>
                <w:rFonts w:ascii="Franklin Gothic Book" w:hAnsi="Franklin Gothic Book"/>
                <w:iCs/>
                <w:sz w:val="18"/>
                <w:szCs w:val="18"/>
              </w:rPr>
            </w:pPr>
          </w:p>
          <w:p w:rsidR="00FA7F97" w:rsidRDefault="00FA7F97" w:rsidP="00284091">
            <w:pPr>
              <w:rPr>
                <w:rFonts w:ascii="Franklin Gothic Book" w:hAnsi="Franklin Gothic Book"/>
                <w:iCs/>
                <w:sz w:val="18"/>
                <w:szCs w:val="18"/>
              </w:rPr>
            </w:pPr>
          </w:p>
          <w:p w:rsidR="00284091" w:rsidRDefault="00284091" w:rsidP="00284091">
            <w:pPr>
              <w:rPr>
                <w:rFonts w:ascii="Franklin Gothic Book" w:hAnsi="Franklin Gothic Book"/>
                <w:iCs/>
                <w:sz w:val="18"/>
                <w:szCs w:val="18"/>
              </w:rPr>
            </w:pPr>
          </w:p>
          <w:p w:rsidR="00F9108A" w:rsidRDefault="00F9108A" w:rsidP="00284091">
            <w:pPr>
              <w:rPr>
                <w:rFonts w:ascii="Franklin Gothic Book" w:hAnsi="Franklin Gothic Book"/>
                <w:iCs/>
                <w:sz w:val="18"/>
                <w:szCs w:val="18"/>
              </w:rPr>
            </w:pPr>
            <w:r>
              <w:rPr>
                <w:rFonts w:ascii="Franklin Gothic Book" w:hAnsi="Franklin Gothic Book"/>
                <w:iCs/>
                <w:sz w:val="18"/>
                <w:szCs w:val="18"/>
              </w:rPr>
              <w:t xml:space="preserve">The number of </w:t>
            </w:r>
            <w:r w:rsidR="00EB4469">
              <w:rPr>
                <w:rFonts w:ascii="Franklin Gothic Book" w:hAnsi="Franklin Gothic Book"/>
                <w:iCs/>
                <w:sz w:val="18"/>
                <w:szCs w:val="18"/>
              </w:rPr>
              <w:t xml:space="preserve">female headed </w:t>
            </w:r>
            <w:r>
              <w:rPr>
                <w:rFonts w:ascii="Franklin Gothic Book" w:hAnsi="Franklin Gothic Book"/>
                <w:iCs/>
                <w:sz w:val="18"/>
                <w:szCs w:val="18"/>
              </w:rPr>
              <w:t>households graduating from BRAC ultra-</w:t>
            </w:r>
            <w:r>
              <w:rPr>
                <w:rFonts w:ascii="Franklin Gothic Book" w:hAnsi="Franklin Gothic Book"/>
                <w:iCs/>
                <w:sz w:val="18"/>
                <w:szCs w:val="18"/>
              </w:rPr>
              <w:lastRenderedPageBreak/>
              <w:t>poor programs since 2011 reaches 269,000</w:t>
            </w:r>
          </w:p>
          <w:p w:rsidR="00F9108A" w:rsidRDefault="00F9108A" w:rsidP="00284091">
            <w:pPr>
              <w:rPr>
                <w:rFonts w:ascii="Franklin Gothic Book" w:hAnsi="Franklin Gothic Book"/>
                <w:iCs/>
                <w:sz w:val="18"/>
                <w:szCs w:val="18"/>
              </w:rPr>
            </w:pPr>
          </w:p>
          <w:p w:rsidR="0091037E" w:rsidRDefault="0091037E" w:rsidP="00A12C43">
            <w:pPr>
              <w:rPr>
                <w:rFonts w:ascii="Franklin Gothic Book" w:hAnsi="Franklin Gothic Book"/>
                <w:iCs/>
                <w:sz w:val="18"/>
                <w:szCs w:val="18"/>
              </w:rPr>
            </w:pPr>
          </w:p>
          <w:p w:rsidR="00A12C43" w:rsidRPr="00D21D76" w:rsidRDefault="00B340C1" w:rsidP="00A12C43">
            <w:pPr>
              <w:rPr>
                <w:rFonts w:ascii="Franklin Gothic Book" w:hAnsi="Franklin Gothic Book"/>
                <w:iCs/>
                <w:sz w:val="18"/>
                <w:szCs w:val="18"/>
              </w:rPr>
            </w:pPr>
            <w:r w:rsidRPr="006C29D6">
              <w:rPr>
                <w:rFonts w:ascii="Franklin Gothic Book" w:hAnsi="Franklin Gothic Book"/>
                <w:iCs/>
                <w:sz w:val="18"/>
                <w:szCs w:val="18"/>
              </w:rPr>
              <w:t>Social Protection Unit</w:t>
            </w:r>
            <w:r w:rsidR="00CF4893">
              <w:rPr>
                <w:rFonts w:ascii="Franklin Gothic Book" w:hAnsi="Franklin Gothic Book"/>
                <w:iCs/>
                <w:sz w:val="18"/>
                <w:szCs w:val="18"/>
              </w:rPr>
              <w:t xml:space="preserve"> </w:t>
            </w:r>
            <w:r w:rsidRPr="006C29D6">
              <w:rPr>
                <w:rFonts w:ascii="Franklin Gothic Book" w:hAnsi="Franklin Gothic Book"/>
                <w:iCs/>
                <w:sz w:val="18"/>
                <w:szCs w:val="18"/>
              </w:rPr>
              <w:t>established and operational at the Ministry of Finance</w:t>
            </w:r>
          </w:p>
          <w:p w:rsidR="00682F22" w:rsidRDefault="00682F22" w:rsidP="00F9108A">
            <w:pPr>
              <w:rPr>
                <w:rFonts w:ascii="Franklin Gothic Book" w:hAnsi="Franklin Gothic Book"/>
                <w:iCs/>
                <w:sz w:val="18"/>
                <w:szCs w:val="18"/>
              </w:rPr>
            </w:pPr>
          </w:p>
          <w:p w:rsidR="00682F22" w:rsidRDefault="00682F22" w:rsidP="00F9108A">
            <w:pPr>
              <w:rPr>
                <w:rFonts w:ascii="Franklin Gothic Book" w:hAnsi="Franklin Gothic Book"/>
                <w:iCs/>
                <w:sz w:val="18"/>
                <w:szCs w:val="18"/>
              </w:rPr>
            </w:pPr>
          </w:p>
          <w:p w:rsidR="000C5008" w:rsidRDefault="000C5008" w:rsidP="00F9108A">
            <w:pPr>
              <w:rPr>
                <w:rFonts w:ascii="Franklin Gothic Book" w:hAnsi="Franklin Gothic Book"/>
                <w:iCs/>
                <w:sz w:val="18"/>
                <w:szCs w:val="18"/>
              </w:rPr>
            </w:pPr>
          </w:p>
          <w:p w:rsidR="00F9108A" w:rsidRDefault="00220928" w:rsidP="00F9108A">
            <w:pPr>
              <w:rPr>
                <w:rFonts w:ascii="Franklin Gothic Book" w:hAnsi="Franklin Gothic Book"/>
                <w:iCs/>
                <w:sz w:val="18"/>
                <w:szCs w:val="18"/>
              </w:rPr>
            </w:pPr>
            <w:r>
              <w:rPr>
                <w:rFonts w:ascii="Franklin Gothic Book" w:hAnsi="Franklin Gothic Book"/>
                <w:iCs/>
                <w:sz w:val="18"/>
                <w:szCs w:val="18"/>
              </w:rPr>
              <w:t>At least 75</w:t>
            </w:r>
            <w:r w:rsidR="008A6534">
              <w:rPr>
                <w:rFonts w:ascii="Franklin Gothic Book" w:hAnsi="Franklin Gothic Book"/>
                <w:iCs/>
                <w:sz w:val="18"/>
                <w:szCs w:val="18"/>
              </w:rPr>
              <w:t>%</w:t>
            </w:r>
            <w:r>
              <w:rPr>
                <w:rFonts w:ascii="Franklin Gothic Book" w:hAnsi="Franklin Gothic Book"/>
                <w:iCs/>
                <w:sz w:val="18"/>
                <w:szCs w:val="18"/>
              </w:rPr>
              <w:t xml:space="preserve"> of</w:t>
            </w:r>
            <w:r w:rsidR="00A12C43">
              <w:rPr>
                <w:rFonts w:ascii="Franklin Gothic Book" w:hAnsi="Franklin Gothic Book"/>
                <w:iCs/>
                <w:sz w:val="18"/>
                <w:szCs w:val="18"/>
              </w:rPr>
              <w:t xml:space="preserve"> </w:t>
            </w:r>
            <w:r>
              <w:rPr>
                <w:rFonts w:ascii="Franklin Gothic Book" w:hAnsi="Franklin Gothic Book"/>
                <w:iCs/>
                <w:sz w:val="18"/>
                <w:szCs w:val="18"/>
              </w:rPr>
              <w:t xml:space="preserve">malnourished women and children treated </w:t>
            </w:r>
            <w:r w:rsidR="00C2762E">
              <w:rPr>
                <w:rFonts w:ascii="Franklin Gothic Book" w:hAnsi="Franklin Gothic Book"/>
                <w:iCs/>
                <w:sz w:val="18"/>
                <w:szCs w:val="18"/>
              </w:rPr>
              <w:t xml:space="preserve">by </w:t>
            </w:r>
            <w:r w:rsidR="00F9108A" w:rsidRPr="00B6379C">
              <w:rPr>
                <w:rFonts w:ascii="Franklin Gothic Book" w:hAnsi="Franklin Gothic Book"/>
                <w:iCs/>
                <w:sz w:val="18"/>
                <w:szCs w:val="18"/>
              </w:rPr>
              <w:t>WFP</w:t>
            </w:r>
            <w:r w:rsidR="00F9108A">
              <w:rPr>
                <w:rFonts w:ascii="Franklin Gothic Book" w:hAnsi="Franklin Gothic Book"/>
                <w:iCs/>
                <w:sz w:val="18"/>
                <w:szCs w:val="18"/>
              </w:rPr>
              <w:t xml:space="preserve"> </w:t>
            </w:r>
            <w:r w:rsidR="00970C77">
              <w:rPr>
                <w:rFonts w:ascii="Franklin Gothic Book" w:hAnsi="Franklin Gothic Book"/>
                <w:iCs/>
                <w:sz w:val="18"/>
                <w:szCs w:val="18"/>
              </w:rPr>
              <w:t>in Cox’s Bazar</w:t>
            </w:r>
            <w:r w:rsidR="00C2762E">
              <w:rPr>
                <w:rFonts w:ascii="Franklin Gothic Book" w:hAnsi="Franklin Gothic Book"/>
                <w:iCs/>
                <w:sz w:val="18"/>
                <w:szCs w:val="18"/>
              </w:rPr>
              <w:t xml:space="preserve"> District i</w:t>
            </w:r>
            <w:r w:rsidR="000C5008">
              <w:rPr>
                <w:rFonts w:ascii="Franklin Gothic Book" w:hAnsi="Franklin Gothic Book"/>
                <w:iCs/>
                <w:sz w:val="18"/>
                <w:szCs w:val="18"/>
              </w:rPr>
              <w:t>mprove their nutritional status</w:t>
            </w:r>
          </w:p>
          <w:p w:rsidR="00F9108A" w:rsidRDefault="00F9108A" w:rsidP="00F9108A">
            <w:pPr>
              <w:rPr>
                <w:rFonts w:ascii="Franklin Gothic Book" w:hAnsi="Franklin Gothic Book"/>
                <w:iCs/>
                <w:sz w:val="18"/>
                <w:szCs w:val="18"/>
              </w:rPr>
            </w:pPr>
          </w:p>
          <w:p w:rsidR="00FA7F97" w:rsidRDefault="00FA7F97" w:rsidP="00F9108A">
            <w:pPr>
              <w:rPr>
                <w:rFonts w:ascii="Franklin Gothic Book" w:hAnsi="Franklin Gothic Book"/>
                <w:iCs/>
                <w:sz w:val="18"/>
                <w:szCs w:val="18"/>
              </w:rPr>
            </w:pPr>
          </w:p>
          <w:p w:rsidR="00A12C43" w:rsidRDefault="00A12C43" w:rsidP="00F9108A">
            <w:pPr>
              <w:rPr>
                <w:rFonts w:ascii="Franklin Gothic Book" w:hAnsi="Franklin Gothic Book"/>
                <w:iCs/>
                <w:sz w:val="18"/>
                <w:szCs w:val="18"/>
              </w:rPr>
            </w:pPr>
          </w:p>
          <w:p w:rsidR="000C5008" w:rsidRDefault="000C5008" w:rsidP="00F9108A">
            <w:pPr>
              <w:rPr>
                <w:rFonts w:ascii="Franklin Gothic Book" w:hAnsi="Franklin Gothic Book"/>
                <w:iCs/>
                <w:sz w:val="18"/>
                <w:szCs w:val="18"/>
              </w:rPr>
            </w:pPr>
          </w:p>
          <w:p w:rsidR="00E34155" w:rsidRDefault="00E34155" w:rsidP="00F9108A">
            <w:pPr>
              <w:rPr>
                <w:rFonts w:ascii="Franklin Gothic Book" w:hAnsi="Franklin Gothic Book"/>
                <w:iCs/>
                <w:sz w:val="18"/>
                <w:szCs w:val="18"/>
              </w:rPr>
            </w:pPr>
          </w:p>
          <w:p w:rsidR="00F9108A" w:rsidRDefault="00F9108A" w:rsidP="00F9108A">
            <w:pPr>
              <w:rPr>
                <w:rFonts w:ascii="Franklin Gothic Book" w:hAnsi="Franklin Gothic Book"/>
                <w:iCs/>
                <w:sz w:val="18"/>
                <w:szCs w:val="18"/>
              </w:rPr>
            </w:pPr>
            <w:r>
              <w:rPr>
                <w:rFonts w:ascii="Franklin Gothic Book" w:hAnsi="Franklin Gothic Book"/>
                <w:iCs/>
                <w:sz w:val="18"/>
                <w:szCs w:val="18"/>
              </w:rPr>
              <w:t>11,0</w:t>
            </w:r>
            <w:r w:rsidR="00682F22">
              <w:rPr>
                <w:rFonts w:ascii="Franklin Gothic Book" w:hAnsi="Franklin Gothic Book"/>
                <w:iCs/>
                <w:sz w:val="18"/>
                <w:szCs w:val="18"/>
              </w:rPr>
              <w:t>00</w:t>
            </w:r>
            <w:r>
              <w:rPr>
                <w:rFonts w:ascii="Franklin Gothic Book" w:hAnsi="Franklin Gothic Book"/>
                <w:iCs/>
                <w:sz w:val="18"/>
                <w:szCs w:val="18"/>
              </w:rPr>
              <w:t xml:space="preserve"> </w:t>
            </w:r>
            <w:r w:rsidR="00906BB5">
              <w:rPr>
                <w:rFonts w:ascii="Franklin Gothic Book" w:hAnsi="Franklin Gothic Book"/>
                <w:iCs/>
                <w:sz w:val="18"/>
                <w:szCs w:val="18"/>
              </w:rPr>
              <w:t xml:space="preserve">women </w:t>
            </w:r>
            <w:r w:rsidR="005758B8">
              <w:rPr>
                <w:rFonts w:ascii="Franklin Gothic Book" w:hAnsi="Franklin Gothic Book"/>
                <w:iCs/>
                <w:sz w:val="18"/>
                <w:szCs w:val="18"/>
              </w:rPr>
              <w:t xml:space="preserve">assisted </w:t>
            </w:r>
            <w:r>
              <w:rPr>
                <w:rFonts w:ascii="Franklin Gothic Book" w:hAnsi="Franklin Gothic Book"/>
                <w:iCs/>
                <w:sz w:val="18"/>
                <w:szCs w:val="18"/>
              </w:rPr>
              <w:t xml:space="preserve">to take positions in community decision making </w:t>
            </w:r>
          </w:p>
          <w:p w:rsidR="00F9108A" w:rsidRDefault="00F9108A" w:rsidP="00F9108A">
            <w:pPr>
              <w:rPr>
                <w:rFonts w:ascii="Franklin Gothic Book" w:hAnsi="Franklin Gothic Book"/>
                <w:iCs/>
                <w:sz w:val="18"/>
                <w:szCs w:val="18"/>
              </w:rPr>
            </w:pPr>
          </w:p>
          <w:p w:rsidR="00F9108A" w:rsidRDefault="00F9108A" w:rsidP="00F9108A">
            <w:pPr>
              <w:rPr>
                <w:rFonts w:ascii="Franklin Gothic Book" w:hAnsi="Franklin Gothic Book"/>
                <w:iCs/>
                <w:sz w:val="18"/>
                <w:szCs w:val="18"/>
              </w:rPr>
            </w:pPr>
          </w:p>
          <w:p w:rsidR="00F9108A" w:rsidRDefault="00F9108A" w:rsidP="00F9108A">
            <w:pPr>
              <w:rPr>
                <w:rFonts w:ascii="Franklin Gothic Book" w:hAnsi="Franklin Gothic Book"/>
                <w:iCs/>
                <w:sz w:val="18"/>
                <w:szCs w:val="18"/>
              </w:rPr>
            </w:pPr>
          </w:p>
          <w:p w:rsidR="00F9108A" w:rsidRDefault="00F9108A" w:rsidP="00F9108A">
            <w:pPr>
              <w:rPr>
                <w:rFonts w:ascii="Franklin Gothic Book" w:hAnsi="Franklin Gothic Book"/>
                <w:iCs/>
                <w:sz w:val="18"/>
                <w:szCs w:val="18"/>
              </w:rPr>
            </w:pPr>
          </w:p>
          <w:p w:rsidR="00393250" w:rsidRPr="006C29D6" w:rsidRDefault="00393250" w:rsidP="00284091">
            <w:pPr>
              <w:rPr>
                <w:rFonts w:ascii="Franklin Gothic Book" w:hAnsi="Franklin Gothic Book"/>
                <w:iCs/>
                <w:sz w:val="18"/>
                <w:szCs w:val="18"/>
              </w:rPr>
            </w:pPr>
          </w:p>
          <w:p w:rsidR="00393250" w:rsidRPr="006C29D6" w:rsidRDefault="00393250" w:rsidP="00284091">
            <w:pPr>
              <w:rPr>
                <w:rFonts w:ascii="Franklin Gothic Book" w:hAnsi="Franklin Gothic Book"/>
                <w:iCs/>
                <w:sz w:val="18"/>
                <w:szCs w:val="18"/>
              </w:rPr>
            </w:pPr>
          </w:p>
          <w:p w:rsidR="00284091" w:rsidRDefault="00284091" w:rsidP="00284091">
            <w:pPr>
              <w:rPr>
                <w:rFonts w:ascii="Franklin Gothic Book" w:hAnsi="Franklin Gothic Book"/>
                <w:iCs/>
                <w:sz w:val="18"/>
                <w:szCs w:val="18"/>
              </w:rPr>
            </w:pPr>
          </w:p>
          <w:p w:rsidR="00AF0459" w:rsidRPr="006C29D6" w:rsidRDefault="00AF0459" w:rsidP="00D175E3">
            <w:pPr>
              <w:pStyle w:val="TableTextEntries"/>
              <w:rPr>
                <w:rFonts w:eastAsia="SimSun"/>
                <w:sz w:val="18"/>
                <w:szCs w:val="18"/>
                <w:lang w:eastAsia="en-AU"/>
              </w:rPr>
            </w:pPr>
          </w:p>
        </w:tc>
        <w:tc>
          <w:tcPr>
            <w:tcW w:w="2622" w:type="pct"/>
          </w:tcPr>
          <w:p w:rsidR="00284091" w:rsidRDefault="00284091" w:rsidP="00284091">
            <w:pPr>
              <w:rPr>
                <w:rFonts w:ascii="Franklin Gothic Book" w:hAnsi="Franklin Gothic Book"/>
                <w:iCs/>
                <w:sz w:val="18"/>
                <w:szCs w:val="18"/>
              </w:rPr>
            </w:pPr>
            <w:r w:rsidRPr="0040363A">
              <w:rPr>
                <w:rFonts w:ascii="Franklin Gothic Book" w:hAnsi="Franklin Gothic Book"/>
                <w:iCs/>
                <w:sz w:val="18"/>
                <w:szCs w:val="18"/>
              </w:rPr>
              <w:lastRenderedPageBreak/>
              <w:t xml:space="preserve">The Strategic Partnership Arrangement </w:t>
            </w:r>
            <w:r w:rsidR="005C6E1A">
              <w:rPr>
                <w:rFonts w:ascii="Franklin Gothic Book" w:hAnsi="Franklin Gothic Book"/>
                <w:iCs/>
                <w:sz w:val="18"/>
                <w:szCs w:val="18"/>
              </w:rPr>
              <w:t xml:space="preserve">(SPA) </w:t>
            </w:r>
            <w:r w:rsidRPr="0040363A">
              <w:rPr>
                <w:rFonts w:ascii="Franklin Gothic Book" w:hAnsi="Franklin Gothic Book"/>
                <w:iCs/>
                <w:sz w:val="18"/>
                <w:szCs w:val="18"/>
              </w:rPr>
              <w:t xml:space="preserve">with BRAC supported by Australia and the UK allows BRAC to provide </w:t>
            </w:r>
            <w:r w:rsidRPr="00A624E2">
              <w:rPr>
                <w:rFonts w:ascii="Franklin Gothic Book" w:hAnsi="Franklin Gothic Book"/>
                <w:iCs/>
                <w:sz w:val="18"/>
                <w:szCs w:val="18"/>
              </w:rPr>
              <w:t>benefits at scale, including non-formal education, directly to poor families who would not otherwise be able to access them.</w:t>
            </w:r>
            <w:r w:rsidR="00682F22" w:rsidRPr="00A624E2">
              <w:rPr>
                <w:rFonts w:ascii="Franklin Gothic Book" w:hAnsi="Franklin Gothic Book"/>
                <w:iCs/>
                <w:sz w:val="18"/>
                <w:szCs w:val="18"/>
              </w:rPr>
              <w:t xml:space="preserve"> </w:t>
            </w:r>
            <w:r w:rsidR="005C6E1A">
              <w:rPr>
                <w:rFonts w:ascii="Franklin Gothic Book" w:hAnsi="Franklin Gothic Book"/>
                <w:iCs/>
                <w:sz w:val="18"/>
                <w:szCs w:val="18"/>
              </w:rPr>
              <w:t>Annual targets for BRAC’s education Program under the SPA range between 350,000 and 400,000 children</w:t>
            </w:r>
            <w:r w:rsidR="00682F22" w:rsidRPr="00A624E2">
              <w:rPr>
                <w:rFonts w:ascii="Franklin Gothic Book" w:hAnsi="Franklin Gothic Book"/>
                <w:iCs/>
                <w:sz w:val="18"/>
                <w:szCs w:val="18"/>
              </w:rPr>
              <w:t>.</w:t>
            </w:r>
            <w:r w:rsidRPr="00A624E2">
              <w:rPr>
                <w:rFonts w:ascii="Franklin Gothic Book" w:hAnsi="Franklin Gothic Book"/>
                <w:iCs/>
                <w:sz w:val="18"/>
                <w:szCs w:val="18"/>
              </w:rPr>
              <w:t xml:space="preserve"> It is complementary to development partner assistance to the Government of Bangladesh through </w:t>
            </w:r>
            <w:r w:rsidR="008A6534">
              <w:rPr>
                <w:rFonts w:ascii="Franklin Gothic Book" w:hAnsi="Franklin Gothic Book"/>
                <w:iCs/>
                <w:sz w:val="18"/>
                <w:szCs w:val="18"/>
              </w:rPr>
              <w:t xml:space="preserve">the </w:t>
            </w:r>
            <w:r w:rsidR="00FA7F97" w:rsidRPr="00A624E2">
              <w:rPr>
                <w:rFonts w:ascii="Franklin Gothic Book" w:hAnsi="Franklin Gothic Book"/>
                <w:iCs/>
                <w:sz w:val="18"/>
                <w:szCs w:val="18"/>
              </w:rPr>
              <w:t>Government</w:t>
            </w:r>
            <w:r w:rsidR="008A6534">
              <w:rPr>
                <w:rFonts w:ascii="Franklin Gothic Book" w:hAnsi="Franklin Gothic Book"/>
                <w:iCs/>
                <w:sz w:val="18"/>
                <w:szCs w:val="18"/>
              </w:rPr>
              <w:t xml:space="preserve"> of Bangladesh</w:t>
            </w:r>
            <w:r w:rsidR="00FA7F97" w:rsidRPr="00A624E2">
              <w:rPr>
                <w:rFonts w:ascii="Franklin Gothic Book" w:hAnsi="Franklin Gothic Book"/>
                <w:iCs/>
                <w:sz w:val="18"/>
                <w:szCs w:val="18"/>
              </w:rPr>
              <w:t xml:space="preserve">’s Primary Education Development Program </w:t>
            </w:r>
            <w:r w:rsidRPr="00A624E2">
              <w:rPr>
                <w:rFonts w:ascii="Franklin Gothic Book" w:hAnsi="Franklin Gothic Book"/>
                <w:iCs/>
                <w:sz w:val="18"/>
                <w:szCs w:val="18"/>
              </w:rPr>
              <w:t>for the</w:t>
            </w:r>
            <w:r w:rsidRPr="0040363A">
              <w:rPr>
                <w:rFonts w:ascii="Franklin Gothic Book" w:hAnsi="Franklin Gothic Book"/>
                <w:iCs/>
                <w:sz w:val="18"/>
                <w:szCs w:val="18"/>
              </w:rPr>
              <w:t xml:space="preserve"> national education system.</w:t>
            </w:r>
            <w:r w:rsidR="0008713F">
              <w:rPr>
                <w:rFonts w:ascii="Franklin Gothic Book" w:hAnsi="Franklin Gothic Book"/>
                <w:iCs/>
                <w:sz w:val="18"/>
                <w:szCs w:val="18"/>
              </w:rPr>
              <w:t xml:space="preserve"> Australia spends </w:t>
            </w:r>
            <w:r w:rsidR="00682F22">
              <w:rPr>
                <w:rFonts w:ascii="Franklin Gothic Book" w:hAnsi="Franklin Gothic Book"/>
                <w:iCs/>
                <w:sz w:val="18"/>
                <w:szCs w:val="18"/>
              </w:rPr>
              <w:t xml:space="preserve">approximately </w:t>
            </w:r>
            <w:r w:rsidR="0008713F">
              <w:rPr>
                <w:rFonts w:ascii="Franklin Gothic Book" w:hAnsi="Franklin Gothic Book"/>
                <w:iCs/>
                <w:sz w:val="18"/>
                <w:szCs w:val="18"/>
              </w:rPr>
              <w:t>45</w:t>
            </w:r>
            <w:r w:rsidR="00852B8C">
              <w:rPr>
                <w:rFonts w:ascii="Franklin Gothic Book" w:hAnsi="Franklin Gothic Book"/>
                <w:iCs/>
                <w:sz w:val="18"/>
                <w:szCs w:val="18"/>
              </w:rPr>
              <w:t>%</w:t>
            </w:r>
            <w:r w:rsidR="0008713F">
              <w:rPr>
                <w:rFonts w:ascii="Franklin Gothic Book" w:hAnsi="Franklin Gothic Book"/>
                <w:iCs/>
                <w:sz w:val="18"/>
                <w:szCs w:val="18"/>
              </w:rPr>
              <w:t xml:space="preserve"> of its aid budget </w:t>
            </w:r>
            <w:r w:rsidR="00682F22">
              <w:rPr>
                <w:rFonts w:ascii="Franklin Gothic Book" w:hAnsi="Franklin Gothic Book"/>
                <w:iCs/>
                <w:sz w:val="18"/>
                <w:szCs w:val="18"/>
              </w:rPr>
              <w:t xml:space="preserve">each </w:t>
            </w:r>
            <w:r w:rsidR="0008713F">
              <w:rPr>
                <w:rFonts w:ascii="Franklin Gothic Book" w:hAnsi="Franklin Gothic Book"/>
                <w:iCs/>
                <w:sz w:val="18"/>
                <w:szCs w:val="18"/>
              </w:rPr>
              <w:t xml:space="preserve">year on education in Bangladesh. </w:t>
            </w:r>
          </w:p>
          <w:p w:rsidR="00922C38" w:rsidRDefault="00922C38" w:rsidP="00284091">
            <w:pPr>
              <w:rPr>
                <w:rFonts w:ascii="Franklin Gothic Book" w:hAnsi="Franklin Gothic Book"/>
                <w:iCs/>
                <w:sz w:val="18"/>
                <w:szCs w:val="18"/>
              </w:rPr>
            </w:pPr>
          </w:p>
          <w:p w:rsidR="00410EB6" w:rsidRDefault="00410EB6" w:rsidP="00284091">
            <w:pPr>
              <w:rPr>
                <w:rFonts w:ascii="Franklin Gothic Book" w:hAnsi="Franklin Gothic Book"/>
                <w:iCs/>
                <w:sz w:val="18"/>
                <w:szCs w:val="18"/>
              </w:rPr>
            </w:pPr>
            <w:r>
              <w:rPr>
                <w:rFonts w:ascii="Franklin Gothic Book" w:hAnsi="Franklin Gothic Book"/>
                <w:iCs/>
                <w:sz w:val="18"/>
                <w:szCs w:val="18"/>
              </w:rPr>
              <w:t>The Government</w:t>
            </w:r>
            <w:r w:rsidR="008A6534">
              <w:rPr>
                <w:rFonts w:ascii="Franklin Gothic Book" w:hAnsi="Franklin Gothic Book"/>
                <w:iCs/>
                <w:sz w:val="18"/>
                <w:szCs w:val="18"/>
              </w:rPr>
              <w:t xml:space="preserve"> of Bangladesh</w:t>
            </w:r>
            <w:r>
              <w:rPr>
                <w:rFonts w:ascii="Franklin Gothic Book" w:hAnsi="Franklin Gothic Book"/>
                <w:iCs/>
                <w:sz w:val="18"/>
                <w:szCs w:val="18"/>
              </w:rPr>
              <w:t>’s primary education program provides education services for 17 million children. While access has improved, including for girls, there is a strong focus now on improving the quality of education</w:t>
            </w:r>
            <w:r w:rsidR="00485285">
              <w:rPr>
                <w:rFonts w:ascii="Franklin Gothic Book" w:hAnsi="Franklin Gothic Book"/>
                <w:iCs/>
                <w:sz w:val="18"/>
                <w:szCs w:val="18"/>
              </w:rPr>
              <w:t xml:space="preserve">. </w:t>
            </w:r>
            <w:r>
              <w:rPr>
                <w:rFonts w:ascii="Franklin Gothic Book" w:hAnsi="Franklin Gothic Book"/>
                <w:iCs/>
                <w:sz w:val="18"/>
                <w:szCs w:val="18"/>
              </w:rPr>
              <w:t>Australia has a prominent role in th</w:t>
            </w:r>
            <w:r w:rsidR="00485285">
              <w:rPr>
                <w:rFonts w:ascii="Franklin Gothic Book" w:hAnsi="Franklin Gothic Book"/>
                <w:iCs/>
                <w:sz w:val="18"/>
                <w:szCs w:val="18"/>
              </w:rPr>
              <w:t xml:space="preserve">is reform process as chair of the donor consortium that supports the </w:t>
            </w:r>
            <w:r>
              <w:rPr>
                <w:rFonts w:ascii="Franklin Gothic Book" w:hAnsi="Franklin Gothic Book"/>
                <w:iCs/>
                <w:sz w:val="18"/>
                <w:szCs w:val="18"/>
              </w:rPr>
              <w:t>Government</w:t>
            </w:r>
            <w:r w:rsidR="008A6534">
              <w:rPr>
                <w:rFonts w:ascii="Franklin Gothic Book" w:hAnsi="Franklin Gothic Book"/>
                <w:iCs/>
                <w:sz w:val="18"/>
                <w:szCs w:val="18"/>
              </w:rPr>
              <w:t xml:space="preserve"> of Bangladesh</w:t>
            </w:r>
            <w:r>
              <w:rPr>
                <w:rFonts w:ascii="Franklin Gothic Book" w:hAnsi="Franklin Gothic Book"/>
                <w:iCs/>
                <w:sz w:val="18"/>
                <w:szCs w:val="18"/>
              </w:rPr>
              <w:t>’s primary education program.</w:t>
            </w:r>
          </w:p>
          <w:p w:rsidR="00410EB6" w:rsidRDefault="00410EB6" w:rsidP="00284091">
            <w:pPr>
              <w:rPr>
                <w:rFonts w:ascii="Franklin Gothic Book" w:hAnsi="Franklin Gothic Book"/>
                <w:iCs/>
                <w:sz w:val="18"/>
                <w:szCs w:val="18"/>
              </w:rPr>
            </w:pPr>
          </w:p>
          <w:p w:rsidR="00922C38" w:rsidRDefault="00922C38" w:rsidP="00284091">
            <w:pPr>
              <w:rPr>
                <w:rFonts w:ascii="Franklin Gothic Book" w:hAnsi="Franklin Gothic Book"/>
                <w:iCs/>
                <w:sz w:val="18"/>
                <w:szCs w:val="18"/>
              </w:rPr>
            </w:pPr>
            <w:r>
              <w:rPr>
                <w:rFonts w:ascii="Franklin Gothic Book" w:hAnsi="Franklin Gothic Book"/>
                <w:iCs/>
                <w:sz w:val="18"/>
                <w:szCs w:val="18"/>
              </w:rPr>
              <w:t>The Government</w:t>
            </w:r>
            <w:r w:rsidR="008A6534">
              <w:rPr>
                <w:rFonts w:ascii="Franklin Gothic Book" w:hAnsi="Franklin Gothic Book"/>
                <w:iCs/>
                <w:sz w:val="18"/>
                <w:szCs w:val="18"/>
              </w:rPr>
              <w:t xml:space="preserve"> of Bangladesh</w:t>
            </w:r>
            <w:r>
              <w:rPr>
                <w:rFonts w:ascii="Franklin Gothic Book" w:hAnsi="Franklin Gothic Book"/>
                <w:iCs/>
                <w:sz w:val="18"/>
                <w:szCs w:val="18"/>
              </w:rPr>
              <w:t>’s primary education program is funded on a performance basis. This approach</w:t>
            </w:r>
            <w:r w:rsidR="000C7A7A">
              <w:rPr>
                <w:rFonts w:ascii="Franklin Gothic Book" w:hAnsi="Franklin Gothic Book"/>
                <w:iCs/>
                <w:sz w:val="18"/>
                <w:szCs w:val="18"/>
              </w:rPr>
              <w:t xml:space="preserve"> to funding is focusing the engagement of donors on areas of mutual priority with the </w:t>
            </w:r>
            <w:r w:rsidR="008A6534">
              <w:rPr>
                <w:rFonts w:ascii="Franklin Gothic Book" w:hAnsi="Franklin Gothic Book"/>
                <w:iCs/>
                <w:sz w:val="18"/>
                <w:szCs w:val="18"/>
              </w:rPr>
              <w:t>G</w:t>
            </w:r>
            <w:r w:rsidR="000C7A7A">
              <w:rPr>
                <w:rFonts w:ascii="Franklin Gothic Book" w:hAnsi="Franklin Gothic Book"/>
                <w:iCs/>
                <w:sz w:val="18"/>
                <w:szCs w:val="18"/>
              </w:rPr>
              <w:t>overnment</w:t>
            </w:r>
            <w:r w:rsidR="008A6534">
              <w:rPr>
                <w:rFonts w:ascii="Franklin Gothic Book" w:hAnsi="Franklin Gothic Book"/>
                <w:iCs/>
                <w:sz w:val="18"/>
                <w:szCs w:val="18"/>
              </w:rPr>
              <w:t xml:space="preserve"> of Bangladesh</w:t>
            </w:r>
            <w:r w:rsidR="000C7A7A">
              <w:rPr>
                <w:rFonts w:ascii="Franklin Gothic Book" w:hAnsi="Franklin Gothic Book"/>
                <w:iCs/>
                <w:sz w:val="18"/>
                <w:szCs w:val="18"/>
              </w:rPr>
              <w:t>, most particularly in the area of improving the quality of education</w:t>
            </w:r>
            <w:r w:rsidR="00EE0C32">
              <w:rPr>
                <w:rFonts w:ascii="Franklin Gothic Book" w:hAnsi="Franklin Gothic Book"/>
                <w:iCs/>
                <w:sz w:val="18"/>
                <w:szCs w:val="18"/>
              </w:rPr>
              <w:t>.</w:t>
            </w:r>
          </w:p>
          <w:p w:rsidR="00922C38" w:rsidRDefault="00922C38" w:rsidP="00284091">
            <w:pPr>
              <w:rPr>
                <w:rFonts w:ascii="Franklin Gothic Book" w:hAnsi="Franklin Gothic Book"/>
                <w:iCs/>
                <w:sz w:val="18"/>
                <w:szCs w:val="18"/>
              </w:rPr>
            </w:pPr>
          </w:p>
          <w:p w:rsidR="00922C38" w:rsidRDefault="00922C38" w:rsidP="00284091">
            <w:pPr>
              <w:rPr>
                <w:rFonts w:ascii="Franklin Gothic Book" w:hAnsi="Franklin Gothic Book"/>
                <w:iCs/>
                <w:sz w:val="18"/>
                <w:szCs w:val="18"/>
              </w:rPr>
            </w:pPr>
          </w:p>
          <w:p w:rsidR="00922C38" w:rsidRDefault="00922C38" w:rsidP="00284091">
            <w:pPr>
              <w:rPr>
                <w:rFonts w:ascii="Franklin Gothic Book" w:hAnsi="Franklin Gothic Book"/>
                <w:iCs/>
                <w:sz w:val="18"/>
                <w:szCs w:val="18"/>
              </w:rPr>
            </w:pPr>
          </w:p>
          <w:p w:rsidR="00922C38" w:rsidRDefault="00922C38" w:rsidP="00284091">
            <w:pPr>
              <w:rPr>
                <w:rFonts w:ascii="Franklin Gothic Book" w:hAnsi="Franklin Gothic Book"/>
                <w:iCs/>
                <w:sz w:val="18"/>
                <w:szCs w:val="18"/>
              </w:rPr>
            </w:pPr>
          </w:p>
          <w:p w:rsidR="00F12498" w:rsidRDefault="00F12498" w:rsidP="00F12498">
            <w:pPr>
              <w:rPr>
                <w:rFonts w:ascii="Franklin Gothic Book" w:hAnsi="Franklin Gothic Book"/>
                <w:iCs/>
                <w:sz w:val="18"/>
                <w:szCs w:val="18"/>
              </w:rPr>
            </w:pPr>
            <w:r>
              <w:rPr>
                <w:rFonts w:ascii="Franklin Gothic Book" w:hAnsi="Franklin Gothic Book"/>
                <w:iCs/>
                <w:sz w:val="18"/>
                <w:szCs w:val="18"/>
              </w:rPr>
              <w:t xml:space="preserve">The scholarships program has been reoriented to align more closely with the objectives of the country program. A gender </w:t>
            </w:r>
            <w:r w:rsidR="00C827F6">
              <w:rPr>
                <w:rFonts w:ascii="Franklin Gothic Book" w:hAnsi="Franklin Gothic Book"/>
                <w:iCs/>
                <w:sz w:val="18"/>
                <w:szCs w:val="18"/>
              </w:rPr>
              <w:t xml:space="preserve">equality </w:t>
            </w:r>
            <w:r>
              <w:rPr>
                <w:rFonts w:ascii="Franklin Gothic Book" w:hAnsi="Franklin Gothic Book"/>
                <w:iCs/>
                <w:sz w:val="18"/>
                <w:szCs w:val="18"/>
              </w:rPr>
              <w:t>target has been in place for some time; Australia also aims to provide scholarships to people from ethnic minorit</w:t>
            </w:r>
            <w:r w:rsidR="008B5EA9">
              <w:rPr>
                <w:rFonts w:ascii="Franklin Gothic Book" w:hAnsi="Franklin Gothic Book"/>
                <w:iCs/>
                <w:sz w:val="18"/>
                <w:szCs w:val="18"/>
              </w:rPr>
              <w:t>y groups</w:t>
            </w:r>
            <w:r>
              <w:rPr>
                <w:rFonts w:ascii="Franklin Gothic Book" w:hAnsi="Franklin Gothic Book"/>
                <w:iCs/>
                <w:sz w:val="18"/>
                <w:szCs w:val="18"/>
              </w:rPr>
              <w:t>.</w:t>
            </w:r>
          </w:p>
          <w:p w:rsidR="00F12498" w:rsidRDefault="00F12498" w:rsidP="00284091">
            <w:pPr>
              <w:rPr>
                <w:rFonts w:ascii="Franklin Gothic Book" w:hAnsi="Franklin Gothic Book"/>
                <w:iCs/>
                <w:sz w:val="18"/>
                <w:szCs w:val="18"/>
              </w:rPr>
            </w:pPr>
          </w:p>
          <w:p w:rsidR="00C564A6" w:rsidRDefault="00C564A6" w:rsidP="00F9108A">
            <w:pPr>
              <w:rPr>
                <w:rFonts w:ascii="Franklin Gothic Book" w:hAnsi="Franklin Gothic Book"/>
                <w:iCs/>
                <w:sz w:val="18"/>
                <w:szCs w:val="18"/>
              </w:rPr>
            </w:pPr>
          </w:p>
          <w:p w:rsidR="00F9108A" w:rsidRDefault="00C564A6" w:rsidP="00F9108A">
            <w:pPr>
              <w:rPr>
                <w:rFonts w:ascii="Franklin Gothic Book" w:hAnsi="Franklin Gothic Book"/>
                <w:iCs/>
                <w:sz w:val="18"/>
                <w:szCs w:val="18"/>
              </w:rPr>
            </w:pPr>
            <w:r>
              <w:rPr>
                <w:rFonts w:ascii="Franklin Gothic Book" w:hAnsi="Franklin Gothic Book"/>
                <w:iCs/>
                <w:sz w:val="18"/>
                <w:szCs w:val="18"/>
              </w:rPr>
              <w:t>T</w:t>
            </w:r>
            <w:r w:rsidR="00F9108A">
              <w:rPr>
                <w:rFonts w:ascii="Franklin Gothic Book" w:hAnsi="Franklin Gothic Book"/>
                <w:iCs/>
                <w:sz w:val="18"/>
                <w:szCs w:val="18"/>
              </w:rPr>
              <w:t xml:space="preserve">he </w:t>
            </w:r>
            <w:r w:rsidR="008A6534">
              <w:rPr>
                <w:rFonts w:ascii="Franklin Gothic Book" w:hAnsi="Franklin Gothic Book"/>
                <w:iCs/>
                <w:sz w:val="18"/>
                <w:szCs w:val="18"/>
              </w:rPr>
              <w:t>SPA</w:t>
            </w:r>
            <w:r w:rsidR="00F9108A" w:rsidRPr="0040363A">
              <w:rPr>
                <w:rFonts w:ascii="Franklin Gothic Book" w:hAnsi="Franklin Gothic Book"/>
                <w:iCs/>
                <w:sz w:val="18"/>
                <w:szCs w:val="18"/>
              </w:rPr>
              <w:t xml:space="preserve"> with BRAC supported by Australia and the UK allows BRAC to provide benefits at scale, including </w:t>
            </w:r>
            <w:r w:rsidR="00F9108A">
              <w:rPr>
                <w:rFonts w:ascii="Franklin Gothic Book" w:hAnsi="Franklin Gothic Book"/>
                <w:iCs/>
                <w:sz w:val="18"/>
                <w:szCs w:val="18"/>
              </w:rPr>
              <w:t>income earning and other targeted support measures</w:t>
            </w:r>
            <w:r w:rsidR="00F9108A" w:rsidRPr="0040363A">
              <w:rPr>
                <w:rFonts w:ascii="Franklin Gothic Book" w:hAnsi="Franklin Gothic Book"/>
                <w:iCs/>
                <w:sz w:val="18"/>
                <w:szCs w:val="18"/>
              </w:rPr>
              <w:t>, directly to</w:t>
            </w:r>
            <w:r w:rsidR="00167947">
              <w:rPr>
                <w:rFonts w:ascii="Franklin Gothic Book" w:hAnsi="Franklin Gothic Book"/>
                <w:iCs/>
                <w:sz w:val="18"/>
                <w:szCs w:val="18"/>
              </w:rPr>
              <w:t xml:space="preserve"> between </w:t>
            </w:r>
            <w:r w:rsidR="00167947">
              <w:rPr>
                <w:rFonts w:ascii="Franklin Gothic Book" w:hAnsi="Franklin Gothic Book"/>
                <w:iCs/>
                <w:sz w:val="18"/>
                <w:szCs w:val="18"/>
              </w:rPr>
              <w:lastRenderedPageBreak/>
              <w:t>50,000 to 70,000</w:t>
            </w:r>
            <w:r w:rsidR="00F9108A" w:rsidRPr="0040363A">
              <w:rPr>
                <w:rFonts w:ascii="Franklin Gothic Book" w:hAnsi="Franklin Gothic Book"/>
                <w:iCs/>
                <w:sz w:val="18"/>
                <w:szCs w:val="18"/>
              </w:rPr>
              <w:t xml:space="preserve"> poor </w:t>
            </w:r>
            <w:r w:rsidR="00EB4469">
              <w:rPr>
                <w:rFonts w:ascii="Franklin Gothic Book" w:hAnsi="Franklin Gothic Book"/>
                <w:iCs/>
                <w:sz w:val="18"/>
                <w:szCs w:val="18"/>
              </w:rPr>
              <w:t xml:space="preserve">female headed </w:t>
            </w:r>
            <w:r w:rsidR="00F9108A" w:rsidRPr="0040363A">
              <w:rPr>
                <w:rFonts w:ascii="Franklin Gothic Book" w:hAnsi="Franklin Gothic Book"/>
                <w:iCs/>
                <w:sz w:val="18"/>
                <w:szCs w:val="18"/>
              </w:rPr>
              <w:t xml:space="preserve">families </w:t>
            </w:r>
            <w:r w:rsidR="00167947">
              <w:rPr>
                <w:rFonts w:ascii="Franklin Gothic Book" w:hAnsi="Franklin Gothic Book"/>
                <w:iCs/>
                <w:sz w:val="18"/>
                <w:szCs w:val="18"/>
              </w:rPr>
              <w:t xml:space="preserve">each year </w:t>
            </w:r>
            <w:r w:rsidR="00F9108A" w:rsidRPr="0040363A">
              <w:rPr>
                <w:rFonts w:ascii="Franklin Gothic Book" w:hAnsi="Franklin Gothic Book"/>
                <w:iCs/>
                <w:sz w:val="18"/>
                <w:szCs w:val="18"/>
              </w:rPr>
              <w:t>who would not otherwise be able to access them.</w:t>
            </w:r>
            <w:r w:rsidR="00167947">
              <w:rPr>
                <w:rFonts w:ascii="Franklin Gothic Book" w:hAnsi="Franklin Gothic Book"/>
                <w:iCs/>
                <w:sz w:val="18"/>
                <w:szCs w:val="18"/>
              </w:rPr>
              <w:t xml:space="preserve">  </w:t>
            </w:r>
          </w:p>
          <w:p w:rsidR="00F9108A" w:rsidRDefault="00F9108A" w:rsidP="00D175E3">
            <w:pPr>
              <w:pStyle w:val="TableTextEntries"/>
            </w:pPr>
          </w:p>
          <w:p w:rsidR="00A12C43" w:rsidRDefault="00A12C43" w:rsidP="00D175E3">
            <w:pPr>
              <w:pStyle w:val="TableTextEntries"/>
            </w:pPr>
            <w:r>
              <w:t xml:space="preserve">Australia has helped drive partner efforts on social protection reform. To build on momentum, Australia is providing support for reform in the sector through a </w:t>
            </w:r>
            <w:r w:rsidR="00220928">
              <w:t xml:space="preserve">new </w:t>
            </w:r>
            <w:r w:rsidR="00C2762E">
              <w:t>UK</w:t>
            </w:r>
            <w:r>
              <w:t xml:space="preserve"> led arrangement</w:t>
            </w:r>
            <w:r w:rsidR="00B340C1">
              <w:t xml:space="preserve"> with the Government of Bangladesh</w:t>
            </w:r>
            <w:r>
              <w:t>. This will include streamlining existing welfare arrangements, helping make Government of Bangladesh expenditure more efficient and effective.</w:t>
            </w:r>
          </w:p>
          <w:p w:rsidR="00A12C43" w:rsidRDefault="00A12C43" w:rsidP="00D175E3">
            <w:pPr>
              <w:pStyle w:val="TableTextEntries"/>
            </w:pPr>
          </w:p>
          <w:p w:rsidR="00F9108A" w:rsidRDefault="00EB4469" w:rsidP="00D175E3">
            <w:pPr>
              <w:pStyle w:val="TableTextEntries"/>
              <w:rPr>
                <w:sz w:val="18"/>
                <w:szCs w:val="18"/>
              </w:rPr>
            </w:pPr>
            <w:r>
              <w:rPr>
                <w:sz w:val="18"/>
                <w:szCs w:val="18"/>
              </w:rPr>
              <w:t xml:space="preserve">Australia’s support for WFP operations in Cox’s Bazar </w:t>
            </w:r>
            <w:r w:rsidR="00C2762E">
              <w:rPr>
                <w:sz w:val="18"/>
                <w:szCs w:val="18"/>
              </w:rPr>
              <w:t xml:space="preserve">District </w:t>
            </w:r>
            <w:r>
              <w:rPr>
                <w:sz w:val="18"/>
                <w:szCs w:val="18"/>
              </w:rPr>
              <w:t xml:space="preserve">will </w:t>
            </w:r>
            <w:r w:rsidR="00D03716">
              <w:rPr>
                <w:sz w:val="18"/>
                <w:szCs w:val="18"/>
              </w:rPr>
              <w:t>provide</w:t>
            </w:r>
            <w:r>
              <w:rPr>
                <w:sz w:val="18"/>
                <w:szCs w:val="18"/>
              </w:rPr>
              <w:t xml:space="preserve"> vulnerable </w:t>
            </w:r>
            <w:r w:rsidR="00D723F6">
              <w:rPr>
                <w:sz w:val="18"/>
                <w:szCs w:val="18"/>
              </w:rPr>
              <w:t xml:space="preserve">pregnant and lactating </w:t>
            </w:r>
            <w:r>
              <w:rPr>
                <w:sz w:val="18"/>
                <w:szCs w:val="18"/>
              </w:rPr>
              <w:t xml:space="preserve">women </w:t>
            </w:r>
            <w:r w:rsidR="00D723F6">
              <w:rPr>
                <w:sz w:val="18"/>
                <w:szCs w:val="18"/>
              </w:rPr>
              <w:t>and children aged 6</w:t>
            </w:r>
            <w:r w:rsidR="008A6534">
              <w:rPr>
                <w:sz w:val="18"/>
                <w:szCs w:val="18"/>
              </w:rPr>
              <w:t>—</w:t>
            </w:r>
            <w:r w:rsidR="00D723F6">
              <w:rPr>
                <w:sz w:val="18"/>
                <w:szCs w:val="18"/>
              </w:rPr>
              <w:t xml:space="preserve">59 months </w:t>
            </w:r>
            <w:r>
              <w:rPr>
                <w:sz w:val="18"/>
                <w:szCs w:val="18"/>
              </w:rPr>
              <w:t xml:space="preserve">with </w:t>
            </w:r>
            <w:r w:rsidR="00220928">
              <w:rPr>
                <w:sz w:val="18"/>
                <w:szCs w:val="18"/>
              </w:rPr>
              <w:t xml:space="preserve">nutrition and food security </w:t>
            </w:r>
            <w:r>
              <w:rPr>
                <w:sz w:val="18"/>
                <w:szCs w:val="18"/>
              </w:rPr>
              <w:t>support to</w:t>
            </w:r>
            <w:r w:rsidR="00936DE2">
              <w:rPr>
                <w:sz w:val="18"/>
                <w:szCs w:val="18"/>
              </w:rPr>
              <w:t xml:space="preserve"> </w:t>
            </w:r>
            <w:r w:rsidR="000C5008">
              <w:rPr>
                <w:sz w:val="18"/>
                <w:szCs w:val="18"/>
              </w:rPr>
              <w:t xml:space="preserve">help </w:t>
            </w:r>
            <w:r w:rsidR="00936DE2">
              <w:rPr>
                <w:sz w:val="18"/>
                <w:szCs w:val="18"/>
              </w:rPr>
              <w:t xml:space="preserve">break the intergenerational cycle of poverty and under nutrition. </w:t>
            </w:r>
            <w:r>
              <w:rPr>
                <w:sz w:val="18"/>
                <w:szCs w:val="18"/>
              </w:rPr>
              <w:t xml:space="preserve"> </w:t>
            </w:r>
            <w:r w:rsidR="008A73A1">
              <w:rPr>
                <w:sz w:val="18"/>
                <w:szCs w:val="18"/>
              </w:rPr>
              <w:t xml:space="preserve">This support has the potential to provide long term benefits for women and their families, promoting stability, and building on humanitarian assistance that has been provided for many years.  </w:t>
            </w:r>
          </w:p>
          <w:p w:rsidR="00A12C43" w:rsidRDefault="00A12C43" w:rsidP="00D175E3">
            <w:pPr>
              <w:pStyle w:val="TableTextEntries"/>
              <w:rPr>
                <w:sz w:val="18"/>
                <w:szCs w:val="18"/>
              </w:rPr>
            </w:pPr>
          </w:p>
          <w:p w:rsidR="00A12C43" w:rsidRDefault="00A12C43" w:rsidP="00D175E3">
            <w:pPr>
              <w:pStyle w:val="TableTextEntries"/>
              <w:rPr>
                <w:sz w:val="18"/>
                <w:szCs w:val="18"/>
              </w:rPr>
            </w:pPr>
          </w:p>
          <w:p w:rsidR="00DA6CD0" w:rsidRPr="00894582" w:rsidRDefault="00F9108A" w:rsidP="0091037E">
            <w:r>
              <w:rPr>
                <w:rFonts w:ascii="Franklin Gothic Book" w:hAnsi="Franklin Gothic Book"/>
                <w:iCs/>
                <w:sz w:val="18"/>
                <w:szCs w:val="18"/>
              </w:rPr>
              <w:t xml:space="preserve">Australia supports efforts by civil society to </w:t>
            </w:r>
            <w:r w:rsidRPr="00FA7F97">
              <w:rPr>
                <w:rFonts w:ascii="Franklin Gothic Book" w:hAnsi="Franklin Gothic Book"/>
                <w:iCs/>
                <w:sz w:val="18"/>
                <w:szCs w:val="18"/>
              </w:rPr>
              <w:t xml:space="preserve">encourage marginalised people, mostly women, to take up the opportunities offered by local democracy and </w:t>
            </w:r>
            <w:r>
              <w:rPr>
                <w:rFonts w:ascii="Franklin Gothic Book" w:hAnsi="Franklin Gothic Book"/>
                <w:iCs/>
                <w:sz w:val="18"/>
                <w:szCs w:val="18"/>
              </w:rPr>
              <w:t>power structures (local authorities, water and education committees etc</w:t>
            </w:r>
            <w:r w:rsidR="008A6534">
              <w:rPr>
                <w:rFonts w:ascii="Franklin Gothic Book" w:hAnsi="Franklin Gothic Book"/>
                <w:iCs/>
                <w:sz w:val="18"/>
                <w:szCs w:val="18"/>
              </w:rPr>
              <w:t>.</w:t>
            </w:r>
            <w:r>
              <w:rPr>
                <w:rFonts w:ascii="Franklin Gothic Book" w:hAnsi="Franklin Gothic Book"/>
                <w:iCs/>
                <w:sz w:val="18"/>
                <w:szCs w:val="18"/>
              </w:rPr>
              <w:t>). Experience shows that greater representation by marginalise</w:t>
            </w:r>
            <w:r w:rsidR="000C5008">
              <w:rPr>
                <w:rFonts w:ascii="Franklin Gothic Book" w:hAnsi="Franklin Gothic Book"/>
                <w:iCs/>
                <w:sz w:val="18"/>
                <w:szCs w:val="18"/>
              </w:rPr>
              <w:t>d</w:t>
            </w:r>
            <w:r>
              <w:rPr>
                <w:rFonts w:ascii="Franklin Gothic Book" w:hAnsi="Franklin Gothic Book"/>
                <w:iCs/>
                <w:sz w:val="18"/>
                <w:szCs w:val="18"/>
              </w:rPr>
              <w:t xml:space="preserve"> people at this level leads to a greater chance of their problems being addressed.</w:t>
            </w:r>
          </w:p>
        </w:tc>
      </w:tr>
    </w:tbl>
    <w:p w:rsidR="00AF0459" w:rsidRPr="00894582" w:rsidRDefault="00AF0459" w:rsidP="00AF0459">
      <w:pPr>
        <w:rPr>
          <w:rFonts w:ascii="Franklin Gothic Book" w:hAnsi="Franklin Gothic Book"/>
          <w:sz w:val="17"/>
          <w:szCs w:val="17"/>
        </w:rPr>
      </w:pPr>
    </w:p>
    <w:bookmarkEnd w:id="2"/>
    <w:p w:rsidR="00AF0459" w:rsidRPr="00894582" w:rsidRDefault="00AF0459" w:rsidP="00AF0459">
      <w:pPr>
        <w:rPr>
          <w:rFonts w:ascii="Franklin Gothic Book" w:hAnsi="Franklin Gothic Book"/>
          <w:sz w:val="17"/>
          <w:szCs w:val="17"/>
        </w:rPr>
      </w:pPr>
    </w:p>
    <w:p w:rsidR="00AF0459" w:rsidRPr="00894582" w:rsidRDefault="00AF0459" w:rsidP="00AF0459">
      <w:pPr>
        <w:rPr>
          <w:rFonts w:ascii="Franklin Gothic Book" w:hAnsi="Franklin Gothic Book"/>
          <w:sz w:val="17"/>
          <w:szCs w:val="17"/>
        </w:rPr>
      </w:pPr>
    </w:p>
    <w:p w:rsidR="00913F38" w:rsidRPr="00894582" w:rsidRDefault="00913F38">
      <w:pPr>
        <w:rPr>
          <w:rFonts w:ascii="Franklin Gothic Book" w:hAnsi="Franklin Gothic Book"/>
          <w:sz w:val="17"/>
          <w:szCs w:val="17"/>
        </w:rPr>
      </w:pPr>
    </w:p>
    <w:sectPr w:rsidR="00913F38" w:rsidRPr="00894582" w:rsidSect="00D175E3">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91" w:rsidRDefault="00D66591" w:rsidP="007E5BA1">
      <w:r>
        <w:separator/>
      </w:r>
    </w:p>
  </w:endnote>
  <w:endnote w:type="continuationSeparator" w:id="0">
    <w:p w:rsidR="00D66591" w:rsidRDefault="00D66591" w:rsidP="007E5BA1">
      <w:r>
        <w:continuationSeparator/>
      </w:r>
    </w:p>
  </w:endnote>
  <w:endnote w:type="continuationNotice" w:id="1">
    <w:p w:rsidR="00D66591" w:rsidRDefault="00D6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27" w:rsidRDefault="003F29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461395"/>
      <w:docPartObj>
        <w:docPartGallery w:val="Page Numbers (Bottom of Page)"/>
        <w:docPartUnique/>
      </w:docPartObj>
    </w:sdtPr>
    <w:sdtEndPr>
      <w:rPr>
        <w:noProof/>
      </w:rPr>
    </w:sdtEndPr>
    <w:sdtContent>
      <w:p w:rsidR="00D66591" w:rsidRDefault="00D66591">
        <w:pPr>
          <w:pStyle w:val="Footer"/>
          <w:jc w:val="right"/>
        </w:pPr>
        <w:r>
          <w:fldChar w:fldCharType="begin"/>
        </w:r>
        <w:r>
          <w:instrText xml:space="preserve"> PAGE   \* MERGEFORMAT </w:instrText>
        </w:r>
        <w:r>
          <w:fldChar w:fldCharType="separate"/>
        </w:r>
        <w:r w:rsidR="003F2927">
          <w:rPr>
            <w:noProof/>
          </w:rPr>
          <w:t>1</w:t>
        </w:r>
        <w:r>
          <w:rPr>
            <w:noProof/>
          </w:rPr>
          <w:fldChar w:fldCharType="end"/>
        </w:r>
      </w:p>
    </w:sdtContent>
  </w:sdt>
  <w:p w:rsidR="00D66591" w:rsidRDefault="00D665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27" w:rsidRDefault="003F29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91" w:rsidRPr="004C4A3E" w:rsidRDefault="00D66591" w:rsidP="00D175E3">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61312" behindDoc="1" locked="1" layoutInCell="1" allowOverlap="1" wp14:anchorId="3D7780D2" wp14:editId="2C95BD13">
              <wp:simplePos x="0" y="0"/>
              <wp:positionH relativeFrom="page">
                <wp:posOffset>0</wp:posOffset>
              </wp:positionH>
              <wp:positionV relativeFrom="page">
                <wp:posOffset>8533130</wp:posOffset>
              </wp:positionV>
              <wp:extent cx="7379970" cy="2181860"/>
              <wp:effectExtent l="0" t="0" r="1905" b="635"/>
              <wp:wrapNone/>
              <wp:docPr id="3"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PJ4SIXQMAAA8H&#10;AAAOAAAAAAAAAAAAAAAAADwCAABkcnMvZTJvRG9jLnhtbFBLAQItABQABgAIAAAAIQBYYLMbugAA&#10;ACIBAAAZAAAAAAAAAAAAAAAAAMUFAABkcnMvX3JlbHMvZTJvRG9jLnhtbC5yZWxzUEsBAi0AFAAG&#10;AAgAAAAhANn01nv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60288" behindDoc="1" locked="0" layoutInCell="1" allowOverlap="1" wp14:anchorId="07835201" wp14:editId="53EDAA82">
              <wp:simplePos x="0" y="0"/>
              <wp:positionH relativeFrom="column">
                <wp:posOffset>0</wp:posOffset>
              </wp:positionH>
              <wp:positionV relativeFrom="paragraph">
                <wp:posOffset>8498840</wp:posOffset>
              </wp:positionV>
              <wp:extent cx="7379970" cy="2181860"/>
              <wp:effectExtent l="0" t="2540" r="1905" b="0"/>
              <wp:wrapNone/>
              <wp:docPr id="2"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9pzV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hPac1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9264" behindDoc="1" locked="0" layoutInCell="1" allowOverlap="1" wp14:anchorId="5FB31544" wp14:editId="7443BBF3">
              <wp:simplePos x="0" y="0"/>
              <wp:positionH relativeFrom="column">
                <wp:posOffset>0</wp:posOffset>
              </wp:positionH>
              <wp:positionV relativeFrom="paragraph">
                <wp:posOffset>8498840</wp:posOffset>
              </wp:positionV>
              <wp:extent cx="7379970" cy="2181860"/>
              <wp:effectExtent l="0" t="2540" r="1905" b="0"/>
              <wp:wrapNone/>
              <wp:docPr id="1"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Usyld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SFLMp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91" w:rsidRDefault="00D66591" w:rsidP="007E5BA1">
      <w:r>
        <w:separator/>
      </w:r>
    </w:p>
  </w:footnote>
  <w:footnote w:type="continuationSeparator" w:id="0">
    <w:p w:rsidR="00D66591" w:rsidRDefault="00D66591" w:rsidP="007E5BA1">
      <w:r>
        <w:continuationSeparator/>
      </w:r>
    </w:p>
  </w:footnote>
  <w:footnote w:type="continuationNotice" w:id="1">
    <w:p w:rsidR="00D66591" w:rsidRDefault="00D66591"/>
  </w:footnote>
  <w:footnote w:id="2">
    <w:p w:rsidR="00D66591" w:rsidRPr="00EC5AFD" w:rsidRDefault="00D66591">
      <w:pPr>
        <w:pStyle w:val="FootnoteText"/>
        <w:rPr>
          <w:sz w:val="17"/>
          <w:szCs w:val="17"/>
          <w:lang w:val="en-AU"/>
        </w:rPr>
      </w:pPr>
      <w:r>
        <w:rPr>
          <w:rStyle w:val="FootnoteReference"/>
        </w:rPr>
        <w:footnoteRef/>
      </w:r>
      <w:r>
        <w:t xml:space="preserve"> </w:t>
      </w:r>
      <w:r w:rsidRPr="00EC5AFD">
        <w:rPr>
          <w:sz w:val="17"/>
          <w:szCs w:val="17"/>
          <w:lang w:val="en-AU"/>
        </w:rPr>
        <w:t xml:space="preserve">Progress was measured using a performance assessment framework which includes indicators of success under each </w:t>
      </w:r>
      <w:r>
        <w:rPr>
          <w:sz w:val="17"/>
          <w:szCs w:val="17"/>
          <w:lang w:val="en-AU"/>
        </w:rPr>
        <w:t>s</w:t>
      </w:r>
      <w:r w:rsidRPr="00EC5AFD">
        <w:rPr>
          <w:sz w:val="17"/>
          <w:szCs w:val="17"/>
          <w:lang w:val="en-AU"/>
        </w:rPr>
        <w:t>trateg</w:t>
      </w:r>
      <w:r>
        <w:rPr>
          <w:sz w:val="17"/>
          <w:szCs w:val="17"/>
          <w:lang w:val="en-AU"/>
        </w:rPr>
        <w:t xml:space="preserve">ic </w:t>
      </w:r>
      <w:r w:rsidRPr="00EC5AFD">
        <w:rPr>
          <w:sz w:val="17"/>
          <w:szCs w:val="17"/>
          <w:lang w:val="en-AU"/>
        </w:rPr>
        <w:t>objective</w:t>
      </w:r>
      <w:r>
        <w:rPr>
          <w:sz w:val="17"/>
          <w:szCs w:val="17"/>
          <w:lang w:val="en-AU"/>
        </w:rPr>
        <w:t>.</w:t>
      </w:r>
    </w:p>
  </w:footnote>
  <w:footnote w:id="3">
    <w:p w:rsidR="00D66591" w:rsidRPr="009B2417" w:rsidRDefault="00D66591" w:rsidP="000D27CE">
      <w:pPr>
        <w:pStyle w:val="FootnoteText"/>
        <w:rPr>
          <w:sz w:val="17"/>
          <w:szCs w:val="17"/>
          <w:lang w:val="en-AU"/>
        </w:rPr>
      </w:pPr>
      <w:r>
        <w:rPr>
          <w:rStyle w:val="FootnoteReference"/>
        </w:rPr>
        <w:footnoteRef/>
      </w:r>
      <w:r>
        <w:t xml:space="preserve"> </w:t>
      </w:r>
      <w:r w:rsidRPr="00E87CEB">
        <w:rPr>
          <w:sz w:val="17"/>
          <w:szCs w:val="17"/>
          <w:lang w:val="en-AU"/>
        </w:rPr>
        <w:t>Australian ODA to Bangladesh in 2013–14 (estimated outcome) represented 1.7</w:t>
      </w:r>
      <w:r>
        <w:rPr>
          <w:sz w:val="17"/>
          <w:szCs w:val="17"/>
          <w:lang w:val="en-AU"/>
        </w:rPr>
        <w:t xml:space="preserve"> per cent</w:t>
      </w:r>
      <w:r w:rsidRPr="00E87CEB">
        <w:rPr>
          <w:sz w:val="17"/>
          <w:szCs w:val="17"/>
          <w:lang w:val="en-AU"/>
        </w:rPr>
        <w:t xml:space="preserve"> of all Australian ODA</w:t>
      </w:r>
      <w:r>
        <w:rPr>
          <w:sz w:val="17"/>
          <w:szCs w:val="17"/>
          <w:lang w:val="en-AU"/>
        </w:rPr>
        <w:t xml:space="preserve">. The program delivered 5 per cent of the Department’s total results for the period, making it the fifth largest contributor amongst country programs.  </w:t>
      </w:r>
      <w:r w:rsidRPr="009B2417">
        <w:rPr>
          <w:sz w:val="17"/>
          <w:szCs w:val="17"/>
          <w:lang w:val="en-AU"/>
        </w:rPr>
        <w:t xml:space="preserve"> </w:t>
      </w:r>
      <w:r>
        <w:rPr>
          <w:sz w:val="17"/>
          <w:szCs w:val="17"/>
          <w:lang w:val="en-AU"/>
        </w:rPr>
        <w:t xml:space="preserve"> </w:t>
      </w:r>
    </w:p>
  </w:footnote>
  <w:footnote w:id="4">
    <w:p w:rsidR="00D66591" w:rsidRPr="00234BD3" w:rsidRDefault="00D66591" w:rsidP="00170471">
      <w:pPr>
        <w:pStyle w:val="FootnoteText"/>
        <w:rPr>
          <w:sz w:val="17"/>
          <w:szCs w:val="17"/>
          <w:lang w:val="en-AU"/>
        </w:rPr>
      </w:pPr>
      <w:r>
        <w:rPr>
          <w:rStyle w:val="FootnoteReference"/>
        </w:rPr>
        <w:footnoteRef/>
      </w:r>
      <w:r>
        <w:t xml:space="preserve"> </w:t>
      </w:r>
      <w:r>
        <w:rPr>
          <w:sz w:val="17"/>
          <w:szCs w:val="17"/>
          <w:lang w:val="en-AU"/>
        </w:rPr>
        <w:t>World Bank data (</w:t>
      </w:r>
      <w:hyperlink r:id="rId1" w:history="1">
        <w:r w:rsidRPr="009B5743">
          <w:rPr>
            <w:rStyle w:val="Hyperlink"/>
            <w:sz w:val="17"/>
            <w:szCs w:val="17"/>
            <w:lang w:val="en-AU"/>
          </w:rPr>
          <w:t>www.worldbank</w:t>
        </w:r>
        <w:r w:rsidRPr="00A75086">
          <w:rPr>
            <w:rStyle w:val="Hyperlink"/>
            <w:sz w:val="17"/>
            <w:szCs w:val="17"/>
            <w:lang w:val="en-AU"/>
          </w:rPr>
          <w:t>.org/country/bangladesh</w:t>
        </w:r>
      </w:hyperlink>
      <w:r>
        <w:rPr>
          <w:sz w:val="17"/>
          <w:szCs w:val="17"/>
          <w:lang w:val="en-AU"/>
        </w:rPr>
        <w:t xml:space="preserve">). Growth is down from 6.2per cent the previous year. The Bank forecasts Bangladesh’s annual economic growth for the following three years at 5.4 per cent, 5.9 per cent and 6.2 per cent, which largely mirrors the Bank’s forecasts for South Asia across the same period. </w:t>
      </w:r>
    </w:p>
  </w:footnote>
  <w:footnote w:id="5">
    <w:p w:rsidR="00D66591" w:rsidRPr="00234BD3" w:rsidRDefault="00D66591">
      <w:pPr>
        <w:pStyle w:val="FootnoteText"/>
        <w:rPr>
          <w:lang w:val="en-AU"/>
        </w:rPr>
      </w:pPr>
      <w:r>
        <w:rPr>
          <w:rStyle w:val="FootnoteReference"/>
        </w:rPr>
        <w:footnoteRef/>
      </w:r>
      <w:r>
        <w:t xml:space="preserve"> </w:t>
      </w:r>
      <w:r w:rsidRPr="00070DD5">
        <w:rPr>
          <w:sz w:val="17"/>
          <w:szCs w:val="17"/>
          <w:lang w:val="en-AU"/>
        </w:rPr>
        <w:t>As required under Australia’s Aid Policy (June 2014)</w:t>
      </w:r>
      <w:r>
        <w:rPr>
          <w:sz w:val="17"/>
          <w:szCs w:val="17"/>
          <w:lang w:val="en-AU"/>
        </w:rPr>
        <w:t>.</w:t>
      </w:r>
    </w:p>
  </w:footnote>
  <w:footnote w:id="6">
    <w:p w:rsidR="00D66591" w:rsidRPr="00B40EFF" w:rsidRDefault="00D66591" w:rsidP="00A24389">
      <w:pPr>
        <w:pStyle w:val="FootnoteText"/>
        <w:rPr>
          <w:sz w:val="17"/>
          <w:szCs w:val="17"/>
          <w:lang w:val="en-AU"/>
        </w:rPr>
      </w:pPr>
      <w:r>
        <w:rPr>
          <w:rStyle w:val="FootnoteReference"/>
        </w:rPr>
        <w:footnoteRef/>
      </w:r>
      <w:r>
        <w:t xml:space="preserve"> </w:t>
      </w:r>
      <w:r w:rsidRPr="006C29D6">
        <w:rPr>
          <w:sz w:val="17"/>
          <w:szCs w:val="17"/>
          <w:lang w:val="en-AU"/>
        </w:rPr>
        <w:t>The 2014 election was not contested by the Bangladesh National Party</w:t>
      </w:r>
      <w:r>
        <w:rPr>
          <w:sz w:val="17"/>
          <w:szCs w:val="17"/>
          <w:lang w:val="en-AU"/>
        </w:rPr>
        <w:t xml:space="preserve"> (Bangladesh’s main opposition party).</w:t>
      </w:r>
    </w:p>
  </w:footnote>
  <w:footnote w:id="7">
    <w:p w:rsidR="00D66591" w:rsidRPr="00C51F8F" w:rsidRDefault="00D66591">
      <w:pPr>
        <w:pStyle w:val="FootnoteText"/>
        <w:rPr>
          <w:sz w:val="17"/>
          <w:szCs w:val="17"/>
          <w:lang w:val="en-AU"/>
        </w:rPr>
      </w:pPr>
      <w:r w:rsidRPr="00B40EFF">
        <w:rPr>
          <w:rStyle w:val="FootnoteReference"/>
        </w:rPr>
        <w:footnoteRef/>
      </w:r>
      <w:r w:rsidRPr="00B40EFF">
        <w:t xml:space="preserve"> </w:t>
      </w:r>
      <w:r w:rsidRPr="00C51F8F">
        <w:rPr>
          <w:sz w:val="17"/>
          <w:szCs w:val="17"/>
          <w:lang w:val="en-AU"/>
        </w:rPr>
        <w:t>Dhaka Tribune, September 2014</w:t>
      </w:r>
      <w:r>
        <w:rPr>
          <w:sz w:val="17"/>
          <w:szCs w:val="17"/>
          <w:lang w:val="en-AU"/>
        </w:rPr>
        <w:t>.</w:t>
      </w:r>
    </w:p>
  </w:footnote>
  <w:footnote w:id="8">
    <w:p w:rsidR="00D66591" w:rsidRPr="00070DD5" w:rsidRDefault="00D66591" w:rsidP="00A24389">
      <w:pPr>
        <w:pStyle w:val="FootnoteText"/>
        <w:rPr>
          <w:sz w:val="17"/>
          <w:szCs w:val="17"/>
          <w:lang w:val="en-AU"/>
        </w:rPr>
      </w:pPr>
      <w:r w:rsidRPr="006C29D6">
        <w:rPr>
          <w:rStyle w:val="FootnoteReference"/>
        </w:rPr>
        <w:footnoteRef/>
      </w:r>
      <w:r w:rsidRPr="006C29D6">
        <w:t xml:space="preserve"> </w:t>
      </w:r>
      <w:r w:rsidRPr="006C29D6">
        <w:rPr>
          <w:sz w:val="17"/>
          <w:szCs w:val="17"/>
          <w:lang w:val="en-AU"/>
        </w:rPr>
        <w:t>Financial Express – Monetary Policy</w:t>
      </w:r>
      <w:r w:rsidRPr="00070DD5">
        <w:rPr>
          <w:sz w:val="17"/>
          <w:szCs w:val="17"/>
          <w:lang w:val="en-AU"/>
        </w:rPr>
        <w:t>: Bangladesh experience April 2014</w:t>
      </w:r>
      <w:r>
        <w:rPr>
          <w:sz w:val="17"/>
          <w:szCs w:val="17"/>
          <w:lang w:val="en-AU"/>
        </w:rPr>
        <w:t xml:space="preserve">. The World Bank reports that for </w:t>
      </w:r>
      <w:r w:rsidRPr="00A75086">
        <w:rPr>
          <w:sz w:val="17"/>
          <w:szCs w:val="17"/>
          <w:lang w:val="en-AU"/>
        </w:rPr>
        <w:t>Bangladesh to reach its target of becoming a middle income country by 2021, annual economic growth needs to lift to 7.5</w:t>
      </w:r>
      <w:r>
        <w:rPr>
          <w:sz w:val="17"/>
          <w:szCs w:val="17"/>
          <w:lang w:val="en-AU"/>
        </w:rPr>
        <w:t>-</w:t>
      </w:r>
      <w:r w:rsidRPr="00A75086">
        <w:rPr>
          <w:sz w:val="17"/>
          <w:szCs w:val="17"/>
          <w:lang w:val="en-AU"/>
        </w:rPr>
        <w:t>8</w:t>
      </w:r>
      <w:r>
        <w:rPr>
          <w:sz w:val="17"/>
          <w:szCs w:val="17"/>
          <w:lang w:val="en-AU"/>
        </w:rPr>
        <w:t xml:space="preserve"> per cent</w:t>
      </w:r>
      <w:r w:rsidRPr="00A75086">
        <w:rPr>
          <w:sz w:val="17"/>
          <w:szCs w:val="17"/>
          <w:lang w:val="en-AU"/>
        </w:rPr>
        <w:t>.</w:t>
      </w:r>
    </w:p>
  </w:footnote>
  <w:footnote w:id="9">
    <w:p w:rsidR="00D66591" w:rsidRPr="00070DD5" w:rsidRDefault="00D66591" w:rsidP="00C42118">
      <w:pPr>
        <w:pStyle w:val="FootnoteText"/>
        <w:rPr>
          <w:sz w:val="17"/>
          <w:szCs w:val="17"/>
          <w:lang w:val="en-AU"/>
        </w:rPr>
      </w:pPr>
      <w:r w:rsidRPr="00F2695C">
        <w:rPr>
          <w:rStyle w:val="FootnoteReference"/>
        </w:rPr>
        <w:footnoteRef/>
      </w:r>
      <w:r w:rsidRPr="00F2695C">
        <w:rPr>
          <w:sz w:val="17"/>
          <w:szCs w:val="17"/>
          <w:lang w:val="en-AU"/>
        </w:rPr>
        <w:t xml:space="preserve"> </w:t>
      </w:r>
      <w:r w:rsidRPr="00070DD5">
        <w:rPr>
          <w:sz w:val="17"/>
          <w:szCs w:val="17"/>
          <w:lang w:val="en-AU"/>
        </w:rPr>
        <w:t>Conflict Prevention and Peace Forum – informal consultation on Bangladesh</w:t>
      </w:r>
      <w:r>
        <w:rPr>
          <w:sz w:val="17"/>
          <w:szCs w:val="17"/>
          <w:lang w:val="en-AU"/>
        </w:rPr>
        <w:t>.</w:t>
      </w:r>
    </w:p>
  </w:footnote>
  <w:footnote w:id="10">
    <w:p w:rsidR="00D66591" w:rsidRPr="00070DD5" w:rsidRDefault="00D66591" w:rsidP="00F37C45">
      <w:pPr>
        <w:pStyle w:val="FootnoteText"/>
        <w:rPr>
          <w:sz w:val="17"/>
          <w:szCs w:val="17"/>
          <w:lang w:val="en-AU"/>
        </w:rPr>
      </w:pPr>
      <w:r w:rsidRPr="00F2695C">
        <w:rPr>
          <w:rStyle w:val="FootnoteReference"/>
        </w:rPr>
        <w:footnoteRef/>
      </w:r>
      <w:r w:rsidRPr="00F2695C">
        <w:rPr>
          <w:sz w:val="17"/>
          <w:szCs w:val="17"/>
          <w:lang w:val="en-AU"/>
        </w:rPr>
        <w:t xml:space="preserve"> </w:t>
      </w:r>
      <w:r w:rsidRPr="00070DD5">
        <w:rPr>
          <w:sz w:val="17"/>
          <w:szCs w:val="17"/>
          <w:lang w:val="en-AU"/>
        </w:rPr>
        <w:t>World Bank Development Update – April 2014</w:t>
      </w:r>
      <w:r>
        <w:rPr>
          <w:sz w:val="17"/>
          <w:szCs w:val="17"/>
          <w:lang w:val="en-AU"/>
        </w:rPr>
        <w:t>.</w:t>
      </w:r>
    </w:p>
  </w:footnote>
  <w:footnote w:id="11">
    <w:p w:rsidR="00D66591" w:rsidRPr="00070DD5" w:rsidRDefault="00D66591" w:rsidP="00A24389">
      <w:pPr>
        <w:pStyle w:val="FootnoteText"/>
        <w:rPr>
          <w:sz w:val="17"/>
          <w:szCs w:val="17"/>
          <w:lang w:val="en-AU"/>
        </w:rPr>
      </w:pPr>
      <w:r w:rsidRPr="00F2695C">
        <w:rPr>
          <w:rStyle w:val="FootnoteReference"/>
        </w:rPr>
        <w:footnoteRef/>
      </w:r>
      <w:r w:rsidRPr="00F2695C">
        <w:rPr>
          <w:rStyle w:val="FootnoteReference"/>
        </w:rPr>
        <w:t xml:space="preserve"> </w:t>
      </w:r>
      <w:r>
        <w:rPr>
          <w:sz w:val="17"/>
          <w:szCs w:val="17"/>
          <w:lang w:val="en-AU"/>
        </w:rPr>
        <w:t>According to a presentation by the</w:t>
      </w:r>
      <w:r>
        <w:rPr>
          <w:sz w:val="17"/>
          <w:szCs w:val="17"/>
          <w:lang w:val="en-US"/>
        </w:rPr>
        <w:t xml:space="preserve"> World Bank Country Director Bangladesh in August 2014, Bangladesh </w:t>
      </w:r>
      <w:r w:rsidRPr="009B2417">
        <w:rPr>
          <w:sz w:val="17"/>
          <w:szCs w:val="17"/>
          <w:lang w:val="en-AU"/>
        </w:rPr>
        <w:t>is on track</w:t>
      </w:r>
      <w:r>
        <w:rPr>
          <w:sz w:val="17"/>
          <w:szCs w:val="17"/>
          <w:lang w:val="en-AU"/>
        </w:rPr>
        <w:t xml:space="preserve"> to achieve MDGs</w:t>
      </w:r>
      <w:r w:rsidRPr="009B2417">
        <w:rPr>
          <w:sz w:val="17"/>
          <w:szCs w:val="17"/>
          <w:lang w:val="en-AU"/>
        </w:rPr>
        <w:t xml:space="preserve"> for gender parity in education, child mortality, maternal hea</w:t>
      </w:r>
      <w:r>
        <w:rPr>
          <w:sz w:val="17"/>
          <w:szCs w:val="17"/>
          <w:lang w:val="en-AU"/>
        </w:rPr>
        <w:t>lth, HIV/AIDs and tuberculosis</w:t>
      </w:r>
      <w:r>
        <w:rPr>
          <w:sz w:val="17"/>
          <w:szCs w:val="17"/>
          <w:lang w:val="en-US"/>
        </w:rPr>
        <w:t xml:space="preserve"> and w</w:t>
      </w:r>
      <w:r w:rsidRPr="00016C42">
        <w:rPr>
          <w:sz w:val="17"/>
          <w:szCs w:val="17"/>
          <w:lang w:val="en-US"/>
        </w:rPr>
        <w:t xml:space="preserve">ill partially achieve </w:t>
      </w:r>
      <w:r w:rsidRPr="009B2417">
        <w:rPr>
          <w:sz w:val="17"/>
          <w:szCs w:val="17"/>
          <w:lang w:val="en-AU"/>
        </w:rPr>
        <w:t xml:space="preserve">MDGs for poverty reduction and primary enrolment. </w:t>
      </w:r>
    </w:p>
  </w:footnote>
  <w:footnote w:id="12">
    <w:p w:rsidR="00D66591" w:rsidRPr="00070DD5" w:rsidRDefault="00D66591" w:rsidP="00A24389">
      <w:pPr>
        <w:pStyle w:val="FootnoteText"/>
        <w:rPr>
          <w:sz w:val="17"/>
          <w:szCs w:val="17"/>
          <w:lang w:val="en-AU"/>
        </w:rPr>
      </w:pPr>
      <w:r w:rsidRPr="0027058D">
        <w:rPr>
          <w:rStyle w:val="FootnoteReference"/>
        </w:rPr>
        <w:footnoteRef/>
      </w:r>
      <w:r w:rsidRPr="009B2417">
        <w:rPr>
          <w:sz w:val="17"/>
          <w:szCs w:val="17"/>
          <w:lang w:val="en-AU"/>
        </w:rPr>
        <w:t xml:space="preserve"> </w:t>
      </w:r>
      <w:r w:rsidRPr="00070DD5">
        <w:rPr>
          <w:sz w:val="17"/>
          <w:szCs w:val="17"/>
          <w:lang w:val="en-AU"/>
        </w:rPr>
        <w:t>World Bank update – April 2014</w:t>
      </w:r>
      <w:r>
        <w:rPr>
          <w:sz w:val="17"/>
          <w:szCs w:val="17"/>
          <w:lang w:val="en-AU"/>
        </w:rPr>
        <w:t>.</w:t>
      </w:r>
    </w:p>
  </w:footnote>
  <w:footnote w:id="13">
    <w:p w:rsidR="00D66591" w:rsidRPr="00070DD5" w:rsidRDefault="00D66591" w:rsidP="00BE4D46">
      <w:pPr>
        <w:pStyle w:val="FootnoteText"/>
        <w:rPr>
          <w:sz w:val="17"/>
          <w:szCs w:val="17"/>
        </w:rPr>
      </w:pPr>
      <w:r>
        <w:rPr>
          <w:rStyle w:val="FootnoteReference"/>
        </w:rPr>
        <w:footnoteRef/>
      </w:r>
      <w:r>
        <w:t xml:space="preserve"> </w:t>
      </w:r>
      <w:r w:rsidRPr="00070DD5">
        <w:rPr>
          <w:sz w:val="17"/>
          <w:szCs w:val="17"/>
        </w:rPr>
        <w:t>Bangladesh: Innovation for Universal Health Coverage, Lancet, November 2013</w:t>
      </w:r>
      <w:r>
        <w:rPr>
          <w:sz w:val="17"/>
          <w:szCs w:val="17"/>
        </w:rPr>
        <w:t>.</w:t>
      </w:r>
    </w:p>
  </w:footnote>
  <w:footnote w:id="14">
    <w:p w:rsidR="00D66591" w:rsidRPr="00A75086" w:rsidRDefault="00D66591">
      <w:pPr>
        <w:pStyle w:val="FootnoteText"/>
        <w:rPr>
          <w:lang w:val="en-AU"/>
        </w:rPr>
      </w:pPr>
      <w:r>
        <w:rPr>
          <w:rStyle w:val="FootnoteReference"/>
        </w:rPr>
        <w:footnoteRef/>
      </w:r>
      <w:r>
        <w:t xml:space="preserve"> </w:t>
      </w:r>
      <w:r w:rsidRPr="00836739">
        <w:rPr>
          <w:sz w:val="17"/>
          <w:szCs w:val="17"/>
        </w:rPr>
        <w:t>Directorate of Primary Education Annual Sector Performance Report 2013: Government of Bangladesh.</w:t>
      </w:r>
    </w:p>
  </w:footnote>
  <w:footnote w:id="15">
    <w:p w:rsidR="00D66591" w:rsidRPr="00070DD5" w:rsidRDefault="00D66591" w:rsidP="005665CA">
      <w:pPr>
        <w:pStyle w:val="FootnoteText"/>
        <w:rPr>
          <w:sz w:val="17"/>
          <w:szCs w:val="17"/>
          <w:lang w:val="en-AU"/>
        </w:rPr>
      </w:pPr>
      <w:r w:rsidRPr="0027058D">
        <w:rPr>
          <w:rStyle w:val="FootnoteReference"/>
        </w:rPr>
        <w:footnoteRef/>
      </w:r>
      <w:r w:rsidRPr="0027058D">
        <w:rPr>
          <w:rStyle w:val="FootnoteReference"/>
        </w:rPr>
        <w:t xml:space="preserve"> </w:t>
      </w:r>
      <w:r w:rsidRPr="00070DD5">
        <w:rPr>
          <w:sz w:val="17"/>
          <w:szCs w:val="17"/>
          <w:lang w:val="en-AU"/>
        </w:rPr>
        <w:t xml:space="preserve">80 per cent of </w:t>
      </w:r>
      <w:r>
        <w:rPr>
          <w:sz w:val="17"/>
          <w:szCs w:val="17"/>
          <w:lang w:val="en-AU"/>
        </w:rPr>
        <w:t xml:space="preserve">workers in </w:t>
      </w:r>
      <w:r w:rsidRPr="00070DD5">
        <w:rPr>
          <w:sz w:val="17"/>
          <w:szCs w:val="17"/>
          <w:lang w:val="en-AU"/>
        </w:rPr>
        <w:t xml:space="preserve">the Ready Made Garment sector </w:t>
      </w:r>
      <w:r>
        <w:rPr>
          <w:sz w:val="17"/>
          <w:szCs w:val="17"/>
          <w:lang w:val="en-AU"/>
        </w:rPr>
        <w:t>are</w:t>
      </w:r>
      <w:r w:rsidRPr="00070DD5">
        <w:rPr>
          <w:sz w:val="17"/>
          <w:szCs w:val="17"/>
          <w:lang w:val="en-AU"/>
        </w:rPr>
        <w:t xml:space="preserve"> female</w:t>
      </w:r>
    </w:p>
  </w:footnote>
  <w:footnote w:id="16">
    <w:p w:rsidR="00D66591" w:rsidRPr="00A75086" w:rsidRDefault="00D66591">
      <w:pPr>
        <w:pStyle w:val="FootnoteText"/>
        <w:rPr>
          <w:sz w:val="17"/>
          <w:szCs w:val="17"/>
          <w:lang w:val="en-AU"/>
        </w:rPr>
      </w:pPr>
      <w:r>
        <w:rPr>
          <w:rStyle w:val="FootnoteReference"/>
        </w:rPr>
        <w:footnoteRef/>
      </w:r>
      <w:r>
        <w:t xml:space="preserve"> </w:t>
      </w:r>
      <w:r w:rsidRPr="00A75086">
        <w:rPr>
          <w:sz w:val="17"/>
          <w:szCs w:val="17"/>
          <w:lang w:val="en-AU"/>
        </w:rPr>
        <w:t xml:space="preserve">World Bank poverty data, 2010 </w:t>
      </w:r>
      <w:r>
        <w:rPr>
          <w:sz w:val="17"/>
          <w:szCs w:val="17"/>
          <w:lang w:val="en-AU"/>
        </w:rPr>
        <w:t>(latest available).</w:t>
      </w:r>
    </w:p>
  </w:footnote>
  <w:footnote w:id="17">
    <w:p w:rsidR="00D66591" w:rsidRPr="00070DD5" w:rsidRDefault="00D66591" w:rsidP="001A7C0E">
      <w:pPr>
        <w:pStyle w:val="FootnoteText"/>
        <w:rPr>
          <w:sz w:val="17"/>
          <w:szCs w:val="17"/>
          <w:lang w:val="en-AU"/>
        </w:rPr>
      </w:pPr>
      <w:r w:rsidRPr="00EB2EAC">
        <w:rPr>
          <w:rStyle w:val="FootnoteReference"/>
          <w:sz w:val="17"/>
          <w:szCs w:val="17"/>
        </w:rPr>
        <w:footnoteRef/>
      </w:r>
      <w:r>
        <w:t xml:space="preserve"> </w:t>
      </w:r>
      <w:r>
        <w:rPr>
          <w:sz w:val="17"/>
          <w:szCs w:val="17"/>
          <w:lang w:val="en-AU"/>
        </w:rPr>
        <w:t>Newspaper reporting.</w:t>
      </w:r>
    </w:p>
  </w:footnote>
  <w:footnote w:id="18">
    <w:p w:rsidR="00D66591" w:rsidRPr="009B2417" w:rsidRDefault="00D66591">
      <w:pPr>
        <w:pStyle w:val="FootnoteText"/>
        <w:rPr>
          <w:sz w:val="17"/>
          <w:szCs w:val="17"/>
          <w:lang w:val="en-AU"/>
        </w:rPr>
      </w:pPr>
      <w:r>
        <w:rPr>
          <w:rStyle w:val="FootnoteReference"/>
        </w:rPr>
        <w:footnoteRef/>
      </w:r>
      <w:r>
        <w:t xml:space="preserve"> </w:t>
      </w:r>
      <w:r w:rsidRPr="009B2417">
        <w:rPr>
          <w:sz w:val="17"/>
          <w:szCs w:val="17"/>
          <w:lang w:val="en-AU"/>
        </w:rPr>
        <w:t xml:space="preserve">Bangladesh’s Board of Investment reported </w:t>
      </w:r>
      <w:r>
        <w:rPr>
          <w:sz w:val="17"/>
          <w:szCs w:val="17"/>
          <w:lang w:val="en-AU"/>
        </w:rPr>
        <w:t xml:space="preserve">a </w:t>
      </w:r>
      <w:r w:rsidRPr="009B2417">
        <w:rPr>
          <w:sz w:val="17"/>
          <w:szCs w:val="17"/>
          <w:lang w:val="en-AU"/>
        </w:rPr>
        <w:t>reduction in business investment by 24</w:t>
      </w:r>
      <w:r>
        <w:rPr>
          <w:sz w:val="17"/>
          <w:szCs w:val="17"/>
          <w:lang w:val="en-AU"/>
        </w:rPr>
        <w:t xml:space="preserve"> per cent during 2013</w:t>
      </w:r>
    </w:p>
  </w:footnote>
  <w:footnote w:id="19">
    <w:p w:rsidR="00D66591" w:rsidRPr="006C29D6" w:rsidRDefault="00D66591" w:rsidP="008020A9">
      <w:pPr>
        <w:pStyle w:val="FootnoteText"/>
        <w:rPr>
          <w:sz w:val="17"/>
          <w:szCs w:val="17"/>
          <w:lang w:val="en-AU"/>
        </w:rPr>
      </w:pPr>
      <w:r w:rsidRPr="0027058D">
        <w:rPr>
          <w:rStyle w:val="FootnoteReference"/>
        </w:rPr>
        <w:footnoteRef/>
      </w:r>
      <w:r w:rsidRPr="0027058D">
        <w:rPr>
          <w:rStyle w:val="FootnoteReference"/>
        </w:rPr>
        <w:t xml:space="preserve"> </w:t>
      </w:r>
      <w:r w:rsidRPr="009B2417">
        <w:rPr>
          <w:sz w:val="17"/>
          <w:szCs w:val="17"/>
          <w:lang w:val="en-AU"/>
        </w:rPr>
        <w:t>Government sources</w:t>
      </w:r>
      <w:r>
        <w:rPr>
          <w:sz w:val="17"/>
          <w:szCs w:val="17"/>
          <w:lang w:val="en-AU"/>
        </w:rPr>
        <w:t xml:space="preserve">. </w:t>
      </w:r>
      <w:r w:rsidRPr="006C29D6">
        <w:rPr>
          <w:sz w:val="17"/>
          <w:szCs w:val="17"/>
          <w:lang w:val="en-AU"/>
        </w:rPr>
        <w:t>The annual development budget is 32 per</w:t>
      </w:r>
      <w:r>
        <w:rPr>
          <w:sz w:val="17"/>
          <w:szCs w:val="17"/>
          <w:lang w:val="en-AU"/>
        </w:rPr>
        <w:t xml:space="preserve"> </w:t>
      </w:r>
      <w:r w:rsidRPr="006C29D6">
        <w:rPr>
          <w:sz w:val="17"/>
          <w:szCs w:val="17"/>
          <w:lang w:val="en-AU"/>
        </w:rPr>
        <w:t xml:space="preserve">cent of the total national budget. </w:t>
      </w:r>
    </w:p>
  </w:footnote>
  <w:footnote w:id="20">
    <w:p w:rsidR="00D66591" w:rsidRPr="00A75086" w:rsidRDefault="00D66591">
      <w:pPr>
        <w:pStyle w:val="FootnoteText"/>
        <w:rPr>
          <w:lang w:val="en-AU"/>
        </w:rPr>
      </w:pPr>
      <w:r w:rsidRPr="00B40EFF">
        <w:rPr>
          <w:rStyle w:val="FootnoteReference"/>
        </w:rPr>
        <w:footnoteRef/>
      </w:r>
      <w:r w:rsidRPr="006C29D6">
        <w:rPr>
          <w:sz w:val="17"/>
          <w:szCs w:val="17"/>
          <w:lang w:val="en-AU"/>
        </w:rPr>
        <w:t xml:space="preserve"> </w:t>
      </w:r>
      <w:r w:rsidRPr="00A75086">
        <w:rPr>
          <w:sz w:val="17"/>
          <w:szCs w:val="17"/>
          <w:lang w:val="en-AU"/>
        </w:rPr>
        <w:t>Bangladesh ranks 136 ou</w:t>
      </w:r>
      <w:r>
        <w:rPr>
          <w:sz w:val="17"/>
          <w:szCs w:val="17"/>
          <w:lang w:val="en-AU"/>
        </w:rPr>
        <w:t>t</w:t>
      </w:r>
      <w:r w:rsidRPr="00A75086">
        <w:rPr>
          <w:sz w:val="17"/>
          <w:szCs w:val="17"/>
          <w:lang w:val="en-AU"/>
        </w:rPr>
        <w:t xml:space="preserve"> of 177 on Transparency International’s corruption index.</w:t>
      </w:r>
      <w:r>
        <w:rPr>
          <w:lang w:val="en-AU"/>
        </w:rPr>
        <w:t xml:space="preserve"> </w:t>
      </w:r>
    </w:p>
  </w:footnote>
  <w:footnote w:id="21">
    <w:p w:rsidR="00D66591" w:rsidRPr="00F2695C" w:rsidRDefault="00D66591" w:rsidP="00FA6788">
      <w:pPr>
        <w:pStyle w:val="FootnoteText"/>
        <w:rPr>
          <w:sz w:val="17"/>
          <w:szCs w:val="17"/>
          <w:lang w:val="en-AU"/>
        </w:rPr>
      </w:pPr>
      <w:r w:rsidRPr="00D54F16">
        <w:rPr>
          <w:rStyle w:val="FootnoteReference"/>
        </w:rPr>
        <w:footnoteRef/>
      </w:r>
      <w:r w:rsidRPr="00F2695C">
        <w:rPr>
          <w:rStyle w:val="FootnoteReference"/>
        </w:rPr>
        <w:t xml:space="preserve"> </w:t>
      </w:r>
      <w:r>
        <w:rPr>
          <w:sz w:val="17"/>
          <w:szCs w:val="17"/>
          <w:lang w:val="en-AU"/>
        </w:rPr>
        <w:t xml:space="preserve">Presentation by World Bank Country Director (Bangladesh), August 2014 </w:t>
      </w:r>
    </w:p>
  </w:footnote>
  <w:footnote w:id="22">
    <w:p w:rsidR="00D66591" w:rsidRPr="00F2695C" w:rsidRDefault="00D66591" w:rsidP="008020A9">
      <w:pPr>
        <w:pStyle w:val="FootnoteText"/>
        <w:rPr>
          <w:sz w:val="17"/>
          <w:szCs w:val="17"/>
          <w:lang w:val="en-AU"/>
        </w:rPr>
      </w:pPr>
      <w:r w:rsidRPr="00D54F16">
        <w:rPr>
          <w:rStyle w:val="FootnoteReference"/>
        </w:rPr>
        <w:footnoteRef/>
      </w:r>
      <w:r w:rsidRPr="00F2695C">
        <w:rPr>
          <w:sz w:val="17"/>
          <w:szCs w:val="17"/>
          <w:lang w:val="en-AU"/>
        </w:rPr>
        <w:t xml:space="preserve"> Draft National Student Assessment 2013.</w:t>
      </w:r>
      <w:r w:rsidRPr="00AE4C5A">
        <w:rPr>
          <w:sz w:val="17"/>
          <w:szCs w:val="17"/>
        </w:rPr>
        <w:t xml:space="preserve"> </w:t>
      </w:r>
      <w:r>
        <w:rPr>
          <w:sz w:val="17"/>
          <w:szCs w:val="17"/>
        </w:rPr>
        <w:t xml:space="preserve"> </w:t>
      </w:r>
    </w:p>
  </w:footnote>
  <w:footnote w:id="23">
    <w:p w:rsidR="00D66591" w:rsidRPr="00F2695C" w:rsidRDefault="00D66591" w:rsidP="00BE4D46">
      <w:pPr>
        <w:pStyle w:val="FootnoteText"/>
        <w:rPr>
          <w:sz w:val="17"/>
          <w:szCs w:val="17"/>
        </w:rPr>
      </w:pPr>
      <w:r>
        <w:rPr>
          <w:rStyle w:val="FootnoteReference"/>
        </w:rPr>
        <w:footnoteRef/>
      </w:r>
      <w:r>
        <w:t xml:space="preserve"> </w:t>
      </w:r>
      <w:r w:rsidRPr="00F2695C">
        <w:rPr>
          <w:sz w:val="17"/>
          <w:szCs w:val="17"/>
        </w:rPr>
        <w:t>Health-Related Financial Catastrophe, Inequality and Chronic Illness in Bangladesh, Md. Mizanur Rahman, Stuart Gilmour, Eiko Saito, Papia Sultana, Kenji Shibuya; February 25, 2013, DOI: 10.1371/journal.pone.0056873</w:t>
      </w:r>
    </w:p>
  </w:footnote>
  <w:footnote w:id="24">
    <w:p w:rsidR="00D66591" w:rsidRPr="00070DD5" w:rsidRDefault="00D66591" w:rsidP="009A637A">
      <w:pPr>
        <w:pStyle w:val="FootnoteText"/>
        <w:rPr>
          <w:sz w:val="17"/>
          <w:szCs w:val="17"/>
          <w:lang w:val="en-AU"/>
        </w:rPr>
      </w:pPr>
      <w:r w:rsidRPr="00F2695C">
        <w:rPr>
          <w:rStyle w:val="FootnoteReference"/>
        </w:rPr>
        <w:footnoteRef/>
      </w:r>
      <w:r w:rsidRPr="00F2695C">
        <w:rPr>
          <w:rStyle w:val="FootnoteReference"/>
        </w:rPr>
        <w:t xml:space="preserve"> </w:t>
      </w:r>
      <w:r w:rsidRPr="00070DD5">
        <w:rPr>
          <w:sz w:val="17"/>
          <w:szCs w:val="17"/>
          <w:lang w:val="en-AU"/>
        </w:rPr>
        <w:t xml:space="preserve">Female labour force participation is </w:t>
      </w:r>
      <w:r>
        <w:rPr>
          <w:sz w:val="17"/>
          <w:szCs w:val="17"/>
          <w:lang w:val="en-AU"/>
        </w:rPr>
        <w:t>57</w:t>
      </w:r>
      <w:r w:rsidRPr="00070DD5">
        <w:rPr>
          <w:sz w:val="17"/>
          <w:szCs w:val="17"/>
          <w:lang w:val="en-AU"/>
        </w:rPr>
        <w:t xml:space="preserve"> per cent compared with </w:t>
      </w:r>
      <w:r>
        <w:rPr>
          <w:sz w:val="17"/>
          <w:szCs w:val="17"/>
          <w:lang w:val="en-AU"/>
        </w:rPr>
        <w:t>84</w:t>
      </w:r>
      <w:r w:rsidRPr="00070DD5">
        <w:rPr>
          <w:sz w:val="17"/>
          <w:szCs w:val="17"/>
          <w:lang w:val="en-AU"/>
        </w:rPr>
        <w:t xml:space="preserve"> per cent for men - </w:t>
      </w:r>
      <w:r w:rsidRPr="00836739">
        <w:rPr>
          <w:sz w:val="17"/>
          <w:szCs w:val="17"/>
        </w:rPr>
        <w:t>EU Gender Profile (March 2014), based on UN MDG Report 2013.</w:t>
      </w:r>
    </w:p>
  </w:footnote>
  <w:footnote w:id="25">
    <w:p w:rsidR="00D66591" w:rsidRPr="007A6614" w:rsidRDefault="00D66591" w:rsidP="009A637A">
      <w:pPr>
        <w:pStyle w:val="FootnoteText"/>
        <w:rPr>
          <w:sz w:val="17"/>
          <w:szCs w:val="17"/>
          <w:lang w:val="en-AU"/>
        </w:rPr>
      </w:pPr>
      <w:r w:rsidRPr="004C7467">
        <w:rPr>
          <w:rStyle w:val="FootnoteReference"/>
        </w:rPr>
        <w:footnoteRef/>
      </w:r>
      <w:r w:rsidRPr="007A6614">
        <w:rPr>
          <w:rStyle w:val="FootnoteReference"/>
        </w:rPr>
        <w:t xml:space="preserve"> </w:t>
      </w:r>
      <w:r w:rsidRPr="007A6614">
        <w:rPr>
          <w:sz w:val="17"/>
          <w:szCs w:val="17"/>
          <w:lang w:val="en-AU"/>
        </w:rPr>
        <w:t>UNFPA December 2013 report on gender based violence</w:t>
      </w:r>
      <w:r>
        <w:rPr>
          <w:sz w:val="17"/>
          <w:szCs w:val="17"/>
          <w:lang w:val="en-AU"/>
        </w:rPr>
        <w:t>, 65 per cent of married women report incidence of violence</w:t>
      </w:r>
    </w:p>
  </w:footnote>
  <w:footnote w:id="26">
    <w:p w:rsidR="00D66591" w:rsidRPr="005A2CAC" w:rsidRDefault="00D66591" w:rsidP="00AE4C5A">
      <w:pPr>
        <w:pStyle w:val="FootnoteText"/>
        <w:rPr>
          <w:sz w:val="17"/>
          <w:szCs w:val="17"/>
          <w:lang w:val="en-AU"/>
        </w:rPr>
      </w:pPr>
      <w:r>
        <w:rPr>
          <w:rStyle w:val="FootnoteReference"/>
        </w:rPr>
        <w:footnoteRef/>
      </w:r>
      <w:r>
        <w:t xml:space="preserve"> </w:t>
      </w:r>
      <w:r w:rsidRPr="009B2417">
        <w:rPr>
          <w:sz w:val="17"/>
          <w:szCs w:val="17"/>
          <w:lang w:val="en-AU"/>
        </w:rPr>
        <w:t xml:space="preserve">Australia is the eighth largest donor to Bangladesh.  </w:t>
      </w:r>
      <w:r w:rsidRPr="005A2CAC">
        <w:rPr>
          <w:sz w:val="17"/>
          <w:szCs w:val="17"/>
          <w:lang w:val="en-AU"/>
        </w:rPr>
        <w:t xml:space="preserve">Australian ODA represented 5.6 per cent of total ODA to Bangladesh in 2012, </w:t>
      </w:r>
      <w:r>
        <w:rPr>
          <w:sz w:val="17"/>
          <w:szCs w:val="17"/>
          <w:lang w:val="en-AU"/>
        </w:rPr>
        <w:t xml:space="preserve">source: </w:t>
      </w:r>
      <w:r w:rsidRPr="005A2CAC">
        <w:rPr>
          <w:sz w:val="17"/>
          <w:szCs w:val="17"/>
          <w:lang w:val="en-AU"/>
        </w:rPr>
        <w:t xml:space="preserve">OECD, World Bank World Development Indicators </w:t>
      </w:r>
    </w:p>
  </w:footnote>
  <w:footnote w:id="27">
    <w:p w:rsidR="00D66591" w:rsidRPr="00A75086" w:rsidRDefault="00D66591">
      <w:pPr>
        <w:pStyle w:val="FootnoteText"/>
        <w:rPr>
          <w:sz w:val="17"/>
          <w:szCs w:val="17"/>
          <w:lang w:val="en-AU"/>
        </w:rPr>
      </w:pPr>
      <w:r>
        <w:rPr>
          <w:rStyle w:val="FootnoteReference"/>
        </w:rPr>
        <w:footnoteRef/>
      </w:r>
      <w:r>
        <w:t xml:space="preserve"> </w:t>
      </w:r>
      <w:r w:rsidRPr="00A75086">
        <w:rPr>
          <w:sz w:val="17"/>
          <w:szCs w:val="17"/>
          <w:lang w:val="en-AU"/>
        </w:rPr>
        <w:t xml:space="preserve">Refer to </w:t>
      </w:r>
      <w:r>
        <w:rPr>
          <w:sz w:val="17"/>
          <w:szCs w:val="17"/>
          <w:lang w:val="en-AU"/>
        </w:rPr>
        <w:t xml:space="preserve">the </w:t>
      </w:r>
      <w:r w:rsidRPr="00A75086">
        <w:rPr>
          <w:sz w:val="17"/>
          <w:szCs w:val="17"/>
          <w:lang w:val="en-AU"/>
        </w:rPr>
        <w:t>section</w:t>
      </w:r>
      <w:r>
        <w:rPr>
          <w:sz w:val="17"/>
          <w:szCs w:val="17"/>
          <w:lang w:val="en-AU"/>
        </w:rPr>
        <w:t xml:space="preserve"> below</w:t>
      </w:r>
      <w:r w:rsidRPr="00A75086">
        <w:rPr>
          <w:sz w:val="17"/>
          <w:szCs w:val="17"/>
          <w:lang w:val="en-AU"/>
        </w:rPr>
        <w:t xml:space="preserve"> on </w:t>
      </w:r>
      <w:r>
        <w:rPr>
          <w:sz w:val="17"/>
          <w:szCs w:val="17"/>
          <w:lang w:val="en-AU"/>
        </w:rPr>
        <w:t>‘</w:t>
      </w:r>
      <w:r w:rsidRPr="00A75086">
        <w:rPr>
          <w:sz w:val="17"/>
          <w:szCs w:val="17"/>
          <w:lang w:val="en-AU"/>
        </w:rPr>
        <w:t>Partner Performance</w:t>
      </w:r>
      <w:r>
        <w:rPr>
          <w:sz w:val="17"/>
          <w:szCs w:val="17"/>
          <w:lang w:val="en-AU"/>
        </w:rPr>
        <w:t>’</w:t>
      </w:r>
      <w:r w:rsidRPr="00A75086">
        <w:rPr>
          <w:sz w:val="17"/>
          <w:szCs w:val="17"/>
          <w:lang w:val="en-AU"/>
        </w:rPr>
        <w:t xml:space="preserve"> for </w:t>
      </w:r>
      <w:r>
        <w:rPr>
          <w:sz w:val="17"/>
          <w:szCs w:val="17"/>
          <w:lang w:val="en-AU"/>
        </w:rPr>
        <w:t xml:space="preserve">an update on some of </w:t>
      </w:r>
      <w:r w:rsidRPr="00A75086">
        <w:rPr>
          <w:sz w:val="17"/>
          <w:szCs w:val="17"/>
          <w:lang w:val="en-AU"/>
        </w:rPr>
        <w:t>Australia’s key partners</w:t>
      </w:r>
      <w:r>
        <w:rPr>
          <w:sz w:val="17"/>
          <w:szCs w:val="17"/>
          <w:lang w:val="en-AU"/>
        </w:rPr>
        <w:t>hips</w:t>
      </w:r>
      <w:r w:rsidRPr="00A75086">
        <w:rPr>
          <w:sz w:val="17"/>
          <w:szCs w:val="17"/>
          <w:lang w:val="en-AU"/>
        </w:rPr>
        <w:t xml:space="preserve">. </w:t>
      </w:r>
    </w:p>
  </w:footnote>
  <w:footnote w:id="28">
    <w:p w:rsidR="00D66591" w:rsidRPr="006C29D6" w:rsidRDefault="00D66591" w:rsidP="00A75086">
      <w:pPr>
        <w:pStyle w:val="CommentText"/>
        <w:rPr>
          <w:sz w:val="17"/>
          <w:szCs w:val="17"/>
        </w:rPr>
      </w:pPr>
      <w:r>
        <w:rPr>
          <w:rStyle w:val="FootnoteReference"/>
        </w:rPr>
        <w:footnoteRef/>
      </w:r>
      <w:r>
        <w:t xml:space="preserve"> </w:t>
      </w:r>
      <w:r>
        <w:rPr>
          <w:sz w:val="17"/>
          <w:szCs w:val="17"/>
        </w:rPr>
        <w:t>Achievements</w:t>
      </w:r>
      <w:r w:rsidRPr="00177F17">
        <w:rPr>
          <w:sz w:val="17"/>
          <w:szCs w:val="17"/>
        </w:rPr>
        <w:t xml:space="preserve"> </w:t>
      </w:r>
      <w:r w:rsidRPr="00B25897">
        <w:rPr>
          <w:sz w:val="17"/>
          <w:szCs w:val="17"/>
        </w:rPr>
        <w:t>recorded in Bangladesh’s Performance Assessment Framework</w:t>
      </w:r>
      <w:r w:rsidRPr="006C29D6">
        <w:rPr>
          <w:sz w:val="17"/>
          <w:szCs w:val="17"/>
        </w:rPr>
        <w:t>, source document - Annual Sector Performance Report (ASPR) 2014</w:t>
      </w:r>
      <w:r w:rsidRPr="00B25897">
        <w:rPr>
          <w:sz w:val="17"/>
          <w:szCs w:val="17"/>
        </w:rPr>
        <w:t xml:space="preserve">. </w:t>
      </w:r>
    </w:p>
  </w:footnote>
  <w:footnote w:id="29">
    <w:p w:rsidR="00D66591" w:rsidRPr="00EB2EAC" w:rsidRDefault="00D66591" w:rsidP="00250358">
      <w:pPr>
        <w:pStyle w:val="FootnoteText"/>
        <w:rPr>
          <w:sz w:val="17"/>
          <w:szCs w:val="17"/>
        </w:rPr>
      </w:pPr>
      <w:r w:rsidRPr="006C29D6">
        <w:rPr>
          <w:rStyle w:val="FootnoteReference"/>
          <w:sz w:val="17"/>
          <w:szCs w:val="17"/>
        </w:rPr>
        <w:footnoteRef/>
      </w:r>
      <w:r w:rsidRPr="006C29D6">
        <w:t xml:space="preserve"> </w:t>
      </w:r>
      <w:r w:rsidRPr="006C29D6">
        <w:rPr>
          <w:sz w:val="17"/>
          <w:szCs w:val="17"/>
        </w:rPr>
        <w:t>Australia coordinated a mid-term</w:t>
      </w:r>
      <w:r w:rsidRPr="00EB2EAC">
        <w:rPr>
          <w:sz w:val="17"/>
          <w:szCs w:val="17"/>
        </w:rPr>
        <w:t xml:space="preserve"> review of the Government’s Primary Education Development Program during the reporting period.</w:t>
      </w:r>
    </w:p>
  </w:footnote>
  <w:footnote w:id="30">
    <w:p w:rsidR="00D66591" w:rsidRPr="00A75086" w:rsidRDefault="00D66591">
      <w:pPr>
        <w:pStyle w:val="FootnoteText"/>
        <w:rPr>
          <w:sz w:val="17"/>
          <w:szCs w:val="17"/>
        </w:rPr>
      </w:pPr>
      <w:r>
        <w:rPr>
          <w:rStyle w:val="FootnoteReference"/>
        </w:rPr>
        <w:footnoteRef/>
      </w:r>
      <w:r>
        <w:t xml:space="preserve"> </w:t>
      </w:r>
      <w:r w:rsidRPr="006C29D6">
        <w:rPr>
          <w:sz w:val="17"/>
          <w:szCs w:val="17"/>
        </w:rPr>
        <w:t>Performance Assessment Framework</w:t>
      </w:r>
      <w:r>
        <w:rPr>
          <w:sz w:val="17"/>
          <w:szCs w:val="17"/>
        </w:rPr>
        <w:t>.</w:t>
      </w:r>
    </w:p>
  </w:footnote>
  <w:footnote w:id="31">
    <w:p w:rsidR="00D66591" w:rsidRPr="000F6B6B" w:rsidRDefault="00D66591" w:rsidP="009B5743">
      <w:pPr>
        <w:pStyle w:val="FootnoteText"/>
        <w:rPr>
          <w:sz w:val="17"/>
          <w:szCs w:val="17"/>
        </w:rPr>
      </w:pPr>
      <w:r w:rsidRPr="00EB2EAC">
        <w:rPr>
          <w:rStyle w:val="FootnoteReference"/>
          <w:sz w:val="17"/>
          <w:szCs w:val="17"/>
        </w:rPr>
        <w:footnoteRef/>
      </w:r>
      <w:r>
        <w:t xml:space="preserve"> </w:t>
      </w:r>
      <w:r w:rsidRPr="00ED1DEE">
        <w:rPr>
          <w:sz w:val="17"/>
          <w:szCs w:val="17"/>
        </w:rPr>
        <w:t>201</w:t>
      </w:r>
      <w:r>
        <w:rPr>
          <w:sz w:val="17"/>
          <w:szCs w:val="17"/>
        </w:rPr>
        <w:t>3</w:t>
      </w:r>
      <w:r w:rsidRPr="00ED1DEE">
        <w:rPr>
          <w:sz w:val="17"/>
          <w:szCs w:val="17"/>
        </w:rPr>
        <w:t xml:space="preserve"> icddr,b - Annual Report</w:t>
      </w:r>
      <w:r>
        <w:rPr>
          <w:sz w:val="17"/>
          <w:szCs w:val="17"/>
        </w:rPr>
        <w:t>.</w:t>
      </w:r>
      <w:r>
        <w:t xml:space="preserve"> </w:t>
      </w:r>
      <w:r w:rsidRPr="0045351D">
        <w:rPr>
          <w:sz w:val="17"/>
          <w:szCs w:val="17"/>
        </w:rPr>
        <w:t xml:space="preserve">Australia will review </w:t>
      </w:r>
      <w:r>
        <w:rPr>
          <w:sz w:val="17"/>
          <w:szCs w:val="17"/>
        </w:rPr>
        <w:t xml:space="preserve">our </w:t>
      </w:r>
      <w:r w:rsidRPr="0045351D">
        <w:rPr>
          <w:sz w:val="17"/>
          <w:szCs w:val="17"/>
        </w:rPr>
        <w:t>engagement</w:t>
      </w:r>
      <w:r>
        <w:rPr>
          <w:sz w:val="17"/>
          <w:szCs w:val="17"/>
        </w:rPr>
        <w:t xml:space="preserve"> with icddr,b</w:t>
      </w:r>
      <w:r w:rsidRPr="0045351D">
        <w:rPr>
          <w:sz w:val="17"/>
          <w:szCs w:val="17"/>
        </w:rPr>
        <w:t xml:space="preserve"> and sectoral spread</w:t>
      </w:r>
      <w:r>
        <w:rPr>
          <w:sz w:val="17"/>
          <w:szCs w:val="17"/>
        </w:rPr>
        <w:t xml:space="preserve"> </w:t>
      </w:r>
      <w:r w:rsidRPr="0045351D">
        <w:rPr>
          <w:sz w:val="17"/>
          <w:szCs w:val="17"/>
        </w:rPr>
        <w:t>as part of the Aid Investment Plan process.</w:t>
      </w:r>
    </w:p>
  </w:footnote>
  <w:footnote w:id="32">
    <w:p w:rsidR="00D66591" w:rsidRPr="00043A08" w:rsidRDefault="00D66591" w:rsidP="005E2E15">
      <w:pPr>
        <w:pStyle w:val="FootnoteText"/>
        <w:rPr>
          <w:sz w:val="17"/>
          <w:szCs w:val="17"/>
        </w:rPr>
      </w:pPr>
      <w:r w:rsidRPr="00EB2EAC">
        <w:rPr>
          <w:rStyle w:val="FootnoteReference"/>
          <w:sz w:val="17"/>
          <w:szCs w:val="17"/>
        </w:rPr>
        <w:footnoteRef/>
      </w:r>
      <w:r>
        <w:t xml:space="preserve"> </w:t>
      </w:r>
      <w:r w:rsidRPr="009B2417">
        <w:rPr>
          <w:sz w:val="17"/>
          <w:szCs w:val="17"/>
        </w:rPr>
        <w:t>Donor funding was 34</w:t>
      </w:r>
      <w:r>
        <w:rPr>
          <w:sz w:val="17"/>
          <w:szCs w:val="17"/>
        </w:rPr>
        <w:t xml:space="preserve"> per cent </w:t>
      </w:r>
      <w:r w:rsidRPr="009B2417">
        <w:rPr>
          <w:sz w:val="17"/>
          <w:szCs w:val="17"/>
        </w:rPr>
        <w:t xml:space="preserve"> of BRAC’s income in 2013; and 70</w:t>
      </w:r>
      <w:r>
        <w:rPr>
          <w:sz w:val="17"/>
          <w:szCs w:val="17"/>
        </w:rPr>
        <w:t xml:space="preserve"> per cent</w:t>
      </w:r>
      <w:r w:rsidRPr="009B2417">
        <w:rPr>
          <w:sz w:val="17"/>
          <w:szCs w:val="17"/>
        </w:rPr>
        <w:t xml:space="preserve"> of this income was from Australia and DFID through the Strategic Partnership Arrangement</w:t>
      </w:r>
      <w:r>
        <w:rPr>
          <w:sz w:val="17"/>
          <w:szCs w:val="17"/>
        </w:rPr>
        <w:t xml:space="preserve"> (BRAC Audited Financial Statements, year ended 31 December 2013)</w:t>
      </w:r>
      <w:r w:rsidRPr="009B2417">
        <w:rPr>
          <w:sz w:val="17"/>
          <w:szCs w:val="17"/>
        </w:rPr>
        <w:t>.</w:t>
      </w:r>
      <w:r>
        <w:t xml:space="preserve"> </w:t>
      </w:r>
      <w:r w:rsidRPr="00043A08">
        <w:rPr>
          <w:sz w:val="17"/>
          <w:szCs w:val="17"/>
        </w:rPr>
        <w:t>The Bangladesh program hosted a visit to Canberra in February 2014 by the founder and Chair of BRAC, Sir Fazle Abed. Sir Abed discussed innovation in development with the Foreign Minister, Parliamentary Secretary</w:t>
      </w:r>
      <w:r>
        <w:rPr>
          <w:sz w:val="17"/>
          <w:szCs w:val="17"/>
        </w:rPr>
        <w:t xml:space="preserve">, </w:t>
      </w:r>
      <w:r w:rsidRPr="00043A08">
        <w:rPr>
          <w:sz w:val="17"/>
          <w:szCs w:val="17"/>
        </w:rPr>
        <w:t xml:space="preserve">DFAT’s secretary </w:t>
      </w:r>
      <w:r>
        <w:rPr>
          <w:sz w:val="17"/>
          <w:szCs w:val="17"/>
        </w:rPr>
        <w:t xml:space="preserve">and addressed an all staff seminar to DFAT staff on BRAC’s approach to development. </w:t>
      </w:r>
    </w:p>
  </w:footnote>
  <w:footnote w:id="33">
    <w:p w:rsidR="00D66591" w:rsidRPr="00070DD5" w:rsidRDefault="00D66591" w:rsidP="005E2E15">
      <w:pPr>
        <w:pStyle w:val="FootnoteText"/>
        <w:rPr>
          <w:sz w:val="17"/>
          <w:szCs w:val="17"/>
        </w:rPr>
      </w:pPr>
      <w:r w:rsidRPr="00EB2EAC">
        <w:rPr>
          <w:rStyle w:val="FootnoteReference"/>
          <w:sz w:val="17"/>
          <w:szCs w:val="17"/>
        </w:rPr>
        <w:footnoteRef/>
      </w:r>
      <w:r w:rsidRPr="00EB2EAC">
        <w:rPr>
          <w:rStyle w:val="FootnoteReference"/>
          <w:sz w:val="17"/>
          <w:szCs w:val="17"/>
        </w:rPr>
        <w:t xml:space="preserve"> </w:t>
      </w:r>
      <w:r w:rsidRPr="00070DD5">
        <w:rPr>
          <w:sz w:val="17"/>
          <w:szCs w:val="17"/>
        </w:rPr>
        <w:t>BRAC SPA reporting</w:t>
      </w:r>
      <w:r>
        <w:rPr>
          <w:sz w:val="17"/>
          <w:szCs w:val="17"/>
        </w:rPr>
        <w:t>.</w:t>
      </w:r>
    </w:p>
  </w:footnote>
  <w:footnote w:id="34">
    <w:p w:rsidR="00D66591" w:rsidRDefault="00D66591" w:rsidP="005E2E15">
      <w:pPr>
        <w:pStyle w:val="FootnoteText"/>
      </w:pPr>
      <w:r w:rsidRPr="00070DD5">
        <w:rPr>
          <w:rStyle w:val="FootnoteReference"/>
          <w:sz w:val="17"/>
          <w:szCs w:val="17"/>
        </w:rPr>
        <w:footnoteRef/>
      </w:r>
      <w:r w:rsidRPr="00070DD5">
        <w:rPr>
          <w:sz w:val="17"/>
          <w:szCs w:val="17"/>
        </w:rPr>
        <w:t xml:space="preserve"> Ibid</w:t>
      </w:r>
      <w:r>
        <w:rPr>
          <w:sz w:val="17"/>
          <w:szCs w:val="17"/>
        </w:rPr>
        <w:t>.</w:t>
      </w:r>
    </w:p>
  </w:footnote>
  <w:footnote w:id="35">
    <w:p w:rsidR="00D66591" w:rsidRPr="00070DD5" w:rsidRDefault="00D66591">
      <w:pPr>
        <w:pStyle w:val="FootnoteText"/>
        <w:rPr>
          <w:sz w:val="17"/>
          <w:szCs w:val="17"/>
          <w:lang w:val="en-AU"/>
        </w:rPr>
      </w:pPr>
      <w:r w:rsidRPr="00070DD5">
        <w:rPr>
          <w:rStyle w:val="FootnoteReference"/>
          <w:sz w:val="17"/>
          <w:szCs w:val="17"/>
        </w:rPr>
        <w:footnoteRef/>
      </w:r>
      <w:r w:rsidRPr="00070DD5">
        <w:rPr>
          <w:sz w:val="17"/>
          <w:szCs w:val="17"/>
        </w:rPr>
        <w:t xml:space="preserve"> </w:t>
      </w:r>
      <w:r>
        <w:rPr>
          <w:sz w:val="17"/>
          <w:szCs w:val="17"/>
        </w:rPr>
        <w:t xml:space="preserve">Result attributable to Australia as recorded in the Bangladesh Program’s </w:t>
      </w:r>
      <w:r w:rsidRPr="00070DD5">
        <w:rPr>
          <w:sz w:val="17"/>
          <w:szCs w:val="17"/>
          <w:lang w:val="en-AU"/>
        </w:rPr>
        <w:t>Performance Assessment Framework</w:t>
      </w:r>
      <w:r>
        <w:rPr>
          <w:sz w:val="17"/>
          <w:szCs w:val="17"/>
          <w:lang w:val="en-AU"/>
        </w:rPr>
        <w:t xml:space="preserve">.  </w:t>
      </w:r>
    </w:p>
  </w:footnote>
  <w:footnote w:id="36">
    <w:p w:rsidR="00D66591" w:rsidRPr="00A624E2" w:rsidRDefault="00D66591" w:rsidP="002E781D">
      <w:pPr>
        <w:pStyle w:val="FootnoteText"/>
        <w:rPr>
          <w:sz w:val="17"/>
          <w:szCs w:val="17"/>
          <w:lang w:val="en-AU"/>
        </w:rPr>
      </w:pPr>
      <w:r w:rsidRPr="00070DD5">
        <w:rPr>
          <w:rStyle w:val="FootnoteReference"/>
          <w:sz w:val="17"/>
          <w:szCs w:val="17"/>
        </w:rPr>
        <w:footnoteRef/>
      </w:r>
      <w:r w:rsidRPr="00070DD5">
        <w:rPr>
          <w:sz w:val="17"/>
          <w:szCs w:val="17"/>
        </w:rPr>
        <w:t xml:space="preserve"> Impact of the Chars Livelihoods Programme on the Disaster Resilience of Chars Communities, Barrett et al, January 2014.</w:t>
      </w:r>
      <w:r>
        <w:rPr>
          <w:sz w:val="17"/>
          <w:szCs w:val="17"/>
        </w:rPr>
        <w:t xml:space="preserve"> Support provided includes regular cash transfers, mentoring, a productive asset (e.g. cow) with training in how to manage the asset </w:t>
      </w:r>
      <w:r w:rsidRPr="00A624E2">
        <w:rPr>
          <w:sz w:val="17"/>
          <w:szCs w:val="17"/>
        </w:rPr>
        <w:t xml:space="preserve">and access to free health care. </w:t>
      </w:r>
    </w:p>
  </w:footnote>
  <w:footnote w:id="37">
    <w:p w:rsidR="00D66591" w:rsidRPr="00A624E2" w:rsidRDefault="00D66591" w:rsidP="009E0A5E">
      <w:pPr>
        <w:pStyle w:val="FootnoteText"/>
        <w:rPr>
          <w:sz w:val="17"/>
          <w:szCs w:val="17"/>
        </w:rPr>
      </w:pPr>
      <w:r w:rsidRPr="00A624E2">
        <w:rPr>
          <w:rStyle w:val="FootnoteReference"/>
        </w:rPr>
        <w:footnoteRef/>
      </w:r>
      <w:r w:rsidRPr="00A624E2">
        <w:t xml:space="preserve"> </w:t>
      </w:r>
      <w:r w:rsidRPr="00A624E2">
        <w:rPr>
          <w:sz w:val="17"/>
          <w:szCs w:val="17"/>
        </w:rPr>
        <w:t>The effectiveness of</w:t>
      </w:r>
      <w:r w:rsidRPr="00A624E2">
        <w:t xml:space="preserve"> </w:t>
      </w:r>
      <w:r w:rsidRPr="00A624E2">
        <w:rPr>
          <w:sz w:val="17"/>
          <w:szCs w:val="17"/>
        </w:rPr>
        <w:t xml:space="preserve">BRAC’s Challenging the Frontiers of Poverty Program was highlighted at the </w:t>
      </w:r>
      <w:r w:rsidRPr="00A624E2">
        <w:rPr>
          <w:i/>
          <w:sz w:val="17"/>
          <w:szCs w:val="17"/>
        </w:rPr>
        <w:t>Reaching the Poorest: Global Learning Event</w:t>
      </w:r>
      <w:r w:rsidRPr="00A624E2">
        <w:rPr>
          <w:sz w:val="17"/>
          <w:szCs w:val="17"/>
        </w:rPr>
        <w:t xml:space="preserve">, hosted by the World Bank in February 2014. The event was attended by 100 leading policymakers, practitioners, and development experts, who were provided an update on progress of 10 pilot graduation projects around the world – all based on BRAC’s approach.   </w:t>
      </w:r>
    </w:p>
  </w:footnote>
  <w:footnote w:id="38">
    <w:p w:rsidR="00D66591" w:rsidRPr="00A624E2" w:rsidRDefault="00D66591">
      <w:pPr>
        <w:pStyle w:val="FootnoteText"/>
        <w:rPr>
          <w:sz w:val="17"/>
          <w:szCs w:val="17"/>
          <w:lang w:val="en-AU"/>
        </w:rPr>
      </w:pPr>
      <w:r w:rsidRPr="00A624E2">
        <w:rPr>
          <w:rStyle w:val="FootnoteReference"/>
          <w:sz w:val="17"/>
          <w:szCs w:val="17"/>
        </w:rPr>
        <w:footnoteRef/>
      </w:r>
      <w:r w:rsidRPr="00A624E2">
        <w:rPr>
          <w:sz w:val="17"/>
          <w:szCs w:val="17"/>
        </w:rPr>
        <w:t xml:space="preserve"> As set out in the </w:t>
      </w:r>
      <w:r w:rsidRPr="00A624E2">
        <w:rPr>
          <w:sz w:val="17"/>
          <w:szCs w:val="17"/>
          <w:lang w:val="en-AU"/>
        </w:rPr>
        <w:t>Government of Bangladesh’s sixth Five Year Plan (2011-2015)</w:t>
      </w:r>
      <w:r>
        <w:rPr>
          <w:sz w:val="17"/>
          <w:szCs w:val="17"/>
          <w:lang w:val="en-AU"/>
        </w:rPr>
        <w:t>.</w:t>
      </w:r>
    </w:p>
  </w:footnote>
  <w:footnote w:id="39">
    <w:p w:rsidR="00D66591" w:rsidRPr="00F2695C" w:rsidRDefault="00D66591">
      <w:pPr>
        <w:pStyle w:val="FootnoteText"/>
        <w:rPr>
          <w:sz w:val="17"/>
          <w:szCs w:val="17"/>
          <w:lang w:val="en-AU"/>
        </w:rPr>
      </w:pPr>
      <w:r w:rsidRPr="00A624E2">
        <w:rPr>
          <w:rStyle w:val="FootnoteReference"/>
          <w:sz w:val="17"/>
          <w:szCs w:val="17"/>
        </w:rPr>
        <w:footnoteRef/>
      </w:r>
      <w:r w:rsidRPr="00A624E2">
        <w:t xml:space="preserve"> </w:t>
      </w:r>
      <w:r w:rsidRPr="00A624E2">
        <w:rPr>
          <w:sz w:val="17"/>
          <w:szCs w:val="17"/>
          <w:lang w:val="en-AU"/>
        </w:rPr>
        <w:t>Foreign Minister, Hon Julie</w:t>
      </w:r>
      <w:r w:rsidRPr="00F2695C">
        <w:rPr>
          <w:sz w:val="17"/>
          <w:szCs w:val="17"/>
          <w:lang w:val="en-AU"/>
        </w:rPr>
        <w:t xml:space="preserve"> Bishop</w:t>
      </w:r>
      <w:r>
        <w:rPr>
          <w:sz w:val="17"/>
          <w:szCs w:val="17"/>
          <w:lang w:val="en-AU"/>
        </w:rPr>
        <w:t xml:space="preserve"> MP</w:t>
      </w:r>
      <w:r w:rsidRPr="00F2695C">
        <w:rPr>
          <w:sz w:val="17"/>
          <w:szCs w:val="17"/>
          <w:lang w:val="en-AU"/>
        </w:rPr>
        <w:t xml:space="preserve"> approved a new phase of support through WFP in Cox’s Bazar</w:t>
      </w:r>
      <w:r>
        <w:rPr>
          <w:sz w:val="17"/>
          <w:szCs w:val="17"/>
          <w:lang w:val="en-AU"/>
        </w:rPr>
        <w:t xml:space="preserve"> in January 2014</w:t>
      </w:r>
      <w:r w:rsidRPr="00F2695C">
        <w:rPr>
          <w:sz w:val="17"/>
          <w:szCs w:val="17"/>
          <w:lang w:val="en-AU"/>
        </w:rPr>
        <w:t>.</w:t>
      </w:r>
    </w:p>
  </w:footnote>
  <w:footnote w:id="40">
    <w:p w:rsidR="00D66591" w:rsidRPr="00070DD5" w:rsidRDefault="00D66591" w:rsidP="00B42350">
      <w:pPr>
        <w:pStyle w:val="FootnoteText"/>
        <w:rPr>
          <w:sz w:val="17"/>
          <w:szCs w:val="17"/>
          <w:lang w:val="en-AU"/>
        </w:rPr>
      </w:pPr>
      <w:r w:rsidRPr="00070DD5">
        <w:rPr>
          <w:rStyle w:val="FootnoteReference"/>
          <w:sz w:val="17"/>
          <w:szCs w:val="17"/>
        </w:rPr>
        <w:footnoteRef/>
      </w:r>
      <w:r w:rsidRPr="00070DD5">
        <w:rPr>
          <w:sz w:val="17"/>
          <w:szCs w:val="17"/>
        </w:rPr>
        <w:t xml:space="preserve"> For example in response to </w:t>
      </w:r>
      <w:r w:rsidRPr="00070DD5">
        <w:rPr>
          <w:sz w:val="17"/>
          <w:szCs w:val="17"/>
          <w:lang w:val="en-AU"/>
        </w:rPr>
        <w:t>Cyclone Mahasen</w:t>
      </w:r>
      <w:r>
        <w:rPr>
          <w:sz w:val="17"/>
          <w:szCs w:val="17"/>
          <w:lang w:val="en-AU"/>
        </w:rPr>
        <w:t xml:space="preserve">. Separate support to the Government of Bangladesh through UNDP assisted rural and urban communities and local authorities prepare for disasters, including through work to establish dedicated budgets for disaster response, undertaking seismic vulnerability surveys and preparation of earthquake safety drills. </w:t>
      </w:r>
    </w:p>
  </w:footnote>
  <w:footnote w:id="41">
    <w:p w:rsidR="00D66591" w:rsidRPr="000A48F3" w:rsidRDefault="00D66591" w:rsidP="00583844">
      <w:pPr>
        <w:pStyle w:val="FootnoteText"/>
        <w:rPr>
          <w:sz w:val="17"/>
          <w:szCs w:val="17"/>
          <w:lang w:val="en-AU"/>
        </w:rPr>
      </w:pPr>
      <w:r>
        <w:rPr>
          <w:rStyle w:val="FootnoteReference"/>
        </w:rPr>
        <w:footnoteRef/>
      </w:r>
      <w:r>
        <w:t xml:space="preserve"> </w:t>
      </w:r>
      <w:r w:rsidRPr="000A48F3">
        <w:rPr>
          <w:sz w:val="17"/>
          <w:szCs w:val="17"/>
          <w:lang w:val="en-AU"/>
        </w:rPr>
        <w:t xml:space="preserve">Progress toward reform of social protection policies is a target in the Program’s Performance Assessment Framework. </w:t>
      </w:r>
    </w:p>
  </w:footnote>
  <w:footnote w:id="42">
    <w:p w:rsidR="00D66591" w:rsidRPr="00A75086" w:rsidRDefault="00D66591">
      <w:pPr>
        <w:pStyle w:val="FootnoteText"/>
        <w:rPr>
          <w:sz w:val="17"/>
          <w:szCs w:val="17"/>
          <w:lang w:val="en-AU"/>
        </w:rPr>
      </w:pPr>
      <w:r>
        <w:rPr>
          <w:rStyle w:val="FootnoteReference"/>
        </w:rPr>
        <w:footnoteRef/>
      </w:r>
      <w:r>
        <w:t xml:space="preserve"> </w:t>
      </w:r>
      <w:r w:rsidRPr="00A75086">
        <w:rPr>
          <w:sz w:val="17"/>
          <w:szCs w:val="17"/>
          <w:lang w:val="en-AU"/>
        </w:rPr>
        <w:t xml:space="preserve">A draft of the National Social Security Strategy was </w:t>
      </w:r>
      <w:r>
        <w:rPr>
          <w:sz w:val="17"/>
          <w:szCs w:val="17"/>
          <w:lang w:val="en-AU"/>
        </w:rPr>
        <w:t xml:space="preserve">endorsed by </w:t>
      </w:r>
      <w:r w:rsidRPr="006C29D6">
        <w:rPr>
          <w:sz w:val="17"/>
          <w:szCs w:val="17"/>
          <w:lang w:val="en-AU"/>
        </w:rPr>
        <w:t>a 22 member inter-ministerial committee</w:t>
      </w:r>
      <w:r w:rsidRPr="00A75086">
        <w:rPr>
          <w:sz w:val="17"/>
          <w:szCs w:val="17"/>
          <w:lang w:val="en-AU"/>
        </w:rPr>
        <w:t>.</w:t>
      </w:r>
    </w:p>
  </w:footnote>
  <w:footnote w:id="43">
    <w:p w:rsidR="00D66591" w:rsidRPr="00A624E2" w:rsidRDefault="00D66591">
      <w:pPr>
        <w:pStyle w:val="FootnoteText"/>
        <w:rPr>
          <w:sz w:val="17"/>
          <w:szCs w:val="17"/>
          <w:lang w:val="en-AU"/>
        </w:rPr>
      </w:pPr>
      <w:r>
        <w:rPr>
          <w:rStyle w:val="FootnoteReference"/>
        </w:rPr>
        <w:footnoteRef/>
      </w:r>
      <w:r>
        <w:t xml:space="preserve"> </w:t>
      </w:r>
      <w:r w:rsidRPr="00A75086">
        <w:rPr>
          <w:sz w:val="17"/>
          <w:szCs w:val="17"/>
          <w:lang w:val="en-AU"/>
        </w:rPr>
        <w:t>MJF also receives funding from the United Kingdom</w:t>
      </w:r>
      <w:r>
        <w:rPr>
          <w:sz w:val="17"/>
          <w:szCs w:val="17"/>
          <w:lang w:val="en-AU"/>
        </w:rPr>
        <w:t xml:space="preserve">, </w:t>
      </w:r>
      <w:r w:rsidRPr="00A624E2">
        <w:rPr>
          <w:sz w:val="17"/>
          <w:szCs w:val="17"/>
          <w:lang w:val="en-AU"/>
        </w:rPr>
        <w:t>World Bank, Japan and Comic Relief.</w:t>
      </w:r>
    </w:p>
  </w:footnote>
  <w:footnote w:id="44">
    <w:p w:rsidR="00D66591" w:rsidRPr="00A75086" w:rsidRDefault="00D66591">
      <w:pPr>
        <w:pStyle w:val="FootnoteText"/>
        <w:rPr>
          <w:sz w:val="17"/>
          <w:szCs w:val="17"/>
          <w:lang w:val="en-AU"/>
        </w:rPr>
      </w:pPr>
      <w:r w:rsidRPr="001D3E05">
        <w:rPr>
          <w:rStyle w:val="FootnoteReference"/>
        </w:rPr>
        <w:footnoteRef/>
      </w:r>
      <w:r w:rsidRPr="00A624E2">
        <w:rPr>
          <w:sz w:val="17"/>
          <w:szCs w:val="17"/>
          <w:lang w:val="en-AU"/>
        </w:rPr>
        <w:t xml:space="preserve"> </w:t>
      </w:r>
      <w:r w:rsidRPr="00A75086">
        <w:rPr>
          <w:sz w:val="17"/>
          <w:szCs w:val="17"/>
          <w:lang w:val="en-AU"/>
        </w:rPr>
        <w:t>Performance Assessment Framework</w:t>
      </w:r>
      <w:r>
        <w:rPr>
          <w:sz w:val="17"/>
          <w:szCs w:val="17"/>
          <w:lang w:val="en-AU"/>
        </w:rPr>
        <w:t>.</w:t>
      </w:r>
      <w:r w:rsidRPr="00A75086">
        <w:rPr>
          <w:sz w:val="17"/>
          <w:szCs w:val="17"/>
          <w:lang w:val="en-AU"/>
        </w:rPr>
        <w:t xml:space="preserve"> </w:t>
      </w:r>
    </w:p>
  </w:footnote>
  <w:footnote w:id="45">
    <w:p w:rsidR="00D66591" w:rsidRPr="00A75086" w:rsidRDefault="00D66591">
      <w:pPr>
        <w:pStyle w:val="FootnoteText"/>
        <w:rPr>
          <w:sz w:val="17"/>
          <w:szCs w:val="17"/>
          <w:lang w:val="en-AU"/>
        </w:rPr>
      </w:pPr>
      <w:r>
        <w:rPr>
          <w:rStyle w:val="FootnoteReference"/>
        </w:rPr>
        <w:footnoteRef/>
      </w:r>
      <w:r>
        <w:t xml:space="preserve"> </w:t>
      </w:r>
      <w:r w:rsidRPr="00A75086">
        <w:rPr>
          <w:sz w:val="17"/>
          <w:szCs w:val="17"/>
          <w:lang w:val="en-AU"/>
        </w:rPr>
        <w:t xml:space="preserve">BRAC </w:t>
      </w:r>
      <w:r>
        <w:rPr>
          <w:sz w:val="17"/>
          <w:szCs w:val="17"/>
          <w:lang w:val="en-AU"/>
        </w:rPr>
        <w:t xml:space="preserve">showcased </w:t>
      </w:r>
      <w:r w:rsidRPr="00A75086">
        <w:rPr>
          <w:sz w:val="17"/>
          <w:szCs w:val="17"/>
          <w:lang w:val="en-AU"/>
        </w:rPr>
        <w:t xml:space="preserve">education services in Bangladesh at </w:t>
      </w:r>
      <w:r>
        <w:rPr>
          <w:sz w:val="17"/>
          <w:szCs w:val="17"/>
          <w:lang w:val="en-AU"/>
        </w:rPr>
        <w:t xml:space="preserve">the </w:t>
      </w:r>
      <w:r w:rsidRPr="00A75086">
        <w:rPr>
          <w:sz w:val="17"/>
          <w:szCs w:val="17"/>
          <w:lang w:val="en-AU"/>
        </w:rPr>
        <w:t>Global Education for All meeting in Washington</w:t>
      </w:r>
      <w:r>
        <w:rPr>
          <w:sz w:val="17"/>
          <w:szCs w:val="17"/>
          <w:lang w:val="en-AU"/>
        </w:rPr>
        <w:t>, February 2014.</w:t>
      </w:r>
    </w:p>
  </w:footnote>
  <w:footnote w:id="46">
    <w:p w:rsidR="00D66591" w:rsidRPr="00A75086" w:rsidRDefault="00D66591" w:rsidP="00A75086">
      <w:pPr>
        <w:pStyle w:val="FootnoteText"/>
        <w:rPr>
          <w:sz w:val="17"/>
          <w:szCs w:val="17"/>
          <w:lang w:val="en-AU"/>
        </w:rPr>
      </w:pPr>
      <w:r>
        <w:rPr>
          <w:rStyle w:val="FootnoteReference"/>
        </w:rPr>
        <w:footnoteRef/>
      </w:r>
      <w:r>
        <w:t xml:space="preserve"> </w:t>
      </w:r>
      <w:r>
        <w:rPr>
          <w:sz w:val="17"/>
          <w:szCs w:val="17"/>
        </w:rPr>
        <w:t xml:space="preserve">Areas for improvement that Australia focused on this year </w:t>
      </w:r>
      <w:r w:rsidRPr="00A75086">
        <w:rPr>
          <w:sz w:val="17"/>
          <w:szCs w:val="17"/>
        </w:rPr>
        <w:t xml:space="preserve">included: accountability for local government activities; </w:t>
      </w:r>
      <w:r w:rsidRPr="00A75086">
        <w:rPr>
          <w:sz w:val="17"/>
          <w:szCs w:val="17"/>
          <w:lang w:val="en-AU"/>
        </w:rPr>
        <w:t xml:space="preserve">ability of women and marginalised groups able to claim their rights and resist exploitation, and; capacity of civil society actors to influence policy. </w:t>
      </w:r>
    </w:p>
  </w:footnote>
  <w:footnote w:id="47">
    <w:p w:rsidR="00D66591" w:rsidRPr="00A75086" w:rsidRDefault="00D66591">
      <w:pPr>
        <w:pStyle w:val="FootnoteText"/>
        <w:rPr>
          <w:lang w:val="en-AU"/>
        </w:rPr>
      </w:pPr>
      <w:r>
        <w:rPr>
          <w:rStyle w:val="FootnoteReference"/>
        </w:rPr>
        <w:footnoteRef/>
      </w:r>
      <w:r>
        <w:t xml:space="preserve"> </w:t>
      </w:r>
      <w:r w:rsidRPr="00EB2EAC">
        <w:rPr>
          <w:sz w:val="17"/>
          <w:szCs w:val="17"/>
          <w:lang w:val="en-AU"/>
        </w:rPr>
        <w:t>The charter is the world’s most widely used multi-sectoral accountability framework for International NGOs, and commits to excellence and accountability, good governance, ethical fundraising, responsible advocacy, sustainability and programme effectiveness.</w:t>
      </w:r>
    </w:p>
  </w:footnote>
  <w:footnote w:id="48">
    <w:p w:rsidR="00D66591" w:rsidRPr="00EB2EAC" w:rsidRDefault="00D66591" w:rsidP="00A75086">
      <w:pPr>
        <w:pStyle w:val="FootnoteText"/>
        <w:rPr>
          <w:sz w:val="17"/>
          <w:szCs w:val="17"/>
          <w:lang w:val="en-AU"/>
        </w:rPr>
      </w:pPr>
      <w:r w:rsidRPr="00A75086">
        <w:rPr>
          <w:rStyle w:val="FootnoteReference"/>
        </w:rPr>
        <w:footnoteRef/>
      </w:r>
      <w:r w:rsidRPr="00A75086">
        <w:rPr>
          <w:rStyle w:val="FootnoteReference"/>
        </w:rPr>
        <w:t xml:space="preserve"> </w:t>
      </w:r>
      <w:r w:rsidRPr="00EB2EAC">
        <w:rPr>
          <w:sz w:val="17"/>
          <w:szCs w:val="17"/>
          <w:lang w:val="en-AU"/>
        </w:rPr>
        <w:t>Statement of Commitment between Australia and Bangladesh, 2013</w:t>
      </w:r>
      <w:r>
        <w:rPr>
          <w:lang w:val="en-AU"/>
        </w:rPr>
        <w:t>.</w:t>
      </w:r>
    </w:p>
  </w:footnote>
  <w:footnote w:id="49">
    <w:p w:rsidR="00D66591" w:rsidRPr="00070DD5" w:rsidRDefault="00D66591">
      <w:pPr>
        <w:pStyle w:val="FootnoteText"/>
        <w:rPr>
          <w:sz w:val="17"/>
          <w:szCs w:val="17"/>
          <w:lang w:val="en-AU"/>
        </w:rPr>
      </w:pPr>
      <w:r w:rsidRPr="00070DD5">
        <w:rPr>
          <w:rStyle w:val="FootnoteReference"/>
          <w:sz w:val="17"/>
          <w:szCs w:val="17"/>
        </w:rPr>
        <w:footnoteRef/>
      </w:r>
      <w:r w:rsidRPr="00070DD5">
        <w:rPr>
          <w:sz w:val="17"/>
          <w:szCs w:val="17"/>
        </w:rPr>
        <w:t xml:space="preserve"> </w:t>
      </w:r>
      <w:r w:rsidRPr="00070DD5">
        <w:rPr>
          <w:sz w:val="17"/>
          <w:szCs w:val="17"/>
          <w:lang w:val="en-AU"/>
        </w:rPr>
        <w:t>MDG progress report (Bangladesh) 2013</w:t>
      </w:r>
      <w:r>
        <w:rPr>
          <w:sz w:val="17"/>
          <w:szCs w:val="17"/>
          <w:lang w:val="en-AU"/>
        </w:rPr>
        <w:t>.</w:t>
      </w:r>
    </w:p>
  </w:footnote>
  <w:footnote w:id="50">
    <w:p w:rsidR="00D66591" w:rsidRPr="00EB2EAC" w:rsidRDefault="00D66591">
      <w:pPr>
        <w:pStyle w:val="FootnoteText"/>
        <w:rPr>
          <w:sz w:val="17"/>
          <w:szCs w:val="17"/>
          <w:lang w:val="en-AU"/>
        </w:rPr>
      </w:pPr>
      <w:r>
        <w:rPr>
          <w:rStyle w:val="FootnoteReference"/>
        </w:rPr>
        <w:footnoteRef/>
      </w:r>
      <w:r>
        <w:t xml:space="preserve"> </w:t>
      </w:r>
      <w:r w:rsidRPr="00EB2EAC">
        <w:rPr>
          <w:sz w:val="17"/>
          <w:szCs w:val="17"/>
          <w:lang w:val="en-AU"/>
        </w:rPr>
        <w:t>The partners commissioned Social Development Direct to undertake research into the partnership in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27" w:rsidRDefault="003F29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91" w:rsidRDefault="00D66591" w:rsidP="00D175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27" w:rsidRDefault="003F29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91" w:rsidRDefault="00D66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08C"/>
    <w:multiLevelType w:val="hybridMultilevel"/>
    <w:tmpl w:val="D13CA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4460E"/>
    <w:multiLevelType w:val="hybridMultilevel"/>
    <w:tmpl w:val="A08ED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2B57F1"/>
    <w:multiLevelType w:val="hybridMultilevel"/>
    <w:tmpl w:val="8A5C73F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40D85"/>
    <w:multiLevelType w:val="hybridMultilevel"/>
    <w:tmpl w:val="F4864714"/>
    <w:lvl w:ilvl="0" w:tplc="50DC698E">
      <w:numFmt w:val="bullet"/>
      <w:lvlText w:val="-"/>
      <w:lvlJc w:val="left"/>
      <w:pPr>
        <w:ind w:left="720" w:hanging="360"/>
      </w:pPr>
      <w:rPr>
        <w:rFonts w:ascii="Franklin Gothic Book" w:eastAsia="SimSu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6A5753"/>
    <w:multiLevelType w:val="hybridMultilevel"/>
    <w:tmpl w:val="A268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E206E2"/>
    <w:multiLevelType w:val="hybridMultilevel"/>
    <w:tmpl w:val="7A56C59C"/>
    <w:lvl w:ilvl="0" w:tplc="ADD68FDC">
      <w:start w:val="1"/>
      <w:numFmt w:val="bullet"/>
      <w:lvlText w:val=""/>
      <w:lvlJc w:val="left"/>
      <w:pPr>
        <w:tabs>
          <w:tab w:val="num" w:pos="720"/>
        </w:tabs>
        <w:ind w:left="720" w:hanging="360"/>
      </w:pPr>
      <w:rPr>
        <w:rFonts w:ascii="Wingdings" w:hAnsi="Wingdings" w:hint="default"/>
      </w:rPr>
    </w:lvl>
    <w:lvl w:ilvl="1" w:tplc="53B82F8A" w:tentative="1">
      <w:start w:val="1"/>
      <w:numFmt w:val="bullet"/>
      <w:lvlText w:val=""/>
      <w:lvlJc w:val="left"/>
      <w:pPr>
        <w:tabs>
          <w:tab w:val="num" w:pos="1440"/>
        </w:tabs>
        <w:ind w:left="1440" w:hanging="360"/>
      </w:pPr>
      <w:rPr>
        <w:rFonts w:ascii="Wingdings" w:hAnsi="Wingdings" w:hint="default"/>
      </w:rPr>
    </w:lvl>
    <w:lvl w:ilvl="2" w:tplc="233E5F96" w:tentative="1">
      <w:start w:val="1"/>
      <w:numFmt w:val="bullet"/>
      <w:lvlText w:val=""/>
      <w:lvlJc w:val="left"/>
      <w:pPr>
        <w:tabs>
          <w:tab w:val="num" w:pos="2160"/>
        </w:tabs>
        <w:ind w:left="2160" w:hanging="360"/>
      </w:pPr>
      <w:rPr>
        <w:rFonts w:ascii="Wingdings" w:hAnsi="Wingdings" w:hint="default"/>
      </w:rPr>
    </w:lvl>
    <w:lvl w:ilvl="3" w:tplc="97E0F9FE" w:tentative="1">
      <w:start w:val="1"/>
      <w:numFmt w:val="bullet"/>
      <w:lvlText w:val=""/>
      <w:lvlJc w:val="left"/>
      <w:pPr>
        <w:tabs>
          <w:tab w:val="num" w:pos="2880"/>
        </w:tabs>
        <w:ind w:left="2880" w:hanging="360"/>
      </w:pPr>
      <w:rPr>
        <w:rFonts w:ascii="Wingdings" w:hAnsi="Wingdings" w:hint="default"/>
      </w:rPr>
    </w:lvl>
    <w:lvl w:ilvl="4" w:tplc="396EC166" w:tentative="1">
      <w:start w:val="1"/>
      <w:numFmt w:val="bullet"/>
      <w:lvlText w:val=""/>
      <w:lvlJc w:val="left"/>
      <w:pPr>
        <w:tabs>
          <w:tab w:val="num" w:pos="3600"/>
        </w:tabs>
        <w:ind w:left="3600" w:hanging="360"/>
      </w:pPr>
      <w:rPr>
        <w:rFonts w:ascii="Wingdings" w:hAnsi="Wingdings" w:hint="default"/>
      </w:rPr>
    </w:lvl>
    <w:lvl w:ilvl="5" w:tplc="FDAC5788" w:tentative="1">
      <w:start w:val="1"/>
      <w:numFmt w:val="bullet"/>
      <w:lvlText w:val=""/>
      <w:lvlJc w:val="left"/>
      <w:pPr>
        <w:tabs>
          <w:tab w:val="num" w:pos="4320"/>
        </w:tabs>
        <w:ind w:left="4320" w:hanging="360"/>
      </w:pPr>
      <w:rPr>
        <w:rFonts w:ascii="Wingdings" w:hAnsi="Wingdings" w:hint="default"/>
      </w:rPr>
    </w:lvl>
    <w:lvl w:ilvl="6" w:tplc="5CC8C2AE" w:tentative="1">
      <w:start w:val="1"/>
      <w:numFmt w:val="bullet"/>
      <w:lvlText w:val=""/>
      <w:lvlJc w:val="left"/>
      <w:pPr>
        <w:tabs>
          <w:tab w:val="num" w:pos="5040"/>
        </w:tabs>
        <w:ind w:left="5040" w:hanging="360"/>
      </w:pPr>
      <w:rPr>
        <w:rFonts w:ascii="Wingdings" w:hAnsi="Wingdings" w:hint="default"/>
      </w:rPr>
    </w:lvl>
    <w:lvl w:ilvl="7" w:tplc="2B30583E" w:tentative="1">
      <w:start w:val="1"/>
      <w:numFmt w:val="bullet"/>
      <w:lvlText w:val=""/>
      <w:lvlJc w:val="left"/>
      <w:pPr>
        <w:tabs>
          <w:tab w:val="num" w:pos="5760"/>
        </w:tabs>
        <w:ind w:left="5760" w:hanging="360"/>
      </w:pPr>
      <w:rPr>
        <w:rFonts w:ascii="Wingdings" w:hAnsi="Wingdings" w:hint="default"/>
      </w:rPr>
    </w:lvl>
    <w:lvl w:ilvl="8" w:tplc="ADA40930" w:tentative="1">
      <w:start w:val="1"/>
      <w:numFmt w:val="bullet"/>
      <w:lvlText w:val=""/>
      <w:lvlJc w:val="left"/>
      <w:pPr>
        <w:tabs>
          <w:tab w:val="num" w:pos="6480"/>
        </w:tabs>
        <w:ind w:left="6480" w:hanging="360"/>
      </w:pPr>
      <w:rPr>
        <w:rFonts w:ascii="Wingdings" w:hAnsi="Wingdings" w:hint="default"/>
      </w:rPr>
    </w:lvl>
  </w:abstractNum>
  <w:abstractNum w:abstractNumId="7">
    <w:nsid w:val="2CA7508F"/>
    <w:multiLevelType w:val="hybridMultilevel"/>
    <w:tmpl w:val="635C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191561"/>
    <w:multiLevelType w:val="hybridMultilevel"/>
    <w:tmpl w:val="C9F8D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D7E45D8"/>
    <w:multiLevelType w:val="hybridMultilevel"/>
    <w:tmpl w:val="7F4627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43C05F5E"/>
    <w:multiLevelType w:val="hybridMultilevel"/>
    <w:tmpl w:val="E1E0E62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nsid w:val="62867789"/>
    <w:multiLevelType w:val="hybridMultilevel"/>
    <w:tmpl w:val="ED4ACD24"/>
    <w:lvl w:ilvl="0" w:tplc="BE544088">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nsid w:val="62CF5952"/>
    <w:multiLevelType w:val="hybridMultilevel"/>
    <w:tmpl w:val="C534D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6D105A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4659DE"/>
    <w:multiLevelType w:val="hybridMultilevel"/>
    <w:tmpl w:val="14E4F52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3E673F"/>
    <w:multiLevelType w:val="hybridMultilevel"/>
    <w:tmpl w:val="347A8718"/>
    <w:lvl w:ilvl="0" w:tplc="F9EEE16E">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D13178B"/>
    <w:multiLevelType w:val="hybridMultilevel"/>
    <w:tmpl w:val="BEDA6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7"/>
  </w:num>
  <w:num w:numId="4">
    <w:abstractNumId w:val="5"/>
  </w:num>
  <w:num w:numId="5">
    <w:abstractNumId w:val="1"/>
  </w:num>
  <w:num w:numId="6">
    <w:abstractNumId w:val="15"/>
  </w:num>
  <w:num w:numId="7">
    <w:abstractNumId w:val="17"/>
  </w:num>
  <w:num w:numId="8">
    <w:abstractNumId w:val="17"/>
  </w:num>
  <w:num w:numId="9">
    <w:abstractNumId w:val="13"/>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0"/>
  </w:num>
  <w:num w:numId="17">
    <w:abstractNumId w:val="17"/>
  </w:num>
  <w:num w:numId="18">
    <w:abstractNumId w:val="17"/>
  </w:num>
  <w:num w:numId="19">
    <w:abstractNumId w:val="17"/>
  </w:num>
  <w:num w:numId="20">
    <w:abstractNumId w:val="11"/>
  </w:num>
  <w:num w:numId="21">
    <w:abstractNumId w:val="4"/>
  </w:num>
  <w:num w:numId="22">
    <w:abstractNumId w:val="8"/>
  </w:num>
  <w:num w:numId="23">
    <w:abstractNumId w:val="17"/>
  </w:num>
  <w:num w:numId="24">
    <w:abstractNumId w:val="12"/>
  </w:num>
  <w:num w:numId="25">
    <w:abstractNumId w:val="14"/>
  </w:num>
  <w:num w:numId="26">
    <w:abstractNumId w:val="2"/>
  </w:num>
  <w:num w:numId="27">
    <w:abstractNumId w:val="16"/>
  </w:num>
  <w:num w:numId="28">
    <w:abstractNumId w:val="0"/>
  </w:num>
  <w:num w:numId="29">
    <w:abstractNumId w:val="17"/>
  </w:num>
  <w:num w:numId="30">
    <w:abstractNumId w:val="17"/>
  </w:num>
  <w:num w:numId="31">
    <w:abstractNumId w:val="17"/>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3E"/>
    <w:rsid w:val="00000AC3"/>
    <w:rsid w:val="00013C5D"/>
    <w:rsid w:val="00016776"/>
    <w:rsid w:val="00016C42"/>
    <w:rsid w:val="00020575"/>
    <w:rsid w:val="0002376E"/>
    <w:rsid w:val="000308E8"/>
    <w:rsid w:val="00034181"/>
    <w:rsid w:val="00043A08"/>
    <w:rsid w:val="00045C88"/>
    <w:rsid w:val="000474FB"/>
    <w:rsid w:val="000507C0"/>
    <w:rsid w:val="00055655"/>
    <w:rsid w:val="000662E5"/>
    <w:rsid w:val="0006651B"/>
    <w:rsid w:val="0006767D"/>
    <w:rsid w:val="00070DD5"/>
    <w:rsid w:val="0007193D"/>
    <w:rsid w:val="00074932"/>
    <w:rsid w:val="000779F7"/>
    <w:rsid w:val="00077DD3"/>
    <w:rsid w:val="000806DA"/>
    <w:rsid w:val="0008713F"/>
    <w:rsid w:val="000919BE"/>
    <w:rsid w:val="000A06F7"/>
    <w:rsid w:val="000A0F8C"/>
    <w:rsid w:val="000A3AA1"/>
    <w:rsid w:val="000B018C"/>
    <w:rsid w:val="000B0B3C"/>
    <w:rsid w:val="000B17D5"/>
    <w:rsid w:val="000B22A2"/>
    <w:rsid w:val="000C0F02"/>
    <w:rsid w:val="000C2516"/>
    <w:rsid w:val="000C3EC1"/>
    <w:rsid w:val="000C5008"/>
    <w:rsid w:val="000C7A7A"/>
    <w:rsid w:val="000C7D96"/>
    <w:rsid w:val="000D0006"/>
    <w:rsid w:val="000D27CE"/>
    <w:rsid w:val="000D30AE"/>
    <w:rsid w:val="000D3A95"/>
    <w:rsid w:val="000D4756"/>
    <w:rsid w:val="000D6B44"/>
    <w:rsid w:val="000E63DA"/>
    <w:rsid w:val="000E646C"/>
    <w:rsid w:val="000E7AD0"/>
    <w:rsid w:val="000F3118"/>
    <w:rsid w:val="000F5975"/>
    <w:rsid w:val="000F6B6B"/>
    <w:rsid w:val="00104EE3"/>
    <w:rsid w:val="00105DEF"/>
    <w:rsid w:val="0011295E"/>
    <w:rsid w:val="001157B1"/>
    <w:rsid w:val="001205BB"/>
    <w:rsid w:val="0012248E"/>
    <w:rsid w:val="001248D5"/>
    <w:rsid w:val="00124D54"/>
    <w:rsid w:val="001253C3"/>
    <w:rsid w:val="00126DF2"/>
    <w:rsid w:val="00143A3D"/>
    <w:rsid w:val="00144D66"/>
    <w:rsid w:val="001471B8"/>
    <w:rsid w:val="001515D7"/>
    <w:rsid w:val="001523AC"/>
    <w:rsid w:val="00154AED"/>
    <w:rsid w:val="00160E5C"/>
    <w:rsid w:val="00164A9E"/>
    <w:rsid w:val="00167370"/>
    <w:rsid w:val="00167947"/>
    <w:rsid w:val="00167B45"/>
    <w:rsid w:val="00170471"/>
    <w:rsid w:val="001857A1"/>
    <w:rsid w:val="00185B3A"/>
    <w:rsid w:val="00190BA2"/>
    <w:rsid w:val="001924BC"/>
    <w:rsid w:val="001A04AB"/>
    <w:rsid w:val="001A6766"/>
    <w:rsid w:val="001A6BAE"/>
    <w:rsid w:val="001A7C0E"/>
    <w:rsid w:val="001B1721"/>
    <w:rsid w:val="001B4E55"/>
    <w:rsid w:val="001C67E8"/>
    <w:rsid w:val="001D26BD"/>
    <w:rsid w:val="001D3E05"/>
    <w:rsid w:val="001D5286"/>
    <w:rsid w:val="001D63F7"/>
    <w:rsid w:val="001E29D2"/>
    <w:rsid w:val="001E2F13"/>
    <w:rsid w:val="001E5DF6"/>
    <w:rsid w:val="001E6410"/>
    <w:rsid w:val="00200D0D"/>
    <w:rsid w:val="0020428D"/>
    <w:rsid w:val="00207558"/>
    <w:rsid w:val="002105B1"/>
    <w:rsid w:val="00210C51"/>
    <w:rsid w:val="00211038"/>
    <w:rsid w:val="002114EC"/>
    <w:rsid w:val="00212674"/>
    <w:rsid w:val="00214F78"/>
    <w:rsid w:val="00220928"/>
    <w:rsid w:val="002314E9"/>
    <w:rsid w:val="00231E72"/>
    <w:rsid w:val="00234BD3"/>
    <w:rsid w:val="00235BF2"/>
    <w:rsid w:val="002369E4"/>
    <w:rsid w:val="00237CCA"/>
    <w:rsid w:val="002403A4"/>
    <w:rsid w:val="00247256"/>
    <w:rsid w:val="00250358"/>
    <w:rsid w:val="00253982"/>
    <w:rsid w:val="00253997"/>
    <w:rsid w:val="0026150D"/>
    <w:rsid w:val="00266463"/>
    <w:rsid w:val="0027058D"/>
    <w:rsid w:val="00274F44"/>
    <w:rsid w:val="00281F07"/>
    <w:rsid w:val="00284091"/>
    <w:rsid w:val="00290916"/>
    <w:rsid w:val="002921A5"/>
    <w:rsid w:val="002A0A12"/>
    <w:rsid w:val="002B6E8B"/>
    <w:rsid w:val="002B7A69"/>
    <w:rsid w:val="002C0099"/>
    <w:rsid w:val="002C2057"/>
    <w:rsid w:val="002C578F"/>
    <w:rsid w:val="002C7859"/>
    <w:rsid w:val="002E3D2A"/>
    <w:rsid w:val="002E781D"/>
    <w:rsid w:val="002F3AA6"/>
    <w:rsid w:val="00302C38"/>
    <w:rsid w:val="003031F2"/>
    <w:rsid w:val="003047AE"/>
    <w:rsid w:val="00307FD8"/>
    <w:rsid w:val="003118FF"/>
    <w:rsid w:val="00316087"/>
    <w:rsid w:val="00317B27"/>
    <w:rsid w:val="00321F4E"/>
    <w:rsid w:val="00326D0D"/>
    <w:rsid w:val="00327E83"/>
    <w:rsid w:val="003313F0"/>
    <w:rsid w:val="003320DC"/>
    <w:rsid w:val="00337167"/>
    <w:rsid w:val="00337AAD"/>
    <w:rsid w:val="0034015D"/>
    <w:rsid w:val="00340804"/>
    <w:rsid w:val="00344A74"/>
    <w:rsid w:val="00346257"/>
    <w:rsid w:val="00354FCE"/>
    <w:rsid w:val="00355610"/>
    <w:rsid w:val="003633A9"/>
    <w:rsid w:val="00363446"/>
    <w:rsid w:val="003637C5"/>
    <w:rsid w:val="00366E52"/>
    <w:rsid w:val="00371B94"/>
    <w:rsid w:val="00373112"/>
    <w:rsid w:val="00386845"/>
    <w:rsid w:val="00393250"/>
    <w:rsid w:val="003A0343"/>
    <w:rsid w:val="003A06E7"/>
    <w:rsid w:val="003A377D"/>
    <w:rsid w:val="003A4016"/>
    <w:rsid w:val="003A661B"/>
    <w:rsid w:val="003A6BB8"/>
    <w:rsid w:val="003A7084"/>
    <w:rsid w:val="003B2F86"/>
    <w:rsid w:val="003B4C87"/>
    <w:rsid w:val="003B7A56"/>
    <w:rsid w:val="003C0923"/>
    <w:rsid w:val="003C3D05"/>
    <w:rsid w:val="003C6095"/>
    <w:rsid w:val="003C63F0"/>
    <w:rsid w:val="003E0800"/>
    <w:rsid w:val="003E1313"/>
    <w:rsid w:val="003E24C4"/>
    <w:rsid w:val="003E61FA"/>
    <w:rsid w:val="003E63AF"/>
    <w:rsid w:val="003F1214"/>
    <w:rsid w:val="003F2927"/>
    <w:rsid w:val="003F5DC1"/>
    <w:rsid w:val="003F7C0F"/>
    <w:rsid w:val="00410EB6"/>
    <w:rsid w:val="0042084E"/>
    <w:rsid w:val="004213DA"/>
    <w:rsid w:val="00422821"/>
    <w:rsid w:val="00426C66"/>
    <w:rsid w:val="00434132"/>
    <w:rsid w:val="00440FD4"/>
    <w:rsid w:val="00442AC1"/>
    <w:rsid w:val="00443129"/>
    <w:rsid w:val="00446A1A"/>
    <w:rsid w:val="0045351D"/>
    <w:rsid w:val="0045481C"/>
    <w:rsid w:val="00455814"/>
    <w:rsid w:val="00462503"/>
    <w:rsid w:val="00463A6A"/>
    <w:rsid w:val="00463ADE"/>
    <w:rsid w:val="00464AD1"/>
    <w:rsid w:val="004661D0"/>
    <w:rsid w:val="00470C7D"/>
    <w:rsid w:val="004804B4"/>
    <w:rsid w:val="00480515"/>
    <w:rsid w:val="00485285"/>
    <w:rsid w:val="00492145"/>
    <w:rsid w:val="00495D2C"/>
    <w:rsid w:val="004A56C2"/>
    <w:rsid w:val="004B28DE"/>
    <w:rsid w:val="004B3491"/>
    <w:rsid w:val="004C1E4B"/>
    <w:rsid w:val="004C7467"/>
    <w:rsid w:val="004E080E"/>
    <w:rsid w:val="004E2E8C"/>
    <w:rsid w:val="004E3009"/>
    <w:rsid w:val="004F121D"/>
    <w:rsid w:val="004F252A"/>
    <w:rsid w:val="004F4A32"/>
    <w:rsid w:val="004F6559"/>
    <w:rsid w:val="0050473E"/>
    <w:rsid w:val="00516528"/>
    <w:rsid w:val="005231E3"/>
    <w:rsid w:val="005310DE"/>
    <w:rsid w:val="00532AE2"/>
    <w:rsid w:val="0053425B"/>
    <w:rsid w:val="00536998"/>
    <w:rsid w:val="0054034D"/>
    <w:rsid w:val="0054122A"/>
    <w:rsid w:val="005413B1"/>
    <w:rsid w:val="00541EA2"/>
    <w:rsid w:val="00547321"/>
    <w:rsid w:val="00547585"/>
    <w:rsid w:val="00551B29"/>
    <w:rsid w:val="00556695"/>
    <w:rsid w:val="005656D0"/>
    <w:rsid w:val="005665CA"/>
    <w:rsid w:val="00570C3F"/>
    <w:rsid w:val="005758B8"/>
    <w:rsid w:val="00575963"/>
    <w:rsid w:val="00577167"/>
    <w:rsid w:val="00583578"/>
    <w:rsid w:val="00583844"/>
    <w:rsid w:val="00585D6F"/>
    <w:rsid w:val="00587D51"/>
    <w:rsid w:val="00591D71"/>
    <w:rsid w:val="00592526"/>
    <w:rsid w:val="00596FF6"/>
    <w:rsid w:val="00597D28"/>
    <w:rsid w:val="005A2CAC"/>
    <w:rsid w:val="005A3473"/>
    <w:rsid w:val="005A46FA"/>
    <w:rsid w:val="005B4384"/>
    <w:rsid w:val="005B7423"/>
    <w:rsid w:val="005C0F8C"/>
    <w:rsid w:val="005C2065"/>
    <w:rsid w:val="005C2920"/>
    <w:rsid w:val="005C3D38"/>
    <w:rsid w:val="005C4855"/>
    <w:rsid w:val="005C6E1A"/>
    <w:rsid w:val="005C726B"/>
    <w:rsid w:val="005C7DA6"/>
    <w:rsid w:val="005D3986"/>
    <w:rsid w:val="005D4F5B"/>
    <w:rsid w:val="005D67FB"/>
    <w:rsid w:val="005E0C5C"/>
    <w:rsid w:val="005E2DC3"/>
    <w:rsid w:val="005E2E15"/>
    <w:rsid w:val="005E371D"/>
    <w:rsid w:val="005E3D83"/>
    <w:rsid w:val="005E4383"/>
    <w:rsid w:val="005E5540"/>
    <w:rsid w:val="005F7654"/>
    <w:rsid w:val="00603685"/>
    <w:rsid w:val="00607327"/>
    <w:rsid w:val="00610002"/>
    <w:rsid w:val="00614E2E"/>
    <w:rsid w:val="00620501"/>
    <w:rsid w:val="0062351F"/>
    <w:rsid w:val="00630C24"/>
    <w:rsid w:val="00633AB6"/>
    <w:rsid w:val="006507DB"/>
    <w:rsid w:val="006647FD"/>
    <w:rsid w:val="00666D7C"/>
    <w:rsid w:val="00666E2D"/>
    <w:rsid w:val="00667661"/>
    <w:rsid w:val="00672920"/>
    <w:rsid w:val="006762AC"/>
    <w:rsid w:val="006773A8"/>
    <w:rsid w:val="00682F22"/>
    <w:rsid w:val="006842D6"/>
    <w:rsid w:val="00684307"/>
    <w:rsid w:val="00690BBC"/>
    <w:rsid w:val="006974C4"/>
    <w:rsid w:val="006A0C3E"/>
    <w:rsid w:val="006A2310"/>
    <w:rsid w:val="006B4280"/>
    <w:rsid w:val="006B66EE"/>
    <w:rsid w:val="006C29D6"/>
    <w:rsid w:val="006D1575"/>
    <w:rsid w:val="006D48B9"/>
    <w:rsid w:val="006D763F"/>
    <w:rsid w:val="006E06E7"/>
    <w:rsid w:val="006F23FB"/>
    <w:rsid w:val="006F29A8"/>
    <w:rsid w:val="006F539B"/>
    <w:rsid w:val="0070453C"/>
    <w:rsid w:val="007132AB"/>
    <w:rsid w:val="00717CB3"/>
    <w:rsid w:val="00731967"/>
    <w:rsid w:val="00731DBF"/>
    <w:rsid w:val="00732B3B"/>
    <w:rsid w:val="00740521"/>
    <w:rsid w:val="00746619"/>
    <w:rsid w:val="00747B26"/>
    <w:rsid w:val="00762D47"/>
    <w:rsid w:val="007635B0"/>
    <w:rsid w:val="0076484E"/>
    <w:rsid w:val="00767D2F"/>
    <w:rsid w:val="0077071F"/>
    <w:rsid w:val="0077590E"/>
    <w:rsid w:val="00777851"/>
    <w:rsid w:val="00780DD6"/>
    <w:rsid w:val="007823B4"/>
    <w:rsid w:val="007854D7"/>
    <w:rsid w:val="0078572D"/>
    <w:rsid w:val="007948BE"/>
    <w:rsid w:val="007956C4"/>
    <w:rsid w:val="007A3B57"/>
    <w:rsid w:val="007A3EAA"/>
    <w:rsid w:val="007A461A"/>
    <w:rsid w:val="007A6116"/>
    <w:rsid w:val="007B2F69"/>
    <w:rsid w:val="007B56A3"/>
    <w:rsid w:val="007C68ED"/>
    <w:rsid w:val="007E227D"/>
    <w:rsid w:val="007E38AD"/>
    <w:rsid w:val="007E39AC"/>
    <w:rsid w:val="007E5BA1"/>
    <w:rsid w:val="007E6D0F"/>
    <w:rsid w:val="007E74DE"/>
    <w:rsid w:val="007F1025"/>
    <w:rsid w:val="007F2FCC"/>
    <w:rsid w:val="007F48A5"/>
    <w:rsid w:val="007F5ADA"/>
    <w:rsid w:val="007F764D"/>
    <w:rsid w:val="008005CC"/>
    <w:rsid w:val="008020A9"/>
    <w:rsid w:val="00802A7F"/>
    <w:rsid w:val="00805D73"/>
    <w:rsid w:val="008130B9"/>
    <w:rsid w:val="00814375"/>
    <w:rsid w:val="00815120"/>
    <w:rsid w:val="008171F9"/>
    <w:rsid w:val="00817CE1"/>
    <w:rsid w:val="00820BB6"/>
    <w:rsid w:val="00820D24"/>
    <w:rsid w:val="00824BFB"/>
    <w:rsid w:val="00832ED3"/>
    <w:rsid w:val="008353D2"/>
    <w:rsid w:val="00836739"/>
    <w:rsid w:val="00840ABB"/>
    <w:rsid w:val="00840D3A"/>
    <w:rsid w:val="00842BA6"/>
    <w:rsid w:val="0084603B"/>
    <w:rsid w:val="00852B8C"/>
    <w:rsid w:val="0086063D"/>
    <w:rsid w:val="0086291E"/>
    <w:rsid w:val="00864B01"/>
    <w:rsid w:val="008655A0"/>
    <w:rsid w:val="00867168"/>
    <w:rsid w:val="0086772E"/>
    <w:rsid w:val="00870026"/>
    <w:rsid w:val="00872D57"/>
    <w:rsid w:val="00876676"/>
    <w:rsid w:val="00884329"/>
    <w:rsid w:val="0088443B"/>
    <w:rsid w:val="00890CAA"/>
    <w:rsid w:val="00894582"/>
    <w:rsid w:val="008951E8"/>
    <w:rsid w:val="008A6534"/>
    <w:rsid w:val="008A73A1"/>
    <w:rsid w:val="008B2BFA"/>
    <w:rsid w:val="008B5EA9"/>
    <w:rsid w:val="008B7DA2"/>
    <w:rsid w:val="008C03C3"/>
    <w:rsid w:val="008C1B23"/>
    <w:rsid w:val="008C6B76"/>
    <w:rsid w:val="008C7FB1"/>
    <w:rsid w:val="008D1CBE"/>
    <w:rsid w:val="008D7768"/>
    <w:rsid w:val="008E07DD"/>
    <w:rsid w:val="008E7983"/>
    <w:rsid w:val="008F449F"/>
    <w:rsid w:val="008F495C"/>
    <w:rsid w:val="00901E56"/>
    <w:rsid w:val="00903458"/>
    <w:rsid w:val="00906BB5"/>
    <w:rsid w:val="009070DE"/>
    <w:rsid w:val="0091037E"/>
    <w:rsid w:val="00911D03"/>
    <w:rsid w:val="00913F38"/>
    <w:rsid w:val="009178F0"/>
    <w:rsid w:val="00921833"/>
    <w:rsid w:val="00922C38"/>
    <w:rsid w:val="00925C17"/>
    <w:rsid w:val="009308A7"/>
    <w:rsid w:val="00932A03"/>
    <w:rsid w:val="00936DE2"/>
    <w:rsid w:val="00942288"/>
    <w:rsid w:val="00942BFB"/>
    <w:rsid w:val="00944528"/>
    <w:rsid w:val="00951B0D"/>
    <w:rsid w:val="00952ED4"/>
    <w:rsid w:val="00953B80"/>
    <w:rsid w:val="00957401"/>
    <w:rsid w:val="0095773E"/>
    <w:rsid w:val="00964F35"/>
    <w:rsid w:val="00970C77"/>
    <w:rsid w:val="0097141E"/>
    <w:rsid w:val="00972BF2"/>
    <w:rsid w:val="0097378E"/>
    <w:rsid w:val="00974FBB"/>
    <w:rsid w:val="0097690E"/>
    <w:rsid w:val="009826E3"/>
    <w:rsid w:val="00983E53"/>
    <w:rsid w:val="00986447"/>
    <w:rsid w:val="009874CB"/>
    <w:rsid w:val="009905DA"/>
    <w:rsid w:val="009A302D"/>
    <w:rsid w:val="009A3E06"/>
    <w:rsid w:val="009A637A"/>
    <w:rsid w:val="009B1867"/>
    <w:rsid w:val="009B2417"/>
    <w:rsid w:val="009B5743"/>
    <w:rsid w:val="009B7E86"/>
    <w:rsid w:val="009C2862"/>
    <w:rsid w:val="009C49E8"/>
    <w:rsid w:val="009C67B4"/>
    <w:rsid w:val="009C7778"/>
    <w:rsid w:val="009D0140"/>
    <w:rsid w:val="009D3DE9"/>
    <w:rsid w:val="009D7CD2"/>
    <w:rsid w:val="009E0A5E"/>
    <w:rsid w:val="009F48A6"/>
    <w:rsid w:val="00A00CBF"/>
    <w:rsid w:val="00A049BD"/>
    <w:rsid w:val="00A04C9B"/>
    <w:rsid w:val="00A1022D"/>
    <w:rsid w:val="00A12C43"/>
    <w:rsid w:val="00A14383"/>
    <w:rsid w:val="00A1692F"/>
    <w:rsid w:val="00A177E3"/>
    <w:rsid w:val="00A21B34"/>
    <w:rsid w:val="00A24389"/>
    <w:rsid w:val="00A25977"/>
    <w:rsid w:val="00A26739"/>
    <w:rsid w:val="00A26FCC"/>
    <w:rsid w:val="00A475EE"/>
    <w:rsid w:val="00A5245B"/>
    <w:rsid w:val="00A5304D"/>
    <w:rsid w:val="00A53D05"/>
    <w:rsid w:val="00A624E2"/>
    <w:rsid w:val="00A63BFB"/>
    <w:rsid w:val="00A64C6F"/>
    <w:rsid w:val="00A67B6F"/>
    <w:rsid w:val="00A70808"/>
    <w:rsid w:val="00A74ABF"/>
    <w:rsid w:val="00A75086"/>
    <w:rsid w:val="00A834AC"/>
    <w:rsid w:val="00A90735"/>
    <w:rsid w:val="00A91C68"/>
    <w:rsid w:val="00A9219E"/>
    <w:rsid w:val="00A92A75"/>
    <w:rsid w:val="00A95D75"/>
    <w:rsid w:val="00A95EA9"/>
    <w:rsid w:val="00A967C3"/>
    <w:rsid w:val="00A97EE1"/>
    <w:rsid w:val="00AA7ED2"/>
    <w:rsid w:val="00AB6833"/>
    <w:rsid w:val="00AC08BD"/>
    <w:rsid w:val="00AC1586"/>
    <w:rsid w:val="00AC79D7"/>
    <w:rsid w:val="00AD079D"/>
    <w:rsid w:val="00AD7241"/>
    <w:rsid w:val="00AE0F72"/>
    <w:rsid w:val="00AE3BA9"/>
    <w:rsid w:val="00AE4C5A"/>
    <w:rsid w:val="00AF0459"/>
    <w:rsid w:val="00AF29E6"/>
    <w:rsid w:val="00AF5161"/>
    <w:rsid w:val="00AF6A97"/>
    <w:rsid w:val="00AF6E34"/>
    <w:rsid w:val="00B0164F"/>
    <w:rsid w:val="00B07750"/>
    <w:rsid w:val="00B1027A"/>
    <w:rsid w:val="00B11D62"/>
    <w:rsid w:val="00B13988"/>
    <w:rsid w:val="00B21ED8"/>
    <w:rsid w:val="00B227F7"/>
    <w:rsid w:val="00B23046"/>
    <w:rsid w:val="00B25140"/>
    <w:rsid w:val="00B25897"/>
    <w:rsid w:val="00B30199"/>
    <w:rsid w:val="00B3101D"/>
    <w:rsid w:val="00B31276"/>
    <w:rsid w:val="00B3174A"/>
    <w:rsid w:val="00B340C1"/>
    <w:rsid w:val="00B35B39"/>
    <w:rsid w:val="00B40EFF"/>
    <w:rsid w:val="00B42350"/>
    <w:rsid w:val="00B44988"/>
    <w:rsid w:val="00B528B1"/>
    <w:rsid w:val="00B54E81"/>
    <w:rsid w:val="00B55A41"/>
    <w:rsid w:val="00B57A00"/>
    <w:rsid w:val="00B62778"/>
    <w:rsid w:val="00B6319B"/>
    <w:rsid w:val="00B666AA"/>
    <w:rsid w:val="00B7471A"/>
    <w:rsid w:val="00B778CA"/>
    <w:rsid w:val="00B82BDC"/>
    <w:rsid w:val="00B9172B"/>
    <w:rsid w:val="00BA502E"/>
    <w:rsid w:val="00BA5130"/>
    <w:rsid w:val="00BA7344"/>
    <w:rsid w:val="00BB36E9"/>
    <w:rsid w:val="00BB4CE1"/>
    <w:rsid w:val="00BD4E62"/>
    <w:rsid w:val="00BE4D46"/>
    <w:rsid w:val="00BE73D0"/>
    <w:rsid w:val="00BF32D3"/>
    <w:rsid w:val="00BF41A5"/>
    <w:rsid w:val="00C0272B"/>
    <w:rsid w:val="00C02E13"/>
    <w:rsid w:val="00C111E3"/>
    <w:rsid w:val="00C11A4A"/>
    <w:rsid w:val="00C17DEB"/>
    <w:rsid w:val="00C20B4C"/>
    <w:rsid w:val="00C20D86"/>
    <w:rsid w:val="00C23279"/>
    <w:rsid w:val="00C2762E"/>
    <w:rsid w:val="00C333E6"/>
    <w:rsid w:val="00C35226"/>
    <w:rsid w:val="00C42118"/>
    <w:rsid w:val="00C42947"/>
    <w:rsid w:val="00C517B0"/>
    <w:rsid w:val="00C51F8F"/>
    <w:rsid w:val="00C5592D"/>
    <w:rsid w:val="00C564A6"/>
    <w:rsid w:val="00C6073A"/>
    <w:rsid w:val="00C61111"/>
    <w:rsid w:val="00C61F64"/>
    <w:rsid w:val="00C62E38"/>
    <w:rsid w:val="00C63A5F"/>
    <w:rsid w:val="00C675A7"/>
    <w:rsid w:val="00C7231D"/>
    <w:rsid w:val="00C827F6"/>
    <w:rsid w:val="00C82A56"/>
    <w:rsid w:val="00C830C8"/>
    <w:rsid w:val="00C83449"/>
    <w:rsid w:val="00C856D7"/>
    <w:rsid w:val="00C902AB"/>
    <w:rsid w:val="00CA2F3A"/>
    <w:rsid w:val="00CA7502"/>
    <w:rsid w:val="00CA784D"/>
    <w:rsid w:val="00CC51C5"/>
    <w:rsid w:val="00CD077F"/>
    <w:rsid w:val="00CD71B4"/>
    <w:rsid w:val="00CE33B1"/>
    <w:rsid w:val="00CE6E8F"/>
    <w:rsid w:val="00CE7113"/>
    <w:rsid w:val="00CF17F4"/>
    <w:rsid w:val="00CF2895"/>
    <w:rsid w:val="00CF2FBC"/>
    <w:rsid w:val="00CF4893"/>
    <w:rsid w:val="00CF76DA"/>
    <w:rsid w:val="00D01355"/>
    <w:rsid w:val="00D016A7"/>
    <w:rsid w:val="00D01A56"/>
    <w:rsid w:val="00D03716"/>
    <w:rsid w:val="00D03DA8"/>
    <w:rsid w:val="00D063EC"/>
    <w:rsid w:val="00D1370A"/>
    <w:rsid w:val="00D175E3"/>
    <w:rsid w:val="00D21D76"/>
    <w:rsid w:val="00D26257"/>
    <w:rsid w:val="00D31417"/>
    <w:rsid w:val="00D33640"/>
    <w:rsid w:val="00D35DEA"/>
    <w:rsid w:val="00D42F69"/>
    <w:rsid w:val="00D43173"/>
    <w:rsid w:val="00D46068"/>
    <w:rsid w:val="00D51EBD"/>
    <w:rsid w:val="00D54F16"/>
    <w:rsid w:val="00D62FC4"/>
    <w:rsid w:val="00D64185"/>
    <w:rsid w:val="00D66591"/>
    <w:rsid w:val="00D70413"/>
    <w:rsid w:val="00D723F6"/>
    <w:rsid w:val="00D76F42"/>
    <w:rsid w:val="00D80E98"/>
    <w:rsid w:val="00D8105D"/>
    <w:rsid w:val="00D86D73"/>
    <w:rsid w:val="00D86EE9"/>
    <w:rsid w:val="00D967B9"/>
    <w:rsid w:val="00D97114"/>
    <w:rsid w:val="00D97590"/>
    <w:rsid w:val="00DA06DF"/>
    <w:rsid w:val="00DA51E9"/>
    <w:rsid w:val="00DA59A1"/>
    <w:rsid w:val="00DA662E"/>
    <w:rsid w:val="00DA6CD0"/>
    <w:rsid w:val="00DA740C"/>
    <w:rsid w:val="00DA79AC"/>
    <w:rsid w:val="00DB28CC"/>
    <w:rsid w:val="00DB3D8F"/>
    <w:rsid w:val="00DC080B"/>
    <w:rsid w:val="00DC19D4"/>
    <w:rsid w:val="00DC48DA"/>
    <w:rsid w:val="00DE10DE"/>
    <w:rsid w:val="00DF1FDD"/>
    <w:rsid w:val="00DF3428"/>
    <w:rsid w:val="00DF7B6B"/>
    <w:rsid w:val="00E004CF"/>
    <w:rsid w:val="00E11957"/>
    <w:rsid w:val="00E14C60"/>
    <w:rsid w:val="00E14FA6"/>
    <w:rsid w:val="00E174DA"/>
    <w:rsid w:val="00E277A8"/>
    <w:rsid w:val="00E315FA"/>
    <w:rsid w:val="00E327AE"/>
    <w:rsid w:val="00E340CA"/>
    <w:rsid w:val="00E34155"/>
    <w:rsid w:val="00E42737"/>
    <w:rsid w:val="00E437F4"/>
    <w:rsid w:val="00E52907"/>
    <w:rsid w:val="00E57225"/>
    <w:rsid w:val="00E62C26"/>
    <w:rsid w:val="00E63952"/>
    <w:rsid w:val="00E72E0B"/>
    <w:rsid w:val="00E82695"/>
    <w:rsid w:val="00E866DF"/>
    <w:rsid w:val="00E91B20"/>
    <w:rsid w:val="00E94A49"/>
    <w:rsid w:val="00E97886"/>
    <w:rsid w:val="00E978EA"/>
    <w:rsid w:val="00EB06F8"/>
    <w:rsid w:val="00EB2EAC"/>
    <w:rsid w:val="00EB4469"/>
    <w:rsid w:val="00EB5549"/>
    <w:rsid w:val="00EB56CF"/>
    <w:rsid w:val="00EC10B1"/>
    <w:rsid w:val="00EC4FF1"/>
    <w:rsid w:val="00EC5AFD"/>
    <w:rsid w:val="00EC7B79"/>
    <w:rsid w:val="00ED0CE4"/>
    <w:rsid w:val="00ED116F"/>
    <w:rsid w:val="00EE0094"/>
    <w:rsid w:val="00EE0C32"/>
    <w:rsid w:val="00EE11D2"/>
    <w:rsid w:val="00EE3B56"/>
    <w:rsid w:val="00EE56E7"/>
    <w:rsid w:val="00EE7869"/>
    <w:rsid w:val="00EF31D1"/>
    <w:rsid w:val="00F0332C"/>
    <w:rsid w:val="00F07863"/>
    <w:rsid w:val="00F12498"/>
    <w:rsid w:val="00F17483"/>
    <w:rsid w:val="00F2695C"/>
    <w:rsid w:val="00F30951"/>
    <w:rsid w:val="00F30B97"/>
    <w:rsid w:val="00F35710"/>
    <w:rsid w:val="00F37C45"/>
    <w:rsid w:val="00F42022"/>
    <w:rsid w:val="00F4316D"/>
    <w:rsid w:val="00F47601"/>
    <w:rsid w:val="00F52FB6"/>
    <w:rsid w:val="00F80EAB"/>
    <w:rsid w:val="00F84D4B"/>
    <w:rsid w:val="00F86950"/>
    <w:rsid w:val="00F9108A"/>
    <w:rsid w:val="00F91790"/>
    <w:rsid w:val="00FA4F0D"/>
    <w:rsid w:val="00FA6788"/>
    <w:rsid w:val="00FA7F97"/>
    <w:rsid w:val="00FC0F5B"/>
    <w:rsid w:val="00FC18A3"/>
    <w:rsid w:val="00FC31F0"/>
    <w:rsid w:val="00FD0F2A"/>
    <w:rsid w:val="00FD2FD2"/>
    <w:rsid w:val="00FE2365"/>
    <w:rsid w:val="00FE3748"/>
    <w:rsid w:val="00FE60CC"/>
    <w:rsid w:val="00FE6801"/>
    <w:rsid w:val="00FF3619"/>
    <w:rsid w:val="00FF561E"/>
    <w:rsid w:val="00FF68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Bullet" w:qFormat="1"/>
    <w:lsdException w:name="Title" w:uiPriority="10" w:qFormat="1"/>
    <w:lsdException w:name="Default Paragraph Font" w:uiPriority="1"/>
    <w:lsdException w:name="Body Text" w:qFormat="1"/>
    <w:lsdException w:name="Subtitle" w:qFormat="1"/>
    <w:lsdException w:name="Dat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F0459"/>
    <w:rPr>
      <w:rFonts w:eastAsia="SimSun"/>
      <w:szCs w:val="24"/>
    </w:rPr>
  </w:style>
  <w:style w:type="paragraph" w:styleId="Heading2">
    <w:name w:val="heading 2"/>
    <w:basedOn w:val="Normal"/>
    <w:next w:val="BodyText"/>
    <w:link w:val="Heading2Char"/>
    <w:qFormat/>
    <w:rsid w:val="00AF0459"/>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AF0459"/>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0459"/>
    <w:rPr>
      <w:rFonts w:ascii="Helvetica" w:hAnsi="Helvetica" w:cs="Arial"/>
      <w:color w:val="007FAD"/>
      <w:kern w:val="28"/>
      <w:sz w:val="24"/>
      <w:szCs w:val="28"/>
    </w:rPr>
  </w:style>
  <w:style w:type="character" w:customStyle="1" w:styleId="Heading3Char">
    <w:name w:val="Heading 3 Char"/>
    <w:basedOn w:val="DefaultParagraphFont"/>
    <w:link w:val="Heading3"/>
    <w:rsid w:val="00AF0459"/>
    <w:rPr>
      <w:rFonts w:ascii="Helvetica" w:hAnsi="Helvetica" w:cs="Arial"/>
      <w:b/>
      <w:color w:val="124486"/>
      <w:kern w:val="28"/>
      <w:sz w:val="22"/>
      <w:szCs w:val="22"/>
      <w:lang w:eastAsia="zh-CN"/>
    </w:rPr>
  </w:style>
  <w:style w:type="paragraph" w:styleId="BodyText">
    <w:name w:val="Body Text"/>
    <w:basedOn w:val="Normal"/>
    <w:link w:val="BodyTextChar"/>
    <w:qFormat/>
    <w:rsid w:val="00AF0459"/>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AF0459"/>
    <w:rPr>
      <w:rFonts w:ascii="Franklin Gothic Book" w:hAnsi="Franklin Gothic Book"/>
      <w:sz w:val="21"/>
      <w:szCs w:val="24"/>
    </w:rPr>
  </w:style>
  <w:style w:type="paragraph" w:styleId="Subtitle">
    <w:name w:val="Subtitle"/>
    <w:basedOn w:val="Normal"/>
    <w:next w:val="Normal"/>
    <w:link w:val="SubtitleChar"/>
    <w:qFormat/>
    <w:rsid w:val="00AF0459"/>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AF0459"/>
    <w:rPr>
      <w:rFonts w:ascii="Helvetica" w:hAnsi="Helvetica"/>
      <w:color w:val="007FAD"/>
      <w:spacing w:val="-10"/>
      <w:kern w:val="28"/>
      <w:sz w:val="28"/>
      <w:szCs w:val="28"/>
    </w:rPr>
  </w:style>
  <w:style w:type="paragraph" w:styleId="Title">
    <w:name w:val="Title"/>
    <w:basedOn w:val="Normal"/>
    <w:next w:val="Normal"/>
    <w:link w:val="TitleChar"/>
    <w:uiPriority w:val="10"/>
    <w:qFormat/>
    <w:rsid w:val="00AF0459"/>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uiPriority w:val="10"/>
    <w:rsid w:val="00AF0459"/>
    <w:rPr>
      <w:rFonts w:ascii="Helvetica" w:hAnsi="Helvetica"/>
      <w:color w:val="007FAD"/>
      <w:spacing w:val="-10"/>
      <w:kern w:val="28"/>
      <w:sz w:val="40"/>
    </w:rPr>
  </w:style>
  <w:style w:type="paragraph" w:styleId="Caption">
    <w:name w:val="caption"/>
    <w:basedOn w:val="Normal"/>
    <w:next w:val="BodyText"/>
    <w:link w:val="CaptionChar"/>
    <w:autoRedefine/>
    <w:uiPriority w:val="99"/>
    <w:qFormat/>
    <w:rsid w:val="00AF0459"/>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AF0459"/>
    <w:pPr>
      <w:keepNext/>
      <w:spacing w:before="20" w:after="20" w:line="180" w:lineRule="atLeast"/>
      <w:jc w:val="both"/>
    </w:pPr>
    <w:rPr>
      <w:iCs w:val="0"/>
      <w:sz w:val="14"/>
      <w:szCs w:val="14"/>
      <w:lang w:eastAsia="en-AU"/>
    </w:rPr>
  </w:style>
  <w:style w:type="paragraph" w:customStyle="1" w:styleId="TableTextEntries">
    <w:name w:val="Table Text Entries"/>
    <w:rsid w:val="00AF0459"/>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AF0459"/>
    <w:rPr>
      <w:rFonts w:ascii="Franklin Gothic Book" w:hAnsi="Franklin Gothic Book"/>
      <w:sz w:val="14"/>
      <w:szCs w:val="14"/>
    </w:rPr>
  </w:style>
  <w:style w:type="paragraph" w:customStyle="1" w:styleId="TableTextColumnHeading">
    <w:name w:val="Table Text Column Heading"/>
    <w:basedOn w:val="Normal"/>
    <w:autoRedefine/>
    <w:rsid w:val="00AF0459"/>
  </w:style>
  <w:style w:type="table" w:customStyle="1" w:styleId="DFATTable">
    <w:name w:val="DFAT Table"/>
    <w:basedOn w:val="TableNormal"/>
    <w:uiPriority w:val="99"/>
    <w:rsid w:val="00AF0459"/>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ListBullet">
    <w:name w:val="List Bullet"/>
    <w:basedOn w:val="BodyText"/>
    <w:qFormat/>
    <w:rsid w:val="00AF0459"/>
    <w:pPr>
      <w:numPr>
        <w:numId w:val="2"/>
      </w:numPr>
      <w:tabs>
        <w:tab w:val="left" w:pos="284"/>
      </w:tabs>
      <w:spacing w:after="120"/>
    </w:pPr>
  </w:style>
  <w:style w:type="paragraph" w:styleId="Header">
    <w:name w:val="header"/>
    <w:basedOn w:val="Normal"/>
    <w:link w:val="HeaderChar"/>
    <w:uiPriority w:val="99"/>
    <w:unhideWhenUsed/>
    <w:rsid w:val="00AF0459"/>
    <w:pPr>
      <w:tabs>
        <w:tab w:val="center" w:pos="4513"/>
        <w:tab w:val="right" w:pos="9026"/>
      </w:tabs>
    </w:pPr>
  </w:style>
  <w:style w:type="character" w:customStyle="1" w:styleId="HeaderChar">
    <w:name w:val="Header Char"/>
    <w:basedOn w:val="DefaultParagraphFont"/>
    <w:link w:val="Header"/>
    <w:uiPriority w:val="99"/>
    <w:rsid w:val="00AF0459"/>
    <w:rPr>
      <w:rFonts w:eastAsia="SimSun"/>
      <w:szCs w:val="24"/>
    </w:rPr>
  </w:style>
  <w:style w:type="paragraph" w:styleId="Date">
    <w:name w:val="Date"/>
    <w:basedOn w:val="Normal"/>
    <w:next w:val="Normal"/>
    <w:link w:val="DateChar"/>
    <w:unhideWhenUsed/>
    <w:qFormat/>
    <w:rsid w:val="00AF0459"/>
    <w:rPr>
      <w:rFonts w:ascii="Franklin Gothic Book" w:hAnsi="Franklin Gothic Book"/>
    </w:rPr>
  </w:style>
  <w:style w:type="character" w:customStyle="1" w:styleId="DateChar">
    <w:name w:val="Date Char"/>
    <w:basedOn w:val="DefaultParagraphFont"/>
    <w:link w:val="Date"/>
    <w:rsid w:val="00AF0459"/>
    <w:rPr>
      <w:rFonts w:ascii="Franklin Gothic Book" w:eastAsia="SimSun" w:hAnsi="Franklin Gothic Book"/>
      <w:szCs w:val="24"/>
    </w:rPr>
  </w:style>
  <w:style w:type="paragraph" w:customStyle="1" w:styleId="TableHeading1">
    <w:name w:val="Table Heading 1"/>
    <w:basedOn w:val="TableTextEntries"/>
    <w:next w:val="TableTextEntries"/>
    <w:rsid w:val="00AF0459"/>
    <w:pPr>
      <w:spacing w:before="80" w:after="80"/>
    </w:pPr>
    <w:rPr>
      <w:b/>
    </w:rPr>
  </w:style>
  <w:style w:type="paragraph" w:customStyle="1" w:styleId="TableHeading2">
    <w:name w:val="Table Heading 2"/>
    <w:basedOn w:val="TableHeading1"/>
    <w:next w:val="TableTextEntries"/>
    <w:rsid w:val="00AF0459"/>
    <w:pPr>
      <w:spacing w:before="40" w:after="40"/>
    </w:pPr>
    <w:rPr>
      <w:i/>
    </w:rPr>
  </w:style>
  <w:style w:type="paragraph" w:customStyle="1" w:styleId="TableListBullet2">
    <w:name w:val="Table List Bullet 2"/>
    <w:basedOn w:val="Normal"/>
    <w:link w:val="TableListBullet2Char"/>
    <w:rsid w:val="00AF0459"/>
    <w:pPr>
      <w:keepLines/>
      <w:numPr>
        <w:numId w:val="1"/>
      </w:numPr>
      <w:spacing w:before="40" w:after="40" w:line="200" w:lineRule="atLeast"/>
      <w:ind w:left="568" w:hanging="284"/>
    </w:pPr>
    <w:rPr>
      <w:rFonts w:ascii="Helvetica" w:eastAsia="Times New Roman" w:hAnsi="Helvetica"/>
      <w:iCs/>
      <w:sz w:val="17"/>
      <w:szCs w:val="17"/>
      <w:lang w:eastAsia="en-US"/>
    </w:rPr>
  </w:style>
  <w:style w:type="character" w:customStyle="1" w:styleId="TableListBullet2Char">
    <w:name w:val="Table List Bullet 2 Char"/>
    <w:link w:val="TableListBullet2"/>
    <w:rsid w:val="00AF0459"/>
    <w:rPr>
      <w:rFonts w:ascii="Helvetica" w:hAnsi="Helvetica"/>
      <w:iCs/>
      <w:sz w:val="17"/>
      <w:szCs w:val="17"/>
      <w:lang w:eastAsia="en-US"/>
    </w:rPr>
  </w:style>
  <w:style w:type="table" w:styleId="TableGrid">
    <w:name w:val="Table Grid"/>
    <w:basedOn w:val="TableNormal"/>
    <w:uiPriority w:val="59"/>
    <w:rsid w:val="00AF0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uiPriority w:val="99"/>
    <w:locked/>
    <w:rsid w:val="00AF0459"/>
    <w:rPr>
      <w:rFonts w:ascii="Franklin Gothic Book" w:hAnsi="Franklin Gothic Book" w:cs="Arial"/>
      <w:szCs w:val="19"/>
    </w:rPr>
  </w:style>
  <w:style w:type="table" w:customStyle="1" w:styleId="APPR">
    <w:name w:val="APPR"/>
    <w:basedOn w:val="TableNormal"/>
    <w:uiPriority w:val="99"/>
    <w:rsid w:val="00AF0459"/>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7E5BA1"/>
    <w:pPr>
      <w:jc w:val="both"/>
    </w:pPr>
    <w:rPr>
      <w:rFonts w:asciiTheme="minorHAnsi" w:eastAsiaTheme="minorHAnsi" w:hAnsiTheme="minorHAnsi" w:cstheme="minorBidi"/>
      <w:szCs w:val="20"/>
      <w:lang w:val="en-GB" w:eastAsia="en-US"/>
    </w:rPr>
  </w:style>
  <w:style w:type="character" w:customStyle="1" w:styleId="FootnoteTextChar">
    <w:name w:val="Footnote Text Char"/>
    <w:basedOn w:val="DefaultParagraphFont"/>
    <w:link w:val="FootnoteText"/>
    <w:uiPriority w:val="99"/>
    <w:rsid w:val="007E5BA1"/>
    <w:rPr>
      <w:rFonts w:asciiTheme="minorHAnsi" w:eastAsiaTheme="minorHAnsi" w:hAnsiTheme="minorHAnsi" w:cstheme="minorBidi"/>
      <w:lang w:val="en-GB" w:eastAsia="en-US"/>
    </w:rPr>
  </w:style>
  <w:style w:type="character" w:styleId="FootnoteReference">
    <w:name w:val="footnote reference"/>
    <w:aliases w:val="ftref,BVI fnr,BVI fnr Car Car,BVI fnr Car,BVI fnr Car Car Car Car,BVI fnr Car Car Car Car Char,16 Point,Superscript 6 Point,fr,FnR-ANZDEC,(NECG) Footnote Reference,Fußnotenzeichen DISS,de nota al pie,Ref,Footnote Ref in FtNote,SUPERS"/>
    <w:basedOn w:val="DefaultParagraphFont"/>
    <w:unhideWhenUsed/>
    <w:rsid w:val="007E5BA1"/>
    <w:rPr>
      <w:vertAlign w:val="superscript"/>
    </w:rPr>
  </w:style>
  <w:style w:type="character" w:styleId="CommentReference">
    <w:name w:val="annotation reference"/>
    <w:basedOn w:val="DefaultParagraphFont"/>
    <w:uiPriority w:val="99"/>
    <w:unhideWhenUsed/>
    <w:rsid w:val="007E5BA1"/>
    <w:rPr>
      <w:sz w:val="16"/>
      <w:szCs w:val="16"/>
    </w:rPr>
  </w:style>
  <w:style w:type="paragraph" w:styleId="CommentText">
    <w:name w:val="annotation text"/>
    <w:basedOn w:val="Normal"/>
    <w:link w:val="CommentTextChar"/>
    <w:uiPriority w:val="99"/>
    <w:unhideWhenUsed/>
    <w:rsid w:val="007E5BA1"/>
    <w:pPr>
      <w:jc w:val="both"/>
    </w:pPr>
    <w:rPr>
      <w:rFonts w:asciiTheme="minorHAnsi" w:eastAsiaTheme="minorHAnsi" w:hAnsiTheme="minorHAnsi" w:cstheme="minorBidi"/>
      <w:szCs w:val="20"/>
      <w:lang w:val="en-GB" w:eastAsia="en-US"/>
    </w:rPr>
  </w:style>
  <w:style w:type="character" w:customStyle="1" w:styleId="CommentTextChar">
    <w:name w:val="Comment Text Char"/>
    <w:basedOn w:val="DefaultParagraphFont"/>
    <w:link w:val="CommentText"/>
    <w:uiPriority w:val="99"/>
    <w:rsid w:val="007E5BA1"/>
    <w:rPr>
      <w:rFonts w:asciiTheme="minorHAnsi" w:eastAsiaTheme="minorHAnsi" w:hAnsiTheme="minorHAnsi" w:cstheme="minorBidi"/>
      <w:lang w:val="en-GB" w:eastAsia="en-US"/>
    </w:rPr>
  </w:style>
  <w:style w:type="paragraph" w:styleId="BalloonText">
    <w:name w:val="Balloon Text"/>
    <w:basedOn w:val="Normal"/>
    <w:link w:val="BalloonTextChar"/>
    <w:uiPriority w:val="99"/>
    <w:rsid w:val="007E5BA1"/>
    <w:rPr>
      <w:rFonts w:ascii="Tahoma" w:hAnsi="Tahoma" w:cs="Tahoma"/>
      <w:sz w:val="16"/>
      <w:szCs w:val="16"/>
    </w:rPr>
  </w:style>
  <w:style w:type="character" w:customStyle="1" w:styleId="BalloonTextChar">
    <w:name w:val="Balloon Text Char"/>
    <w:basedOn w:val="DefaultParagraphFont"/>
    <w:link w:val="BalloonText"/>
    <w:uiPriority w:val="99"/>
    <w:rsid w:val="007E5BA1"/>
    <w:rPr>
      <w:rFonts w:ascii="Tahoma" w:eastAsia="SimSun" w:hAnsi="Tahoma" w:cs="Tahoma"/>
      <w:sz w:val="16"/>
      <w:szCs w:val="16"/>
    </w:rPr>
  </w:style>
  <w:style w:type="paragraph" w:styleId="ListParagraph">
    <w:name w:val="List Paragraph"/>
    <w:aliases w:val="List Paragraph1,Recommendation,List Paragraph11,List Paragraph2,L,OBC Bullet,Normal numbered,CV text,Table text,Medium Grid 1 - Accent 21,Numbered Paragraph,F5 List Paragraph,Dot pt,Párrafo de lista,Normal numbere,No Spacing1"/>
    <w:basedOn w:val="Normal"/>
    <w:link w:val="ListParagraphChar"/>
    <w:uiPriority w:val="34"/>
    <w:qFormat/>
    <w:rsid w:val="00AF5161"/>
    <w:pPr>
      <w:ind w:left="720"/>
      <w:contextualSpacing/>
      <w:jc w:val="both"/>
    </w:pPr>
    <w:rPr>
      <w:rFonts w:asciiTheme="minorHAnsi" w:eastAsiaTheme="minorHAnsi" w:hAnsiTheme="minorHAnsi" w:cstheme="minorBidi"/>
      <w:sz w:val="24"/>
      <w:szCs w:val="22"/>
      <w:lang w:val="en-GB" w:eastAsia="en-US"/>
    </w:rPr>
  </w:style>
  <w:style w:type="paragraph" w:styleId="CommentSubject">
    <w:name w:val="annotation subject"/>
    <w:basedOn w:val="CommentText"/>
    <w:next w:val="CommentText"/>
    <w:link w:val="CommentSubjectChar"/>
    <w:rsid w:val="00DB3D8F"/>
    <w:pPr>
      <w:jc w:val="left"/>
    </w:pPr>
    <w:rPr>
      <w:rFonts w:ascii="Times New Roman" w:eastAsia="SimSun" w:hAnsi="Times New Roman" w:cs="Times New Roman"/>
      <w:b/>
      <w:bCs/>
      <w:lang w:val="en-AU" w:eastAsia="en-AU"/>
    </w:rPr>
  </w:style>
  <w:style w:type="character" w:customStyle="1" w:styleId="CommentSubjectChar">
    <w:name w:val="Comment Subject Char"/>
    <w:basedOn w:val="CommentTextChar"/>
    <w:link w:val="CommentSubject"/>
    <w:rsid w:val="00DB3D8F"/>
    <w:rPr>
      <w:rFonts w:asciiTheme="minorHAnsi" w:eastAsia="SimSun" w:hAnsiTheme="minorHAnsi" w:cstheme="minorBidi"/>
      <w:b/>
      <w:bCs/>
      <w:lang w:val="en-GB" w:eastAsia="en-US"/>
    </w:rPr>
  </w:style>
  <w:style w:type="paragraph" w:styleId="Revision">
    <w:name w:val="Revision"/>
    <w:hidden/>
    <w:uiPriority w:val="99"/>
    <w:semiHidden/>
    <w:rsid w:val="009D7CD2"/>
    <w:rPr>
      <w:rFonts w:eastAsia="SimSun"/>
      <w:szCs w:val="24"/>
    </w:rPr>
  </w:style>
  <w:style w:type="paragraph" w:styleId="ListNumber">
    <w:name w:val="List Number"/>
    <w:basedOn w:val="ListBullet"/>
    <w:rsid w:val="00212674"/>
    <w:pPr>
      <w:numPr>
        <w:numId w:val="6"/>
      </w:numPr>
      <w:tabs>
        <w:tab w:val="clear" w:pos="284"/>
      </w:tabs>
      <w:spacing w:line="240" w:lineRule="auto"/>
      <w:ind w:left="357" w:hanging="357"/>
    </w:pPr>
    <w:rPr>
      <w:rFonts w:ascii="Times New Roman" w:hAnsi="Times New Roman"/>
      <w:sz w:val="22"/>
    </w:rPr>
  </w:style>
  <w:style w:type="paragraph" w:styleId="Footer">
    <w:name w:val="footer"/>
    <w:basedOn w:val="Normal"/>
    <w:link w:val="FooterChar"/>
    <w:uiPriority w:val="99"/>
    <w:rsid w:val="00C0272B"/>
    <w:pPr>
      <w:tabs>
        <w:tab w:val="center" w:pos="4513"/>
        <w:tab w:val="right" w:pos="9026"/>
      </w:tabs>
    </w:pPr>
  </w:style>
  <w:style w:type="character" w:customStyle="1" w:styleId="FooterChar">
    <w:name w:val="Footer Char"/>
    <w:basedOn w:val="DefaultParagraphFont"/>
    <w:link w:val="Footer"/>
    <w:uiPriority w:val="99"/>
    <w:rsid w:val="00C0272B"/>
    <w:rPr>
      <w:rFonts w:eastAsia="SimSun"/>
      <w:szCs w:val="24"/>
    </w:rPr>
  </w:style>
  <w:style w:type="paragraph" w:styleId="EndnoteText">
    <w:name w:val="endnote text"/>
    <w:basedOn w:val="Normal"/>
    <w:link w:val="EndnoteTextChar"/>
    <w:rsid w:val="00E978EA"/>
    <w:rPr>
      <w:szCs w:val="20"/>
    </w:rPr>
  </w:style>
  <w:style w:type="character" w:customStyle="1" w:styleId="EndnoteTextChar">
    <w:name w:val="Endnote Text Char"/>
    <w:basedOn w:val="DefaultParagraphFont"/>
    <w:link w:val="EndnoteText"/>
    <w:rsid w:val="00E978EA"/>
    <w:rPr>
      <w:rFonts w:eastAsia="SimSun"/>
    </w:rPr>
  </w:style>
  <w:style w:type="character" w:styleId="EndnoteReference">
    <w:name w:val="endnote reference"/>
    <w:basedOn w:val="DefaultParagraphFont"/>
    <w:rsid w:val="00E978EA"/>
    <w:rPr>
      <w:vertAlign w:val="superscript"/>
    </w:rPr>
  </w:style>
  <w:style w:type="character" w:customStyle="1" w:styleId="ListParagraphChar">
    <w:name w:val="List Paragraph Char"/>
    <w:aliases w:val="List Paragraph1 Char,Recommendation Char,List Paragraph11 Char,List Paragraph2 Char,L Char,OBC Bullet Char,Normal numbered Char,CV text Char,Table text Char,Medium Grid 1 - Accent 21 Char,Numbered Paragraph Char,Dot pt Char"/>
    <w:link w:val="ListParagraph"/>
    <w:uiPriority w:val="34"/>
    <w:qFormat/>
    <w:locked/>
    <w:rsid w:val="004C1E4B"/>
    <w:rPr>
      <w:rFonts w:asciiTheme="minorHAnsi" w:eastAsiaTheme="minorHAnsi" w:hAnsiTheme="minorHAnsi" w:cstheme="minorBidi"/>
      <w:sz w:val="24"/>
      <w:szCs w:val="22"/>
      <w:lang w:val="en-GB" w:eastAsia="en-US"/>
    </w:rPr>
  </w:style>
  <w:style w:type="character" w:styleId="Hyperlink">
    <w:name w:val="Hyperlink"/>
    <w:basedOn w:val="DefaultParagraphFont"/>
    <w:rsid w:val="00371B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Bullet" w:qFormat="1"/>
    <w:lsdException w:name="Title" w:uiPriority="10" w:qFormat="1"/>
    <w:lsdException w:name="Default Paragraph Font" w:uiPriority="1"/>
    <w:lsdException w:name="Body Text" w:qFormat="1"/>
    <w:lsdException w:name="Subtitle" w:qFormat="1"/>
    <w:lsdException w:name="Dat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F0459"/>
    <w:rPr>
      <w:rFonts w:eastAsia="SimSun"/>
      <w:szCs w:val="24"/>
    </w:rPr>
  </w:style>
  <w:style w:type="paragraph" w:styleId="Heading2">
    <w:name w:val="heading 2"/>
    <w:basedOn w:val="Normal"/>
    <w:next w:val="BodyText"/>
    <w:link w:val="Heading2Char"/>
    <w:qFormat/>
    <w:rsid w:val="00AF0459"/>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AF0459"/>
    <w:pPr>
      <w:keepNext w:val="0"/>
      <w:numPr>
        <w:ilvl w:val="2"/>
      </w:numPr>
      <w:spacing w:before="240"/>
      <w:outlineLvl w:val="2"/>
    </w:pPr>
    <w:rPr>
      <w:b/>
      <w:color w:val="124486"/>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0459"/>
    <w:rPr>
      <w:rFonts w:ascii="Helvetica" w:hAnsi="Helvetica" w:cs="Arial"/>
      <w:color w:val="007FAD"/>
      <w:kern w:val="28"/>
      <w:sz w:val="24"/>
      <w:szCs w:val="28"/>
    </w:rPr>
  </w:style>
  <w:style w:type="character" w:customStyle="1" w:styleId="Heading3Char">
    <w:name w:val="Heading 3 Char"/>
    <w:basedOn w:val="DefaultParagraphFont"/>
    <w:link w:val="Heading3"/>
    <w:rsid w:val="00AF0459"/>
    <w:rPr>
      <w:rFonts w:ascii="Helvetica" w:hAnsi="Helvetica" w:cs="Arial"/>
      <w:b/>
      <w:color w:val="124486"/>
      <w:kern w:val="28"/>
      <w:sz w:val="22"/>
      <w:szCs w:val="22"/>
      <w:lang w:eastAsia="zh-CN"/>
    </w:rPr>
  </w:style>
  <w:style w:type="paragraph" w:styleId="BodyText">
    <w:name w:val="Body Text"/>
    <w:basedOn w:val="Normal"/>
    <w:link w:val="BodyTextChar"/>
    <w:qFormat/>
    <w:rsid w:val="00AF0459"/>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AF0459"/>
    <w:rPr>
      <w:rFonts w:ascii="Franklin Gothic Book" w:hAnsi="Franklin Gothic Book"/>
      <w:sz w:val="21"/>
      <w:szCs w:val="24"/>
    </w:rPr>
  </w:style>
  <w:style w:type="paragraph" w:styleId="Subtitle">
    <w:name w:val="Subtitle"/>
    <w:basedOn w:val="Normal"/>
    <w:next w:val="Normal"/>
    <w:link w:val="SubtitleChar"/>
    <w:qFormat/>
    <w:rsid w:val="00AF0459"/>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AF0459"/>
    <w:rPr>
      <w:rFonts w:ascii="Helvetica" w:hAnsi="Helvetica"/>
      <w:color w:val="007FAD"/>
      <w:spacing w:val="-10"/>
      <w:kern w:val="28"/>
      <w:sz w:val="28"/>
      <w:szCs w:val="28"/>
    </w:rPr>
  </w:style>
  <w:style w:type="paragraph" w:styleId="Title">
    <w:name w:val="Title"/>
    <w:basedOn w:val="Normal"/>
    <w:next w:val="Normal"/>
    <w:link w:val="TitleChar"/>
    <w:uiPriority w:val="10"/>
    <w:qFormat/>
    <w:rsid w:val="00AF0459"/>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uiPriority w:val="10"/>
    <w:rsid w:val="00AF0459"/>
    <w:rPr>
      <w:rFonts w:ascii="Helvetica" w:hAnsi="Helvetica"/>
      <w:color w:val="007FAD"/>
      <w:spacing w:val="-10"/>
      <w:kern w:val="28"/>
      <w:sz w:val="40"/>
    </w:rPr>
  </w:style>
  <w:style w:type="paragraph" w:styleId="Caption">
    <w:name w:val="caption"/>
    <w:basedOn w:val="Normal"/>
    <w:next w:val="BodyText"/>
    <w:link w:val="CaptionChar"/>
    <w:autoRedefine/>
    <w:uiPriority w:val="99"/>
    <w:qFormat/>
    <w:rsid w:val="00AF0459"/>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AF0459"/>
    <w:pPr>
      <w:keepNext/>
      <w:spacing w:before="20" w:after="20" w:line="180" w:lineRule="atLeast"/>
      <w:jc w:val="both"/>
    </w:pPr>
    <w:rPr>
      <w:iCs w:val="0"/>
      <w:sz w:val="14"/>
      <w:szCs w:val="14"/>
      <w:lang w:eastAsia="en-AU"/>
    </w:rPr>
  </w:style>
  <w:style w:type="paragraph" w:customStyle="1" w:styleId="TableTextEntries">
    <w:name w:val="Table Text Entries"/>
    <w:rsid w:val="00AF0459"/>
    <w:pPr>
      <w:keepLines/>
      <w:spacing w:before="40" w:after="40" w:line="200" w:lineRule="atLeast"/>
    </w:pPr>
    <w:rPr>
      <w:rFonts w:ascii="Franklin Gothic Book" w:hAnsi="Franklin Gothic Book"/>
      <w:iCs/>
      <w:sz w:val="17"/>
      <w:szCs w:val="17"/>
      <w:lang w:eastAsia="en-US"/>
    </w:rPr>
  </w:style>
  <w:style w:type="character" w:customStyle="1" w:styleId="NoteCharChar">
    <w:name w:val="Note Char Char"/>
    <w:link w:val="Note"/>
    <w:rsid w:val="00AF0459"/>
    <w:rPr>
      <w:rFonts w:ascii="Franklin Gothic Book" w:hAnsi="Franklin Gothic Book"/>
      <w:sz w:val="14"/>
      <w:szCs w:val="14"/>
    </w:rPr>
  </w:style>
  <w:style w:type="paragraph" w:customStyle="1" w:styleId="TableTextColumnHeading">
    <w:name w:val="Table Text Column Heading"/>
    <w:basedOn w:val="Normal"/>
    <w:autoRedefine/>
    <w:rsid w:val="00AF0459"/>
  </w:style>
  <w:style w:type="table" w:customStyle="1" w:styleId="DFATTable">
    <w:name w:val="DFAT Table"/>
    <w:basedOn w:val="TableNormal"/>
    <w:uiPriority w:val="99"/>
    <w:rsid w:val="00AF0459"/>
    <w:rPr>
      <w:rFonts w:ascii="Helvetica" w:eastAsiaTheme="minorHAnsi" w:hAnsi="Helvetica" w:cstheme="minorBidi"/>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styleId="ListBullet">
    <w:name w:val="List Bullet"/>
    <w:basedOn w:val="BodyText"/>
    <w:qFormat/>
    <w:rsid w:val="00AF0459"/>
    <w:pPr>
      <w:numPr>
        <w:numId w:val="2"/>
      </w:numPr>
      <w:tabs>
        <w:tab w:val="left" w:pos="284"/>
      </w:tabs>
      <w:spacing w:after="120"/>
    </w:pPr>
  </w:style>
  <w:style w:type="paragraph" w:styleId="Header">
    <w:name w:val="header"/>
    <w:basedOn w:val="Normal"/>
    <w:link w:val="HeaderChar"/>
    <w:uiPriority w:val="99"/>
    <w:unhideWhenUsed/>
    <w:rsid w:val="00AF0459"/>
    <w:pPr>
      <w:tabs>
        <w:tab w:val="center" w:pos="4513"/>
        <w:tab w:val="right" w:pos="9026"/>
      </w:tabs>
    </w:pPr>
  </w:style>
  <w:style w:type="character" w:customStyle="1" w:styleId="HeaderChar">
    <w:name w:val="Header Char"/>
    <w:basedOn w:val="DefaultParagraphFont"/>
    <w:link w:val="Header"/>
    <w:uiPriority w:val="99"/>
    <w:rsid w:val="00AF0459"/>
    <w:rPr>
      <w:rFonts w:eastAsia="SimSun"/>
      <w:szCs w:val="24"/>
    </w:rPr>
  </w:style>
  <w:style w:type="paragraph" w:styleId="Date">
    <w:name w:val="Date"/>
    <w:basedOn w:val="Normal"/>
    <w:next w:val="Normal"/>
    <w:link w:val="DateChar"/>
    <w:unhideWhenUsed/>
    <w:qFormat/>
    <w:rsid w:val="00AF0459"/>
    <w:rPr>
      <w:rFonts w:ascii="Franklin Gothic Book" w:hAnsi="Franklin Gothic Book"/>
    </w:rPr>
  </w:style>
  <w:style w:type="character" w:customStyle="1" w:styleId="DateChar">
    <w:name w:val="Date Char"/>
    <w:basedOn w:val="DefaultParagraphFont"/>
    <w:link w:val="Date"/>
    <w:rsid w:val="00AF0459"/>
    <w:rPr>
      <w:rFonts w:ascii="Franklin Gothic Book" w:eastAsia="SimSun" w:hAnsi="Franklin Gothic Book"/>
      <w:szCs w:val="24"/>
    </w:rPr>
  </w:style>
  <w:style w:type="paragraph" w:customStyle="1" w:styleId="TableHeading1">
    <w:name w:val="Table Heading 1"/>
    <w:basedOn w:val="TableTextEntries"/>
    <w:next w:val="TableTextEntries"/>
    <w:rsid w:val="00AF0459"/>
    <w:pPr>
      <w:spacing w:before="80" w:after="80"/>
    </w:pPr>
    <w:rPr>
      <w:b/>
    </w:rPr>
  </w:style>
  <w:style w:type="paragraph" w:customStyle="1" w:styleId="TableHeading2">
    <w:name w:val="Table Heading 2"/>
    <w:basedOn w:val="TableHeading1"/>
    <w:next w:val="TableTextEntries"/>
    <w:rsid w:val="00AF0459"/>
    <w:pPr>
      <w:spacing w:before="40" w:after="40"/>
    </w:pPr>
    <w:rPr>
      <w:i/>
    </w:rPr>
  </w:style>
  <w:style w:type="paragraph" w:customStyle="1" w:styleId="TableListBullet2">
    <w:name w:val="Table List Bullet 2"/>
    <w:basedOn w:val="Normal"/>
    <w:link w:val="TableListBullet2Char"/>
    <w:rsid w:val="00AF0459"/>
    <w:pPr>
      <w:keepLines/>
      <w:numPr>
        <w:numId w:val="1"/>
      </w:numPr>
      <w:spacing w:before="40" w:after="40" w:line="200" w:lineRule="atLeast"/>
      <w:ind w:left="568" w:hanging="284"/>
    </w:pPr>
    <w:rPr>
      <w:rFonts w:ascii="Helvetica" w:eastAsia="Times New Roman" w:hAnsi="Helvetica"/>
      <w:iCs/>
      <w:sz w:val="17"/>
      <w:szCs w:val="17"/>
      <w:lang w:eastAsia="en-US"/>
    </w:rPr>
  </w:style>
  <w:style w:type="character" w:customStyle="1" w:styleId="TableListBullet2Char">
    <w:name w:val="Table List Bullet 2 Char"/>
    <w:link w:val="TableListBullet2"/>
    <w:rsid w:val="00AF0459"/>
    <w:rPr>
      <w:rFonts w:ascii="Helvetica" w:hAnsi="Helvetica"/>
      <w:iCs/>
      <w:sz w:val="17"/>
      <w:szCs w:val="17"/>
      <w:lang w:eastAsia="en-US"/>
    </w:rPr>
  </w:style>
  <w:style w:type="table" w:styleId="TableGrid">
    <w:name w:val="Table Grid"/>
    <w:basedOn w:val="TableNormal"/>
    <w:uiPriority w:val="59"/>
    <w:rsid w:val="00AF0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uiPriority w:val="99"/>
    <w:locked/>
    <w:rsid w:val="00AF0459"/>
    <w:rPr>
      <w:rFonts w:ascii="Franklin Gothic Book" w:hAnsi="Franklin Gothic Book" w:cs="Arial"/>
      <w:szCs w:val="19"/>
    </w:rPr>
  </w:style>
  <w:style w:type="table" w:customStyle="1" w:styleId="APPR">
    <w:name w:val="APPR"/>
    <w:basedOn w:val="TableNormal"/>
    <w:uiPriority w:val="99"/>
    <w:rsid w:val="00AF0459"/>
    <w:rPr>
      <w:rFonts w:ascii="Franklin Gothic Book" w:eastAsiaTheme="minorHAnsi" w:hAnsi="Franklin Gothic Book" w:cstheme="minorBidi"/>
      <w:sz w:val="17"/>
      <w:szCs w:val="22"/>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7E5BA1"/>
    <w:pPr>
      <w:jc w:val="both"/>
    </w:pPr>
    <w:rPr>
      <w:rFonts w:asciiTheme="minorHAnsi" w:eastAsiaTheme="minorHAnsi" w:hAnsiTheme="minorHAnsi" w:cstheme="minorBidi"/>
      <w:szCs w:val="20"/>
      <w:lang w:val="en-GB" w:eastAsia="en-US"/>
    </w:rPr>
  </w:style>
  <w:style w:type="character" w:customStyle="1" w:styleId="FootnoteTextChar">
    <w:name w:val="Footnote Text Char"/>
    <w:basedOn w:val="DefaultParagraphFont"/>
    <w:link w:val="FootnoteText"/>
    <w:uiPriority w:val="99"/>
    <w:rsid w:val="007E5BA1"/>
    <w:rPr>
      <w:rFonts w:asciiTheme="minorHAnsi" w:eastAsiaTheme="minorHAnsi" w:hAnsiTheme="minorHAnsi" w:cstheme="minorBidi"/>
      <w:lang w:val="en-GB" w:eastAsia="en-US"/>
    </w:rPr>
  </w:style>
  <w:style w:type="character" w:styleId="FootnoteReference">
    <w:name w:val="footnote reference"/>
    <w:aliases w:val="ftref,BVI fnr,BVI fnr Car Car,BVI fnr Car,BVI fnr Car Car Car Car,BVI fnr Car Car Car Car Char,16 Point,Superscript 6 Point,fr,FnR-ANZDEC,(NECG) Footnote Reference,Fußnotenzeichen DISS,de nota al pie,Ref,Footnote Ref in FtNote,SUPERS"/>
    <w:basedOn w:val="DefaultParagraphFont"/>
    <w:unhideWhenUsed/>
    <w:rsid w:val="007E5BA1"/>
    <w:rPr>
      <w:vertAlign w:val="superscript"/>
    </w:rPr>
  </w:style>
  <w:style w:type="character" w:styleId="CommentReference">
    <w:name w:val="annotation reference"/>
    <w:basedOn w:val="DefaultParagraphFont"/>
    <w:uiPriority w:val="99"/>
    <w:unhideWhenUsed/>
    <w:rsid w:val="007E5BA1"/>
    <w:rPr>
      <w:sz w:val="16"/>
      <w:szCs w:val="16"/>
    </w:rPr>
  </w:style>
  <w:style w:type="paragraph" w:styleId="CommentText">
    <w:name w:val="annotation text"/>
    <w:basedOn w:val="Normal"/>
    <w:link w:val="CommentTextChar"/>
    <w:uiPriority w:val="99"/>
    <w:unhideWhenUsed/>
    <w:rsid w:val="007E5BA1"/>
    <w:pPr>
      <w:jc w:val="both"/>
    </w:pPr>
    <w:rPr>
      <w:rFonts w:asciiTheme="minorHAnsi" w:eastAsiaTheme="minorHAnsi" w:hAnsiTheme="minorHAnsi" w:cstheme="minorBidi"/>
      <w:szCs w:val="20"/>
      <w:lang w:val="en-GB" w:eastAsia="en-US"/>
    </w:rPr>
  </w:style>
  <w:style w:type="character" w:customStyle="1" w:styleId="CommentTextChar">
    <w:name w:val="Comment Text Char"/>
    <w:basedOn w:val="DefaultParagraphFont"/>
    <w:link w:val="CommentText"/>
    <w:uiPriority w:val="99"/>
    <w:rsid w:val="007E5BA1"/>
    <w:rPr>
      <w:rFonts w:asciiTheme="minorHAnsi" w:eastAsiaTheme="minorHAnsi" w:hAnsiTheme="minorHAnsi" w:cstheme="minorBidi"/>
      <w:lang w:val="en-GB" w:eastAsia="en-US"/>
    </w:rPr>
  </w:style>
  <w:style w:type="paragraph" w:styleId="BalloonText">
    <w:name w:val="Balloon Text"/>
    <w:basedOn w:val="Normal"/>
    <w:link w:val="BalloonTextChar"/>
    <w:uiPriority w:val="99"/>
    <w:rsid w:val="007E5BA1"/>
    <w:rPr>
      <w:rFonts w:ascii="Tahoma" w:hAnsi="Tahoma" w:cs="Tahoma"/>
      <w:sz w:val="16"/>
      <w:szCs w:val="16"/>
    </w:rPr>
  </w:style>
  <w:style w:type="character" w:customStyle="1" w:styleId="BalloonTextChar">
    <w:name w:val="Balloon Text Char"/>
    <w:basedOn w:val="DefaultParagraphFont"/>
    <w:link w:val="BalloonText"/>
    <w:uiPriority w:val="99"/>
    <w:rsid w:val="007E5BA1"/>
    <w:rPr>
      <w:rFonts w:ascii="Tahoma" w:eastAsia="SimSun" w:hAnsi="Tahoma" w:cs="Tahoma"/>
      <w:sz w:val="16"/>
      <w:szCs w:val="16"/>
    </w:rPr>
  </w:style>
  <w:style w:type="paragraph" w:styleId="ListParagraph">
    <w:name w:val="List Paragraph"/>
    <w:aliases w:val="List Paragraph1,Recommendation,List Paragraph11,List Paragraph2,L,OBC Bullet,Normal numbered,CV text,Table text,Medium Grid 1 - Accent 21,Numbered Paragraph,F5 List Paragraph,Dot pt,Párrafo de lista,Normal numbere,No Spacing1"/>
    <w:basedOn w:val="Normal"/>
    <w:link w:val="ListParagraphChar"/>
    <w:uiPriority w:val="34"/>
    <w:qFormat/>
    <w:rsid w:val="00AF5161"/>
    <w:pPr>
      <w:ind w:left="720"/>
      <w:contextualSpacing/>
      <w:jc w:val="both"/>
    </w:pPr>
    <w:rPr>
      <w:rFonts w:asciiTheme="minorHAnsi" w:eastAsiaTheme="minorHAnsi" w:hAnsiTheme="minorHAnsi" w:cstheme="minorBidi"/>
      <w:sz w:val="24"/>
      <w:szCs w:val="22"/>
      <w:lang w:val="en-GB" w:eastAsia="en-US"/>
    </w:rPr>
  </w:style>
  <w:style w:type="paragraph" w:styleId="CommentSubject">
    <w:name w:val="annotation subject"/>
    <w:basedOn w:val="CommentText"/>
    <w:next w:val="CommentText"/>
    <w:link w:val="CommentSubjectChar"/>
    <w:rsid w:val="00DB3D8F"/>
    <w:pPr>
      <w:jc w:val="left"/>
    </w:pPr>
    <w:rPr>
      <w:rFonts w:ascii="Times New Roman" w:eastAsia="SimSun" w:hAnsi="Times New Roman" w:cs="Times New Roman"/>
      <w:b/>
      <w:bCs/>
      <w:lang w:val="en-AU" w:eastAsia="en-AU"/>
    </w:rPr>
  </w:style>
  <w:style w:type="character" w:customStyle="1" w:styleId="CommentSubjectChar">
    <w:name w:val="Comment Subject Char"/>
    <w:basedOn w:val="CommentTextChar"/>
    <w:link w:val="CommentSubject"/>
    <w:rsid w:val="00DB3D8F"/>
    <w:rPr>
      <w:rFonts w:asciiTheme="minorHAnsi" w:eastAsia="SimSun" w:hAnsiTheme="minorHAnsi" w:cstheme="minorBidi"/>
      <w:b/>
      <w:bCs/>
      <w:lang w:val="en-GB" w:eastAsia="en-US"/>
    </w:rPr>
  </w:style>
  <w:style w:type="paragraph" w:styleId="Revision">
    <w:name w:val="Revision"/>
    <w:hidden/>
    <w:uiPriority w:val="99"/>
    <w:semiHidden/>
    <w:rsid w:val="009D7CD2"/>
    <w:rPr>
      <w:rFonts w:eastAsia="SimSun"/>
      <w:szCs w:val="24"/>
    </w:rPr>
  </w:style>
  <w:style w:type="paragraph" w:styleId="ListNumber">
    <w:name w:val="List Number"/>
    <w:basedOn w:val="ListBullet"/>
    <w:rsid w:val="00212674"/>
    <w:pPr>
      <w:numPr>
        <w:numId w:val="6"/>
      </w:numPr>
      <w:tabs>
        <w:tab w:val="clear" w:pos="284"/>
      </w:tabs>
      <w:spacing w:line="240" w:lineRule="auto"/>
      <w:ind w:left="357" w:hanging="357"/>
    </w:pPr>
    <w:rPr>
      <w:rFonts w:ascii="Times New Roman" w:hAnsi="Times New Roman"/>
      <w:sz w:val="22"/>
    </w:rPr>
  </w:style>
  <w:style w:type="paragraph" w:styleId="Footer">
    <w:name w:val="footer"/>
    <w:basedOn w:val="Normal"/>
    <w:link w:val="FooterChar"/>
    <w:uiPriority w:val="99"/>
    <w:rsid w:val="00C0272B"/>
    <w:pPr>
      <w:tabs>
        <w:tab w:val="center" w:pos="4513"/>
        <w:tab w:val="right" w:pos="9026"/>
      </w:tabs>
    </w:pPr>
  </w:style>
  <w:style w:type="character" w:customStyle="1" w:styleId="FooterChar">
    <w:name w:val="Footer Char"/>
    <w:basedOn w:val="DefaultParagraphFont"/>
    <w:link w:val="Footer"/>
    <w:uiPriority w:val="99"/>
    <w:rsid w:val="00C0272B"/>
    <w:rPr>
      <w:rFonts w:eastAsia="SimSun"/>
      <w:szCs w:val="24"/>
    </w:rPr>
  </w:style>
  <w:style w:type="paragraph" w:styleId="EndnoteText">
    <w:name w:val="endnote text"/>
    <w:basedOn w:val="Normal"/>
    <w:link w:val="EndnoteTextChar"/>
    <w:rsid w:val="00E978EA"/>
    <w:rPr>
      <w:szCs w:val="20"/>
    </w:rPr>
  </w:style>
  <w:style w:type="character" w:customStyle="1" w:styleId="EndnoteTextChar">
    <w:name w:val="Endnote Text Char"/>
    <w:basedOn w:val="DefaultParagraphFont"/>
    <w:link w:val="EndnoteText"/>
    <w:rsid w:val="00E978EA"/>
    <w:rPr>
      <w:rFonts w:eastAsia="SimSun"/>
    </w:rPr>
  </w:style>
  <w:style w:type="character" w:styleId="EndnoteReference">
    <w:name w:val="endnote reference"/>
    <w:basedOn w:val="DefaultParagraphFont"/>
    <w:rsid w:val="00E978EA"/>
    <w:rPr>
      <w:vertAlign w:val="superscript"/>
    </w:rPr>
  </w:style>
  <w:style w:type="character" w:customStyle="1" w:styleId="ListParagraphChar">
    <w:name w:val="List Paragraph Char"/>
    <w:aliases w:val="List Paragraph1 Char,Recommendation Char,List Paragraph11 Char,List Paragraph2 Char,L Char,OBC Bullet Char,Normal numbered Char,CV text Char,Table text Char,Medium Grid 1 - Accent 21 Char,Numbered Paragraph Char,Dot pt Char"/>
    <w:link w:val="ListParagraph"/>
    <w:uiPriority w:val="34"/>
    <w:qFormat/>
    <w:locked/>
    <w:rsid w:val="004C1E4B"/>
    <w:rPr>
      <w:rFonts w:asciiTheme="minorHAnsi" w:eastAsiaTheme="minorHAnsi" w:hAnsiTheme="minorHAnsi" w:cstheme="minorBidi"/>
      <w:sz w:val="24"/>
      <w:szCs w:val="22"/>
      <w:lang w:val="en-GB" w:eastAsia="en-US"/>
    </w:rPr>
  </w:style>
  <w:style w:type="character" w:styleId="Hyperlink">
    <w:name w:val="Hyperlink"/>
    <w:basedOn w:val="DefaultParagraphFont"/>
    <w:rsid w:val="00371B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36">
      <w:bodyDiv w:val="1"/>
      <w:marLeft w:val="0"/>
      <w:marRight w:val="0"/>
      <w:marTop w:val="0"/>
      <w:marBottom w:val="0"/>
      <w:divBdr>
        <w:top w:val="none" w:sz="0" w:space="0" w:color="auto"/>
        <w:left w:val="none" w:sz="0" w:space="0" w:color="auto"/>
        <w:bottom w:val="none" w:sz="0" w:space="0" w:color="auto"/>
        <w:right w:val="none" w:sz="0" w:space="0" w:color="auto"/>
      </w:divBdr>
    </w:div>
    <w:div w:id="398946064">
      <w:bodyDiv w:val="1"/>
      <w:marLeft w:val="0"/>
      <w:marRight w:val="0"/>
      <w:marTop w:val="0"/>
      <w:marBottom w:val="0"/>
      <w:divBdr>
        <w:top w:val="none" w:sz="0" w:space="0" w:color="auto"/>
        <w:left w:val="none" w:sz="0" w:space="0" w:color="auto"/>
        <w:bottom w:val="none" w:sz="0" w:space="0" w:color="auto"/>
        <w:right w:val="none" w:sz="0" w:space="0" w:color="auto"/>
      </w:divBdr>
    </w:div>
    <w:div w:id="562788704">
      <w:bodyDiv w:val="1"/>
      <w:marLeft w:val="0"/>
      <w:marRight w:val="0"/>
      <w:marTop w:val="0"/>
      <w:marBottom w:val="0"/>
      <w:divBdr>
        <w:top w:val="none" w:sz="0" w:space="0" w:color="auto"/>
        <w:left w:val="none" w:sz="0" w:space="0" w:color="auto"/>
        <w:bottom w:val="none" w:sz="0" w:space="0" w:color="auto"/>
        <w:right w:val="none" w:sz="0" w:space="0" w:color="auto"/>
      </w:divBdr>
    </w:div>
    <w:div w:id="792020382">
      <w:bodyDiv w:val="1"/>
      <w:marLeft w:val="0"/>
      <w:marRight w:val="0"/>
      <w:marTop w:val="0"/>
      <w:marBottom w:val="0"/>
      <w:divBdr>
        <w:top w:val="none" w:sz="0" w:space="0" w:color="auto"/>
        <w:left w:val="none" w:sz="0" w:space="0" w:color="auto"/>
        <w:bottom w:val="none" w:sz="0" w:space="0" w:color="auto"/>
        <w:right w:val="none" w:sz="0" w:space="0" w:color="auto"/>
      </w:divBdr>
      <w:divsChild>
        <w:div w:id="1618608189">
          <w:marLeft w:val="547"/>
          <w:marRight w:val="0"/>
          <w:marTop w:val="0"/>
          <w:marBottom w:val="0"/>
          <w:divBdr>
            <w:top w:val="none" w:sz="0" w:space="0" w:color="auto"/>
            <w:left w:val="none" w:sz="0" w:space="0" w:color="auto"/>
            <w:bottom w:val="none" w:sz="0" w:space="0" w:color="auto"/>
            <w:right w:val="none" w:sz="0" w:space="0" w:color="auto"/>
          </w:divBdr>
        </w:div>
      </w:divsChild>
    </w:div>
    <w:div w:id="799957165">
      <w:bodyDiv w:val="1"/>
      <w:marLeft w:val="0"/>
      <w:marRight w:val="0"/>
      <w:marTop w:val="0"/>
      <w:marBottom w:val="0"/>
      <w:divBdr>
        <w:top w:val="none" w:sz="0" w:space="0" w:color="auto"/>
        <w:left w:val="none" w:sz="0" w:space="0" w:color="auto"/>
        <w:bottom w:val="none" w:sz="0" w:space="0" w:color="auto"/>
        <w:right w:val="none" w:sz="0" w:space="0" w:color="auto"/>
      </w:divBdr>
    </w:div>
    <w:div w:id="958485779">
      <w:bodyDiv w:val="1"/>
      <w:marLeft w:val="0"/>
      <w:marRight w:val="0"/>
      <w:marTop w:val="0"/>
      <w:marBottom w:val="0"/>
      <w:divBdr>
        <w:top w:val="none" w:sz="0" w:space="0" w:color="auto"/>
        <w:left w:val="none" w:sz="0" w:space="0" w:color="auto"/>
        <w:bottom w:val="none" w:sz="0" w:space="0" w:color="auto"/>
        <w:right w:val="none" w:sz="0" w:space="0" w:color="auto"/>
      </w:divBdr>
    </w:div>
    <w:div w:id="1019353350">
      <w:bodyDiv w:val="1"/>
      <w:marLeft w:val="0"/>
      <w:marRight w:val="0"/>
      <w:marTop w:val="0"/>
      <w:marBottom w:val="0"/>
      <w:divBdr>
        <w:top w:val="none" w:sz="0" w:space="0" w:color="auto"/>
        <w:left w:val="none" w:sz="0" w:space="0" w:color="auto"/>
        <w:bottom w:val="none" w:sz="0" w:space="0" w:color="auto"/>
        <w:right w:val="none" w:sz="0" w:space="0" w:color="auto"/>
      </w:divBdr>
    </w:div>
    <w:div w:id="1031757746">
      <w:bodyDiv w:val="1"/>
      <w:marLeft w:val="0"/>
      <w:marRight w:val="0"/>
      <w:marTop w:val="0"/>
      <w:marBottom w:val="0"/>
      <w:divBdr>
        <w:top w:val="none" w:sz="0" w:space="0" w:color="auto"/>
        <w:left w:val="none" w:sz="0" w:space="0" w:color="auto"/>
        <w:bottom w:val="none" w:sz="0" w:space="0" w:color="auto"/>
        <w:right w:val="none" w:sz="0" w:space="0" w:color="auto"/>
      </w:divBdr>
    </w:div>
    <w:div w:id="1046611070">
      <w:bodyDiv w:val="1"/>
      <w:marLeft w:val="0"/>
      <w:marRight w:val="0"/>
      <w:marTop w:val="0"/>
      <w:marBottom w:val="0"/>
      <w:divBdr>
        <w:top w:val="none" w:sz="0" w:space="0" w:color="auto"/>
        <w:left w:val="none" w:sz="0" w:space="0" w:color="auto"/>
        <w:bottom w:val="none" w:sz="0" w:space="0" w:color="auto"/>
        <w:right w:val="none" w:sz="0" w:space="0" w:color="auto"/>
      </w:divBdr>
    </w:div>
    <w:div w:id="1119686103">
      <w:bodyDiv w:val="1"/>
      <w:marLeft w:val="0"/>
      <w:marRight w:val="0"/>
      <w:marTop w:val="0"/>
      <w:marBottom w:val="0"/>
      <w:divBdr>
        <w:top w:val="none" w:sz="0" w:space="0" w:color="auto"/>
        <w:left w:val="none" w:sz="0" w:space="0" w:color="auto"/>
        <w:bottom w:val="none" w:sz="0" w:space="0" w:color="auto"/>
        <w:right w:val="none" w:sz="0" w:space="0" w:color="auto"/>
      </w:divBdr>
    </w:div>
    <w:div w:id="1158885328">
      <w:bodyDiv w:val="1"/>
      <w:marLeft w:val="0"/>
      <w:marRight w:val="0"/>
      <w:marTop w:val="0"/>
      <w:marBottom w:val="0"/>
      <w:divBdr>
        <w:top w:val="none" w:sz="0" w:space="0" w:color="auto"/>
        <w:left w:val="none" w:sz="0" w:space="0" w:color="auto"/>
        <w:bottom w:val="none" w:sz="0" w:space="0" w:color="auto"/>
        <w:right w:val="none" w:sz="0" w:space="0" w:color="auto"/>
      </w:divBdr>
    </w:div>
    <w:div w:id="1245842037">
      <w:bodyDiv w:val="1"/>
      <w:marLeft w:val="0"/>
      <w:marRight w:val="0"/>
      <w:marTop w:val="0"/>
      <w:marBottom w:val="0"/>
      <w:divBdr>
        <w:top w:val="none" w:sz="0" w:space="0" w:color="auto"/>
        <w:left w:val="none" w:sz="0" w:space="0" w:color="auto"/>
        <w:bottom w:val="none" w:sz="0" w:space="0" w:color="auto"/>
        <w:right w:val="none" w:sz="0" w:space="0" w:color="auto"/>
      </w:divBdr>
    </w:div>
    <w:div w:id="1273050312">
      <w:bodyDiv w:val="1"/>
      <w:marLeft w:val="0"/>
      <w:marRight w:val="0"/>
      <w:marTop w:val="0"/>
      <w:marBottom w:val="0"/>
      <w:divBdr>
        <w:top w:val="none" w:sz="0" w:space="0" w:color="auto"/>
        <w:left w:val="none" w:sz="0" w:space="0" w:color="auto"/>
        <w:bottom w:val="none" w:sz="0" w:space="0" w:color="auto"/>
        <w:right w:val="none" w:sz="0" w:space="0" w:color="auto"/>
      </w:divBdr>
    </w:div>
    <w:div w:id="1365983770">
      <w:bodyDiv w:val="1"/>
      <w:marLeft w:val="0"/>
      <w:marRight w:val="0"/>
      <w:marTop w:val="0"/>
      <w:marBottom w:val="0"/>
      <w:divBdr>
        <w:top w:val="none" w:sz="0" w:space="0" w:color="auto"/>
        <w:left w:val="none" w:sz="0" w:space="0" w:color="auto"/>
        <w:bottom w:val="none" w:sz="0" w:space="0" w:color="auto"/>
        <w:right w:val="none" w:sz="0" w:space="0" w:color="auto"/>
      </w:divBdr>
    </w:div>
    <w:div w:id="1386181866">
      <w:bodyDiv w:val="1"/>
      <w:marLeft w:val="0"/>
      <w:marRight w:val="0"/>
      <w:marTop w:val="0"/>
      <w:marBottom w:val="0"/>
      <w:divBdr>
        <w:top w:val="none" w:sz="0" w:space="0" w:color="auto"/>
        <w:left w:val="none" w:sz="0" w:space="0" w:color="auto"/>
        <w:bottom w:val="none" w:sz="0" w:space="0" w:color="auto"/>
        <w:right w:val="none" w:sz="0" w:space="0" w:color="auto"/>
      </w:divBdr>
    </w:div>
    <w:div w:id="1407994067">
      <w:bodyDiv w:val="1"/>
      <w:marLeft w:val="0"/>
      <w:marRight w:val="0"/>
      <w:marTop w:val="0"/>
      <w:marBottom w:val="0"/>
      <w:divBdr>
        <w:top w:val="none" w:sz="0" w:space="0" w:color="auto"/>
        <w:left w:val="none" w:sz="0" w:space="0" w:color="auto"/>
        <w:bottom w:val="none" w:sz="0" w:space="0" w:color="auto"/>
        <w:right w:val="none" w:sz="0" w:space="0" w:color="auto"/>
      </w:divBdr>
    </w:div>
    <w:div w:id="1828084961">
      <w:bodyDiv w:val="1"/>
      <w:marLeft w:val="0"/>
      <w:marRight w:val="0"/>
      <w:marTop w:val="0"/>
      <w:marBottom w:val="0"/>
      <w:divBdr>
        <w:top w:val="none" w:sz="0" w:space="0" w:color="auto"/>
        <w:left w:val="none" w:sz="0" w:space="0" w:color="auto"/>
        <w:bottom w:val="none" w:sz="0" w:space="0" w:color="auto"/>
        <w:right w:val="none" w:sz="0" w:space="0" w:color="auto"/>
      </w:divBdr>
    </w:div>
    <w:div w:id="1839153439">
      <w:bodyDiv w:val="1"/>
      <w:marLeft w:val="0"/>
      <w:marRight w:val="0"/>
      <w:marTop w:val="0"/>
      <w:marBottom w:val="0"/>
      <w:divBdr>
        <w:top w:val="none" w:sz="0" w:space="0" w:color="auto"/>
        <w:left w:val="none" w:sz="0" w:space="0" w:color="auto"/>
        <w:bottom w:val="none" w:sz="0" w:space="0" w:color="auto"/>
        <w:right w:val="none" w:sz="0" w:space="0" w:color="auto"/>
      </w:divBdr>
    </w:div>
    <w:div w:id="1925918105">
      <w:bodyDiv w:val="1"/>
      <w:marLeft w:val="0"/>
      <w:marRight w:val="0"/>
      <w:marTop w:val="0"/>
      <w:marBottom w:val="0"/>
      <w:divBdr>
        <w:top w:val="none" w:sz="0" w:space="0" w:color="auto"/>
        <w:left w:val="none" w:sz="0" w:space="0" w:color="auto"/>
        <w:bottom w:val="none" w:sz="0" w:space="0" w:color="auto"/>
        <w:right w:val="none" w:sz="0" w:space="0" w:color="auto"/>
      </w:divBdr>
    </w:div>
    <w:div w:id="20259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country/banglad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520EE5-8D90-4B48-8FD9-FFFCA29F2432}"/>
</file>

<file path=customXml/itemProps2.xml><?xml version="1.0" encoding="utf-8"?>
<ds:datastoreItem xmlns:ds="http://schemas.openxmlformats.org/officeDocument/2006/customXml" ds:itemID="{A0BB3FE1-57BB-4890-B022-4D5E654ACCB3}"/>
</file>

<file path=customXml/itemProps3.xml><?xml version="1.0" encoding="utf-8"?>
<ds:datastoreItem xmlns:ds="http://schemas.openxmlformats.org/officeDocument/2006/customXml" ds:itemID="{C6CAEBD5-E550-4C72-BE58-2C44DBECFFA1}"/>
</file>

<file path=customXml/itemProps4.xml><?xml version="1.0" encoding="utf-8"?>
<ds:datastoreItem xmlns:ds="http://schemas.openxmlformats.org/officeDocument/2006/customXml" ds:itemID="{25C3D730-6C1A-4C7C-B87B-ABE1D423D221}"/>
</file>

<file path=docProps/app.xml><?xml version="1.0" encoding="utf-8"?>
<Properties xmlns="http://schemas.openxmlformats.org/officeDocument/2006/extended-properties" xmlns:vt="http://schemas.openxmlformats.org/officeDocument/2006/docPropsVTypes">
  <Template>5FC196D8</Template>
  <TotalTime>0</TotalTime>
  <Pages>23</Pages>
  <Words>7866</Words>
  <Characters>45421</Characters>
  <Application>Microsoft Office Word</Application>
  <DocSecurity>0</DocSecurity>
  <Lines>378</Lines>
  <Paragraphs>106</Paragraphs>
  <ScaleCrop>false</ScaleCrop>
  <Company/>
  <LinksUpToDate>false</LinksUpToDate>
  <CharactersWithSpaces>53181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2014-10-28T23:15:00Z</dcterms:created>
  <dcterms:modified xsi:type="dcterms:W3CDTF">2014-10-28T23:15:00Z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