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32AC4" w14:textId="3B6A7FC2" w:rsidR="0044011A" w:rsidRDefault="00E5604A" w:rsidP="0044011A">
      <w:pPr>
        <w:pStyle w:val="Title"/>
      </w:pPr>
      <w:r>
        <w:t xml:space="preserve">Aid </w:t>
      </w:r>
      <w:r w:rsidR="00E91B01" w:rsidRPr="00CA6DB6">
        <w:t>Program Performance Report 2012</w:t>
      </w:r>
      <w:r w:rsidR="00E91B01" w:rsidRPr="00052BF3">
        <w:t>−</w:t>
      </w:r>
      <w:r w:rsidR="00E91B01" w:rsidRPr="00CA6DB6">
        <w:t xml:space="preserve">13 </w:t>
      </w:r>
      <w:r w:rsidR="004839DB">
        <w:t>Bangladesh</w:t>
      </w:r>
    </w:p>
    <w:p w14:paraId="119BC864" w14:textId="5E148AED" w:rsidR="00761EA6" w:rsidRPr="00D85F62" w:rsidRDefault="0044011A" w:rsidP="00D85F62">
      <w:pPr>
        <w:pStyle w:val="BodyText"/>
      </w:pPr>
      <w:r w:rsidRPr="00D85F62">
        <w:t>T</w:t>
      </w:r>
      <w:r w:rsidR="00761EA6" w:rsidRPr="00D85F62">
        <w:t>his report summarises the aid program’s progress in 2012</w:t>
      </w:r>
      <w:r w:rsidR="00FD0188" w:rsidRPr="00D85F62">
        <w:t>–</w:t>
      </w:r>
      <w:r w:rsidR="00761EA6" w:rsidRPr="00D85F62">
        <w:t>13 against the Australia</w:t>
      </w:r>
      <w:r w:rsidR="00887D24" w:rsidRPr="00D85F62">
        <w:t xml:space="preserve"> – </w:t>
      </w:r>
      <w:r w:rsidR="00761EA6" w:rsidRPr="00D85F62">
        <w:t>Bangladesh Aid Program Strategy (2012</w:t>
      </w:r>
      <w:r w:rsidR="004D7A23" w:rsidRPr="00D85F62">
        <w:t>–</w:t>
      </w:r>
      <w:r w:rsidR="00761EA6" w:rsidRPr="00D85F62">
        <w:t>16).</w:t>
      </w:r>
      <w:r w:rsidR="007E2EA2" w:rsidRPr="000A35D5">
        <w:rPr>
          <w:vertAlign w:val="superscript"/>
        </w:rPr>
        <w:footnoteReference w:id="1"/>
      </w:r>
      <w:r w:rsidR="00761EA6" w:rsidRPr="00D85F62">
        <w:t xml:space="preserve"> The goal of Australian aid to Bangladesh is to help accelerate gains in poverty reduction and human development in support of the country’s vision for sustainable economic and social development. To achieve this, Australia’s aid objectives are:</w:t>
      </w:r>
    </w:p>
    <w:p w14:paraId="20635841" w14:textId="165FC853" w:rsidR="00761EA6" w:rsidRDefault="004D7A23" w:rsidP="0044011A">
      <w:pPr>
        <w:pStyle w:val="ListNumber"/>
      </w:pPr>
      <w:r>
        <w:t>i</w:t>
      </w:r>
      <w:r w:rsidR="00761EA6">
        <w:t>ncreased equity of access to</w:t>
      </w:r>
      <w:r w:rsidR="00FD0188">
        <w:t>,</w:t>
      </w:r>
      <w:r w:rsidR="00761EA6">
        <w:t xml:space="preserve"> and improved outcomes from</w:t>
      </w:r>
      <w:r w:rsidR="00FD0188">
        <w:t>,</w:t>
      </w:r>
      <w:r w:rsidR="00761EA6">
        <w:t xml:space="preserve"> health and education services</w:t>
      </w:r>
    </w:p>
    <w:p w14:paraId="1E3D8ABC" w14:textId="7394E148" w:rsidR="00761EA6" w:rsidRDefault="004D7A23" w:rsidP="0044011A">
      <w:pPr>
        <w:pStyle w:val="ListNumber"/>
      </w:pPr>
      <w:r>
        <w:t>f</w:t>
      </w:r>
      <w:r w:rsidR="00761EA6">
        <w:t>ewer women and men living in extreme poverty and vulnerable</w:t>
      </w:r>
      <w:r w:rsidR="00BA775A">
        <w:t xml:space="preserve"> to economic and natural shocks</w:t>
      </w:r>
    </w:p>
    <w:p w14:paraId="3A000EF6" w14:textId="31936BC9" w:rsidR="00761EA6" w:rsidRDefault="004D7A23" w:rsidP="0044011A">
      <w:pPr>
        <w:pStyle w:val="ListNumber"/>
      </w:pPr>
      <w:proofErr w:type="gramStart"/>
      <w:r>
        <w:t>w</w:t>
      </w:r>
      <w:r w:rsidR="00761EA6">
        <w:t>omen</w:t>
      </w:r>
      <w:proofErr w:type="gramEnd"/>
      <w:r w:rsidR="00761EA6">
        <w:t xml:space="preserve"> and marginalised groups better able to demand and obtain services and assert rights.</w:t>
      </w:r>
    </w:p>
    <w:p w14:paraId="22335D82" w14:textId="2F907768" w:rsidR="00180B19" w:rsidRPr="0044011A" w:rsidRDefault="00180B19" w:rsidP="0044011A">
      <w:pPr>
        <w:pStyle w:val="Heading1"/>
      </w:pPr>
      <w:r w:rsidRPr="0044011A">
        <w:t xml:space="preserve">Key </w:t>
      </w:r>
      <w:r w:rsidR="00F54E7F" w:rsidRPr="0044011A">
        <w:t>m</w:t>
      </w:r>
      <w:r w:rsidRPr="0044011A">
        <w:t>essages</w:t>
      </w:r>
    </w:p>
    <w:p w14:paraId="22335D84" w14:textId="2F4AC3D7" w:rsidR="00180B19" w:rsidRPr="008810FA" w:rsidRDefault="00327136" w:rsidP="0044011A">
      <w:pPr>
        <w:pStyle w:val="BodyText"/>
      </w:pPr>
      <w:r>
        <w:t>Key findings include:</w:t>
      </w:r>
    </w:p>
    <w:p w14:paraId="7393A151" w14:textId="72076836" w:rsidR="00080C59" w:rsidRPr="0044011A" w:rsidRDefault="007A5E99" w:rsidP="0044011A">
      <w:pPr>
        <w:pStyle w:val="ListBullet"/>
      </w:pPr>
      <w:r w:rsidRPr="0044011A">
        <w:t>T</w:t>
      </w:r>
      <w:r w:rsidR="00080C59" w:rsidRPr="0044011A">
        <w:t xml:space="preserve">he program </w:t>
      </w:r>
      <w:r w:rsidR="00816C18" w:rsidRPr="0044011A">
        <w:t>made most</w:t>
      </w:r>
      <w:r w:rsidRPr="0044011A">
        <w:t xml:space="preserve"> progress towards its </w:t>
      </w:r>
      <w:r w:rsidR="00816C18" w:rsidRPr="0044011A">
        <w:t>first</w:t>
      </w:r>
      <w:r w:rsidRPr="0044011A">
        <w:t xml:space="preserve"> objective</w:t>
      </w:r>
      <w:r w:rsidR="00816C18" w:rsidRPr="0044011A">
        <w:t>, some progress against its second and limited</w:t>
      </w:r>
      <w:r w:rsidR="00FC7948" w:rsidRPr="0044011A">
        <w:t xml:space="preserve"> progress</w:t>
      </w:r>
      <w:r w:rsidR="00816C18" w:rsidRPr="0044011A">
        <w:t xml:space="preserve"> under its third. </w:t>
      </w:r>
      <w:r w:rsidRPr="0044011A">
        <w:t xml:space="preserve">Australia is helping to improve quality and access to primary education and maternal and child health </w:t>
      </w:r>
      <w:r w:rsidR="000E20B8" w:rsidRPr="0044011A">
        <w:t xml:space="preserve">services </w:t>
      </w:r>
      <w:r w:rsidRPr="0044011A">
        <w:t>through partnerships with the Government</w:t>
      </w:r>
      <w:r w:rsidR="00327136" w:rsidRPr="0044011A">
        <w:t xml:space="preserve"> of Bangladesh</w:t>
      </w:r>
      <w:r w:rsidRPr="0044011A">
        <w:t xml:space="preserve">, donors and </w:t>
      </w:r>
      <w:r w:rsidR="00B56994" w:rsidRPr="0044011A">
        <w:t>non-state actors</w:t>
      </w:r>
      <w:r w:rsidR="00F54E7F" w:rsidRPr="0044011A">
        <w:t xml:space="preserve">. </w:t>
      </w:r>
      <w:r w:rsidR="0042438A" w:rsidRPr="0044011A">
        <w:t>Our d</w:t>
      </w:r>
      <w:r w:rsidR="000E20B8" w:rsidRPr="0044011A">
        <w:t xml:space="preserve">irect support for </w:t>
      </w:r>
      <w:r w:rsidR="00F54E7F" w:rsidRPr="0044011A">
        <w:t xml:space="preserve">alleviating </w:t>
      </w:r>
      <w:r w:rsidR="000E20B8" w:rsidRPr="0044011A">
        <w:t>poverty is reaching some of the poorest</w:t>
      </w:r>
      <w:r w:rsidR="00F54E7F" w:rsidRPr="0044011A">
        <w:t>. E</w:t>
      </w:r>
      <w:r w:rsidRPr="0044011A">
        <w:t xml:space="preserve">arly signs of policy reform in social protection </w:t>
      </w:r>
      <w:r w:rsidR="00F54E7F" w:rsidRPr="0044011A">
        <w:t>are</w:t>
      </w:r>
      <w:r w:rsidRPr="0044011A">
        <w:t xml:space="preserve"> being </w:t>
      </w:r>
      <w:r w:rsidR="000E20B8" w:rsidRPr="0044011A">
        <w:t xml:space="preserve">led by the Government, </w:t>
      </w:r>
      <w:r w:rsidRPr="0044011A">
        <w:t>supported by Australia and other donors</w:t>
      </w:r>
      <w:r w:rsidR="00F54E7F" w:rsidRPr="0044011A">
        <w:t xml:space="preserve">. </w:t>
      </w:r>
    </w:p>
    <w:p w14:paraId="332B59A2" w14:textId="271C99FD" w:rsidR="00115F30" w:rsidRPr="0044011A" w:rsidRDefault="007A5E99" w:rsidP="0044011A">
      <w:pPr>
        <w:pStyle w:val="ListBullet"/>
      </w:pPr>
      <w:r w:rsidRPr="0044011A">
        <w:t>Significant reductions in poverty levels mask the vulnerability of large numbers of poor</w:t>
      </w:r>
      <w:r w:rsidR="00816C18" w:rsidRPr="0044011A">
        <w:t xml:space="preserve"> in Bangladesh</w:t>
      </w:r>
      <w:r w:rsidR="00F54E7F" w:rsidRPr="0044011A">
        <w:t xml:space="preserve">. </w:t>
      </w:r>
      <w:r w:rsidR="00C626F8" w:rsidRPr="0044011A">
        <w:t xml:space="preserve">Around 80 per cent still live on less than $2 </w:t>
      </w:r>
      <w:r w:rsidR="00F54E7F" w:rsidRPr="0044011A">
        <w:t xml:space="preserve">a </w:t>
      </w:r>
      <w:r w:rsidR="00C626F8" w:rsidRPr="0044011A">
        <w:t>day</w:t>
      </w:r>
      <w:r w:rsidR="007B1226" w:rsidRPr="0044011A">
        <w:t>, the highest proportion</w:t>
      </w:r>
      <w:r w:rsidR="00F54E7F" w:rsidRPr="0044011A">
        <w:t xml:space="preserve"> of any population</w:t>
      </w:r>
      <w:r w:rsidR="007B1226" w:rsidRPr="0044011A">
        <w:t xml:space="preserve"> in </w:t>
      </w:r>
      <w:r w:rsidR="00327136" w:rsidRPr="0044011A">
        <w:t>S</w:t>
      </w:r>
      <w:r w:rsidR="007B1226" w:rsidRPr="0044011A">
        <w:t>outh Asia</w:t>
      </w:r>
      <w:r w:rsidR="00F54E7F" w:rsidRPr="0044011A">
        <w:t>.</w:t>
      </w:r>
      <w:r w:rsidR="00A5331C" w:rsidRPr="000A35D5">
        <w:rPr>
          <w:rStyle w:val="FootnoteReference"/>
          <w:position w:val="0"/>
          <w:sz w:val="22"/>
          <w:szCs w:val="24"/>
          <w:vertAlign w:val="superscript"/>
        </w:rPr>
        <w:footnoteReference w:id="2"/>
      </w:r>
      <w:r w:rsidR="00115F30" w:rsidRPr="0044011A">
        <w:t xml:space="preserve"> Social welfare programs are not adequately cushioning</w:t>
      </w:r>
      <w:r w:rsidR="00BA775A" w:rsidRPr="0044011A">
        <w:t xml:space="preserve"> </w:t>
      </w:r>
      <w:r w:rsidR="00115F30" w:rsidRPr="0044011A">
        <w:t>poor people against the shocks Bangladesh is prone to. Women have uneven access to services and resources,</w:t>
      </w:r>
      <w:r w:rsidR="00FC7948" w:rsidRPr="0044011A">
        <w:t xml:space="preserve"> making them particularly exposed to poverty</w:t>
      </w:r>
      <w:r w:rsidR="00115F30" w:rsidRPr="0044011A">
        <w:t xml:space="preserve">. </w:t>
      </w:r>
    </w:p>
    <w:p w14:paraId="7E2988AB" w14:textId="2AD84D0A" w:rsidR="00115F30" w:rsidRPr="0065332E" w:rsidRDefault="00115F30" w:rsidP="0044011A">
      <w:pPr>
        <w:pStyle w:val="ListBullet"/>
      </w:pPr>
      <w:r w:rsidRPr="0044011A">
        <w:t>We expect progress on policy reform will be modest in the next six</w:t>
      </w:r>
      <w:r w:rsidR="004D7A23" w:rsidRPr="0044011A">
        <w:t xml:space="preserve"> to 12</w:t>
      </w:r>
      <w:r w:rsidRPr="0044011A">
        <w:t xml:space="preserve"> months because of the deteriorating and volatile operating environment in Bangladesh. The increasing frequency in the number of strikes (hartals) is already limiting Australia’s ability to engage with partners</w:t>
      </w:r>
      <w:r w:rsidR="00E6468B" w:rsidRPr="0044011A">
        <w:t>’</w:t>
      </w:r>
      <w:r w:rsidRPr="0044011A">
        <w:t xml:space="preserve"> in-country. This is expected to continue in the lead-up to the national</w:t>
      </w:r>
      <w:r>
        <w:t xml:space="preserve"> elections to be held by January 2014. In this context </w:t>
      </w:r>
      <w:r w:rsidR="00E6468B">
        <w:t xml:space="preserve">we </w:t>
      </w:r>
      <w:r>
        <w:t xml:space="preserve">will continue to complement support for government-led programs with assistance through non-state actors. </w:t>
      </w:r>
    </w:p>
    <w:p w14:paraId="22335D88" w14:textId="77777777" w:rsidR="00115F30" w:rsidRPr="0044011A" w:rsidRDefault="00115F30" w:rsidP="0044011A">
      <w:pPr>
        <w:pStyle w:val="Heading1"/>
      </w:pPr>
      <w:r w:rsidRPr="0044011A">
        <w:t xml:space="preserve">Context </w:t>
      </w:r>
    </w:p>
    <w:p w14:paraId="10C6CEC0" w14:textId="73CE7FB7" w:rsidR="00115F30" w:rsidRPr="0044011A" w:rsidRDefault="0044011A" w:rsidP="0044011A">
      <w:pPr>
        <w:pStyle w:val="BodyText"/>
      </w:pPr>
      <w:r w:rsidRPr="0044011A">
        <w:t xml:space="preserve">In 2012–13, Bangladesh was characterised by a slowing economy and political stalemate. The extent to which this will change how the political, economic and social institutions function </w:t>
      </w:r>
      <w:r w:rsidRPr="0044011A">
        <w:lastRenderedPageBreak/>
        <w:t>over the long term is not yet clear. Sustained growth achieved in the past three decades, which contributed to poverty reduction and human development, is vulnerable to external and domestic shocks.</w:t>
      </w:r>
    </w:p>
    <w:p w14:paraId="7FED459C" w14:textId="1866763D" w:rsidR="00115F30" w:rsidRPr="006029D1" w:rsidRDefault="00115F30" w:rsidP="0044011A">
      <w:pPr>
        <w:pStyle w:val="BodyText"/>
        <w:rPr>
          <w:szCs w:val="22"/>
        </w:rPr>
      </w:pPr>
      <w:r w:rsidRPr="006029D1">
        <w:rPr>
          <w:b/>
          <w:szCs w:val="22"/>
        </w:rPr>
        <w:t xml:space="preserve">Large structural aspects of the economy </w:t>
      </w:r>
      <w:r w:rsidRPr="00C81463">
        <w:rPr>
          <w:b/>
          <w:szCs w:val="22"/>
        </w:rPr>
        <w:t>remained the same</w:t>
      </w:r>
      <w:r w:rsidRPr="006029D1">
        <w:rPr>
          <w:szCs w:val="22"/>
        </w:rPr>
        <w:t xml:space="preserve"> </w:t>
      </w:r>
      <w:r w:rsidRPr="00C81463">
        <w:rPr>
          <w:b/>
          <w:szCs w:val="22"/>
        </w:rPr>
        <w:t>in 2012–13</w:t>
      </w:r>
      <w:r>
        <w:rPr>
          <w:szCs w:val="22"/>
        </w:rPr>
        <w:t>. A</w:t>
      </w:r>
      <w:r w:rsidRPr="006029D1">
        <w:rPr>
          <w:szCs w:val="22"/>
        </w:rPr>
        <w:t xml:space="preserve"> large proportion of people</w:t>
      </w:r>
      <w:r>
        <w:rPr>
          <w:szCs w:val="22"/>
        </w:rPr>
        <w:t xml:space="preserve"> </w:t>
      </w:r>
      <w:r w:rsidR="00FC7948">
        <w:rPr>
          <w:szCs w:val="22"/>
        </w:rPr>
        <w:t xml:space="preserve">in Bangladesh </w:t>
      </w:r>
      <w:r w:rsidR="00F67835">
        <w:rPr>
          <w:szCs w:val="22"/>
        </w:rPr>
        <w:t>still</w:t>
      </w:r>
      <w:r>
        <w:rPr>
          <w:szCs w:val="22"/>
        </w:rPr>
        <w:t xml:space="preserve"> live</w:t>
      </w:r>
      <w:r w:rsidRPr="006029D1">
        <w:rPr>
          <w:szCs w:val="22"/>
        </w:rPr>
        <w:t xml:space="preserve"> in poverty, </w:t>
      </w:r>
      <w:r>
        <w:rPr>
          <w:szCs w:val="22"/>
        </w:rPr>
        <w:t xml:space="preserve">the country </w:t>
      </w:r>
      <w:r w:rsidR="004D7A23">
        <w:rPr>
          <w:szCs w:val="22"/>
        </w:rPr>
        <w:t>relies</w:t>
      </w:r>
      <w:r w:rsidRPr="006029D1">
        <w:rPr>
          <w:szCs w:val="22"/>
        </w:rPr>
        <w:t xml:space="preserve"> on </w:t>
      </w:r>
      <w:r w:rsidRPr="00410AF1">
        <w:rPr>
          <w:szCs w:val="22"/>
        </w:rPr>
        <w:t>the ready</w:t>
      </w:r>
      <w:r w:rsidRPr="00C81463">
        <w:rPr>
          <w:szCs w:val="22"/>
        </w:rPr>
        <w:t>-</w:t>
      </w:r>
      <w:r w:rsidRPr="00410AF1">
        <w:rPr>
          <w:szCs w:val="22"/>
        </w:rPr>
        <w:t>made garment industry for exports and continue</w:t>
      </w:r>
      <w:r w:rsidR="00FC7948">
        <w:rPr>
          <w:szCs w:val="22"/>
        </w:rPr>
        <w:t>s</w:t>
      </w:r>
      <w:r w:rsidRPr="00410AF1">
        <w:rPr>
          <w:szCs w:val="22"/>
        </w:rPr>
        <w:t xml:space="preserve"> to operate from a low</w:t>
      </w:r>
      <w:r w:rsidRPr="006029D1">
        <w:rPr>
          <w:szCs w:val="22"/>
        </w:rPr>
        <w:t xml:space="preserve"> revenue base</w:t>
      </w:r>
      <w:r>
        <w:rPr>
          <w:szCs w:val="22"/>
        </w:rPr>
        <w:t xml:space="preserve">. </w:t>
      </w:r>
      <w:r w:rsidR="004D7A23">
        <w:rPr>
          <w:szCs w:val="22"/>
        </w:rPr>
        <w:t>Bangladesh</w:t>
      </w:r>
      <w:r w:rsidR="00277530">
        <w:rPr>
          <w:szCs w:val="22"/>
        </w:rPr>
        <w:t xml:space="preserve"> has a </w:t>
      </w:r>
      <w:r w:rsidRPr="006029D1">
        <w:rPr>
          <w:szCs w:val="22"/>
        </w:rPr>
        <w:t>large youth population</w:t>
      </w:r>
      <w:r w:rsidR="00277530">
        <w:rPr>
          <w:szCs w:val="22"/>
        </w:rPr>
        <w:t xml:space="preserve"> </w:t>
      </w:r>
      <w:r w:rsidR="004D7A23">
        <w:rPr>
          <w:szCs w:val="22"/>
        </w:rPr>
        <w:t xml:space="preserve">that, </w:t>
      </w:r>
      <w:r w:rsidR="00277530">
        <w:rPr>
          <w:szCs w:val="22"/>
        </w:rPr>
        <w:t>if supported</w:t>
      </w:r>
      <w:r w:rsidR="004D7A23">
        <w:rPr>
          <w:szCs w:val="22"/>
        </w:rPr>
        <w:t>,</w:t>
      </w:r>
      <w:r w:rsidR="00277530">
        <w:rPr>
          <w:szCs w:val="22"/>
        </w:rPr>
        <w:t xml:space="preserve"> can drive </w:t>
      </w:r>
      <w:r w:rsidRPr="006029D1">
        <w:rPr>
          <w:szCs w:val="22"/>
        </w:rPr>
        <w:t>development</w:t>
      </w:r>
      <w:r>
        <w:rPr>
          <w:szCs w:val="22"/>
        </w:rPr>
        <w:t xml:space="preserve">. </w:t>
      </w:r>
      <w:r w:rsidRPr="006029D1">
        <w:rPr>
          <w:szCs w:val="22"/>
        </w:rPr>
        <w:t xml:space="preserve">However, </w:t>
      </w:r>
      <w:r>
        <w:rPr>
          <w:szCs w:val="22"/>
        </w:rPr>
        <w:t xml:space="preserve">the country became </w:t>
      </w:r>
      <w:r w:rsidRPr="006029D1">
        <w:rPr>
          <w:szCs w:val="22"/>
        </w:rPr>
        <w:t>increasing</w:t>
      </w:r>
      <w:r w:rsidR="00BA775A">
        <w:rPr>
          <w:szCs w:val="22"/>
        </w:rPr>
        <w:t>ly</w:t>
      </w:r>
      <w:r w:rsidRPr="006029D1">
        <w:rPr>
          <w:szCs w:val="22"/>
        </w:rPr>
        <w:t xml:space="preserve"> </w:t>
      </w:r>
      <w:r w:rsidR="0097265D" w:rsidRPr="006029D1">
        <w:rPr>
          <w:szCs w:val="22"/>
        </w:rPr>
        <w:t>vulnerable</w:t>
      </w:r>
      <w:r w:rsidRPr="006029D1">
        <w:rPr>
          <w:szCs w:val="22"/>
        </w:rPr>
        <w:t xml:space="preserve"> to external and domestic shocks through</w:t>
      </w:r>
      <w:r>
        <w:rPr>
          <w:szCs w:val="22"/>
        </w:rPr>
        <w:t>:</w:t>
      </w:r>
      <w:r w:rsidRPr="006029D1">
        <w:rPr>
          <w:szCs w:val="22"/>
        </w:rPr>
        <w:t xml:space="preserve"> a declining economic growth rate</w:t>
      </w:r>
      <w:r w:rsidR="00277530">
        <w:rPr>
          <w:rStyle w:val="FootnoteReference"/>
        </w:rPr>
        <w:footnoteReference w:id="3"/>
      </w:r>
      <w:r w:rsidR="00277530">
        <w:rPr>
          <w:szCs w:val="22"/>
        </w:rPr>
        <w:t xml:space="preserve"> and </w:t>
      </w:r>
      <w:r w:rsidRPr="006029D1">
        <w:rPr>
          <w:szCs w:val="22"/>
        </w:rPr>
        <w:t>foreign investment</w:t>
      </w:r>
      <w:r>
        <w:rPr>
          <w:szCs w:val="22"/>
        </w:rPr>
        <w:t>;</w:t>
      </w:r>
      <w:r w:rsidRPr="006029D1">
        <w:rPr>
          <w:szCs w:val="22"/>
        </w:rPr>
        <w:t xml:space="preserve"> </w:t>
      </w:r>
      <w:r>
        <w:rPr>
          <w:szCs w:val="22"/>
        </w:rPr>
        <w:t>an increase in</w:t>
      </w:r>
      <w:r w:rsidRPr="006029D1">
        <w:rPr>
          <w:szCs w:val="22"/>
        </w:rPr>
        <w:t xml:space="preserve"> urbanisation</w:t>
      </w:r>
      <w:r w:rsidR="00F8724A">
        <w:rPr>
          <w:szCs w:val="22"/>
        </w:rPr>
        <w:t xml:space="preserve"> and urban poverty levels</w:t>
      </w:r>
      <w:r w:rsidR="004D7A23">
        <w:rPr>
          <w:szCs w:val="22"/>
        </w:rPr>
        <w:t>;</w:t>
      </w:r>
      <w:r w:rsidRPr="006029D1">
        <w:rPr>
          <w:szCs w:val="22"/>
        </w:rPr>
        <w:t xml:space="preserve"> heavy reliance on remittances</w:t>
      </w:r>
      <w:r>
        <w:rPr>
          <w:szCs w:val="22"/>
        </w:rPr>
        <w:t>;</w:t>
      </w:r>
      <w:r w:rsidRPr="006029D1">
        <w:rPr>
          <w:szCs w:val="22"/>
        </w:rPr>
        <w:t xml:space="preserve"> and high levels of food insecurity</w:t>
      </w:r>
      <w:r>
        <w:rPr>
          <w:szCs w:val="22"/>
        </w:rPr>
        <w:t>.</w:t>
      </w:r>
      <w:r w:rsidR="00A5331C">
        <w:rPr>
          <w:rStyle w:val="FootnoteReference"/>
        </w:rPr>
        <w:footnoteReference w:id="4"/>
      </w:r>
      <w:r>
        <w:rPr>
          <w:szCs w:val="22"/>
        </w:rPr>
        <w:t xml:space="preserve"> </w:t>
      </w:r>
      <w:r w:rsidRPr="006029D1">
        <w:rPr>
          <w:szCs w:val="22"/>
        </w:rPr>
        <w:t>This is despite efforts to maintain macroeconomic stability by containing government borrowing, reducing inflation and building foreign reserves</w:t>
      </w:r>
      <w:r>
        <w:rPr>
          <w:szCs w:val="22"/>
        </w:rPr>
        <w:t xml:space="preserve">. </w:t>
      </w:r>
      <w:r w:rsidR="00BC31E4">
        <w:rPr>
          <w:szCs w:val="22"/>
        </w:rPr>
        <w:t>C</w:t>
      </w:r>
      <w:r w:rsidRPr="006029D1">
        <w:rPr>
          <w:szCs w:val="22"/>
        </w:rPr>
        <w:t>hallenges</w:t>
      </w:r>
      <w:r>
        <w:rPr>
          <w:szCs w:val="22"/>
        </w:rPr>
        <w:t xml:space="preserve"> affecting Bangladesh’s capacity to meet social sector</w:t>
      </w:r>
      <w:r w:rsidRPr="006029D1">
        <w:rPr>
          <w:szCs w:val="22"/>
        </w:rPr>
        <w:t xml:space="preserve"> </w:t>
      </w:r>
      <w:r w:rsidR="00BC31E4">
        <w:rPr>
          <w:szCs w:val="22"/>
        </w:rPr>
        <w:t>targets</w:t>
      </w:r>
      <w:r w:rsidR="00BC31E4" w:rsidRPr="006029D1">
        <w:rPr>
          <w:szCs w:val="22"/>
        </w:rPr>
        <w:t xml:space="preserve"> </w:t>
      </w:r>
      <w:r>
        <w:rPr>
          <w:szCs w:val="22"/>
        </w:rPr>
        <w:t xml:space="preserve">include </w:t>
      </w:r>
      <w:r w:rsidR="0016105C" w:rsidRPr="006029D1">
        <w:rPr>
          <w:szCs w:val="22"/>
        </w:rPr>
        <w:t>deficiencies in public spending</w:t>
      </w:r>
      <w:r w:rsidR="0016105C">
        <w:rPr>
          <w:szCs w:val="22"/>
        </w:rPr>
        <w:t xml:space="preserve">, </w:t>
      </w:r>
      <w:r w:rsidR="0016105C" w:rsidRPr="006029D1">
        <w:rPr>
          <w:szCs w:val="22"/>
        </w:rPr>
        <w:t xml:space="preserve">skills shortages </w:t>
      </w:r>
      <w:r w:rsidR="0016105C">
        <w:rPr>
          <w:szCs w:val="22"/>
        </w:rPr>
        <w:t xml:space="preserve">and poor </w:t>
      </w:r>
      <w:r w:rsidR="00BC31E4" w:rsidRPr="006029D1">
        <w:rPr>
          <w:szCs w:val="22"/>
        </w:rPr>
        <w:t>electricity</w:t>
      </w:r>
      <w:r w:rsidR="00BC31E4">
        <w:rPr>
          <w:szCs w:val="22"/>
        </w:rPr>
        <w:t xml:space="preserve"> </w:t>
      </w:r>
      <w:r>
        <w:rPr>
          <w:szCs w:val="22"/>
        </w:rPr>
        <w:t>generati</w:t>
      </w:r>
      <w:r w:rsidR="00BC31E4">
        <w:rPr>
          <w:szCs w:val="22"/>
        </w:rPr>
        <w:t>on</w:t>
      </w:r>
      <w:r>
        <w:rPr>
          <w:szCs w:val="22"/>
        </w:rPr>
        <w:t>.</w:t>
      </w:r>
      <w:r w:rsidR="00A5331C">
        <w:rPr>
          <w:rStyle w:val="FootnoteReference"/>
        </w:rPr>
        <w:footnoteReference w:id="5"/>
      </w:r>
      <w:r>
        <w:rPr>
          <w:szCs w:val="22"/>
        </w:rPr>
        <w:t xml:space="preserve"> </w:t>
      </w:r>
      <w:r w:rsidR="00E86651">
        <w:rPr>
          <w:szCs w:val="22"/>
        </w:rPr>
        <w:t>Improvements in these structural areas of the economy will increase Bangladesh’s ability to fund social sector expenditure.</w:t>
      </w:r>
    </w:p>
    <w:p w14:paraId="7C0A8EFB" w14:textId="7D285D84" w:rsidR="00115F30" w:rsidRDefault="00115F30" w:rsidP="0044011A">
      <w:pPr>
        <w:pStyle w:val="BodyText"/>
      </w:pPr>
      <w:r w:rsidRPr="006029D1">
        <w:rPr>
          <w:b/>
        </w:rPr>
        <w:t xml:space="preserve">Bangladesh has entered a heightened period of political uncertainty in </w:t>
      </w:r>
      <w:r w:rsidRPr="00410AF1">
        <w:rPr>
          <w:b/>
        </w:rPr>
        <w:t>the lead</w:t>
      </w:r>
      <w:r w:rsidRPr="00CF1F53">
        <w:rPr>
          <w:b/>
        </w:rPr>
        <w:t>-</w:t>
      </w:r>
      <w:r w:rsidRPr="00410AF1">
        <w:rPr>
          <w:b/>
        </w:rPr>
        <w:t xml:space="preserve">up to the elections </w:t>
      </w:r>
      <w:r>
        <w:rPr>
          <w:b/>
        </w:rPr>
        <w:t>to be held by January</w:t>
      </w:r>
      <w:r w:rsidRPr="00410AF1">
        <w:rPr>
          <w:b/>
        </w:rPr>
        <w:t xml:space="preserve"> 2014</w:t>
      </w:r>
      <w:r w:rsidRPr="00410AF1">
        <w:t>. Disagreement between the Government</w:t>
      </w:r>
      <w:r w:rsidRPr="006029D1">
        <w:t xml:space="preserve"> and the opposition on election mechanisms</w:t>
      </w:r>
      <w:r w:rsidR="004D7A23">
        <w:t>,</w:t>
      </w:r>
      <w:r w:rsidR="00934733">
        <w:t xml:space="preserve"> including implementation of caretaker provisions</w:t>
      </w:r>
      <w:r w:rsidR="00934733">
        <w:rPr>
          <w:rStyle w:val="FootnoteReference"/>
        </w:rPr>
        <w:footnoteReference w:id="6"/>
      </w:r>
      <w:r w:rsidR="004D7A23">
        <w:t>,</w:t>
      </w:r>
      <w:r w:rsidRPr="006029D1">
        <w:t xml:space="preserve"> has led to an increased number of often violent political protests</w:t>
      </w:r>
      <w:r>
        <w:t xml:space="preserve">. </w:t>
      </w:r>
      <w:r w:rsidRPr="006029D1">
        <w:t>In addition, protests for and against war crimes trials have turned violent</w:t>
      </w:r>
      <w:r>
        <w:t xml:space="preserve">. </w:t>
      </w:r>
      <w:r w:rsidRPr="006029D1">
        <w:t>General strikes and other forms of protest, including marches, sit</w:t>
      </w:r>
      <w:r>
        <w:t>-</w:t>
      </w:r>
      <w:r w:rsidRPr="006029D1">
        <w:t>ins and road blockades, have increased in frequency</w:t>
      </w:r>
      <w:r>
        <w:t xml:space="preserve">. </w:t>
      </w:r>
      <w:r w:rsidR="00BA775A">
        <w:t xml:space="preserve"> </w:t>
      </w:r>
    </w:p>
    <w:p w14:paraId="744382BE" w14:textId="0AFB8400" w:rsidR="00115F30" w:rsidRPr="006029D1" w:rsidRDefault="00115F30" w:rsidP="0044011A">
      <w:pPr>
        <w:pStyle w:val="BodyText"/>
      </w:pPr>
      <w:r w:rsidRPr="006029D1">
        <w:rPr>
          <w:b/>
        </w:rPr>
        <w:t>The unstable environment has had a direct impact on Australia’s development program</w:t>
      </w:r>
      <w:r>
        <w:t xml:space="preserve">. </w:t>
      </w:r>
      <w:r w:rsidRPr="006029D1">
        <w:t xml:space="preserve">The large number of strikes </w:t>
      </w:r>
      <w:r>
        <w:t>(</w:t>
      </w:r>
      <w:r w:rsidRPr="006029D1">
        <w:t>hartals</w:t>
      </w:r>
      <w:r>
        <w:t>)</w:t>
      </w:r>
      <w:r w:rsidRPr="006029D1">
        <w:t xml:space="preserve"> </w:t>
      </w:r>
      <w:r>
        <w:t xml:space="preserve">severely interrupts </w:t>
      </w:r>
      <w:r w:rsidRPr="006029D1">
        <w:t>day</w:t>
      </w:r>
      <w:r>
        <w:t>-</w:t>
      </w:r>
      <w:r w:rsidRPr="006029D1">
        <w:t>to</w:t>
      </w:r>
      <w:r>
        <w:t>-</w:t>
      </w:r>
      <w:r w:rsidRPr="006029D1">
        <w:t>day business</w:t>
      </w:r>
      <w:r>
        <w:t xml:space="preserve">. </w:t>
      </w:r>
      <w:r w:rsidR="00927EC3">
        <w:t>In the first six months of 2013, 54</w:t>
      </w:r>
      <w:r w:rsidR="00927EC3" w:rsidRPr="00C6176F">
        <w:t xml:space="preserve"> </w:t>
      </w:r>
      <w:r w:rsidR="00927EC3">
        <w:t>days of strikes were held</w:t>
      </w:r>
      <w:r w:rsidRPr="004F7F0D">
        <w:t>,</w:t>
      </w:r>
      <w:r w:rsidRPr="006029D1">
        <w:t xml:space="preserve"> affecting Australia’s ability to meet with development partners, civil society and government</w:t>
      </w:r>
      <w:r>
        <w:t xml:space="preserve">. </w:t>
      </w:r>
      <w:r w:rsidR="00283C03">
        <w:t xml:space="preserve">The current political climate also means </w:t>
      </w:r>
      <w:r w:rsidR="00E6468B">
        <w:t xml:space="preserve">our </w:t>
      </w:r>
      <w:r w:rsidR="00283C03">
        <w:t>strategy of working through government is hampered by a lack of focus on long</w:t>
      </w:r>
      <w:r w:rsidR="004D7A23">
        <w:t>-</w:t>
      </w:r>
      <w:r w:rsidR="00283C03">
        <w:t>term reform processes. The</w:t>
      </w:r>
      <w:r w:rsidRPr="006029D1">
        <w:t xml:space="preserve"> instability will </w:t>
      </w:r>
      <w:r>
        <w:t>start to have an</w:t>
      </w:r>
      <w:r w:rsidRPr="006029D1">
        <w:t xml:space="preserve"> impact on the economy more broadly</w:t>
      </w:r>
      <w:r>
        <w:t>. F</w:t>
      </w:r>
      <w:r w:rsidRPr="006029D1">
        <w:t>or example</w:t>
      </w:r>
      <w:r>
        <w:t>,</w:t>
      </w:r>
      <w:r w:rsidRPr="006029D1">
        <w:t xml:space="preserve"> there are early reports of the significant financial impact within </w:t>
      </w:r>
      <w:r w:rsidR="004D7A23">
        <w:t xml:space="preserve">the </w:t>
      </w:r>
      <w:r w:rsidRPr="006029D1">
        <w:t>finance, manufacturing and garment processing sectors</w:t>
      </w:r>
      <w:r>
        <w:t>.</w:t>
      </w:r>
      <w:r w:rsidR="00A5331C">
        <w:rPr>
          <w:rStyle w:val="FootnoteReference"/>
        </w:rPr>
        <w:footnoteReference w:id="7"/>
      </w:r>
      <w:r>
        <w:t xml:space="preserve"> </w:t>
      </w:r>
      <w:r w:rsidRPr="006029D1">
        <w:t xml:space="preserve">Any downturn </w:t>
      </w:r>
      <w:r>
        <w:t>will</w:t>
      </w:r>
      <w:r w:rsidRPr="006029D1">
        <w:t xml:space="preserve"> likely have a disproportionate impact on the poor</w:t>
      </w:r>
      <w:r>
        <w:t xml:space="preserve">. </w:t>
      </w:r>
    </w:p>
    <w:p w14:paraId="625B2D9B" w14:textId="6E03B423" w:rsidR="00115F30" w:rsidRPr="006029D1" w:rsidRDefault="00115F30" w:rsidP="0044011A">
      <w:pPr>
        <w:pStyle w:val="BodyText"/>
      </w:pPr>
      <w:r>
        <w:rPr>
          <w:b/>
        </w:rPr>
        <w:t>T</w:t>
      </w:r>
      <w:r w:rsidRPr="006029D1">
        <w:rPr>
          <w:b/>
        </w:rPr>
        <w:t xml:space="preserve">he period to early 2014 </w:t>
      </w:r>
      <w:r w:rsidR="00283C03">
        <w:rPr>
          <w:b/>
        </w:rPr>
        <w:t>may</w:t>
      </w:r>
      <w:r w:rsidRPr="006029D1">
        <w:rPr>
          <w:b/>
        </w:rPr>
        <w:t xml:space="preserve"> not be conducive to pursuing significant reforms through government programs</w:t>
      </w:r>
      <w:r>
        <w:rPr>
          <w:b/>
        </w:rPr>
        <w:t>.</w:t>
      </w:r>
      <w:r w:rsidRPr="006029D1">
        <w:t xml:space="preserve"> </w:t>
      </w:r>
      <w:r>
        <w:t>H</w:t>
      </w:r>
      <w:r w:rsidRPr="006029D1">
        <w:t>istor</w:t>
      </w:r>
      <w:r>
        <w:t>ically,</w:t>
      </w:r>
      <w:r w:rsidRPr="006029D1">
        <w:t xml:space="preserve"> Bangladesh</w:t>
      </w:r>
      <w:r>
        <w:t xml:space="preserve">’s </w:t>
      </w:r>
      <w:r w:rsidRPr="006029D1">
        <w:t>political impasse</w:t>
      </w:r>
      <w:r>
        <w:t>s</w:t>
      </w:r>
      <w:r w:rsidRPr="006029D1">
        <w:t xml:space="preserve"> </w:t>
      </w:r>
      <w:r>
        <w:t>have</w:t>
      </w:r>
      <w:r w:rsidRPr="006029D1">
        <w:t xml:space="preserve"> not </w:t>
      </w:r>
      <w:r>
        <w:t>obstructed</w:t>
      </w:r>
      <w:r w:rsidRPr="006029D1">
        <w:t xml:space="preserve"> longer</w:t>
      </w:r>
      <w:r>
        <w:t>-</w:t>
      </w:r>
      <w:r w:rsidRPr="006029D1">
        <w:t>term development regardless of election outcome</w:t>
      </w:r>
      <w:r w:rsidR="004D7A23">
        <w:t>s</w:t>
      </w:r>
      <w:r>
        <w:t>. However</w:t>
      </w:r>
      <w:r w:rsidRPr="00FB2BC3">
        <w:t xml:space="preserve">, </w:t>
      </w:r>
      <w:r w:rsidRPr="000D65CB">
        <w:t xml:space="preserve">the period to early 2014 </w:t>
      </w:r>
      <w:r w:rsidR="001A7F83">
        <w:t>may</w:t>
      </w:r>
      <w:r w:rsidRPr="000D65CB">
        <w:t xml:space="preserve"> </w:t>
      </w:r>
      <w:r w:rsidR="001A7F83">
        <w:t xml:space="preserve">be different and is unlikely to </w:t>
      </w:r>
      <w:r w:rsidRPr="000D65CB">
        <w:t>be conducive to pursuing significant reforms through government programs</w:t>
      </w:r>
      <w:r w:rsidRPr="00FB2BC3">
        <w:t>.</w:t>
      </w:r>
      <w:r>
        <w:t xml:space="preserve"> </w:t>
      </w:r>
      <w:r w:rsidR="00E6468B">
        <w:t>We</w:t>
      </w:r>
      <w:r w:rsidR="00E6468B" w:rsidRPr="006029D1">
        <w:t xml:space="preserve"> </w:t>
      </w:r>
      <w:r w:rsidRPr="006029D1">
        <w:t xml:space="preserve">will remain engaged in government programs and support implementation within </w:t>
      </w:r>
      <w:r>
        <w:t>this</w:t>
      </w:r>
      <w:r w:rsidRPr="006029D1">
        <w:t xml:space="preserve"> challenging environment, but progress may be constrained</w:t>
      </w:r>
      <w:r>
        <w:t xml:space="preserve">. </w:t>
      </w:r>
    </w:p>
    <w:p w14:paraId="3C50D213" w14:textId="59CE7860" w:rsidR="00115F30" w:rsidRPr="006029D1" w:rsidRDefault="00115F30" w:rsidP="0044011A">
      <w:pPr>
        <w:pStyle w:val="BodyText"/>
      </w:pPr>
      <w:r w:rsidRPr="006029D1">
        <w:rPr>
          <w:b/>
        </w:rPr>
        <w:t>The donor landscape</w:t>
      </w:r>
      <w:r w:rsidR="00FC7948">
        <w:rPr>
          <w:rStyle w:val="FootnoteReference"/>
        </w:rPr>
        <w:footnoteReference w:id="8"/>
      </w:r>
      <w:r w:rsidRPr="006029D1">
        <w:rPr>
          <w:b/>
        </w:rPr>
        <w:t xml:space="preserve"> </w:t>
      </w:r>
      <w:r w:rsidR="00FC7948">
        <w:rPr>
          <w:b/>
        </w:rPr>
        <w:t>shi</w:t>
      </w:r>
      <w:r w:rsidRPr="006029D1">
        <w:rPr>
          <w:b/>
        </w:rPr>
        <w:t xml:space="preserve">fted </w:t>
      </w:r>
      <w:r>
        <w:rPr>
          <w:b/>
        </w:rPr>
        <w:t>in 2012</w:t>
      </w:r>
      <w:r w:rsidR="004D7A23">
        <w:rPr>
          <w:b/>
        </w:rPr>
        <w:t>–</w:t>
      </w:r>
      <w:r>
        <w:rPr>
          <w:b/>
        </w:rPr>
        <w:t>13.</w:t>
      </w:r>
      <w:r w:rsidR="00051F2B">
        <w:rPr>
          <w:b/>
        </w:rPr>
        <w:t xml:space="preserve"> </w:t>
      </w:r>
      <w:r w:rsidRPr="006029D1">
        <w:t>A number of international donors are reviewing priorities for the next phase of their country strategies</w:t>
      </w:r>
      <w:r>
        <w:t xml:space="preserve">. </w:t>
      </w:r>
      <w:r w:rsidRPr="006029D1">
        <w:t xml:space="preserve">Some, including Australia, are </w:t>
      </w:r>
      <w:proofErr w:type="gramStart"/>
      <w:r w:rsidR="00BA775A">
        <w:lastRenderedPageBreak/>
        <w:t>adjusting</w:t>
      </w:r>
      <w:proofErr w:type="gramEnd"/>
      <w:r w:rsidRPr="006029D1">
        <w:t xml:space="preserve"> their commitments and</w:t>
      </w:r>
      <w:r>
        <w:t xml:space="preserve"> priority areas. </w:t>
      </w:r>
      <w:r w:rsidRPr="006029D1">
        <w:t xml:space="preserve">In the health sector, </w:t>
      </w:r>
      <w:r>
        <w:t xml:space="preserve">payments </w:t>
      </w:r>
      <w:r w:rsidR="00051F2B">
        <w:t xml:space="preserve">by donors </w:t>
      </w:r>
      <w:r>
        <w:t>were</w:t>
      </w:r>
      <w:r w:rsidRPr="006029D1">
        <w:t xml:space="preserve"> unexpected</w:t>
      </w:r>
      <w:r>
        <w:t>ly deferred</w:t>
      </w:r>
      <w:r w:rsidR="002E09A8" w:rsidRPr="002E09A8">
        <w:t xml:space="preserve"> </w:t>
      </w:r>
      <w:r w:rsidR="002E09A8">
        <w:t xml:space="preserve">in response to budget pressures </w:t>
      </w:r>
      <w:r w:rsidR="002E09A8" w:rsidRPr="00590936">
        <w:t>and delays in internal donor approval processes</w:t>
      </w:r>
      <w:r>
        <w:t>, resulting</w:t>
      </w:r>
      <w:r w:rsidRPr="006029D1">
        <w:t xml:space="preserve"> in cash flow problems for the Government</w:t>
      </w:r>
      <w:r>
        <w:t xml:space="preserve"> of Bangladesh</w:t>
      </w:r>
      <w:r w:rsidRPr="006029D1">
        <w:t>’s health program</w:t>
      </w:r>
      <w:r>
        <w:t xml:space="preserve">. </w:t>
      </w:r>
    </w:p>
    <w:p w14:paraId="58C5EE85" w14:textId="775B6BD2" w:rsidR="00115F30" w:rsidRPr="00BC581E" w:rsidRDefault="00115F30" w:rsidP="0044011A">
      <w:pPr>
        <w:pStyle w:val="BodyText"/>
        <w:rPr>
          <w:szCs w:val="22"/>
        </w:rPr>
      </w:pPr>
      <w:r w:rsidRPr="006029D1">
        <w:rPr>
          <w:b/>
          <w:szCs w:val="22"/>
        </w:rPr>
        <w:t xml:space="preserve">The program operated under pressure </w:t>
      </w:r>
      <w:r>
        <w:rPr>
          <w:b/>
          <w:szCs w:val="22"/>
        </w:rPr>
        <w:t>in 2012</w:t>
      </w:r>
      <w:r w:rsidR="004D7A23">
        <w:rPr>
          <w:b/>
          <w:szCs w:val="22"/>
        </w:rPr>
        <w:t>–</w:t>
      </w:r>
      <w:r>
        <w:rPr>
          <w:b/>
          <w:szCs w:val="22"/>
        </w:rPr>
        <w:t xml:space="preserve">13. </w:t>
      </w:r>
      <w:r w:rsidRPr="006029D1">
        <w:rPr>
          <w:szCs w:val="22"/>
        </w:rPr>
        <w:t>While Bangladesh</w:t>
      </w:r>
      <w:r w:rsidR="00BA775A">
        <w:rPr>
          <w:szCs w:val="22"/>
        </w:rPr>
        <w:t xml:space="preserve"> is Australia’s eighth largest </w:t>
      </w:r>
      <w:r w:rsidR="000B2363">
        <w:rPr>
          <w:szCs w:val="22"/>
        </w:rPr>
        <w:t xml:space="preserve">recipient </w:t>
      </w:r>
      <w:r w:rsidR="00BA775A">
        <w:rPr>
          <w:szCs w:val="22"/>
        </w:rPr>
        <w:t>country of aid</w:t>
      </w:r>
      <w:r w:rsidR="004D7A23">
        <w:rPr>
          <w:szCs w:val="22"/>
        </w:rPr>
        <w:t>,</w:t>
      </w:r>
      <w:r w:rsidRPr="006029D1">
        <w:rPr>
          <w:szCs w:val="22"/>
        </w:rPr>
        <w:t xml:space="preserve"> it has staffing levels</w:t>
      </w:r>
      <w:r w:rsidR="00BA775A">
        <w:rPr>
          <w:szCs w:val="22"/>
        </w:rPr>
        <w:t xml:space="preserve"> equivalent to a </w:t>
      </w:r>
      <w:r w:rsidRPr="006029D1">
        <w:rPr>
          <w:szCs w:val="22"/>
        </w:rPr>
        <w:t>far smaller program</w:t>
      </w:r>
      <w:r>
        <w:rPr>
          <w:szCs w:val="22"/>
        </w:rPr>
        <w:t xml:space="preserve">. </w:t>
      </w:r>
      <w:r w:rsidRPr="006029D1">
        <w:rPr>
          <w:szCs w:val="22"/>
        </w:rPr>
        <w:t>This places large workloads on staff</w:t>
      </w:r>
      <w:r>
        <w:rPr>
          <w:szCs w:val="22"/>
        </w:rPr>
        <w:t xml:space="preserve">. </w:t>
      </w:r>
      <w:r w:rsidRPr="006029D1">
        <w:rPr>
          <w:szCs w:val="22"/>
        </w:rPr>
        <w:t xml:space="preserve">Further, </w:t>
      </w:r>
      <w:r>
        <w:rPr>
          <w:szCs w:val="22"/>
        </w:rPr>
        <w:t>the</w:t>
      </w:r>
      <w:r w:rsidRPr="006029D1">
        <w:rPr>
          <w:szCs w:val="22"/>
        </w:rPr>
        <w:t xml:space="preserve"> new five</w:t>
      </w:r>
      <w:r w:rsidR="004D7A23">
        <w:rPr>
          <w:szCs w:val="22"/>
        </w:rPr>
        <w:t>-</w:t>
      </w:r>
      <w:r w:rsidRPr="006029D1">
        <w:rPr>
          <w:szCs w:val="22"/>
        </w:rPr>
        <w:t xml:space="preserve">year strategy </w:t>
      </w:r>
      <w:r>
        <w:rPr>
          <w:szCs w:val="22"/>
        </w:rPr>
        <w:t>has moved</w:t>
      </w:r>
      <w:r w:rsidRPr="006029D1">
        <w:rPr>
          <w:szCs w:val="22"/>
        </w:rPr>
        <w:t xml:space="preserve"> the program into larger and </w:t>
      </w:r>
      <w:r w:rsidR="00BA775A">
        <w:rPr>
          <w:szCs w:val="22"/>
        </w:rPr>
        <w:t xml:space="preserve">more </w:t>
      </w:r>
      <w:r w:rsidRPr="006029D1">
        <w:rPr>
          <w:szCs w:val="22"/>
        </w:rPr>
        <w:t>complex partnerships with govern</w:t>
      </w:r>
      <w:r w:rsidR="00BA775A">
        <w:rPr>
          <w:szCs w:val="22"/>
        </w:rPr>
        <w:t>ment and civil society.</w:t>
      </w:r>
      <w:r w:rsidR="000B2363">
        <w:rPr>
          <w:szCs w:val="22"/>
        </w:rPr>
        <w:t xml:space="preserve"> These arrangements are helping </w:t>
      </w:r>
      <w:r w:rsidR="00E6468B">
        <w:rPr>
          <w:szCs w:val="22"/>
        </w:rPr>
        <w:t xml:space="preserve">us </w:t>
      </w:r>
      <w:r w:rsidR="0016105C">
        <w:rPr>
          <w:szCs w:val="22"/>
        </w:rPr>
        <w:t>to strengthen our response to</w:t>
      </w:r>
      <w:r w:rsidR="000B2363">
        <w:rPr>
          <w:szCs w:val="22"/>
        </w:rPr>
        <w:t xml:space="preserve"> the development needs of Bangladesh, building systems to sustain gains while maintaining support for service delivery programs that target the extreme poor</w:t>
      </w:r>
      <w:r w:rsidR="000B34BC">
        <w:rPr>
          <w:szCs w:val="22"/>
        </w:rPr>
        <w:t>.</w:t>
      </w:r>
      <w:r w:rsidR="000B2363">
        <w:rPr>
          <w:szCs w:val="22"/>
        </w:rPr>
        <w:t xml:space="preserve"> </w:t>
      </w:r>
      <w:r w:rsidRPr="006029D1">
        <w:rPr>
          <w:szCs w:val="22"/>
        </w:rPr>
        <w:t>Th</w:t>
      </w:r>
      <w:r w:rsidR="000B34BC">
        <w:rPr>
          <w:szCs w:val="22"/>
        </w:rPr>
        <w:t xml:space="preserve">is approach </w:t>
      </w:r>
      <w:r w:rsidR="00EF5ECB">
        <w:rPr>
          <w:szCs w:val="22"/>
        </w:rPr>
        <w:t>is demanding on the program’s human resources</w:t>
      </w:r>
      <w:r w:rsidR="00FD0188">
        <w:rPr>
          <w:szCs w:val="22"/>
        </w:rPr>
        <w:t xml:space="preserve">. </w:t>
      </w:r>
      <w:r w:rsidR="006F19AD">
        <w:rPr>
          <w:szCs w:val="22"/>
        </w:rPr>
        <w:t>Staffing levels</w:t>
      </w:r>
      <w:r w:rsidR="00FD0188">
        <w:rPr>
          <w:szCs w:val="22"/>
        </w:rPr>
        <w:t xml:space="preserve"> </w:t>
      </w:r>
      <w:r w:rsidR="00EF5ECB">
        <w:rPr>
          <w:szCs w:val="22"/>
        </w:rPr>
        <w:t>are s</w:t>
      </w:r>
      <w:r w:rsidRPr="006029D1">
        <w:rPr>
          <w:szCs w:val="22"/>
        </w:rPr>
        <w:t>ufficient for</w:t>
      </w:r>
      <w:r w:rsidR="00EF5ECB">
        <w:rPr>
          <w:szCs w:val="22"/>
        </w:rPr>
        <w:t xml:space="preserve"> the </w:t>
      </w:r>
      <w:r w:rsidRPr="006029D1">
        <w:rPr>
          <w:szCs w:val="22"/>
        </w:rPr>
        <w:t>first objective</w:t>
      </w:r>
      <w:r w:rsidR="00FD0188">
        <w:rPr>
          <w:szCs w:val="22"/>
        </w:rPr>
        <w:t xml:space="preserve"> and</w:t>
      </w:r>
      <w:r w:rsidRPr="006029D1">
        <w:rPr>
          <w:szCs w:val="22"/>
        </w:rPr>
        <w:t xml:space="preserve"> </w:t>
      </w:r>
      <w:r w:rsidR="00EF5ECB">
        <w:rPr>
          <w:szCs w:val="22"/>
        </w:rPr>
        <w:t xml:space="preserve">the program </w:t>
      </w:r>
      <w:r w:rsidRPr="006029D1">
        <w:rPr>
          <w:szCs w:val="22"/>
        </w:rPr>
        <w:t>is working to access additional resources to support arrangements under objective</w:t>
      </w:r>
      <w:r>
        <w:rPr>
          <w:szCs w:val="22"/>
        </w:rPr>
        <w:t>s</w:t>
      </w:r>
      <w:r w:rsidRPr="006029D1">
        <w:rPr>
          <w:szCs w:val="22"/>
        </w:rPr>
        <w:t xml:space="preserve"> two and three</w:t>
      </w:r>
      <w:r>
        <w:rPr>
          <w:szCs w:val="22"/>
        </w:rPr>
        <w:t xml:space="preserve">. </w:t>
      </w:r>
    </w:p>
    <w:p w14:paraId="22335D8E" w14:textId="77777777" w:rsidR="00115F30" w:rsidRPr="0044011A" w:rsidRDefault="00115F30" w:rsidP="0044011A">
      <w:pPr>
        <w:pStyle w:val="Heading1"/>
      </w:pPr>
      <w:r w:rsidRPr="0044011A">
        <w:t>Expenditure</w:t>
      </w:r>
    </w:p>
    <w:p w14:paraId="22335D91" w14:textId="55329815" w:rsidR="00115F30" w:rsidRDefault="00115F30" w:rsidP="00BE65E4">
      <w:pPr>
        <w:pStyle w:val="Caption"/>
      </w:pPr>
      <w:r>
        <w:t xml:space="preserve">Table </w:t>
      </w:r>
      <w:fldSimple w:instr=" SEQ Table \* ARABIC ">
        <w:r w:rsidR="00AF7A7B">
          <w:rPr>
            <w:noProof/>
          </w:rPr>
          <w:t>1</w:t>
        </w:r>
      </w:fldSimple>
      <w:proofErr w:type="gramStart"/>
      <w:r>
        <w:t>A</w:t>
      </w:r>
      <w:proofErr w:type="gramEnd"/>
      <w:r>
        <w:t xml:space="preserve"> Expenditure 1 January 2012 to 30 June 2012</w:t>
      </w:r>
    </w:p>
    <w:tbl>
      <w:tblPr>
        <w:tblStyle w:val="APPR"/>
        <w:tblW w:w="5000" w:type="pct"/>
        <w:tblLayout w:type="fixed"/>
        <w:tblLook w:val="0000" w:firstRow="0" w:lastRow="0" w:firstColumn="0" w:lastColumn="0" w:noHBand="0" w:noVBand="0"/>
      </w:tblPr>
      <w:tblGrid>
        <w:gridCol w:w="6131"/>
        <w:gridCol w:w="998"/>
        <w:gridCol w:w="1477"/>
      </w:tblGrid>
      <w:tr w:rsidR="00115F30" w:rsidRPr="00180B19" w14:paraId="22335D95" w14:textId="77777777" w:rsidTr="0044011A">
        <w:trPr>
          <w:cantSplit/>
          <w:tblHeader w:val="0"/>
        </w:trPr>
        <w:tc>
          <w:tcPr>
            <w:tcW w:w="6048" w:type="dxa"/>
          </w:tcPr>
          <w:p w14:paraId="22335D92" w14:textId="77777777" w:rsidR="00115F30" w:rsidRPr="00180B19" w:rsidRDefault="00115F30" w:rsidP="0044011A">
            <w:pPr>
              <w:pStyle w:val="TableTextColumnHeading"/>
            </w:pPr>
            <w:r w:rsidRPr="00180B19">
              <w:t>Objective</w:t>
            </w:r>
          </w:p>
        </w:tc>
        <w:tc>
          <w:tcPr>
            <w:tcW w:w="964" w:type="dxa"/>
          </w:tcPr>
          <w:p w14:paraId="22335D93" w14:textId="77777777" w:rsidR="00115F30" w:rsidRPr="00180B19" w:rsidRDefault="00115F30" w:rsidP="0044011A">
            <w:pPr>
              <w:pStyle w:val="TableTextColumnHeading"/>
            </w:pPr>
            <w:r w:rsidRPr="00180B19">
              <w:t>A$ million</w:t>
            </w:r>
          </w:p>
        </w:tc>
        <w:tc>
          <w:tcPr>
            <w:tcW w:w="1426" w:type="dxa"/>
          </w:tcPr>
          <w:p w14:paraId="22335D94" w14:textId="77777777" w:rsidR="00115F30" w:rsidRPr="00180B19" w:rsidRDefault="00115F30" w:rsidP="0044011A">
            <w:pPr>
              <w:pStyle w:val="TableTextColumnHeading"/>
            </w:pPr>
            <w:r w:rsidRPr="00180B19">
              <w:t>% of bilateral program</w:t>
            </w:r>
          </w:p>
        </w:tc>
      </w:tr>
      <w:tr w:rsidR="00115F30" w:rsidRPr="00180B19" w14:paraId="22335D99"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22335D96" w14:textId="003F3485" w:rsidR="00115F30" w:rsidRPr="000A6D39" w:rsidRDefault="00115F30" w:rsidP="0044011A">
            <w:pPr>
              <w:pStyle w:val="TableTextEntries"/>
            </w:pPr>
            <w:r w:rsidRPr="000A6D39">
              <w:t>Objective 1 Increased equity of access to, and improved outcomes from, health and education services</w:t>
            </w:r>
            <w:r w:rsidR="00FD0188">
              <w:t>.</w:t>
            </w:r>
          </w:p>
        </w:tc>
        <w:tc>
          <w:tcPr>
            <w:tcW w:w="964" w:type="dxa"/>
          </w:tcPr>
          <w:p w14:paraId="22335D97" w14:textId="11014615" w:rsidR="00115F30" w:rsidRPr="003D4B5A" w:rsidRDefault="00115F30" w:rsidP="0044011A">
            <w:pPr>
              <w:pStyle w:val="TableTextEntries"/>
            </w:pPr>
            <w:r w:rsidRPr="003D4B5A">
              <w:t>51</w:t>
            </w:r>
            <w:r>
              <w:t>.</w:t>
            </w:r>
            <w:r w:rsidRPr="003D4B5A">
              <w:t>99</w:t>
            </w:r>
          </w:p>
        </w:tc>
        <w:tc>
          <w:tcPr>
            <w:tcW w:w="1426" w:type="dxa"/>
          </w:tcPr>
          <w:p w14:paraId="22335D98" w14:textId="47BC6A82" w:rsidR="00115F30" w:rsidRPr="0044688D" w:rsidRDefault="00115F30" w:rsidP="0044011A">
            <w:pPr>
              <w:pStyle w:val="TableTextEntries"/>
            </w:pPr>
            <w:r w:rsidRPr="0044688D">
              <w:t>70</w:t>
            </w:r>
          </w:p>
        </w:tc>
      </w:tr>
      <w:tr w:rsidR="00115F30" w:rsidRPr="00180B19" w14:paraId="22335D9D" w14:textId="77777777" w:rsidTr="0044011A">
        <w:trPr>
          <w:cantSplit/>
          <w:tblHeader w:val="0"/>
        </w:trPr>
        <w:tc>
          <w:tcPr>
            <w:tcW w:w="6048" w:type="dxa"/>
          </w:tcPr>
          <w:p w14:paraId="22335D9A" w14:textId="13CE71B7" w:rsidR="00115F30" w:rsidRPr="000A6D39" w:rsidRDefault="00115F30" w:rsidP="0044011A">
            <w:pPr>
              <w:pStyle w:val="TableTextEntries"/>
            </w:pPr>
            <w:r w:rsidRPr="000A6D39">
              <w:t>Objective 2 Fewer men and women living in extreme poverty and vulnerable to economic and natural shocks</w:t>
            </w:r>
            <w:r w:rsidR="00FD0188">
              <w:t>.</w:t>
            </w:r>
          </w:p>
        </w:tc>
        <w:tc>
          <w:tcPr>
            <w:tcW w:w="964" w:type="dxa"/>
          </w:tcPr>
          <w:p w14:paraId="22335D9B" w14:textId="78EA4F0B" w:rsidR="00115F30" w:rsidRPr="003D4B5A" w:rsidRDefault="00115F30" w:rsidP="0044011A">
            <w:pPr>
              <w:pStyle w:val="TableTextEntries"/>
            </w:pPr>
            <w:r w:rsidRPr="003D4B5A">
              <w:t>21</w:t>
            </w:r>
            <w:r>
              <w:t>.</w:t>
            </w:r>
            <w:r w:rsidRPr="003D4B5A">
              <w:t>55</w:t>
            </w:r>
          </w:p>
        </w:tc>
        <w:tc>
          <w:tcPr>
            <w:tcW w:w="1426" w:type="dxa"/>
          </w:tcPr>
          <w:p w14:paraId="22335D9C" w14:textId="224EE1B5" w:rsidR="00115F30" w:rsidRPr="0044688D" w:rsidRDefault="00115F30" w:rsidP="0044011A">
            <w:pPr>
              <w:pStyle w:val="TableTextEntries"/>
            </w:pPr>
            <w:r w:rsidRPr="0044688D">
              <w:t>29</w:t>
            </w:r>
          </w:p>
        </w:tc>
      </w:tr>
      <w:tr w:rsidR="00115F30" w:rsidRPr="00180B19" w14:paraId="22335DA1"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22335D9E" w14:textId="3429D789" w:rsidR="00115F30" w:rsidRPr="000A6D39" w:rsidRDefault="00115F30" w:rsidP="0044011A">
            <w:pPr>
              <w:pStyle w:val="TableTextEntries"/>
            </w:pPr>
            <w:r w:rsidRPr="000A6D39">
              <w:t>Objective 3 Women and marginalised groups better able to demand services and assert rights</w:t>
            </w:r>
            <w:r w:rsidR="00FD0188">
              <w:t>.</w:t>
            </w:r>
          </w:p>
        </w:tc>
        <w:tc>
          <w:tcPr>
            <w:tcW w:w="964" w:type="dxa"/>
          </w:tcPr>
          <w:p w14:paraId="22335D9F" w14:textId="4FE75AC5" w:rsidR="00115F30" w:rsidRPr="003D4B5A" w:rsidRDefault="00115F30" w:rsidP="0044011A">
            <w:pPr>
              <w:pStyle w:val="TableTextEntries"/>
            </w:pPr>
            <w:r w:rsidRPr="003D4B5A">
              <w:t>0</w:t>
            </w:r>
            <w:r>
              <w:t>.</w:t>
            </w:r>
            <w:r w:rsidRPr="003D4B5A">
              <w:t>7</w:t>
            </w:r>
          </w:p>
        </w:tc>
        <w:tc>
          <w:tcPr>
            <w:tcW w:w="1426" w:type="dxa"/>
          </w:tcPr>
          <w:p w14:paraId="22335DA0" w14:textId="4735A67C" w:rsidR="00115F30" w:rsidRPr="0044688D" w:rsidRDefault="00115F30" w:rsidP="0044011A">
            <w:pPr>
              <w:pStyle w:val="TableTextEntries"/>
            </w:pPr>
            <w:r w:rsidRPr="0044688D">
              <w:t>1</w:t>
            </w:r>
          </w:p>
        </w:tc>
      </w:tr>
    </w:tbl>
    <w:p w14:paraId="22335DA2" w14:textId="3380ABEE" w:rsidR="00115F30" w:rsidRPr="0044011A" w:rsidRDefault="00115F30" w:rsidP="0044011A">
      <w:pPr>
        <w:pStyle w:val="Note"/>
      </w:pPr>
      <w:r w:rsidRPr="0044011A">
        <w:t xml:space="preserve">Source: </w:t>
      </w:r>
      <w:r w:rsidR="00DF7DC5" w:rsidRPr="0044011A">
        <w:t>ODA expenditure reporting</w:t>
      </w:r>
      <w:r w:rsidR="00EA4103" w:rsidRPr="0044011A">
        <w:t>—</w:t>
      </w:r>
      <w:r w:rsidR="00DF7DC5" w:rsidRPr="0044011A">
        <w:t>maintained by</w:t>
      </w:r>
      <w:r w:rsidR="00EA4103" w:rsidRPr="0044011A">
        <w:t xml:space="preserve"> the Australian Agency for International Development (</w:t>
      </w:r>
      <w:r w:rsidR="00DF7DC5" w:rsidRPr="0044011A">
        <w:t>AusAID</w:t>
      </w:r>
      <w:r w:rsidR="00EA4103" w:rsidRPr="0044011A">
        <w:t>)</w:t>
      </w:r>
    </w:p>
    <w:p w14:paraId="22335DA3" w14:textId="77777777" w:rsidR="00115F30" w:rsidRPr="00180B19" w:rsidRDefault="00115F30" w:rsidP="00180B19"/>
    <w:p w14:paraId="22335DA4" w14:textId="6A50A971" w:rsidR="00115F30" w:rsidRPr="00180B19" w:rsidRDefault="00115F30" w:rsidP="00180B19">
      <w:pPr>
        <w:pStyle w:val="Caption"/>
      </w:pPr>
      <w:r w:rsidRPr="00180B19">
        <w:t xml:space="preserve">Table 1B Estimated expenditure in </w:t>
      </w:r>
      <w:r>
        <w:t xml:space="preserve">financial year </w:t>
      </w:r>
      <w:r w:rsidRPr="00180B19">
        <w:t>2012</w:t>
      </w:r>
      <w:r w:rsidR="00E6468B">
        <w:t>–</w:t>
      </w:r>
      <w:r w:rsidRPr="00180B19">
        <w:t>13</w:t>
      </w:r>
      <w:r w:rsidR="002E3839">
        <w:t xml:space="preserve"> (1 July 2012 to 30 June 2013)</w:t>
      </w:r>
    </w:p>
    <w:tbl>
      <w:tblPr>
        <w:tblStyle w:val="APPR"/>
        <w:tblW w:w="5000" w:type="pct"/>
        <w:tblLayout w:type="fixed"/>
        <w:tblLook w:val="0000" w:firstRow="0" w:lastRow="0" w:firstColumn="0" w:lastColumn="0" w:noHBand="0" w:noVBand="0"/>
      </w:tblPr>
      <w:tblGrid>
        <w:gridCol w:w="6131"/>
        <w:gridCol w:w="998"/>
        <w:gridCol w:w="1477"/>
      </w:tblGrid>
      <w:tr w:rsidR="00115F30" w:rsidRPr="00180B19" w14:paraId="22335DA8" w14:textId="77777777" w:rsidTr="0044011A">
        <w:trPr>
          <w:cantSplit/>
          <w:tblHeader w:val="0"/>
        </w:trPr>
        <w:tc>
          <w:tcPr>
            <w:tcW w:w="6048" w:type="dxa"/>
          </w:tcPr>
          <w:p w14:paraId="22335DA5" w14:textId="77777777" w:rsidR="00115F30" w:rsidRPr="00180B19" w:rsidRDefault="00115F30" w:rsidP="0044011A">
            <w:pPr>
              <w:pStyle w:val="TableTextColumnHeading"/>
            </w:pPr>
            <w:r w:rsidRPr="00180B19">
              <w:t>Objective</w:t>
            </w:r>
          </w:p>
        </w:tc>
        <w:tc>
          <w:tcPr>
            <w:tcW w:w="964" w:type="dxa"/>
          </w:tcPr>
          <w:p w14:paraId="22335DA6" w14:textId="77777777" w:rsidR="00115F30" w:rsidRPr="00180B19" w:rsidRDefault="00115F30" w:rsidP="0044011A">
            <w:pPr>
              <w:pStyle w:val="TableTextColumnHeading"/>
            </w:pPr>
            <w:r w:rsidRPr="00180B19">
              <w:t>A$ million</w:t>
            </w:r>
          </w:p>
        </w:tc>
        <w:tc>
          <w:tcPr>
            <w:tcW w:w="1426" w:type="dxa"/>
          </w:tcPr>
          <w:p w14:paraId="22335DA7" w14:textId="77777777" w:rsidR="00115F30" w:rsidRPr="00180B19" w:rsidRDefault="00115F30" w:rsidP="0044011A">
            <w:pPr>
              <w:pStyle w:val="TableTextColumnHeading"/>
            </w:pPr>
            <w:r w:rsidRPr="00180B19">
              <w:t>% of bilateral program</w:t>
            </w:r>
          </w:p>
        </w:tc>
      </w:tr>
      <w:tr w:rsidR="00115F30" w:rsidRPr="00180B19" w14:paraId="22335DAC"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4B48383F" w14:textId="3381480A" w:rsidR="00115F30" w:rsidRPr="000A6D39" w:rsidRDefault="00115F30" w:rsidP="0044011A">
            <w:pPr>
              <w:pStyle w:val="TableTextEntries"/>
            </w:pPr>
            <w:r w:rsidRPr="000A6D39">
              <w:t>Objective 1 Increased equity of access to, and improved outcomes from, health and education services</w:t>
            </w:r>
            <w:r w:rsidR="00FD0188">
              <w:t>.</w:t>
            </w:r>
          </w:p>
          <w:p w14:paraId="22335DA9" w14:textId="71AE6AE8" w:rsidR="00115F30" w:rsidRPr="000A6D39" w:rsidRDefault="00115F30" w:rsidP="0044011A">
            <w:pPr>
              <w:pStyle w:val="TableTextEntries"/>
            </w:pPr>
          </w:p>
        </w:tc>
        <w:tc>
          <w:tcPr>
            <w:tcW w:w="964" w:type="dxa"/>
          </w:tcPr>
          <w:p w14:paraId="22335DAA" w14:textId="49C869EA" w:rsidR="00115F30" w:rsidRPr="00100AA2" w:rsidRDefault="00115F30" w:rsidP="0044011A">
            <w:pPr>
              <w:pStyle w:val="TableTextEntries"/>
            </w:pPr>
            <w:r>
              <w:t>56.97</w:t>
            </w:r>
          </w:p>
        </w:tc>
        <w:tc>
          <w:tcPr>
            <w:tcW w:w="1426" w:type="dxa"/>
          </w:tcPr>
          <w:p w14:paraId="22335DAB" w14:textId="6D3BE626" w:rsidR="00115F30" w:rsidRPr="00100AA2" w:rsidRDefault="00115F30" w:rsidP="0044011A">
            <w:pPr>
              <w:pStyle w:val="TableTextEntries"/>
            </w:pPr>
            <w:r>
              <w:t>61</w:t>
            </w:r>
          </w:p>
        </w:tc>
      </w:tr>
      <w:tr w:rsidR="00115F30" w:rsidRPr="00180B19" w14:paraId="22335DB0" w14:textId="77777777" w:rsidTr="0044011A">
        <w:trPr>
          <w:cantSplit/>
          <w:tblHeader w:val="0"/>
        </w:trPr>
        <w:tc>
          <w:tcPr>
            <w:tcW w:w="6048" w:type="dxa"/>
          </w:tcPr>
          <w:p w14:paraId="22335DAD" w14:textId="01B5885F" w:rsidR="00115F30" w:rsidRPr="000A6D39" w:rsidRDefault="00115F30" w:rsidP="0044011A">
            <w:pPr>
              <w:pStyle w:val="TableTextEntries"/>
            </w:pPr>
            <w:r w:rsidRPr="000A6D39">
              <w:t>Objective 2 Fewer men and women living in extreme poverty and vulnerable to economic and natural shocks</w:t>
            </w:r>
            <w:r w:rsidR="00FD0188">
              <w:t>.</w:t>
            </w:r>
          </w:p>
        </w:tc>
        <w:tc>
          <w:tcPr>
            <w:tcW w:w="964" w:type="dxa"/>
          </w:tcPr>
          <w:p w14:paraId="22335DAE" w14:textId="28941C70" w:rsidR="00115F30" w:rsidRPr="00100AA2" w:rsidRDefault="00115F30" w:rsidP="0044011A">
            <w:pPr>
              <w:pStyle w:val="TableTextEntries"/>
            </w:pPr>
            <w:r>
              <w:t>29.89</w:t>
            </w:r>
          </w:p>
        </w:tc>
        <w:tc>
          <w:tcPr>
            <w:tcW w:w="1426" w:type="dxa"/>
          </w:tcPr>
          <w:p w14:paraId="22335DAF" w14:textId="585BF727" w:rsidR="00115F30" w:rsidRPr="00100AA2" w:rsidRDefault="00115F30" w:rsidP="0044011A">
            <w:pPr>
              <w:pStyle w:val="TableTextEntries"/>
            </w:pPr>
            <w:r>
              <w:t>32</w:t>
            </w:r>
          </w:p>
        </w:tc>
      </w:tr>
      <w:tr w:rsidR="00115F30" w:rsidRPr="00180B19" w14:paraId="22335DB4"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22335DB1" w14:textId="2C3D44BC" w:rsidR="00115F30" w:rsidRPr="000A6D39" w:rsidRDefault="00115F30" w:rsidP="0044011A">
            <w:pPr>
              <w:pStyle w:val="TableTextEntries"/>
            </w:pPr>
            <w:r w:rsidRPr="000A6D39">
              <w:t>Objective 3 Women and marginalised groups better able to demand services and assert rights</w:t>
            </w:r>
            <w:r w:rsidR="00FD0188">
              <w:t>.</w:t>
            </w:r>
          </w:p>
        </w:tc>
        <w:tc>
          <w:tcPr>
            <w:tcW w:w="964" w:type="dxa"/>
          </w:tcPr>
          <w:p w14:paraId="22335DB2" w14:textId="5513B3C7" w:rsidR="00115F30" w:rsidRPr="00100AA2" w:rsidRDefault="00115F30" w:rsidP="0044011A">
            <w:pPr>
              <w:pStyle w:val="TableTextEntries"/>
            </w:pPr>
            <w:r>
              <w:t>6.54</w:t>
            </w:r>
          </w:p>
        </w:tc>
        <w:tc>
          <w:tcPr>
            <w:tcW w:w="1426" w:type="dxa"/>
          </w:tcPr>
          <w:p w14:paraId="22335DB3" w14:textId="09A50F42" w:rsidR="00115F30" w:rsidRPr="00100AA2" w:rsidRDefault="00115F30" w:rsidP="0044011A">
            <w:pPr>
              <w:pStyle w:val="TableTextEntries"/>
            </w:pPr>
            <w:r>
              <w:t>7</w:t>
            </w:r>
          </w:p>
        </w:tc>
      </w:tr>
    </w:tbl>
    <w:p w14:paraId="22335DB5" w14:textId="458297D2" w:rsidR="00115F30" w:rsidRDefault="00115F30" w:rsidP="004C4A3E">
      <w:pPr>
        <w:pStyle w:val="Note"/>
      </w:pPr>
      <w:r w:rsidRPr="00180B19">
        <w:t xml:space="preserve">Source: </w:t>
      </w:r>
      <w:r w:rsidR="00DF7DC5">
        <w:t>ODA expenditure and estimated expenditure reporting</w:t>
      </w:r>
      <w:r w:rsidR="00E6468B">
        <w:t xml:space="preserve">, </w:t>
      </w:r>
      <w:r w:rsidR="00DF7DC5">
        <w:t>maintained by AusAID</w:t>
      </w:r>
    </w:p>
    <w:p w14:paraId="0D9D2F18" w14:textId="77777777" w:rsidR="0044011A" w:rsidRPr="0044011A" w:rsidRDefault="0044011A" w:rsidP="0044011A">
      <w:pPr>
        <w:pStyle w:val="BodyText"/>
      </w:pPr>
    </w:p>
    <w:p w14:paraId="4A07665A" w14:textId="77777777" w:rsidR="00E91B01" w:rsidRDefault="00E91B01">
      <w:pPr>
        <w:spacing w:after="200" w:line="276" w:lineRule="auto"/>
        <w:rPr>
          <w:rFonts w:ascii="Franklin Gothic Demi" w:eastAsia="Times New Roman" w:hAnsi="Franklin Gothic Demi" w:cs="Arial"/>
          <w:color w:val="AD495D"/>
          <w:kern w:val="28"/>
          <w:sz w:val="28"/>
          <w:szCs w:val="28"/>
        </w:rPr>
      </w:pPr>
      <w:r>
        <w:br w:type="page"/>
      </w:r>
    </w:p>
    <w:p w14:paraId="22335DB6" w14:textId="57F41646" w:rsidR="00115F30" w:rsidRPr="0044011A" w:rsidRDefault="00115F30" w:rsidP="0044011A">
      <w:pPr>
        <w:pStyle w:val="Heading1"/>
      </w:pPr>
      <w:r w:rsidRPr="0044011A">
        <w:lastRenderedPageBreak/>
        <w:t>Progress towards objectives</w:t>
      </w:r>
    </w:p>
    <w:p w14:paraId="26761C14" w14:textId="77777777" w:rsidR="00115F30" w:rsidRDefault="00115F30" w:rsidP="00B863D7">
      <w:pPr>
        <w:pStyle w:val="Caption"/>
      </w:pPr>
      <w:r>
        <w:t xml:space="preserve">Table </w:t>
      </w:r>
      <w:fldSimple w:instr=" SEQ Table \* ARABIC ">
        <w:r w:rsidR="00AF7A7B">
          <w:rPr>
            <w:noProof/>
          </w:rPr>
          <w:t>2</w:t>
        </w:r>
      </w:fldSimple>
      <w:r>
        <w:t xml:space="preserve"> Rating of the program's progress towards </w:t>
      </w:r>
      <w:r w:rsidRPr="001F6EBF">
        <w:t>the objectives</w:t>
      </w:r>
    </w:p>
    <w:tbl>
      <w:tblPr>
        <w:tblStyle w:val="APPR"/>
        <w:tblW w:w="5000" w:type="pct"/>
        <w:tblLook w:val="04A0" w:firstRow="1" w:lastRow="0" w:firstColumn="1" w:lastColumn="0" w:noHBand="0" w:noVBand="1"/>
      </w:tblPr>
      <w:tblGrid>
        <w:gridCol w:w="6426"/>
        <w:gridCol w:w="1057"/>
        <w:gridCol w:w="1123"/>
      </w:tblGrid>
      <w:tr w:rsidR="00D85F62" w14:paraId="193FD3A3" w14:textId="77777777" w:rsidTr="00D85F62">
        <w:trPr>
          <w:cnfStyle w:val="100000000000" w:firstRow="1" w:lastRow="0" w:firstColumn="0" w:lastColumn="0" w:oddVBand="0" w:evenVBand="0" w:oddHBand="0" w:evenHBand="0" w:firstRowFirstColumn="0" w:firstRowLastColumn="0" w:lastRowFirstColumn="0" w:lastRowLastColumn="0"/>
          <w:cantSplit/>
          <w:tblHeader w:val="0"/>
        </w:trPr>
        <w:tc>
          <w:tcPr>
            <w:tcW w:w="6029" w:type="dxa"/>
            <w:tcBorders>
              <w:left w:val="nil"/>
              <w:right w:val="nil"/>
            </w:tcBorders>
            <w:hideMark/>
          </w:tcPr>
          <w:p w14:paraId="1C1FF094" w14:textId="284911DA" w:rsidR="00D85F62" w:rsidRPr="00D85F62" w:rsidRDefault="00D85F62" w:rsidP="00D85F62">
            <w:pPr>
              <w:pStyle w:val="TableTextColumnHeading"/>
              <w:rPr>
                <w:b/>
              </w:rPr>
            </w:pPr>
            <w:r w:rsidRPr="00D85F62">
              <w:rPr>
                <w:noProof/>
                <w:lang w:eastAsia="en-AU"/>
              </w:rPr>
              <w:drawing>
                <wp:anchor distT="0" distB="0" distL="114300" distR="114300" simplePos="0" relativeHeight="251672576" behindDoc="0" locked="0" layoutInCell="1" allowOverlap="1" wp14:anchorId="7744D396" wp14:editId="64D70789">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rsidRPr="00D85F62">
              <w:rPr>
                <w:b/>
              </w:rPr>
              <w:t>Objective</w:t>
            </w:r>
          </w:p>
        </w:tc>
        <w:tc>
          <w:tcPr>
            <w:tcW w:w="972" w:type="dxa"/>
            <w:tcBorders>
              <w:left w:val="nil"/>
              <w:right w:val="nil"/>
            </w:tcBorders>
            <w:hideMark/>
          </w:tcPr>
          <w:p w14:paraId="105D11EB" w14:textId="6FE4B0E2" w:rsidR="00D85F62" w:rsidRPr="00D85F62" w:rsidRDefault="00D85F62" w:rsidP="00D85F62">
            <w:pPr>
              <w:pStyle w:val="TableTextColumnHeading"/>
              <w:rPr>
                <w:b/>
              </w:rPr>
            </w:pPr>
            <w:r w:rsidRPr="00D85F62">
              <w:rPr>
                <w:b/>
              </w:rPr>
              <w:t>Current rating</w:t>
            </w:r>
          </w:p>
        </w:tc>
        <w:tc>
          <w:tcPr>
            <w:tcW w:w="1021" w:type="dxa"/>
            <w:tcBorders>
              <w:left w:val="nil"/>
              <w:right w:val="nil"/>
            </w:tcBorders>
            <w:hideMark/>
          </w:tcPr>
          <w:p w14:paraId="585D9591" w14:textId="3E07349F" w:rsidR="00D85F62" w:rsidRPr="00D85F62" w:rsidRDefault="00D85F62" w:rsidP="00D85F62">
            <w:pPr>
              <w:pStyle w:val="TableTextColumnHeading"/>
              <w:rPr>
                <w:b/>
              </w:rPr>
            </w:pPr>
            <w:r w:rsidRPr="00D85F62">
              <w:rPr>
                <w:b/>
              </w:rPr>
              <w:t>Previous rating</w:t>
            </w:r>
          </w:p>
        </w:tc>
      </w:tr>
      <w:tr w:rsidR="00D85F62" w14:paraId="2AB0C03B" w14:textId="77777777" w:rsidTr="00D85F62">
        <w:trPr>
          <w:cantSplit/>
          <w:tblHeader w:val="0"/>
        </w:trPr>
        <w:tc>
          <w:tcPr>
            <w:tcW w:w="6029" w:type="dxa"/>
            <w:tcBorders>
              <w:left w:val="nil"/>
              <w:right w:val="nil"/>
            </w:tcBorders>
          </w:tcPr>
          <w:p w14:paraId="40A6E6A3" w14:textId="037A72BE" w:rsidR="00D85F62" w:rsidRPr="008F2B7A" w:rsidRDefault="00D85F62" w:rsidP="00D85F62">
            <w:pPr>
              <w:pStyle w:val="TableTextEntries"/>
              <w:rPr>
                <w:b/>
              </w:rPr>
            </w:pPr>
            <w:r w:rsidRPr="008F2B7A">
              <w:t>Objective 1 Increased equity of access to, and improved outcomes from, health and education services.</w:t>
            </w:r>
          </w:p>
          <w:p w14:paraId="5DEACD8F" w14:textId="77777777" w:rsidR="00D85F62" w:rsidRPr="008F2B7A" w:rsidRDefault="00D85F62" w:rsidP="00D85F62">
            <w:pPr>
              <w:pStyle w:val="TableTextEntries"/>
              <w:rPr>
                <w:b/>
              </w:rPr>
            </w:pPr>
          </w:p>
        </w:tc>
        <w:tc>
          <w:tcPr>
            <w:tcW w:w="972" w:type="dxa"/>
            <w:tcBorders>
              <w:left w:val="nil"/>
              <w:right w:val="nil"/>
            </w:tcBorders>
            <w:shd w:val="clear" w:color="auto" w:fill="92D050"/>
            <w:noWrap/>
            <w:hideMark/>
          </w:tcPr>
          <w:p w14:paraId="13DCD8B2" w14:textId="77777777" w:rsidR="00D85F62" w:rsidRPr="008F2B7A" w:rsidRDefault="00D85F62" w:rsidP="00D85F62">
            <w:pPr>
              <w:pStyle w:val="TableTextEntries"/>
              <w:rPr>
                <w:b/>
                <w:color w:val="FFFFFF" w:themeColor="background1"/>
              </w:rPr>
            </w:pPr>
            <w:r w:rsidRPr="008F2B7A">
              <w:t>Green</w:t>
            </w:r>
          </w:p>
        </w:tc>
        <w:tc>
          <w:tcPr>
            <w:tcW w:w="1021" w:type="dxa"/>
            <w:tcBorders>
              <w:left w:val="nil"/>
              <w:right w:val="nil"/>
            </w:tcBorders>
            <w:shd w:val="clear" w:color="auto" w:fill="92D050"/>
            <w:noWrap/>
            <w:hideMark/>
          </w:tcPr>
          <w:p w14:paraId="1AF10099" w14:textId="77777777" w:rsidR="00D85F62" w:rsidRPr="008F2B7A" w:rsidRDefault="00D85F62" w:rsidP="00D85F62">
            <w:pPr>
              <w:pStyle w:val="TableTextEntries"/>
              <w:rPr>
                <w:b/>
              </w:rPr>
            </w:pPr>
            <w:r w:rsidRPr="008F2B7A">
              <w:t>Green</w:t>
            </w:r>
          </w:p>
        </w:tc>
      </w:tr>
      <w:tr w:rsidR="00D85F62" w14:paraId="0686CD0D" w14:textId="77777777" w:rsidTr="00D85F62">
        <w:trPr>
          <w:cnfStyle w:val="000000010000" w:firstRow="0" w:lastRow="0" w:firstColumn="0" w:lastColumn="0" w:oddVBand="0" w:evenVBand="0" w:oddHBand="0" w:evenHBand="1" w:firstRowFirstColumn="0" w:firstRowLastColumn="0" w:lastRowFirstColumn="0" w:lastRowLastColumn="0"/>
          <w:cantSplit/>
          <w:tblHeader w:val="0"/>
        </w:trPr>
        <w:tc>
          <w:tcPr>
            <w:tcW w:w="6029" w:type="dxa"/>
            <w:hideMark/>
          </w:tcPr>
          <w:p w14:paraId="59CB5852" w14:textId="53E4709C" w:rsidR="00D85F62" w:rsidRPr="008F2B7A" w:rsidRDefault="00D85F62" w:rsidP="00D85F62">
            <w:pPr>
              <w:pStyle w:val="TableTextEntries"/>
              <w:rPr>
                <w:b/>
              </w:rPr>
            </w:pPr>
            <w:r w:rsidRPr="008F2B7A">
              <w:t>Objective 2</w:t>
            </w:r>
            <w:r w:rsidRPr="008F2B7A">
              <w:rPr>
                <w:i/>
              </w:rPr>
              <w:t xml:space="preserve"> </w:t>
            </w:r>
            <w:r w:rsidRPr="008F2B7A">
              <w:t xml:space="preserve">Fewer men and women living in extreme poverty and vulnerable to economic and natural shocks. </w:t>
            </w:r>
          </w:p>
        </w:tc>
        <w:tc>
          <w:tcPr>
            <w:tcW w:w="972" w:type="dxa"/>
            <w:shd w:val="clear" w:color="auto" w:fill="92D050"/>
            <w:noWrap/>
            <w:hideMark/>
          </w:tcPr>
          <w:p w14:paraId="6908272A" w14:textId="77777777" w:rsidR="00D85F62" w:rsidRPr="008F2B7A" w:rsidRDefault="00D85F62" w:rsidP="00D85F62">
            <w:pPr>
              <w:pStyle w:val="TableTextEntries"/>
              <w:rPr>
                <w:b/>
                <w:color w:val="92D050"/>
              </w:rPr>
            </w:pPr>
            <w:r w:rsidRPr="008F2B7A">
              <w:t>Green</w:t>
            </w:r>
          </w:p>
        </w:tc>
        <w:tc>
          <w:tcPr>
            <w:tcW w:w="1021" w:type="dxa"/>
            <w:shd w:val="clear" w:color="auto" w:fill="92D050"/>
            <w:noWrap/>
            <w:hideMark/>
          </w:tcPr>
          <w:p w14:paraId="6212CE72" w14:textId="77777777" w:rsidR="00D85F62" w:rsidRPr="008F2B7A" w:rsidRDefault="00D85F62" w:rsidP="00D85F62">
            <w:pPr>
              <w:pStyle w:val="TableTextEntries"/>
              <w:rPr>
                <w:b/>
                <w:color w:val="FFFFFF" w:themeColor="background1"/>
              </w:rPr>
            </w:pPr>
            <w:r w:rsidRPr="008F2B7A">
              <w:t>Green</w:t>
            </w:r>
          </w:p>
        </w:tc>
      </w:tr>
      <w:tr w:rsidR="00D85F62" w14:paraId="4BFBE657" w14:textId="77777777" w:rsidTr="00D85F62">
        <w:trPr>
          <w:cantSplit/>
          <w:tblHeader w:val="0"/>
        </w:trPr>
        <w:tc>
          <w:tcPr>
            <w:tcW w:w="6029" w:type="dxa"/>
            <w:tcBorders>
              <w:left w:val="nil"/>
              <w:right w:val="nil"/>
            </w:tcBorders>
            <w:hideMark/>
          </w:tcPr>
          <w:p w14:paraId="7C7512D5" w14:textId="0B9099E0" w:rsidR="00D85F62" w:rsidRPr="008F2B7A" w:rsidRDefault="00D85F62" w:rsidP="00D85F62">
            <w:pPr>
              <w:pStyle w:val="TableTextEntries"/>
              <w:rPr>
                <w:b/>
              </w:rPr>
            </w:pPr>
            <w:r w:rsidRPr="008F2B7A">
              <w:t>Objective 3 Women and marginalised groups better able to demand services and assert rights.</w:t>
            </w:r>
          </w:p>
        </w:tc>
        <w:tc>
          <w:tcPr>
            <w:tcW w:w="972" w:type="dxa"/>
            <w:tcBorders>
              <w:top w:val="nil"/>
              <w:left w:val="nil"/>
              <w:bottom w:val="nil"/>
              <w:right w:val="nil"/>
            </w:tcBorders>
            <w:shd w:val="clear" w:color="auto" w:fill="F79646" w:themeFill="accent6"/>
            <w:noWrap/>
            <w:hideMark/>
          </w:tcPr>
          <w:p w14:paraId="32606E8A" w14:textId="77777777" w:rsidR="00D85F62" w:rsidRPr="008F2B7A" w:rsidRDefault="00D85F62" w:rsidP="00D85F62">
            <w:pPr>
              <w:pStyle w:val="TableTextEntries"/>
              <w:rPr>
                <w:b/>
                <w:color w:val="FFFFFF" w:themeColor="background1"/>
              </w:rPr>
            </w:pPr>
            <w:r w:rsidRPr="008F2B7A">
              <w:t>Amber</w:t>
            </w:r>
          </w:p>
        </w:tc>
        <w:tc>
          <w:tcPr>
            <w:tcW w:w="1021" w:type="dxa"/>
            <w:tcBorders>
              <w:top w:val="nil"/>
              <w:left w:val="nil"/>
              <w:bottom w:val="nil"/>
              <w:right w:val="nil"/>
            </w:tcBorders>
            <w:noWrap/>
            <w:hideMark/>
          </w:tcPr>
          <w:p w14:paraId="3FB2DE03" w14:textId="77777777" w:rsidR="00D85F62" w:rsidRPr="008F2B7A" w:rsidRDefault="00D85F62" w:rsidP="00D85F62">
            <w:pPr>
              <w:pStyle w:val="TableTextEntries"/>
              <w:rPr>
                <w:b/>
                <w:color w:val="FFFFFF" w:themeColor="background1"/>
              </w:rPr>
            </w:pPr>
            <w:r w:rsidRPr="008F2B7A">
              <w:t>N/A</w:t>
            </w:r>
          </w:p>
        </w:tc>
      </w:tr>
    </w:tbl>
    <w:p w14:paraId="22335DD4" w14:textId="32AB3071" w:rsidR="00115F30" w:rsidRPr="00180B19" w:rsidRDefault="00115F30" w:rsidP="0044011A">
      <w:pPr>
        <w:pStyle w:val="Note"/>
      </w:pPr>
      <w:r w:rsidDel="00B863D7">
        <w:t xml:space="preserve"> </w:t>
      </w:r>
      <w:r w:rsidRPr="00180B19">
        <w:t xml:space="preserve">Note: </w:t>
      </w:r>
    </w:p>
    <w:p w14:paraId="22335DD5" w14:textId="2D8BBFC1" w:rsidR="00115F30" w:rsidRPr="00180B19" w:rsidRDefault="00115F30" w:rsidP="0044011A">
      <w:pPr>
        <w:pStyle w:val="Note"/>
      </w:pPr>
      <w:r w:rsidRPr="004C4A3E">
        <w:rPr>
          <w:color w:val="92D050"/>
        </w:rPr>
        <w:sym w:font="Webdings" w:char="F067"/>
      </w:r>
      <w:r w:rsidRPr="00180B19">
        <w:t> </w:t>
      </w:r>
      <w:r w:rsidRPr="00180B19">
        <w:t xml:space="preserve"> </w:t>
      </w:r>
      <w:proofErr w:type="gramStart"/>
      <w:r>
        <w:t>Green.</w:t>
      </w:r>
      <w:proofErr w:type="gramEnd"/>
      <w:r>
        <w:t xml:space="preserve"> </w:t>
      </w:r>
      <w:r w:rsidRPr="00180B19">
        <w:t>Progress is as expected for this point in time and it is likely that the objective will be achieved</w:t>
      </w:r>
      <w:r>
        <w:t xml:space="preserve">. </w:t>
      </w:r>
      <w:r w:rsidRPr="00180B19">
        <w:t>Standard program management practices are sufficient</w:t>
      </w:r>
      <w:r>
        <w:t xml:space="preserve">. </w:t>
      </w:r>
    </w:p>
    <w:p w14:paraId="22335DD6" w14:textId="0E9C9B64" w:rsidR="00115F30" w:rsidRPr="00180B19" w:rsidRDefault="00115F30" w:rsidP="0044011A">
      <w:pPr>
        <w:pStyle w:val="Note"/>
      </w:pPr>
      <w:r w:rsidRPr="004C4A3E">
        <w:rPr>
          <w:color w:val="F79646" w:themeColor="accent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w:t>
      </w:r>
      <w:r>
        <w:t xml:space="preserve">. </w:t>
      </w:r>
      <w:r w:rsidRPr="00180B19">
        <w:t>Close performance monitoring is recommended</w:t>
      </w:r>
      <w:r>
        <w:t xml:space="preserve">. </w:t>
      </w:r>
    </w:p>
    <w:p w14:paraId="22335DD7" w14:textId="51341564" w:rsidR="00115F30" w:rsidRPr="00180B19" w:rsidRDefault="00115F30" w:rsidP="0044011A">
      <w:pPr>
        <w:pStyle w:val="Note"/>
      </w:pPr>
      <w:r w:rsidRPr="004C4A3E">
        <w:rPr>
          <w:color w:val="FF0000"/>
        </w:rPr>
        <w:sym w:font="Webdings" w:char="F067"/>
      </w:r>
      <w:r w:rsidRPr="00180B19">
        <w:t> </w:t>
      </w:r>
      <w:r w:rsidRPr="00180B19">
        <w:t xml:space="preserve"> </w:t>
      </w:r>
      <w:proofErr w:type="gramStart"/>
      <w:r>
        <w:t>Red.</w:t>
      </w:r>
      <w:proofErr w:type="gramEnd"/>
      <w:r>
        <w:t xml:space="preserve"> </w:t>
      </w:r>
      <w:r w:rsidRPr="00180B19">
        <w:t>Progress is significantly less than expected for this point in time and the objective is not likely to be met given available resources and priorities</w:t>
      </w:r>
      <w:r>
        <w:t xml:space="preserve">. </w:t>
      </w:r>
      <w:r w:rsidRPr="00180B19">
        <w:t>Recasting the objective may be required</w:t>
      </w:r>
      <w:r>
        <w:t xml:space="preserve">. </w:t>
      </w:r>
    </w:p>
    <w:p w14:paraId="2F2387A3" w14:textId="1CA82DE9" w:rsidR="00115F30" w:rsidRPr="0044011A" w:rsidRDefault="00115F30" w:rsidP="0044011A">
      <w:pPr>
        <w:pStyle w:val="Heading2"/>
      </w:pPr>
      <w:r w:rsidRPr="0044011A">
        <w:t>Objective 1—Increased equity of access to, and improved outcomes from, health and education services</w:t>
      </w:r>
    </w:p>
    <w:p w14:paraId="582E8D6F" w14:textId="3F168134" w:rsidR="00115F30" w:rsidRPr="0044011A" w:rsidRDefault="00115F30" w:rsidP="0044011A">
      <w:pPr>
        <w:pStyle w:val="BodyText"/>
        <w:rPr>
          <w:rStyle w:val="CaptionChar"/>
          <w:rFonts w:ascii="Times New Roman" w:hAnsi="Times New Roman" w:cs="Times New Roman"/>
          <w:i/>
          <w:color w:val="auto"/>
          <w:sz w:val="22"/>
          <w:szCs w:val="24"/>
        </w:rPr>
      </w:pPr>
      <w:r w:rsidRPr="0044011A">
        <w:rPr>
          <w:rStyle w:val="CaptionChar"/>
          <w:rFonts w:ascii="Times New Roman" w:hAnsi="Times New Roman" w:cs="Times New Roman"/>
          <w:i/>
          <w:color w:val="auto"/>
          <w:sz w:val="22"/>
          <w:szCs w:val="24"/>
        </w:rPr>
        <w:t>The rating reflects that we are still at an early stage of strategy implementation, with a correspondingly modest expectation for progress in this period. Basic indicators for the education and health sectors continue</w:t>
      </w:r>
      <w:r w:rsidR="00EF5ECB" w:rsidRPr="0044011A">
        <w:rPr>
          <w:rStyle w:val="CaptionChar"/>
          <w:rFonts w:ascii="Times New Roman" w:hAnsi="Times New Roman" w:cs="Times New Roman"/>
          <w:i/>
          <w:color w:val="auto"/>
          <w:sz w:val="22"/>
          <w:szCs w:val="24"/>
        </w:rPr>
        <w:t>d</w:t>
      </w:r>
      <w:r w:rsidRPr="0044011A">
        <w:rPr>
          <w:rStyle w:val="CaptionChar"/>
          <w:rFonts w:ascii="Times New Roman" w:hAnsi="Times New Roman" w:cs="Times New Roman"/>
          <w:i/>
          <w:color w:val="auto"/>
          <w:sz w:val="22"/>
          <w:szCs w:val="24"/>
        </w:rPr>
        <w:t xml:space="preserve"> to improve. </w:t>
      </w:r>
      <w:r w:rsidR="0016105C" w:rsidRPr="0044011A">
        <w:rPr>
          <w:rStyle w:val="CaptionChar"/>
          <w:rFonts w:ascii="Times New Roman" w:hAnsi="Times New Roman" w:cs="Times New Roman"/>
          <w:i/>
          <w:color w:val="auto"/>
          <w:sz w:val="22"/>
          <w:szCs w:val="24"/>
        </w:rPr>
        <w:t>Some gains have been achieved through development partner engagement with the Government of Bangladesh. However t</w:t>
      </w:r>
      <w:r w:rsidRPr="0044011A">
        <w:rPr>
          <w:rStyle w:val="CaptionChar"/>
          <w:rFonts w:ascii="Times New Roman" w:hAnsi="Times New Roman" w:cs="Times New Roman"/>
          <w:i/>
          <w:color w:val="auto"/>
          <w:sz w:val="22"/>
          <w:szCs w:val="24"/>
        </w:rPr>
        <w:t xml:space="preserve">here is still insufficient disaggregated information to show comprehensive progress </w:t>
      </w:r>
      <w:r w:rsidR="00EF5ECB" w:rsidRPr="0044011A">
        <w:rPr>
          <w:rStyle w:val="CaptionChar"/>
          <w:rFonts w:ascii="Times New Roman" w:hAnsi="Times New Roman" w:cs="Times New Roman"/>
          <w:i/>
          <w:color w:val="auto"/>
          <w:sz w:val="22"/>
          <w:szCs w:val="24"/>
        </w:rPr>
        <w:t>against</w:t>
      </w:r>
      <w:r w:rsidRPr="0044011A">
        <w:rPr>
          <w:rStyle w:val="CaptionChar"/>
          <w:rFonts w:ascii="Times New Roman" w:hAnsi="Times New Roman" w:cs="Times New Roman"/>
          <w:i/>
          <w:color w:val="auto"/>
          <w:sz w:val="22"/>
          <w:szCs w:val="24"/>
        </w:rPr>
        <w:t xml:space="preserve"> the </w:t>
      </w:r>
      <w:r w:rsidR="00E6468B" w:rsidRPr="0044011A">
        <w:rPr>
          <w:rStyle w:val="CaptionChar"/>
          <w:rFonts w:ascii="Times New Roman" w:hAnsi="Times New Roman" w:cs="Times New Roman"/>
          <w:i/>
          <w:color w:val="auto"/>
          <w:sz w:val="22"/>
          <w:szCs w:val="24"/>
        </w:rPr>
        <w:t>p</w:t>
      </w:r>
      <w:r w:rsidRPr="0044011A">
        <w:rPr>
          <w:rStyle w:val="CaptionChar"/>
          <w:rFonts w:ascii="Times New Roman" w:hAnsi="Times New Roman" w:cs="Times New Roman"/>
          <w:i/>
          <w:color w:val="auto"/>
          <w:sz w:val="22"/>
          <w:szCs w:val="24"/>
        </w:rPr>
        <w:t xml:space="preserve">erformance </w:t>
      </w:r>
      <w:r w:rsidR="00E6468B" w:rsidRPr="0044011A">
        <w:rPr>
          <w:rStyle w:val="CaptionChar"/>
          <w:rFonts w:ascii="Times New Roman" w:hAnsi="Times New Roman" w:cs="Times New Roman"/>
          <w:i/>
          <w:color w:val="auto"/>
          <w:sz w:val="22"/>
          <w:szCs w:val="24"/>
        </w:rPr>
        <w:t>a</w:t>
      </w:r>
      <w:r w:rsidRPr="0044011A">
        <w:rPr>
          <w:rStyle w:val="CaptionChar"/>
          <w:rFonts w:ascii="Times New Roman" w:hAnsi="Times New Roman" w:cs="Times New Roman"/>
          <w:i/>
          <w:color w:val="auto"/>
          <w:sz w:val="22"/>
          <w:szCs w:val="24"/>
        </w:rPr>
        <w:t xml:space="preserve">ssessment </w:t>
      </w:r>
      <w:r w:rsidR="00E6468B" w:rsidRPr="0044011A">
        <w:rPr>
          <w:rStyle w:val="CaptionChar"/>
          <w:rFonts w:ascii="Times New Roman" w:hAnsi="Times New Roman" w:cs="Times New Roman"/>
          <w:i/>
          <w:color w:val="auto"/>
          <w:sz w:val="22"/>
          <w:szCs w:val="24"/>
        </w:rPr>
        <w:t>f</w:t>
      </w:r>
      <w:r w:rsidRPr="0044011A">
        <w:rPr>
          <w:rStyle w:val="CaptionChar"/>
          <w:rFonts w:ascii="Times New Roman" w:hAnsi="Times New Roman" w:cs="Times New Roman"/>
          <w:i/>
          <w:color w:val="auto"/>
          <w:sz w:val="22"/>
          <w:szCs w:val="24"/>
        </w:rPr>
        <w:t xml:space="preserve">ramework. </w:t>
      </w:r>
    </w:p>
    <w:p w14:paraId="2699D29B" w14:textId="09526CE5" w:rsidR="00115F30" w:rsidRPr="0065332E" w:rsidRDefault="00115F30" w:rsidP="0044011A">
      <w:pPr>
        <w:pStyle w:val="BodyText"/>
      </w:pPr>
      <w:r w:rsidRPr="0044011A">
        <w:rPr>
          <w:b/>
        </w:rPr>
        <w:t xml:space="preserve">More than 18 million children </w:t>
      </w:r>
      <w:bookmarkStart w:id="0" w:name="_GoBack"/>
      <w:bookmarkEnd w:id="0"/>
      <w:r w:rsidRPr="0044011A">
        <w:rPr>
          <w:b/>
        </w:rPr>
        <w:t>are enrolled in the Government of Bangladesh’s primary education system, supported by Australia as part of a donor consortium.</w:t>
      </w:r>
      <w:r>
        <w:t xml:space="preserve"> The net primary enrolment rate increased from 87 per cent in 2005 to 95 per cent in 2011</w:t>
      </w:r>
      <w:r w:rsidR="0016105C">
        <w:t xml:space="preserve">, there is </w:t>
      </w:r>
      <w:r>
        <w:t xml:space="preserve">gender parity in enrolments and the completion rate </w:t>
      </w:r>
      <w:r w:rsidR="0016105C">
        <w:t>is</w:t>
      </w:r>
      <w:r>
        <w:t xml:space="preserve"> steadily improving. In the four years to 2011, a</w:t>
      </w:r>
      <w:r w:rsidRPr="0065332E">
        <w:t>ccess to ante-natal care</w:t>
      </w:r>
      <w:r>
        <w:t xml:space="preserve"> increased from 21 per cent to 26 per cent,</w:t>
      </w:r>
      <w:r w:rsidRPr="0065332E">
        <w:t xml:space="preserve"> supervised delivery</w:t>
      </w:r>
      <w:r w:rsidR="00BA775A">
        <w:t xml:space="preserve"> moved</w:t>
      </w:r>
      <w:r>
        <w:t xml:space="preserve"> from 18 per cent to 32 per cent and c</w:t>
      </w:r>
      <w:r w:rsidRPr="0065332E">
        <w:t>ontraception</w:t>
      </w:r>
      <w:r>
        <w:t xml:space="preserve"> </w:t>
      </w:r>
      <w:r w:rsidRPr="0065332E">
        <w:t xml:space="preserve">availability </w:t>
      </w:r>
      <w:r w:rsidR="00BA775A">
        <w:t xml:space="preserve">rose </w:t>
      </w:r>
      <w:r>
        <w:t>from 56 per cent to 61 per cent. A</w:t>
      </w:r>
      <w:r w:rsidRPr="0065332E">
        <w:t>ccess to water and sanitation</w:t>
      </w:r>
      <w:r>
        <w:t xml:space="preserve"> also improved.</w:t>
      </w:r>
      <w:r w:rsidR="004C5591">
        <w:rPr>
          <w:rStyle w:val="FootnoteReference"/>
        </w:rPr>
        <w:footnoteReference w:id="9"/>
      </w:r>
      <w:r>
        <w:t xml:space="preserve"> </w:t>
      </w:r>
      <w:r w:rsidRPr="0065332E">
        <w:t>Reliable non-government partners continue to report good results</w:t>
      </w:r>
      <w:r w:rsidR="004A7D5C">
        <w:t xml:space="preserve"> across this objective</w:t>
      </w:r>
      <w:r>
        <w:t xml:space="preserve">. </w:t>
      </w:r>
      <w:r w:rsidR="00BA775A">
        <w:t>Nevertheless</w:t>
      </w:r>
      <w:r w:rsidR="00EA4103">
        <w:t>,</w:t>
      </w:r>
      <w:r w:rsidR="00BA775A">
        <w:t xml:space="preserve"> ac</w:t>
      </w:r>
      <w:r w:rsidRPr="0065332E">
        <w:t xml:space="preserve">celerating progress in promoting equity </w:t>
      </w:r>
      <w:r w:rsidR="009A5F9D">
        <w:t xml:space="preserve">and quality </w:t>
      </w:r>
      <w:r w:rsidRPr="0065332E">
        <w:t>in service delivery depends on reforms in national systems which remain difficult to bring about</w:t>
      </w:r>
      <w:r>
        <w:t xml:space="preserve">. </w:t>
      </w:r>
      <w:r w:rsidRPr="0065332E">
        <w:t xml:space="preserve">Marginalised groups </w:t>
      </w:r>
      <w:r>
        <w:t>without</w:t>
      </w:r>
      <w:r w:rsidRPr="0065332E">
        <w:t xml:space="preserve"> access to services are not counted separately in national reporting</w:t>
      </w:r>
      <w:r>
        <w:t xml:space="preserve"> and while s</w:t>
      </w:r>
      <w:r w:rsidRPr="0065332E">
        <w:t>ome information on the effects of improvements in national outcomes on equity is being collected it is too early to draw conclusions</w:t>
      </w:r>
      <w:r>
        <w:t xml:space="preserve">. </w:t>
      </w:r>
    </w:p>
    <w:p w14:paraId="547D01C5" w14:textId="5011E4FC" w:rsidR="00115F30" w:rsidRPr="006029D1" w:rsidRDefault="00115F30" w:rsidP="0044011A">
      <w:pPr>
        <w:pStyle w:val="BodyText"/>
      </w:pPr>
      <w:r w:rsidRPr="0044011A">
        <w:rPr>
          <w:b/>
        </w:rPr>
        <w:t>Australia has deepened its level of policy engagement with the Government of Bangladesh.</w:t>
      </w:r>
      <w:r>
        <w:t xml:space="preserve"> </w:t>
      </w:r>
      <w:r w:rsidRPr="006D5358">
        <w:t>In the education sector si</w:t>
      </w:r>
      <w:r>
        <w:t xml:space="preserve">gnificant reforms were achieved, </w:t>
      </w:r>
      <w:r w:rsidR="009A5F9D">
        <w:t>which lay the foundation for teachers and administrators to improve the quality of learning in classrooms</w:t>
      </w:r>
      <w:r>
        <w:t xml:space="preserve">. </w:t>
      </w:r>
      <w:r w:rsidRPr="006D5358">
        <w:t>The first credible national assessment of students was undertaken</w:t>
      </w:r>
      <w:r w:rsidR="00EA4103">
        <w:t>,</w:t>
      </w:r>
      <w:r w:rsidRPr="006D5358">
        <w:t xml:space="preserve"> which will provide a baseline for tracking improvements in learning outcomes</w:t>
      </w:r>
      <w:r>
        <w:t>.</w:t>
      </w:r>
      <w:r w:rsidR="006F4C0D">
        <w:rPr>
          <w:rStyle w:val="FootnoteReference"/>
        </w:rPr>
        <w:footnoteReference w:id="10"/>
      </w:r>
      <w:r>
        <w:t xml:space="preserve"> </w:t>
      </w:r>
      <w:r w:rsidRPr="006D5358">
        <w:t>An intervention to improve</w:t>
      </w:r>
      <w:r>
        <w:t xml:space="preserve"> </w:t>
      </w:r>
      <w:r w:rsidRPr="006D5358">
        <w:t>reading instruction</w:t>
      </w:r>
      <w:r>
        <w:t xml:space="preserve"> in early grades</w:t>
      </w:r>
      <w:r w:rsidRPr="006D5358">
        <w:t xml:space="preserve"> </w:t>
      </w:r>
      <w:r>
        <w:t>was</w:t>
      </w:r>
      <w:r w:rsidRPr="006D5358">
        <w:t xml:space="preserve"> initiated and is gaining momentum</w:t>
      </w:r>
      <w:r>
        <w:t xml:space="preserve">. </w:t>
      </w:r>
      <w:r w:rsidRPr="006D5358">
        <w:t xml:space="preserve">A new primary </w:t>
      </w:r>
      <w:r w:rsidRPr="006D5358">
        <w:lastRenderedPageBreak/>
        <w:t xml:space="preserve">teacher </w:t>
      </w:r>
      <w:r w:rsidRPr="006029D1">
        <w:t xml:space="preserve">training course </w:t>
      </w:r>
      <w:r>
        <w:t>was</w:t>
      </w:r>
      <w:r w:rsidRPr="006029D1">
        <w:t xml:space="preserve"> developed and is being piloted for implementation nationally</w:t>
      </w:r>
      <w:r>
        <w:t>. In the</w:t>
      </w:r>
      <w:r w:rsidRPr="006029D1">
        <w:t xml:space="preserve"> health</w:t>
      </w:r>
      <w:r>
        <w:t xml:space="preserve"> sector</w:t>
      </w:r>
      <w:r w:rsidRPr="006029D1">
        <w:t xml:space="preserve">, a Health Financing Strategy </w:t>
      </w:r>
      <w:r>
        <w:t>was</w:t>
      </w:r>
      <w:r w:rsidRPr="006029D1">
        <w:t xml:space="preserve"> agreed</w:t>
      </w:r>
      <w:r>
        <w:t xml:space="preserve"> to</w:t>
      </w:r>
      <w:r w:rsidRPr="006029D1">
        <w:t xml:space="preserve"> and a Client Charter of Rights is now visible at facilities</w:t>
      </w:r>
      <w:r>
        <w:t>,</w:t>
      </w:r>
      <w:r w:rsidRPr="006029D1">
        <w:t xml:space="preserve"> raising awareness </w:t>
      </w:r>
      <w:r>
        <w:t>of</w:t>
      </w:r>
      <w:r w:rsidRPr="006029D1">
        <w:t xml:space="preserve"> </w:t>
      </w:r>
      <w:r w:rsidRPr="00410AF1">
        <w:t xml:space="preserve">patients. </w:t>
      </w:r>
      <w:r w:rsidR="00EA4103">
        <w:t>We</w:t>
      </w:r>
      <w:r w:rsidR="00EA4103" w:rsidRPr="006029D1">
        <w:t xml:space="preserve"> </w:t>
      </w:r>
      <w:r w:rsidRPr="006029D1">
        <w:t xml:space="preserve">contributed to these developments through </w:t>
      </w:r>
      <w:r w:rsidR="00590936">
        <w:t xml:space="preserve">targeted technical assistance and </w:t>
      </w:r>
      <w:r w:rsidRPr="006029D1">
        <w:t>membership and</w:t>
      </w:r>
      <w:r w:rsidR="00EA4103">
        <w:t>,</w:t>
      </w:r>
      <w:r w:rsidRPr="006029D1">
        <w:t xml:space="preserve"> in some cases</w:t>
      </w:r>
      <w:r w:rsidR="00EA4103">
        <w:t>,</w:t>
      </w:r>
      <w:r w:rsidRPr="006029D1">
        <w:t xml:space="preserve"> </w:t>
      </w:r>
      <w:r w:rsidR="00590936">
        <w:t xml:space="preserve">leadership </w:t>
      </w:r>
      <w:r w:rsidRPr="006029D1">
        <w:t>of development partner and government working groups</w:t>
      </w:r>
      <w:r>
        <w:t xml:space="preserve">. </w:t>
      </w:r>
    </w:p>
    <w:p w14:paraId="1CAFD0C2" w14:textId="04307F82" w:rsidR="00115F30" w:rsidRPr="006029D1" w:rsidRDefault="00115F30" w:rsidP="0044011A">
      <w:pPr>
        <w:pStyle w:val="BodyText"/>
        <w:rPr>
          <w:rFonts w:eastAsiaTheme="minorHAnsi"/>
          <w:sz w:val="24"/>
        </w:rPr>
      </w:pPr>
      <w:r w:rsidRPr="0044011A">
        <w:rPr>
          <w:b/>
        </w:rPr>
        <w:t>Australia made less progress on reform issues important to equity, not helped by the effects of political instability.</w:t>
      </w:r>
      <w:r>
        <w:t xml:space="preserve"> </w:t>
      </w:r>
      <w:r w:rsidRPr="006029D1">
        <w:t>Areas requir</w:t>
      </w:r>
      <w:r>
        <w:t>ing</w:t>
      </w:r>
      <w:r w:rsidRPr="006029D1">
        <w:t xml:space="preserve"> attention include greater official recognition of non-formal education, health and education </w:t>
      </w:r>
      <w:r w:rsidR="0003722E">
        <w:t xml:space="preserve">service </w:t>
      </w:r>
      <w:r w:rsidRPr="006029D1">
        <w:t xml:space="preserve">provision in urban areas, </w:t>
      </w:r>
      <w:proofErr w:type="gramStart"/>
      <w:r w:rsidRPr="006029D1">
        <w:t>decentralised</w:t>
      </w:r>
      <w:proofErr w:type="gramEnd"/>
      <w:r w:rsidRPr="006029D1">
        <w:t xml:space="preserve"> health planning and downward accountability for service delivery performance</w:t>
      </w:r>
      <w:r>
        <w:t xml:space="preserve">. </w:t>
      </w:r>
      <w:r w:rsidR="00EA4103">
        <w:t>We</w:t>
      </w:r>
      <w:r w:rsidR="00EA4103" w:rsidRPr="006029D1">
        <w:t xml:space="preserve"> </w:t>
      </w:r>
      <w:r w:rsidRPr="006029D1">
        <w:t xml:space="preserve">will track progress on equity through interim indicators </w:t>
      </w:r>
      <w:r w:rsidR="00EA4103">
        <w:t>included</w:t>
      </w:r>
      <w:r w:rsidRPr="006029D1">
        <w:t xml:space="preserve"> in </w:t>
      </w:r>
      <w:r>
        <w:t>the</w:t>
      </w:r>
      <w:r w:rsidRPr="006029D1">
        <w:t xml:space="preserve"> performance assessment framework</w:t>
      </w:r>
      <w:r>
        <w:t xml:space="preserve"> developed for the Bangladesh program.</w:t>
      </w:r>
      <w:r w:rsidR="004C5591">
        <w:rPr>
          <w:rStyle w:val="FootnoteReference"/>
        </w:rPr>
        <w:footnoteReference w:id="11"/>
      </w:r>
      <w:r>
        <w:t xml:space="preserve"> </w:t>
      </w:r>
      <w:r w:rsidRPr="006029D1">
        <w:t xml:space="preserve">Australia and other development partners have supported research </w:t>
      </w:r>
      <w:r>
        <w:t>on the</w:t>
      </w:r>
      <w:r w:rsidRPr="006029D1">
        <w:t xml:space="preserve"> potential for improvement in service delivery but </w:t>
      </w:r>
      <w:r>
        <w:t>this</w:t>
      </w:r>
      <w:r w:rsidRPr="006029D1">
        <w:t xml:space="preserve"> is not yet being used for policy making</w:t>
      </w:r>
      <w:r>
        <w:t>.</w:t>
      </w:r>
      <w:r w:rsidR="004C5591">
        <w:rPr>
          <w:rStyle w:val="FootnoteReference"/>
        </w:rPr>
        <w:footnoteReference w:id="12"/>
      </w:r>
    </w:p>
    <w:p w14:paraId="38DC1591" w14:textId="7F069E59" w:rsidR="00115F30" w:rsidRPr="006029D1" w:rsidRDefault="00115F30" w:rsidP="0044011A">
      <w:pPr>
        <w:pStyle w:val="BodyText"/>
      </w:pPr>
      <w:r w:rsidRPr="0044011A">
        <w:rPr>
          <w:b/>
        </w:rPr>
        <w:t xml:space="preserve">Australia </w:t>
      </w:r>
      <w:r w:rsidR="00F34C68" w:rsidRPr="0044011A">
        <w:rPr>
          <w:b/>
        </w:rPr>
        <w:t>did</w:t>
      </w:r>
      <w:r w:rsidR="00EA4103" w:rsidRPr="0044011A">
        <w:rPr>
          <w:b/>
        </w:rPr>
        <w:t>,</w:t>
      </w:r>
      <w:r w:rsidR="00F34C68" w:rsidRPr="0044011A">
        <w:rPr>
          <w:b/>
        </w:rPr>
        <w:t xml:space="preserve"> however</w:t>
      </w:r>
      <w:r w:rsidR="00EA4103" w:rsidRPr="0044011A">
        <w:rPr>
          <w:b/>
        </w:rPr>
        <w:t>,</w:t>
      </w:r>
      <w:r w:rsidR="00F34C68" w:rsidRPr="0044011A">
        <w:rPr>
          <w:b/>
        </w:rPr>
        <w:t xml:space="preserve"> achieve service delivery results </w:t>
      </w:r>
      <w:r w:rsidRPr="0044011A">
        <w:rPr>
          <w:b/>
        </w:rPr>
        <w:t>through multiple channels. Support to BRAC, an international development organisation based in Bangladesh—the largest non-government organisation (NGO) in the world—continued to provide large</w:t>
      </w:r>
      <w:r w:rsidR="00E755AA" w:rsidRPr="0044011A">
        <w:rPr>
          <w:b/>
        </w:rPr>
        <w:t>-</w:t>
      </w:r>
      <w:r w:rsidRPr="0044011A">
        <w:rPr>
          <w:b/>
        </w:rPr>
        <w:t>scale benefits to poor people.</w:t>
      </w:r>
      <w:r>
        <w:t xml:space="preserve"> </w:t>
      </w:r>
      <w:r w:rsidRPr="006029D1">
        <w:t>In 2012</w:t>
      </w:r>
      <w:r>
        <w:t>, BRAC</w:t>
      </w:r>
      <w:r w:rsidRPr="006029D1">
        <w:t xml:space="preserve"> provided primary education </w:t>
      </w:r>
      <w:r w:rsidRPr="001F6EBF">
        <w:t xml:space="preserve">to </w:t>
      </w:r>
      <w:r w:rsidR="00F1514F">
        <w:t>119,000</w:t>
      </w:r>
      <w:r w:rsidR="00F1514F" w:rsidRPr="001F6EBF">
        <w:t xml:space="preserve"> </w:t>
      </w:r>
      <w:r w:rsidRPr="006029D1">
        <w:t xml:space="preserve">children and pre-school </w:t>
      </w:r>
      <w:r w:rsidR="008E694A">
        <w:t xml:space="preserve">education </w:t>
      </w:r>
      <w:r w:rsidRPr="006029D1">
        <w:t xml:space="preserve">to </w:t>
      </w:r>
      <w:r w:rsidR="00F1514F">
        <w:t>74,900</w:t>
      </w:r>
      <w:r w:rsidR="00F1514F" w:rsidRPr="006029D1">
        <w:t xml:space="preserve"> </w:t>
      </w:r>
      <w:r w:rsidRPr="006029D1">
        <w:t xml:space="preserve">children, </w:t>
      </w:r>
      <w:r>
        <w:t>more than</w:t>
      </w:r>
      <w:r w:rsidRPr="006029D1">
        <w:t xml:space="preserve"> half of them girls</w:t>
      </w:r>
      <w:r>
        <w:t>.</w:t>
      </w:r>
      <w:r w:rsidR="004C5591">
        <w:rPr>
          <w:rStyle w:val="FootnoteReference"/>
        </w:rPr>
        <w:footnoteReference w:id="13"/>
      </w:r>
      <w:r w:rsidRPr="006029D1">
        <w:t xml:space="preserve"> </w:t>
      </w:r>
      <w:r>
        <w:t>More than</w:t>
      </w:r>
      <w:r w:rsidRPr="006029D1">
        <w:t xml:space="preserve"> 99</w:t>
      </w:r>
      <w:r>
        <w:t xml:space="preserve"> per cent</w:t>
      </w:r>
      <w:r w:rsidRPr="006029D1">
        <w:t xml:space="preserve"> of pre-school children were enrolled in mainstream primary schools and 98</w:t>
      </w:r>
      <w:r>
        <w:t> per cent</w:t>
      </w:r>
      <w:r w:rsidRPr="006029D1">
        <w:t xml:space="preserve"> of primary school graduates transitioned to government</w:t>
      </w:r>
      <w:r w:rsidR="00E755AA">
        <w:t>-</w:t>
      </w:r>
      <w:r w:rsidRPr="006029D1">
        <w:t>supported secondary schools</w:t>
      </w:r>
      <w:r>
        <w:t>.</w:t>
      </w:r>
      <w:r w:rsidR="004C5591">
        <w:rPr>
          <w:rStyle w:val="FootnoteReference"/>
        </w:rPr>
        <w:footnoteReference w:id="14"/>
      </w:r>
      <w:r>
        <w:t xml:space="preserve"> </w:t>
      </w:r>
      <w:r w:rsidRPr="006029D1">
        <w:t>BRAC also provided ante-natal care to 1</w:t>
      </w:r>
      <w:r>
        <w:t>.</w:t>
      </w:r>
      <w:r w:rsidRPr="006029D1">
        <w:t>2 million women and micro-nutrients to 17</w:t>
      </w:r>
      <w:r>
        <w:t>.</w:t>
      </w:r>
      <w:r w:rsidRPr="006029D1">
        <w:t>3 million children</w:t>
      </w:r>
      <w:r>
        <w:t>.</w:t>
      </w:r>
      <w:r w:rsidR="004C5591">
        <w:rPr>
          <w:rStyle w:val="FootnoteReference"/>
        </w:rPr>
        <w:footnoteReference w:id="15"/>
      </w:r>
      <w:r>
        <w:t xml:space="preserve"> </w:t>
      </w:r>
      <w:r w:rsidRPr="006029D1">
        <w:t xml:space="preserve">In water supply and sanitation, an area </w:t>
      </w:r>
      <w:r>
        <w:t>with</w:t>
      </w:r>
      <w:r w:rsidRPr="006029D1">
        <w:t xml:space="preserve"> no national sector program, Australia funded a local agency to provide access to clean water for 134</w:t>
      </w:r>
      <w:r>
        <w:t xml:space="preserve"> </w:t>
      </w:r>
      <w:r w:rsidRPr="006029D1">
        <w:t xml:space="preserve">000 </w:t>
      </w:r>
      <w:r w:rsidR="00E755AA" w:rsidRPr="006029D1">
        <w:t>and</w:t>
      </w:r>
      <w:r w:rsidR="00E755AA">
        <w:t xml:space="preserve"> to sanitation for </w:t>
      </w:r>
      <w:r w:rsidRPr="006029D1">
        <w:t>357</w:t>
      </w:r>
      <w:r w:rsidR="0044011A">
        <w:t> </w:t>
      </w:r>
      <w:r w:rsidRPr="006029D1">
        <w:t>000 people in underserved coastal areas</w:t>
      </w:r>
      <w:r>
        <w:t>.</w:t>
      </w:r>
      <w:r w:rsidR="004C5591">
        <w:rPr>
          <w:rStyle w:val="FootnoteReference"/>
        </w:rPr>
        <w:footnoteReference w:id="16"/>
      </w:r>
      <w:r>
        <w:t xml:space="preserve"> </w:t>
      </w:r>
      <w:r w:rsidRPr="006029D1">
        <w:t>Support through</w:t>
      </w:r>
      <w:r>
        <w:t xml:space="preserve"> the</w:t>
      </w:r>
      <w:r w:rsidRPr="006029D1">
        <w:t xml:space="preserve"> </w:t>
      </w:r>
      <w:r w:rsidRPr="00AC11DF">
        <w:t>International Centre for Diarrhoeal Disease Research, Bangladesh</w:t>
      </w:r>
      <w:r>
        <w:rPr>
          <w:rFonts w:ascii="Arial" w:hAnsi="Arial" w:cs="Arial"/>
          <w:color w:val="5B5B5B"/>
          <w:sz w:val="19"/>
          <w:szCs w:val="19"/>
          <w:lang w:val="en-GB"/>
        </w:rPr>
        <w:t xml:space="preserve"> </w:t>
      </w:r>
      <w:r>
        <w:t>(</w:t>
      </w:r>
      <w:proofErr w:type="spellStart"/>
      <w:r w:rsidRPr="006029D1">
        <w:t>Icddr</w:t>
      </w:r>
      <w:proofErr w:type="gramStart"/>
      <w:r w:rsidRPr="006029D1">
        <w:t>,b</w:t>
      </w:r>
      <w:proofErr w:type="spellEnd"/>
      <w:proofErr w:type="gramEnd"/>
      <w:r>
        <w:t>)</w:t>
      </w:r>
      <w:r w:rsidRPr="006029D1">
        <w:t xml:space="preserve"> continues to help provide humanitarian support to around 300</w:t>
      </w:r>
      <w:r>
        <w:t xml:space="preserve"> </w:t>
      </w:r>
      <w:r w:rsidRPr="006029D1">
        <w:t xml:space="preserve">000 people </w:t>
      </w:r>
      <w:r>
        <w:t>a year</w:t>
      </w:r>
      <w:r w:rsidRPr="006029D1">
        <w:t xml:space="preserve"> in its hospitals</w:t>
      </w:r>
      <w:r>
        <w:t xml:space="preserve"> and </w:t>
      </w:r>
      <w:r w:rsidRPr="006029D1">
        <w:t>clinics</w:t>
      </w:r>
      <w:r>
        <w:t>.</w:t>
      </w:r>
      <w:r w:rsidR="004C5591">
        <w:rPr>
          <w:rStyle w:val="FootnoteReference"/>
        </w:rPr>
        <w:footnoteReference w:id="17"/>
      </w:r>
      <w:r>
        <w:t xml:space="preserve"> </w:t>
      </w:r>
    </w:p>
    <w:p w14:paraId="72EF69FA" w14:textId="51D5FB50" w:rsidR="00115F30" w:rsidRPr="006029D1" w:rsidRDefault="00115F30" w:rsidP="0044011A">
      <w:pPr>
        <w:pStyle w:val="BodyText"/>
      </w:pPr>
      <w:r>
        <w:t>Australia and other d</w:t>
      </w:r>
      <w:r w:rsidRPr="006029D1">
        <w:t xml:space="preserve">evelopment partners are encouraging the transfer of learning gained </w:t>
      </w:r>
      <w:r>
        <w:t>through</w:t>
      </w:r>
      <w:r w:rsidRPr="006029D1">
        <w:t xml:space="preserve"> activities with non-government partners to </w:t>
      </w:r>
      <w:r>
        <w:t>g</w:t>
      </w:r>
      <w:r w:rsidRPr="006029D1">
        <w:t>overnment service providers</w:t>
      </w:r>
      <w:r>
        <w:t>. T</w:t>
      </w:r>
      <w:r w:rsidRPr="006029D1">
        <w:t>he Australian</w:t>
      </w:r>
      <w:r>
        <w:t>-</w:t>
      </w:r>
      <w:r w:rsidRPr="006029D1">
        <w:t>funded maternal and child health program through BRAC and</w:t>
      </w:r>
      <w:r>
        <w:t xml:space="preserve"> the</w:t>
      </w:r>
      <w:r w:rsidRPr="006029D1">
        <w:t xml:space="preserve"> </w:t>
      </w:r>
      <w:r>
        <w:t>United Nations Children’s Fund (</w:t>
      </w:r>
      <w:r w:rsidRPr="006029D1">
        <w:t>UNICEF</w:t>
      </w:r>
      <w:r>
        <w:t>), for example,</w:t>
      </w:r>
      <w:r w:rsidRPr="006029D1">
        <w:t xml:space="preserve"> is recognised by </w:t>
      </w:r>
      <w:r>
        <w:t xml:space="preserve">the </w:t>
      </w:r>
      <w:r w:rsidRPr="006029D1">
        <w:t>Government</w:t>
      </w:r>
      <w:r>
        <w:t xml:space="preserve"> of Bangladesh</w:t>
      </w:r>
      <w:r w:rsidRPr="006029D1">
        <w:t xml:space="preserve"> </w:t>
      </w:r>
      <w:r>
        <w:t>for</w:t>
      </w:r>
      <w:r w:rsidRPr="006029D1">
        <w:t xml:space="preserve"> valuable lessons for health services</w:t>
      </w:r>
      <w:r>
        <w:t xml:space="preserve">. </w:t>
      </w:r>
      <w:r w:rsidRPr="006029D1">
        <w:t>However, the</w:t>
      </w:r>
      <w:r>
        <w:t xml:space="preserve"> transfer of learning has been</w:t>
      </w:r>
      <w:r w:rsidRPr="006029D1">
        <w:t xml:space="preserve"> opportunistic, not systematically recorded and not based on a developed view of how innovation outside </w:t>
      </w:r>
      <w:r>
        <w:t>g</w:t>
      </w:r>
      <w:r w:rsidRPr="006029D1">
        <w:t>overnment can best be integrated into national policy</w:t>
      </w:r>
      <w:r>
        <w:t xml:space="preserve">. </w:t>
      </w:r>
    </w:p>
    <w:p w14:paraId="79C05908" w14:textId="083A2C05" w:rsidR="00115F30" w:rsidRPr="006029D1" w:rsidRDefault="00115F30" w:rsidP="0044011A">
      <w:pPr>
        <w:pStyle w:val="BodyText"/>
      </w:pPr>
      <w:r w:rsidRPr="006029D1">
        <w:t>Australia has successfully engaged in policy di</w:t>
      </w:r>
      <w:r>
        <w:t>scussion through our</w:t>
      </w:r>
      <w:r w:rsidRPr="006029D1">
        <w:t xml:space="preserve"> wider partnerships</w:t>
      </w:r>
      <w:r>
        <w:t xml:space="preserve">. </w:t>
      </w:r>
      <w:r w:rsidR="001B0907">
        <w:t>F</w:t>
      </w:r>
      <w:r>
        <w:t xml:space="preserve">or example, </w:t>
      </w:r>
      <w:r w:rsidR="001B0907">
        <w:t xml:space="preserve">it </w:t>
      </w:r>
      <w:r>
        <w:t>has</w:t>
      </w:r>
      <w:r w:rsidRPr="006029D1">
        <w:t xml:space="preserve"> used its position within sector programs and its technical expertise to encourage development partners and the Government of Bangladesh to continue to work together and broker solutions where problems arise</w:t>
      </w:r>
      <w:r>
        <w:t>.</w:t>
      </w:r>
      <w:r w:rsidR="004C5591">
        <w:rPr>
          <w:rStyle w:val="FootnoteReference"/>
        </w:rPr>
        <w:footnoteReference w:id="18"/>
      </w:r>
      <w:r>
        <w:t xml:space="preserve"> </w:t>
      </w:r>
      <w:r w:rsidRPr="006029D1">
        <w:t>Progress has been uneven</w:t>
      </w:r>
      <w:r>
        <w:t xml:space="preserve">. </w:t>
      </w:r>
      <w:r w:rsidR="00F3351B">
        <w:t>A</w:t>
      </w:r>
      <w:r w:rsidRPr="006029D1">
        <w:t xml:space="preserve"> combination of strong development partner relationships, a positive policy environment and a </w:t>
      </w:r>
      <w:r w:rsidRPr="006029D1">
        <w:lastRenderedPageBreak/>
        <w:t>tightly designed sector program contributed to alignment and to results in education</w:t>
      </w:r>
      <w:r>
        <w:t xml:space="preserve">. </w:t>
      </w:r>
      <w:r w:rsidRPr="006029D1">
        <w:t>In less well-structured engagement</w:t>
      </w:r>
      <w:r w:rsidR="002E3839">
        <w:t>s</w:t>
      </w:r>
      <w:r w:rsidRPr="006029D1">
        <w:t>, such as</w:t>
      </w:r>
      <w:r w:rsidR="00E755AA">
        <w:t xml:space="preserve"> in</w:t>
      </w:r>
      <w:r w:rsidRPr="006029D1">
        <w:t xml:space="preserve"> health, development partners are still identifying openings to promote change, and there is more opportunity to pursue individual agendas</w:t>
      </w:r>
      <w:r>
        <w:t xml:space="preserve">. </w:t>
      </w:r>
    </w:p>
    <w:p w14:paraId="1602C3C2" w14:textId="505B1AB6" w:rsidR="00115F30" w:rsidRPr="006029D1" w:rsidRDefault="00115F30" w:rsidP="0044011A">
      <w:pPr>
        <w:pStyle w:val="BodyText"/>
      </w:pPr>
      <w:r w:rsidRPr="00AE669D">
        <w:t xml:space="preserve">Six Australia Awards scholarships </w:t>
      </w:r>
      <w:r w:rsidR="00AE669D" w:rsidRPr="00AE669D">
        <w:t>for</w:t>
      </w:r>
      <w:r w:rsidRPr="00AE669D">
        <w:t xml:space="preserve"> postgraduate study in health and public sector management in Australia were awarded to government health professionals and </w:t>
      </w:r>
      <w:proofErr w:type="spellStart"/>
      <w:r w:rsidRPr="00AE669D">
        <w:t>Icddr</w:t>
      </w:r>
      <w:proofErr w:type="gramStart"/>
      <w:r w:rsidRPr="00AE669D">
        <w:t>,b</w:t>
      </w:r>
      <w:proofErr w:type="spellEnd"/>
      <w:proofErr w:type="gramEnd"/>
      <w:r w:rsidRPr="00AE669D">
        <w:t xml:space="preserve"> staff who showed leadership potential.</w:t>
      </w:r>
      <w:r>
        <w:t xml:space="preserve"> </w:t>
      </w:r>
      <w:r w:rsidRPr="006029D1">
        <w:t xml:space="preserve">The launch of the Australia Awards Alumni for returned scholars provides a new </w:t>
      </w:r>
      <w:r>
        <w:t>way</w:t>
      </w:r>
      <w:r w:rsidRPr="006029D1">
        <w:t xml:space="preserve"> to strengthen institutional links between Australia’s development partners</w:t>
      </w:r>
      <w:r>
        <w:t>—</w:t>
      </w:r>
      <w:r w:rsidRPr="006029D1">
        <w:t xml:space="preserve">for example between </w:t>
      </w:r>
      <w:proofErr w:type="spellStart"/>
      <w:r w:rsidRPr="006029D1">
        <w:t>Iccdr,b</w:t>
      </w:r>
      <w:proofErr w:type="spellEnd"/>
      <w:r w:rsidRPr="006029D1">
        <w:t>, the Government of Bangladesh and Australian research institutions</w:t>
      </w:r>
      <w:r>
        <w:t xml:space="preserve">. </w:t>
      </w:r>
      <w:r w:rsidRPr="006029D1">
        <w:t>The alumni also promote ongoing professional development for returnees</w:t>
      </w:r>
      <w:r>
        <w:t xml:space="preserve">. </w:t>
      </w:r>
      <w:r w:rsidRPr="006029D1">
        <w:t>The results of an alumni tracer study conducted in 2012</w:t>
      </w:r>
      <w:r w:rsidR="00AE669D">
        <w:rPr>
          <w:rStyle w:val="FootnoteReference"/>
        </w:rPr>
        <w:footnoteReference w:id="19"/>
      </w:r>
      <w:r w:rsidRPr="006029D1">
        <w:t xml:space="preserve"> show</w:t>
      </w:r>
      <w:r w:rsidR="00E755AA">
        <w:t>ed</w:t>
      </w:r>
      <w:r w:rsidRPr="006029D1">
        <w:t xml:space="preserve"> that most alumni members </w:t>
      </w:r>
      <w:r w:rsidR="00E755AA">
        <w:t>were</w:t>
      </w:r>
      <w:r w:rsidR="00E755AA" w:rsidRPr="006029D1">
        <w:t xml:space="preserve"> </w:t>
      </w:r>
      <w:r w:rsidRPr="006029D1">
        <w:t xml:space="preserve">contributing significantly in Bangladesh with enhanced skills and knowledge, </w:t>
      </w:r>
      <w:r>
        <w:t xml:space="preserve">as well as </w:t>
      </w:r>
      <w:r w:rsidRPr="006029D1">
        <w:t>greater confidence</w:t>
      </w:r>
      <w:r>
        <w:t xml:space="preserve">. They </w:t>
      </w:r>
      <w:r w:rsidR="00E755AA">
        <w:t xml:space="preserve">were </w:t>
      </w:r>
      <w:r>
        <w:t>also holding</w:t>
      </w:r>
      <w:r w:rsidRPr="006029D1">
        <w:t xml:space="preserve"> higher positions</w:t>
      </w:r>
      <w:r w:rsidR="002E3839">
        <w:t xml:space="preserve"> within their employment</w:t>
      </w:r>
      <w:r>
        <w:t xml:space="preserve">. </w:t>
      </w:r>
    </w:p>
    <w:p w14:paraId="3F0CD198" w14:textId="521C9BFF" w:rsidR="00115F30" w:rsidRPr="0044011A" w:rsidRDefault="00115F30" w:rsidP="0044011A">
      <w:pPr>
        <w:pStyle w:val="Heading2"/>
      </w:pPr>
      <w:r w:rsidRPr="0044011A">
        <w:t xml:space="preserve">Objective 2—Fewer men and women living in extreme poverty and vulnerable to economic and natural shocks </w:t>
      </w:r>
    </w:p>
    <w:p w14:paraId="27E77FC0" w14:textId="1442600D" w:rsidR="00115F30" w:rsidRPr="0044011A" w:rsidRDefault="00115F30" w:rsidP="0044011A">
      <w:pPr>
        <w:pStyle w:val="BodyText"/>
        <w:rPr>
          <w:rStyle w:val="CaptionChar"/>
          <w:rFonts w:ascii="Times New Roman" w:hAnsi="Times New Roman" w:cs="Times New Roman"/>
          <w:i/>
          <w:color w:val="auto"/>
          <w:sz w:val="22"/>
          <w:szCs w:val="24"/>
        </w:rPr>
      </w:pPr>
      <w:r w:rsidRPr="0044011A">
        <w:rPr>
          <w:rStyle w:val="CaptionChar"/>
          <w:rFonts w:ascii="Times New Roman" w:hAnsi="Times New Roman" w:cs="Times New Roman"/>
          <w:i/>
          <w:color w:val="auto"/>
          <w:sz w:val="22"/>
          <w:szCs w:val="24"/>
        </w:rPr>
        <w:t xml:space="preserve">The rating is based on continuing good performance by BRAC and emerging government interest in more effectively tackling vulnerability to economic and natural shocks. Australia is now well placed to have greater impact through engagement with the Government of Bangladesh and other donors in the emerging, but nascent, policy responses to reducing vulnerability. This builds on our direct assistance to the extreme poor and national-level progress to date. </w:t>
      </w:r>
    </w:p>
    <w:p w14:paraId="771CBD6A" w14:textId="115B3045" w:rsidR="00115F30" w:rsidRPr="006029D1" w:rsidRDefault="00115F30" w:rsidP="0044011A">
      <w:pPr>
        <w:pStyle w:val="BodyText"/>
      </w:pPr>
      <w:r w:rsidRPr="006029D1">
        <w:rPr>
          <w:b/>
        </w:rPr>
        <w:t>Significant reductions in poverty levels mask the vulnerability of large numbers of poor people</w:t>
      </w:r>
      <w:r>
        <w:rPr>
          <w:b/>
        </w:rPr>
        <w:t xml:space="preserve">. </w:t>
      </w:r>
      <w:r w:rsidRPr="006029D1">
        <w:t>Bangladesh has reduced poverty by two per cent annually since 2005, and is close to halving poverty from 1990 levels</w:t>
      </w:r>
      <w:r>
        <w:t>.</w:t>
      </w:r>
      <w:r w:rsidRPr="004C5591">
        <w:rPr>
          <w:rStyle w:val="FootnoteReference"/>
        </w:rPr>
        <w:footnoteReference w:id="20"/>
      </w:r>
      <w:r w:rsidRPr="004C5591">
        <w:rPr>
          <w:rStyle w:val="FootnoteReference"/>
        </w:rPr>
        <w:t xml:space="preserve"> </w:t>
      </w:r>
      <w:r>
        <w:t>While this is a</w:t>
      </w:r>
      <w:r w:rsidRPr="006029D1">
        <w:t xml:space="preserve"> remarkable achievement, around </w:t>
      </w:r>
      <w:r w:rsidR="00E86275">
        <w:br/>
      </w:r>
      <w:r w:rsidRPr="006029D1">
        <w:t xml:space="preserve">47 million people still live below the poverty line, urban poverty is </w:t>
      </w:r>
      <w:r>
        <w:t xml:space="preserve">on the rise </w:t>
      </w:r>
      <w:r w:rsidRPr="006029D1">
        <w:t>and many living above the poverty line are at risk of falling below it</w:t>
      </w:r>
      <w:r>
        <w:t xml:space="preserve">. </w:t>
      </w:r>
      <w:r w:rsidRPr="006029D1">
        <w:t xml:space="preserve">Social welfare programs are not effectively protecting the poor from food insecurity and other effects of </w:t>
      </w:r>
      <w:r w:rsidR="003642F1" w:rsidRPr="006029D1">
        <w:t>economic shocks</w:t>
      </w:r>
      <w:r w:rsidR="003642F1">
        <w:t>,</w:t>
      </w:r>
      <w:r w:rsidR="003642F1" w:rsidRPr="006029D1">
        <w:t xml:space="preserve"> </w:t>
      </w:r>
      <w:r w:rsidRPr="006029D1">
        <w:t>natural disasters</w:t>
      </w:r>
      <w:r w:rsidR="003642F1">
        <w:t xml:space="preserve"> and climate </w:t>
      </w:r>
      <w:r w:rsidRPr="006029D1">
        <w:t>change</w:t>
      </w:r>
      <w:r>
        <w:t>. W</w:t>
      </w:r>
      <w:r w:rsidRPr="006029D1">
        <w:t>omen remain more exposed to poverty than men</w:t>
      </w:r>
      <w:r>
        <w:t xml:space="preserve">. </w:t>
      </w:r>
      <w:r w:rsidRPr="006029D1">
        <w:t>Female</w:t>
      </w:r>
      <w:r>
        <w:t>-</w:t>
      </w:r>
      <w:r w:rsidRPr="006029D1">
        <w:t>headed households are twice as likely to be living in poverty</w:t>
      </w:r>
      <w:r w:rsidR="008D6148">
        <w:rPr>
          <w:rStyle w:val="FootnoteReference"/>
        </w:rPr>
        <w:footnoteReference w:id="21"/>
      </w:r>
      <w:r w:rsidR="00586AF8">
        <w:t xml:space="preserve">, </w:t>
      </w:r>
      <w:r w:rsidRPr="006029D1">
        <w:t>while skills shortages often prevent extremely poor women from gaining jobs, including in the garment industry</w:t>
      </w:r>
      <w:r>
        <w:t xml:space="preserve">. </w:t>
      </w:r>
    </w:p>
    <w:p w14:paraId="4355C1B8" w14:textId="1AD9F3C2" w:rsidR="00115F30" w:rsidRPr="006029D1" w:rsidRDefault="00115F30" w:rsidP="0044011A">
      <w:pPr>
        <w:pStyle w:val="BodyText"/>
      </w:pPr>
      <w:r w:rsidRPr="006029D1">
        <w:rPr>
          <w:b/>
        </w:rPr>
        <w:t xml:space="preserve">Australia has successfully worked, often in </w:t>
      </w:r>
      <w:r w:rsidR="0060291F">
        <w:rPr>
          <w:b/>
        </w:rPr>
        <w:t>complex and</w:t>
      </w:r>
      <w:r w:rsidR="0060291F" w:rsidRPr="006029D1">
        <w:rPr>
          <w:b/>
        </w:rPr>
        <w:t xml:space="preserve"> </w:t>
      </w:r>
      <w:r w:rsidRPr="006029D1">
        <w:rPr>
          <w:b/>
        </w:rPr>
        <w:t>challenging circumstances, to meet the needs of the most extreme and vulnerable poor</w:t>
      </w:r>
      <w:r>
        <w:rPr>
          <w:b/>
        </w:rPr>
        <w:t xml:space="preserve">. </w:t>
      </w:r>
      <w:r w:rsidRPr="006029D1">
        <w:t>Through partnership</w:t>
      </w:r>
      <w:r w:rsidR="001137F9">
        <w:t>s</w:t>
      </w:r>
      <w:r w:rsidRPr="006029D1">
        <w:t xml:space="preserve"> with BRAC and the U</w:t>
      </w:r>
      <w:r>
        <w:t xml:space="preserve">nited </w:t>
      </w:r>
      <w:r w:rsidRPr="006029D1">
        <w:t>K</w:t>
      </w:r>
      <w:r>
        <w:t>ingdom’s Department for International Development</w:t>
      </w:r>
      <w:r w:rsidR="00F43D00">
        <w:t xml:space="preserve"> (DFID)</w:t>
      </w:r>
      <w:r w:rsidRPr="006029D1">
        <w:t xml:space="preserve">, Australia </w:t>
      </w:r>
      <w:r w:rsidR="001137F9">
        <w:t>provided cash transfers, productive assets and business skills training to</w:t>
      </w:r>
      <w:r w:rsidRPr="006029D1">
        <w:t xml:space="preserve"> </w:t>
      </w:r>
      <w:r w:rsidR="000C07E0">
        <w:t>over 88,000 men and women</w:t>
      </w:r>
      <w:r w:rsidR="001137F9">
        <w:t xml:space="preserve"> reducing their vulnerability to poverty. </w:t>
      </w:r>
      <w:r w:rsidR="00C27C03" w:rsidRPr="00C27C03">
        <w:t xml:space="preserve">Australia continued to </w:t>
      </w:r>
      <w:r w:rsidR="00EC3BF5">
        <w:t>target</w:t>
      </w:r>
      <w:r w:rsidR="00EC3BF5" w:rsidRPr="00C27C03">
        <w:t xml:space="preserve"> </w:t>
      </w:r>
      <w:r w:rsidR="00C27C03" w:rsidRPr="00C27C03">
        <w:t xml:space="preserve">assistance </w:t>
      </w:r>
      <w:r w:rsidR="00EC3BF5">
        <w:t>to</w:t>
      </w:r>
      <w:r w:rsidR="00C27C03" w:rsidRPr="00C27C03">
        <w:t xml:space="preserve"> </w:t>
      </w:r>
      <w:r w:rsidR="00EC3BF5">
        <w:t>some</w:t>
      </w:r>
      <w:r w:rsidRPr="006029D1">
        <w:t xml:space="preserve"> of the country’s poorest and most food insecure </w:t>
      </w:r>
      <w:r w:rsidR="00EC3BF5">
        <w:t>areas</w:t>
      </w:r>
      <w:r>
        <w:t xml:space="preserve">. </w:t>
      </w:r>
      <w:r w:rsidRPr="006029D1">
        <w:t>Support in these areas</w:t>
      </w:r>
      <w:r w:rsidR="00EC3BF5">
        <w:t>, such as Cox’s Bazar District,</w:t>
      </w:r>
      <w:r w:rsidRPr="006029D1">
        <w:t xml:space="preserve"> through </w:t>
      </w:r>
      <w:r>
        <w:t>the United Nations World Food Programme</w:t>
      </w:r>
      <w:r w:rsidRPr="006029D1">
        <w:t xml:space="preserve"> is providing training and grants to 700 extreme poor women to strengthen their livelihoods and break the intergenerational cycle of poverty and under-nutrition</w:t>
      </w:r>
      <w:r>
        <w:t xml:space="preserve">. </w:t>
      </w:r>
      <w:r w:rsidR="00F43D00">
        <w:t xml:space="preserve">We </w:t>
      </w:r>
      <w:r w:rsidR="00C27C03">
        <w:t xml:space="preserve">supported </w:t>
      </w:r>
      <w:r w:rsidR="00867D47">
        <w:t xml:space="preserve">the World Food Programme </w:t>
      </w:r>
      <w:r w:rsidR="00C27C03">
        <w:t xml:space="preserve">to provide food for refugees from Myanmar who are living inside two official camps in Cox’s Bazar District. </w:t>
      </w:r>
      <w:r w:rsidR="00F43D00">
        <w:t>We are</w:t>
      </w:r>
      <w:r w:rsidRPr="006029D1">
        <w:t xml:space="preserve"> also working to strengthen rice-maize production</w:t>
      </w:r>
      <w:r w:rsidR="00FD0510">
        <w:t xml:space="preserve"> across Bangladesh</w:t>
      </w:r>
      <w:r>
        <w:t xml:space="preserve">. </w:t>
      </w:r>
    </w:p>
    <w:p w14:paraId="704897B0" w14:textId="7257900B" w:rsidR="00115F30" w:rsidRPr="006029D1" w:rsidRDefault="00115F30" w:rsidP="0044011A">
      <w:pPr>
        <w:pStyle w:val="BodyText"/>
      </w:pPr>
      <w:r w:rsidRPr="006029D1">
        <w:rPr>
          <w:b/>
        </w:rPr>
        <w:t xml:space="preserve">Australia is working with </w:t>
      </w:r>
      <w:r>
        <w:rPr>
          <w:b/>
        </w:rPr>
        <w:t xml:space="preserve">the </w:t>
      </w:r>
      <w:r w:rsidRPr="006029D1">
        <w:rPr>
          <w:b/>
        </w:rPr>
        <w:t>Government</w:t>
      </w:r>
      <w:r>
        <w:rPr>
          <w:b/>
        </w:rPr>
        <w:t xml:space="preserve"> of Bangladesh</w:t>
      </w:r>
      <w:r w:rsidRPr="006029D1">
        <w:rPr>
          <w:b/>
        </w:rPr>
        <w:t xml:space="preserve"> to influence policy in the areas of social protection, disaster risk reduction and</w:t>
      </w:r>
      <w:r>
        <w:rPr>
          <w:b/>
        </w:rPr>
        <w:t>,</w:t>
      </w:r>
      <w:r w:rsidRPr="006029D1">
        <w:rPr>
          <w:b/>
        </w:rPr>
        <w:t xml:space="preserve"> to a lesser extent</w:t>
      </w:r>
      <w:r>
        <w:rPr>
          <w:b/>
        </w:rPr>
        <w:t>,</w:t>
      </w:r>
      <w:r w:rsidRPr="006029D1">
        <w:rPr>
          <w:b/>
        </w:rPr>
        <w:t xml:space="preserve"> climate change</w:t>
      </w:r>
      <w:r>
        <w:rPr>
          <w:b/>
        </w:rPr>
        <w:t xml:space="preserve">. </w:t>
      </w:r>
      <w:r w:rsidR="00F43D00">
        <w:t>We</w:t>
      </w:r>
      <w:r w:rsidR="00F43D00" w:rsidRPr="006029D1">
        <w:t xml:space="preserve"> </w:t>
      </w:r>
      <w:r>
        <w:lastRenderedPageBreak/>
        <w:t>played</w:t>
      </w:r>
      <w:r w:rsidRPr="006029D1">
        <w:t xml:space="preserve"> a</w:t>
      </w:r>
      <w:r w:rsidR="004417C1">
        <w:t xml:space="preserve">n important </w:t>
      </w:r>
      <w:r w:rsidRPr="006029D1">
        <w:t>role in th</w:t>
      </w:r>
      <w:r w:rsidR="00632316">
        <w:t xml:space="preserve">e organisation of a successful </w:t>
      </w:r>
      <w:r w:rsidRPr="006029D1">
        <w:t>policy seminar on social protection in 2012</w:t>
      </w:r>
      <w:r w:rsidR="00AE669D">
        <w:rPr>
          <w:rStyle w:val="FootnoteReference"/>
        </w:rPr>
        <w:footnoteReference w:id="22"/>
      </w:r>
      <w:r w:rsidR="00F43D00">
        <w:t>,</w:t>
      </w:r>
      <w:r w:rsidR="00586AF8">
        <w:t xml:space="preserve"> </w:t>
      </w:r>
      <w:r w:rsidRPr="006029D1">
        <w:t>attended by senior government officials</w:t>
      </w:r>
      <w:r>
        <w:t xml:space="preserve">. </w:t>
      </w:r>
      <w:r w:rsidRPr="006029D1">
        <w:t xml:space="preserve">This mobilised further support for reform from government and partners toward the development of a </w:t>
      </w:r>
      <w:r w:rsidR="004417C1">
        <w:t>N</w:t>
      </w:r>
      <w:r w:rsidRPr="006029D1">
        <w:t xml:space="preserve">ational </w:t>
      </w:r>
      <w:r w:rsidR="004417C1">
        <w:t>S</w:t>
      </w:r>
      <w:r w:rsidRPr="006029D1">
        <w:t>ocia</w:t>
      </w:r>
      <w:r w:rsidR="0097265D">
        <w:t>l</w:t>
      </w:r>
      <w:r w:rsidRPr="006029D1">
        <w:t xml:space="preserve"> </w:t>
      </w:r>
      <w:r w:rsidR="004417C1">
        <w:t>P</w:t>
      </w:r>
      <w:r w:rsidRPr="006029D1">
        <w:t xml:space="preserve">rotection </w:t>
      </w:r>
      <w:r w:rsidR="004417C1">
        <w:t>Strategy</w:t>
      </w:r>
      <w:r>
        <w:t xml:space="preserve">. </w:t>
      </w:r>
      <w:r w:rsidR="001C5C9C" w:rsidRPr="009B1872">
        <w:t>Support for the government’s Comprehensive Disaster Management Programme helped deploy trained volunteers to assist recovery efforts at the site of a garment factory</w:t>
      </w:r>
      <w:r w:rsidR="00430927">
        <w:t xml:space="preserve"> which </w:t>
      </w:r>
      <w:r w:rsidR="001C5C9C" w:rsidRPr="009B1872">
        <w:t>collapse</w:t>
      </w:r>
      <w:r w:rsidR="00430927">
        <w:t>d</w:t>
      </w:r>
      <w:r w:rsidR="001C5C9C" w:rsidRPr="009B1872">
        <w:t xml:space="preserve"> near Dhaka in April 2013.</w:t>
      </w:r>
      <w:r w:rsidR="004417C1">
        <w:t xml:space="preserve"> Engagement with the </w:t>
      </w:r>
      <w:r w:rsidR="00F43D00">
        <w:t>G</w:t>
      </w:r>
      <w:r w:rsidR="004417C1">
        <w:t>overnment through this program also</w:t>
      </w:r>
      <w:r w:rsidRPr="006029D1">
        <w:t xml:space="preserve"> helped the Bangladesh Parliament pass the Disaster Management Act</w:t>
      </w:r>
      <w:r w:rsidR="0097265D">
        <w:t xml:space="preserve"> 2012</w:t>
      </w:r>
      <w:r w:rsidR="003A1A01">
        <w:t xml:space="preserve"> which </w:t>
      </w:r>
      <w:r w:rsidRPr="006029D1">
        <w:t>strengthen</w:t>
      </w:r>
      <w:r w:rsidR="004417C1">
        <w:t>s</w:t>
      </w:r>
      <w:r w:rsidRPr="006029D1">
        <w:t xml:space="preserve"> the </w:t>
      </w:r>
      <w:r>
        <w:t>G</w:t>
      </w:r>
      <w:r w:rsidRPr="006029D1">
        <w:t>overnment’s capability to assist the large numbers of Bangladeshis affected by natural disasters each year</w:t>
      </w:r>
      <w:r>
        <w:t xml:space="preserve"> (</w:t>
      </w:r>
      <w:r w:rsidRPr="006029D1">
        <w:t>1</w:t>
      </w:r>
      <w:r>
        <w:t>.</w:t>
      </w:r>
      <w:r w:rsidRPr="006029D1">
        <w:t>6 million in 2011</w:t>
      </w:r>
      <w:r>
        <w:t>).</w:t>
      </w:r>
      <w:r w:rsidRPr="004C5591">
        <w:rPr>
          <w:rStyle w:val="FootnoteReference"/>
        </w:rPr>
        <w:footnoteReference w:id="23"/>
      </w:r>
      <w:r w:rsidRPr="006029D1">
        <w:rPr>
          <w:rFonts w:eastAsiaTheme="minorHAnsi"/>
          <w:sz w:val="24"/>
        </w:rPr>
        <w:t xml:space="preserve"> </w:t>
      </w:r>
      <w:r w:rsidR="00F43D00">
        <w:t>We</w:t>
      </w:r>
      <w:r w:rsidR="00F43D00" w:rsidRPr="003B3FB2">
        <w:t xml:space="preserve"> </w:t>
      </w:r>
      <w:r w:rsidR="00FD0510">
        <w:t xml:space="preserve">cooperated </w:t>
      </w:r>
      <w:r w:rsidRPr="006029D1">
        <w:t xml:space="preserve">with partners to help develop and test a joint needs assessment process </w:t>
      </w:r>
      <w:r>
        <w:t xml:space="preserve">to use </w:t>
      </w:r>
      <w:r w:rsidR="0060291F">
        <w:t xml:space="preserve">in the wake of </w:t>
      </w:r>
      <w:r>
        <w:t>disaster</w:t>
      </w:r>
      <w:r w:rsidR="00EF5ECB">
        <w:t>s</w:t>
      </w:r>
      <w:r>
        <w:t xml:space="preserve">. </w:t>
      </w:r>
      <w:r w:rsidRPr="006029D1">
        <w:t xml:space="preserve">This will strengthen the </w:t>
      </w:r>
      <w:r>
        <w:t>Go</w:t>
      </w:r>
      <w:r w:rsidRPr="006029D1">
        <w:t>vernment’s ability to coordinate disaster response efforts</w:t>
      </w:r>
      <w:r>
        <w:t xml:space="preserve">. </w:t>
      </w:r>
      <w:r w:rsidR="00F43D00">
        <w:t>W</w:t>
      </w:r>
      <w:r w:rsidR="00303091">
        <w:t>e</w:t>
      </w:r>
      <w:r w:rsidR="00F43D00" w:rsidRPr="006029D1">
        <w:t xml:space="preserve"> </w:t>
      </w:r>
      <w:r w:rsidRPr="006029D1">
        <w:t>prepared standard operating procedures for</w:t>
      </w:r>
      <w:r w:rsidR="00FD0510">
        <w:t xml:space="preserve"> any </w:t>
      </w:r>
      <w:r w:rsidR="00632316">
        <w:t>Australian</w:t>
      </w:r>
      <w:r w:rsidRPr="006029D1">
        <w:t xml:space="preserve"> response to humanitarian emergenc</w:t>
      </w:r>
      <w:r>
        <w:t>ies</w:t>
      </w:r>
      <w:r w:rsidRPr="006029D1">
        <w:t xml:space="preserve">, </w:t>
      </w:r>
      <w:r w:rsidR="00632316">
        <w:t>integrating</w:t>
      </w:r>
      <w:r w:rsidR="0016105C">
        <w:t xml:space="preserve"> it</w:t>
      </w:r>
      <w:r w:rsidR="00632316">
        <w:t xml:space="preserve"> with</w:t>
      </w:r>
      <w:r w:rsidR="00FD0510">
        <w:t xml:space="preserve"> </w:t>
      </w:r>
      <w:r w:rsidRPr="006029D1">
        <w:t>the</w:t>
      </w:r>
      <w:r w:rsidR="0016105C">
        <w:t xml:space="preserve"> Government’s </w:t>
      </w:r>
      <w:r w:rsidRPr="006029D1">
        <w:t>joint needs assessment process</w:t>
      </w:r>
      <w:r>
        <w:t xml:space="preserve">. </w:t>
      </w:r>
      <w:r w:rsidRPr="006029D1">
        <w:t xml:space="preserve">Policy engagement on climate change was limited and centred </w:t>
      </w:r>
      <w:proofErr w:type="gramStart"/>
      <w:r w:rsidRPr="006029D1">
        <w:t>around</w:t>
      </w:r>
      <w:proofErr w:type="gramEnd"/>
      <w:r w:rsidRPr="006029D1">
        <w:t xml:space="preserve"> </w:t>
      </w:r>
      <w:proofErr w:type="spellStart"/>
      <w:r w:rsidRPr="006029D1">
        <w:t>operationali</w:t>
      </w:r>
      <w:r>
        <w:t>s</w:t>
      </w:r>
      <w:r w:rsidRPr="006029D1">
        <w:t>ing</w:t>
      </w:r>
      <w:proofErr w:type="spellEnd"/>
      <w:r w:rsidRPr="006029D1">
        <w:t xml:space="preserve"> the Bangladesh Climate Change Resilience Fund</w:t>
      </w:r>
      <w:r>
        <w:t xml:space="preserve">. </w:t>
      </w:r>
    </w:p>
    <w:p w14:paraId="1028D762" w14:textId="691181BD" w:rsidR="003B4220" w:rsidRPr="009B1872" w:rsidRDefault="00115F30" w:rsidP="0044011A">
      <w:pPr>
        <w:pStyle w:val="BodyText"/>
      </w:pPr>
      <w:r>
        <w:rPr>
          <w:b/>
        </w:rPr>
        <w:t>Australia’s</w:t>
      </w:r>
      <w:r w:rsidRPr="006029D1">
        <w:rPr>
          <w:b/>
        </w:rPr>
        <w:t xml:space="preserve"> experience in driving the momentum in social protection reform demonstrates an effective approach for </w:t>
      </w:r>
      <w:r>
        <w:rPr>
          <w:b/>
        </w:rPr>
        <w:t>us</w:t>
      </w:r>
      <w:r w:rsidR="00E86275">
        <w:rPr>
          <w:b/>
        </w:rPr>
        <w:t>,</w:t>
      </w:r>
      <w:r w:rsidRPr="006029D1">
        <w:rPr>
          <w:b/>
        </w:rPr>
        <w:t xml:space="preserve"> in a </w:t>
      </w:r>
      <w:proofErr w:type="gramStart"/>
      <w:r w:rsidRPr="006029D1">
        <w:rPr>
          <w:b/>
        </w:rPr>
        <w:t>conducive</w:t>
      </w:r>
      <w:proofErr w:type="gramEnd"/>
      <w:r w:rsidRPr="006029D1">
        <w:rPr>
          <w:b/>
        </w:rPr>
        <w:t xml:space="preserve"> environment</w:t>
      </w:r>
      <w:r>
        <w:rPr>
          <w:b/>
        </w:rPr>
        <w:t xml:space="preserve">. </w:t>
      </w:r>
      <w:r w:rsidR="00F43D00">
        <w:t>Our</w:t>
      </w:r>
      <w:r w:rsidR="00F43D00" w:rsidRPr="006029D1">
        <w:t xml:space="preserve"> </w:t>
      </w:r>
      <w:r w:rsidR="00430927">
        <w:t>role</w:t>
      </w:r>
      <w:r w:rsidR="00430927" w:rsidRPr="006029D1">
        <w:t xml:space="preserve"> </w:t>
      </w:r>
      <w:r w:rsidRPr="006029D1">
        <w:t>in success</w:t>
      </w:r>
      <w:r w:rsidR="00430927">
        <w:t>fully</w:t>
      </w:r>
      <w:r w:rsidRPr="006029D1">
        <w:t xml:space="preserve"> advancing social protection reform was based on brokering relationships, providing high</w:t>
      </w:r>
      <w:r>
        <w:t>-</w:t>
      </w:r>
      <w:r w:rsidRPr="006029D1">
        <w:t>quality technical and policy advice, and strategic</w:t>
      </w:r>
      <w:r>
        <w:t>ally using</w:t>
      </w:r>
      <w:r w:rsidRPr="006029D1">
        <w:t xml:space="preserve"> </w:t>
      </w:r>
      <w:r>
        <w:t>our</w:t>
      </w:r>
      <w:r w:rsidRPr="006029D1">
        <w:t xml:space="preserve"> </w:t>
      </w:r>
      <w:r>
        <w:t xml:space="preserve">small </w:t>
      </w:r>
      <w:r w:rsidRPr="006029D1">
        <w:t>budget</w:t>
      </w:r>
      <w:r>
        <w:t xml:space="preserve"> </w:t>
      </w:r>
      <w:r w:rsidR="00F43D00">
        <w:t>(</w:t>
      </w:r>
      <w:r>
        <w:t>relative to other donors</w:t>
      </w:r>
      <w:r w:rsidR="00F43D00">
        <w:t>)</w:t>
      </w:r>
      <w:r>
        <w:t>.</w:t>
      </w:r>
      <w:r w:rsidRPr="009B1872">
        <w:t xml:space="preserve"> </w:t>
      </w:r>
      <w:r w:rsidRPr="006029D1">
        <w:t xml:space="preserve">Without </w:t>
      </w:r>
      <w:r w:rsidR="00F43D00">
        <w:t>our</w:t>
      </w:r>
      <w:r w:rsidR="00F43D00" w:rsidRPr="006029D1">
        <w:t xml:space="preserve"> </w:t>
      </w:r>
      <w:r w:rsidRPr="006029D1">
        <w:t>strong involvement in this area momentum may have been lost</w:t>
      </w:r>
      <w:r>
        <w:t xml:space="preserve">. </w:t>
      </w:r>
      <w:r w:rsidR="003B4220" w:rsidRPr="009B1872">
        <w:t xml:space="preserve">Australian analysis of the sector has highlighted the potential positive impact a reformed social security system could have on reducing poverty and stimulating economic growth. </w:t>
      </w:r>
      <w:r w:rsidR="00F43D00">
        <w:t>We are</w:t>
      </w:r>
      <w:r w:rsidR="003B4220" w:rsidRPr="009B1872">
        <w:t xml:space="preserve"> developing a </w:t>
      </w:r>
      <w:r w:rsidR="00F43D00">
        <w:t>d</w:t>
      </w:r>
      <w:r w:rsidR="003B4220" w:rsidRPr="009B1872">
        <w:t xml:space="preserve">elivery </w:t>
      </w:r>
      <w:r w:rsidR="00F43D00">
        <w:t>s</w:t>
      </w:r>
      <w:r w:rsidR="003B4220" w:rsidRPr="009B1872">
        <w:t xml:space="preserve">trategy to guide investments </w:t>
      </w:r>
      <w:r w:rsidR="00EC518B" w:rsidRPr="009B1872">
        <w:t>in</w:t>
      </w:r>
      <w:r w:rsidR="003B4220" w:rsidRPr="009B1872">
        <w:t xml:space="preserve"> support</w:t>
      </w:r>
      <w:r w:rsidR="00EC518B" w:rsidRPr="009B1872">
        <w:t xml:space="preserve"> of</w:t>
      </w:r>
      <w:r w:rsidR="003B4220" w:rsidRPr="009B1872">
        <w:t xml:space="preserve"> progressive policy and effective </w:t>
      </w:r>
      <w:r w:rsidR="002960CD">
        <w:t>social security</w:t>
      </w:r>
      <w:r w:rsidR="003B4220" w:rsidRPr="009B1872">
        <w:t xml:space="preserve"> programs. Working with partners this may include an increased focus on the </w:t>
      </w:r>
      <w:r w:rsidR="00EC518B" w:rsidRPr="009B1872">
        <w:t>G</w:t>
      </w:r>
      <w:r w:rsidR="003B4220" w:rsidRPr="009B1872">
        <w:t>overnment providing universal financial assistance to help reduce vulnerabilities at key points in the life</w:t>
      </w:r>
      <w:r w:rsidR="002960CD">
        <w:t xml:space="preserve"> cycle</w:t>
      </w:r>
      <w:r w:rsidR="003B4220" w:rsidRPr="009B1872">
        <w:t xml:space="preserve"> (</w:t>
      </w:r>
      <w:r w:rsidR="00F43D00">
        <w:t>for example,</w:t>
      </w:r>
      <w:r w:rsidR="003B4220" w:rsidRPr="009B1872">
        <w:t xml:space="preserve"> </w:t>
      </w:r>
      <w:r w:rsidR="002960CD">
        <w:t xml:space="preserve">pregnancy, early childhood, school age and </w:t>
      </w:r>
      <w:r w:rsidR="003B4220" w:rsidRPr="009B1872">
        <w:t>old age) and address national inequality through wealth redistribution.</w:t>
      </w:r>
    </w:p>
    <w:p w14:paraId="34A9426E" w14:textId="691CCD7B" w:rsidR="00115F30" w:rsidRPr="006029D1" w:rsidRDefault="00115F30" w:rsidP="0044011A">
      <w:pPr>
        <w:pStyle w:val="BodyText"/>
      </w:pPr>
      <w:r w:rsidRPr="00B941F1">
        <w:rPr>
          <w:b/>
        </w:rPr>
        <w:t>In climate change the operating context was not conducive to policy influence.</w:t>
      </w:r>
      <w:r>
        <w:t xml:space="preserve"> </w:t>
      </w:r>
      <w:r w:rsidRPr="006029D1">
        <w:t xml:space="preserve">Throughout the year </w:t>
      </w:r>
      <w:r w:rsidR="00F43D00">
        <w:t>our</w:t>
      </w:r>
      <w:r w:rsidR="00F43D00" w:rsidRPr="006029D1">
        <w:t xml:space="preserve"> </w:t>
      </w:r>
      <w:r w:rsidRPr="006029D1">
        <w:t xml:space="preserve">focus was </w:t>
      </w:r>
      <w:r>
        <w:t>on</w:t>
      </w:r>
      <w:r w:rsidRPr="006029D1">
        <w:t xml:space="preserve"> resolving coordination and management challenges among partners</w:t>
      </w:r>
      <w:r>
        <w:t>.</w:t>
      </w:r>
      <w:r w:rsidR="00F64A6E">
        <w:t xml:space="preserve"> </w:t>
      </w:r>
      <w:r w:rsidR="00F43D00">
        <w:t xml:space="preserve">Challenges </w:t>
      </w:r>
      <w:r w:rsidR="00F64A6E">
        <w:t>included</w:t>
      </w:r>
      <w:r>
        <w:t xml:space="preserve"> </w:t>
      </w:r>
      <w:r w:rsidR="00EC518B">
        <w:t xml:space="preserve">delays to the </w:t>
      </w:r>
      <w:r w:rsidR="00F43D00">
        <w:t xml:space="preserve">start </w:t>
      </w:r>
      <w:r w:rsidR="00EC518B">
        <w:t xml:space="preserve">of </w:t>
      </w:r>
      <w:r w:rsidR="00F64A6E">
        <w:t>capacity</w:t>
      </w:r>
      <w:r w:rsidR="00F43D00">
        <w:t>-</w:t>
      </w:r>
      <w:r w:rsidR="00F64A6E">
        <w:t xml:space="preserve">building activities </w:t>
      </w:r>
      <w:r w:rsidR="00EC518B">
        <w:t>aimed at</w:t>
      </w:r>
      <w:r w:rsidR="00F64A6E">
        <w:t xml:space="preserve"> </w:t>
      </w:r>
      <w:r w:rsidR="00EC518B">
        <w:t>strengthening</w:t>
      </w:r>
      <w:r w:rsidR="00F64A6E">
        <w:t xml:space="preserve"> the </w:t>
      </w:r>
      <w:r w:rsidR="00EC518B">
        <w:t>G</w:t>
      </w:r>
      <w:r w:rsidR="00F64A6E">
        <w:t>overnment’s climate change</w:t>
      </w:r>
      <w:r w:rsidR="00EC518B">
        <w:t xml:space="preserve"> capability</w:t>
      </w:r>
      <w:r w:rsidR="00303091">
        <w:t xml:space="preserve">, as well as </w:t>
      </w:r>
      <w:r w:rsidR="00EC518B">
        <w:t xml:space="preserve">a lengthy process to finalise </w:t>
      </w:r>
      <w:r w:rsidR="00F64A6E">
        <w:t>monitoring</w:t>
      </w:r>
      <w:r w:rsidR="00EC518B">
        <w:t xml:space="preserve"> plans for pooled investments. </w:t>
      </w:r>
      <w:r w:rsidRPr="006029D1">
        <w:t>Combined with limited ability to draw on technical input</w:t>
      </w:r>
      <w:r>
        <w:t>,</w:t>
      </w:r>
      <w:r w:rsidRPr="006029D1">
        <w:t xml:space="preserve"> our influence in</w:t>
      </w:r>
      <w:r>
        <w:t xml:space="preserve"> the area of</w:t>
      </w:r>
      <w:r w:rsidRPr="006029D1">
        <w:t xml:space="preserve"> climate change was constrained</w:t>
      </w:r>
      <w:r>
        <w:t xml:space="preserve">. </w:t>
      </w:r>
    </w:p>
    <w:p w14:paraId="5C664A67" w14:textId="49C13AB7" w:rsidR="00115F30" w:rsidRPr="006029D1" w:rsidRDefault="00115F30" w:rsidP="0044011A">
      <w:pPr>
        <w:pStyle w:val="BodyText"/>
      </w:pPr>
      <w:r w:rsidRPr="006674A1">
        <w:rPr>
          <w:b/>
        </w:rPr>
        <w:t xml:space="preserve">The gains in poverty reduction, and important momentum for policy reforms, are at risk. </w:t>
      </w:r>
      <w:r w:rsidRPr="006674A1">
        <w:t>Commitment to follow up on the current opportunity to implement social protection reform</w:t>
      </w:r>
      <w:r w:rsidRPr="006029D1">
        <w:t xml:space="preserve"> may fade, and there is much more work to </w:t>
      </w:r>
      <w:r>
        <w:t>be done</w:t>
      </w:r>
      <w:r w:rsidRPr="006029D1">
        <w:t xml:space="preserve"> to embed effective climate change adaptation into policy and practice</w:t>
      </w:r>
      <w:r>
        <w:t xml:space="preserve">. </w:t>
      </w:r>
      <w:r w:rsidR="003D158E">
        <w:t>Also, s</w:t>
      </w:r>
      <w:r w:rsidR="00EC518B">
        <w:t xml:space="preserve">lowing </w:t>
      </w:r>
      <w:r w:rsidRPr="006029D1">
        <w:t>economic growth may halt the decline in overall poverty</w:t>
      </w:r>
      <w:r w:rsidR="003D158E">
        <w:t>. Policy reform is needed to consolidate progress and extend the gains made</w:t>
      </w:r>
      <w:r>
        <w:t xml:space="preserve">. </w:t>
      </w:r>
    </w:p>
    <w:p w14:paraId="59B7800D" w14:textId="4BA87072" w:rsidR="00115F30" w:rsidRPr="0044011A" w:rsidRDefault="00115F30" w:rsidP="0044011A">
      <w:pPr>
        <w:pStyle w:val="Heading2"/>
      </w:pPr>
      <w:r w:rsidRPr="0044011A">
        <w:lastRenderedPageBreak/>
        <w:t>Objective 3—Women and marginalised groups better able to demand services and assert rights</w:t>
      </w:r>
    </w:p>
    <w:p w14:paraId="6FB86A3B" w14:textId="05F07880" w:rsidR="00115F30" w:rsidRPr="0044011A" w:rsidRDefault="00115F30" w:rsidP="0044011A">
      <w:pPr>
        <w:pStyle w:val="BodyText"/>
        <w:rPr>
          <w:rStyle w:val="CaptionChar"/>
          <w:rFonts w:ascii="Times New Roman" w:hAnsi="Times New Roman" w:cs="Times New Roman"/>
          <w:i/>
          <w:color w:val="auto"/>
          <w:sz w:val="22"/>
          <w:szCs w:val="24"/>
        </w:rPr>
      </w:pPr>
      <w:r w:rsidRPr="0044011A">
        <w:rPr>
          <w:rStyle w:val="CaptionChar"/>
          <w:rFonts w:ascii="Times New Roman" w:hAnsi="Times New Roman" w:cs="Times New Roman"/>
          <w:i/>
          <w:color w:val="auto"/>
          <w:sz w:val="22"/>
          <w:szCs w:val="24"/>
        </w:rPr>
        <w:t>The rating is based on the lack of overall evidence of positive change in the context, and because the program has not been able to focus on this area of work.</w:t>
      </w:r>
      <w:r w:rsidR="00586AF8" w:rsidRPr="0044011A">
        <w:rPr>
          <w:rStyle w:val="FootnoteReference"/>
          <w:i/>
          <w:position w:val="0"/>
          <w:sz w:val="22"/>
          <w:szCs w:val="24"/>
        </w:rPr>
        <w:t xml:space="preserve"> </w:t>
      </w:r>
      <w:r w:rsidR="00586AF8" w:rsidRPr="00940581">
        <w:rPr>
          <w:rStyle w:val="FootnoteReference"/>
          <w:i/>
          <w:position w:val="0"/>
          <w:sz w:val="22"/>
          <w:szCs w:val="24"/>
          <w:vertAlign w:val="superscript"/>
        </w:rPr>
        <w:footnoteReference w:id="24"/>
      </w:r>
      <w:r w:rsidRPr="0044011A">
        <w:rPr>
          <w:rStyle w:val="CaptionChar"/>
          <w:rFonts w:ascii="Times New Roman" w:hAnsi="Times New Roman" w:cs="Times New Roman"/>
          <w:i/>
          <w:color w:val="auto"/>
          <w:sz w:val="22"/>
          <w:szCs w:val="24"/>
        </w:rPr>
        <w:t xml:space="preserve"> This is partly due to the delay in the expected scale</w:t>
      </w:r>
      <w:r w:rsidR="00303091" w:rsidRPr="0044011A">
        <w:rPr>
          <w:rStyle w:val="CaptionChar"/>
          <w:rFonts w:ascii="Times New Roman" w:hAnsi="Times New Roman" w:cs="Times New Roman"/>
          <w:i/>
          <w:color w:val="auto"/>
          <w:sz w:val="22"/>
          <w:szCs w:val="24"/>
        </w:rPr>
        <w:t>-</w:t>
      </w:r>
      <w:r w:rsidRPr="0044011A">
        <w:rPr>
          <w:rStyle w:val="CaptionChar"/>
          <w:rFonts w:ascii="Times New Roman" w:hAnsi="Times New Roman" w:cs="Times New Roman"/>
          <w:i/>
          <w:color w:val="auto"/>
          <w:sz w:val="22"/>
          <w:szCs w:val="24"/>
        </w:rPr>
        <w:t xml:space="preserve">up of the program, and because clear targets or indicators of success were not identified. There is, however, a growing body of evidence about the nature of marginalisation and exclusion, some signs of policy reform (albeit yet to result in impact on beneficiaries) and opportunities emerging for Australia to engage and influence progress. </w:t>
      </w:r>
    </w:p>
    <w:p w14:paraId="2F7C1079" w14:textId="7850226A" w:rsidR="00115F30" w:rsidRDefault="00115F30" w:rsidP="0044011A">
      <w:pPr>
        <w:pStyle w:val="BodyText"/>
      </w:pPr>
      <w:r w:rsidRPr="0044011A">
        <w:rPr>
          <w:b/>
        </w:rPr>
        <w:t>Women and marginalised groups continue to face discrimination and disadvantage that renders them unable to assert their rights.</w:t>
      </w:r>
      <w:r>
        <w:t xml:space="preserve"> </w:t>
      </w:r>
      <w:r w:rsidRPr="006029D1">
        <w:t>During 2012</w:t>
      </w:r>
      <w:r w:rsidR="00303091">
        <w:t>–</w:t>
      </w:r>
      <w:r w:rsidRPr="006029D1">
        <w:t>13 a growing body of evidence show</w:t>
      </w:r>
      <w:r>
        <w:t>ed</w:t>
      </w:r>
      <w:r w:rsidRPr="006029D1">
        <w:t xml:space="preserve"> that certain groups in Bangladesh</w:t>
      </w:r>
      <w:r>
        <w:t>:</w:t>
      </w:r>
    </w:p>
    <w:p w14:paraId="1EE5AF8F" w14:textId="75CC0347" w:rsidR="00115F30" w:rsidRPr="0044011A" w:rsidRDefault="00115F30" w:rsidP="0044011A">
      <w:pPr>
        <w:pStyle w:val="ListBullet"/>
      </w:pPr>
      <w:r w:rsidRPr="0044011A">
        <w:t>continue to have difficulty accessing the justice system</w:t>
      </w:r>
    </w:p>
    <w:p w14:paraId="2D93D66F" w14:textId="5881A587" w:rsidR="00115F30" w:rsidRPr="0044011A" w:rsidRDefault="00115F30" w:rsidP="0044011A">
      <w:pPr>
        <w:pStyle w:val="ListBullet"/>
      </w:pPr>
      <w:r w:rsidRPr="0044011A">
        <w:t>are under-represented in the political system and other decision-making bodies</w:t>
      </w:r>
    </w:p>
    <w:p w14:paraId="15B252A0" w14:textId="00B80117" w:rsidR="00115F30" w:rsidRPr="0044011A" w:rsidRDefault="00115F30" w:rsidP="0044011A">
      <w:pPr>
        <w:pStyle w:val="ListBullet"/>
      </w:pPr>
      <w:r w:rsidRPr="0044011A">
        <w:t>do not have access to land</w:t>
      </w:r>
    </w:p>
    <w:p w14:paraId="24981BB6" w14:textId="7EAC8C50" w:rsidR="00115F30" w:rsidRPr="0044011A" w:rsidRDefault="00115F30" w:rsidP="0044011A">
      <w:pPr>
        <w:pStyle w:val="ListBullet"/>
      </w:pPr>
      <w:r w:rsidRPr="0044011A">
        <w:t>are ostracised in public places</w:t>
      </w:r>
    </w:p>
    <w:p w14:paraId="113C997D" w14:textId="77B26EC6" w:rsidR="00115F30" w:rsidRDefault="00115F30" w:rsidP="0044011A">
      <w:pPr>
        <w:pStyle w:val="ListBullet"/>
      </w:pPr>
      <w:proofErr w:type="gramStart"/>
      <w:r w:rsidRPr="0044011A">
        <w:t>experience</w:t>
      </w:r>
      <w:proofErr w:type="gramEnd"/>
      <w:r w:rsidRPr="006029D1">
        <w:t xml:space="preserve"> violence at home</w:t>
      </w:r>
      <w:r>
        <w:t>.</w:t>
      </w:r>
      <w:r w:rsidRPr="006029D1">
        <w:rPr>
          <w:rStyle w:val="FootnoteReference"/>
          <w:szCs w:val="22"/>
        </w:rPr>
        <w:footnoteReference w:id="25"/>
      </w:r>
      <w:r w:rsidRPr="006029D1">
        <w:t xml:space="preserve"> </w:t>
      </w:r>
    </w:p>
    <w:p w14:paraId="10D04EC6" w14:textId="157B5243" w:rsidR="00115F30" w:rsidRPr="006029D1" w:rsidRDefault="00115F30" w:rsidP="0044011A">
      <w:pPr>
        <w:pStyle w:val="BodyText"/>
      </w:pPr>
      <w:proofErr w:type="spellStart"/>
      <w:r w:rsidRPr="006029D1">
        <w:t>Icddr</w:t>
      </w:r>
      <w:proofErr w:type="gramStart"/>
      <w:r w:rsidRPr="006029D1">
        <w:t>,b</w:t>
      </w:r>
      <w:proofErr w:type="spellEnd"/>
      <w:proofErr w:type="gramEnd"/>
      <w:r w:rsidRPr="006029D1">
        <w:t xml:space="preserve"> research indicates that more than 50</w:t>
      </w:r>
      <w:r>
        <w:t xml:space="preserve"> per cent</w:t>
      </w:r>
      <w:r w:rsidRPr="006029D1">
        <w:t xml:space="preserve"> of men report us</w:t>
      </w:r>
      <w:r>
        <w:t>ing</w:t>
      </w:r>
      <w:r w:rsidRPr="006029D1">
        <w:t xml:space="preserve"> violence against their female partners</w:t>
      </w:r>
      <w:r>
        <w:t xml:space="preserve">. </w:t>
      </w:r>
      <w:r w:rsidRPr="006029D1">
        <w:t xml:space="preserve">The 5 million </w:t>
      </w:r>
      <w:proofErr w:type="spellStart"/>
      <w:r w:rsidRPr="006029D1">
        <w:t>Dalits</w:t>
      </w:r>
      <w:proofErr w:type="spellEnd"/>
      <w:r w:rsidRPr="006029D1">
        <w:t xml:space="preserve"> (untouchables)</w:t>
      </w:r>
      <w:r w:rsidR="00AE669D">
        <w:rPr>
          <w:rStyle w:val="FootnoteReference"/>
        </w:rPr>
        <w:footnoteReference w:id="26"/>
      </w:r>
      <w:r w:rsidRPr="006029D1">
        <w:t xml:space="preserve"> and around 1</w:t>
      </w:r>
      <w:r>
        <w:t>.</w:t>
      </w:r>
      <w:r w:rsidRPr="006029D1">
        <w:t xml:space="preserve">5 million </w:t>
      </w:r>
      <w:r w:rsidR="00677A35">
        <w:t>i</w:t>
      </w:r>
      <w:r w:rsidRPr="006029D1">
        <w:t>ndigenous people in Bangladesh have higher poverty rates, and lower literacy rates than the rest of the population</w:t>
      </w:r>
      <w:r>
        <w:t xml:space="preserve">. </w:t>
      </w:r>
      <w:r w:rsidRPr="006029D1">
        <w:t xml:space="preserve">An estimated 22 million </w:t>
      </w:r>
      <w:r w:rsidR="00632316">
        <w:t>Bangladeshis</w:t>
      </w:r>
      <w:r w:rsidRPr="006029D1">
        <w:t xml:space="preserve"> live with a disability, </w:t>
      </w:r>
      <w:r>
        <w:t>lacking</w:t>
      </w:r>
      <w:r w:rsidRPr="006029D1">
        <w:t xml:space="preserve"> access to appropriate services and fac</w:t>
      </w:r>
      <w:r>
        <w:t>ing</w:t>
      </w:r>
      <w:r w:rsidRPr="006029D1">
        <w:t xml:space="preserve"> constraints in asserting their rights</w:t>
      </w:r>
      <w:r>
        <w:t xml:space="preserve">. </w:t>
      </w:r>
      <w:r w:rsidRPr="006029D1">
        <w:t xml:space="preserve">Bangladesh ranks poorly on the Gender Inequality </w:t>
      </w:r>
      <w:r>
        <w:t>I</w:t>
      </w:r>
      <w:r w:rsidRPr="006029D1">
        <w:t>ndex</w:t>
      </w:r>
      <w:r>
        <w:t>,</w:t>
      </w:r>
      <w:r w:rsidRPr="006029D1">
        <w:t xml:space="preserve"> at 116 out of 136 countries</w:t>
      </w:r>
      <w:r>
        <w:t>.</w:t>
      </w:r>
      <w:r w:rsidRPr="006029D1">
        <w:rPr>
          <w:rStyle w:val="FootnoteReference"/>
          <w:szCs w:val="22"/>
        </w:rPr>
        <w:footnoteReference w:id="27"/>
      </w:r>
      <w:r w:rsidR="00EF5ECB">
        <w:t xml:space="preserve"> </w:t>
      </w:r>
      <w:r w:rsidR="001F694D">
        <w:t>However a</w:t>
      </w:r>
      <w:r w:rsidRPr="006029D1">
        <w:t xml:space="preserve"> gender stocktake conducted by </w:t>
      </w:r>
      <w:proofErr w:type="gramStart"/>
      <w:r w:rsidR="001B0907">
        <w:t xml:space="preserve">the </w:t>
      </w:r>
      <w:r w:rsidR="00BD6D7E">
        <w:t xml:space="preserve"> department</w:t>
      </w:r>
      <w:proofErr w:type="gramEnd"/>
      <w:r w:rsidR="001B0907">
        <w:t xml:space="preserve"> </w:t>
      </w:r>
      <w:r w:rsidRPr="006029D1">
        <w:t>concludes that representation of women nationally</w:t>
      </w:r>
      <w:r>
        <w:t xml:space="preserve"> is increasing. A total of </w:t>
      </w:r>
      <w:r w:rsidRPr="006029D1">
        <w:t>18</w:t>
      </w:r>
      <w:r>
        <w:t>.</w:t>
      </w:r>
      <w:r w:rsidRPr="006029D1">
        <w:t>6</w:t>
      </w:r>
      <w:r>
        <w:t xml:space="preserve"> per cent</w:t>
      </w:r>
      <w:r w:rsidRPr="006029D1">
        <w:t xml:space="preserve"> members of parliament are women</w:t>
      </w:r>
      <w:r w:rsidR="001F694D">
        <w:t xml:space="preserve"> and</w:t>
      </w:r>
      <w:r w:rsidRPr="006029D1">
        <w:t xml:space="preserve"> both </w:t>
      </w:r>
      <w:r w:rsidR="00632316">
        <w:t xml:space="preserve">men and women </w:t>
      </w:r>
      <w:r>
        <w:t xml:space="preserve">are now </w:t>
      </w:r>
      <w:r w:rsidRPr="006029D1">
        <w:t xml:space="preserve">elected </w:t>
      </w:r>
      <w:r>
        <w:t xml:space="preserve">as </w:t>
      </w:r>
      <w:r w:rsidRPr="006029D1">
        <w:t>chairperso</w:t>
      </w:r>
      <w:r w:rsidR="001F694D">
        <w:t xml:space="preserve">ns of local government </w:t>
      </w:r>
      <w:proofErr w:type="spellStart"/>
      <w:r w:rsidR="001F694D">
        <w:t>Upazilas</w:t>
      </w:r>
      <w:proofErr w:type="spellEnd"/>
      <w:r>
        <w:t>. Despite this progress,</w:t>
      </w:r>
      <w:r w:rsidRPr="006029D1">
        <w:t xml:space="preserve"> it remains challeng</w:t>
      </w:r>
      <w:r>
        <w:t>ing</w:t>
      </w:r>
      <w:r w:rsidRPr="006029D1">
        <w:t xml:space="preserve"> for women to influence public decision making</w:t>
      </w:r>
      <w:r>
        <w:t>.</w:t>
      </w:r>
      <w:r w:rsidRPr="006029D1">
        <w:rPr>
          <w:rStyle w:val="FootnoteReference"/>
          <w:szCs w:val="22"/>
        </w:rPr>
        <w:footnoteReference w:id="28"/>
      </w:r>
    </w:p>
    <w:p w14:paraId="570C37E1" w14:textId="6AFAE458" w:rsidR="00115F30" w:rsidRDefault="00115F30" w:rsidP="0044011A">
      <w:pPr>
        <w:pStyle w:val="BodyText"/>
        <w:rPr>
          <w:szCs w:val="22"/>
        </w:rPr>
      </w:pPr>
      <w:r w:rsidRPr="006029D1">
        <w:rPr>
          <w:b/>
          <w:szCs w:val="22"/>
        </w:rPr>
        <w:t>Aus</w:t>
      </w:r>
      <w:r>
        <w:rPr>
          <w:b/>
          <w:szCs w:val="22"/>
        </w:rPr>
        <w:t xml:space="preserve">tralia’s aid is </w:t>
      </w:r>
      <w:r w:rsidRPr="006029D1">
        <w:rPr>
          <w:b/>
          <w:szCs w:val="22"/>
        </w:rPr>
        <w:t>helping vulnerable groups build demand for services and assert rights</w:t>
      </w:r>
      <w:r>
        <w:rPr>
          <w:b/>
          <w:szCs w:val="22"/>
        </w:rPr>
        <w:t>.</w:t>
      </w:r>
      <w:r w:rsidRPr="006029D1">
        <w:rPr>
          <w:b/>
          <w:szCs w:val="22"/>
        </w:rPr>
        <w:t xml:space="preserve"> </w:t>
      </w:r>
      <w:r w:rsidR="001F694D" w:rsidRPr="001F694D">
        <w:rPr>
          <w:szCs w:val="22"/>
        </w:rPr>
        <w:t>While more analysis</w:t>
      </w:r>
      <w:r w:rsidR="001F694D" w:rsidRPr="006029D1">
        <w:rPr>
          <w:szCs w:val="22"/>
        </w:rPr>
        <w:t xml:space="preserve"> is needed to identify opportunities </w:t>
      </w:r>
      <w:r w:rsidR="001F694D">
        <w:rPr>
          <w:szCs w:val="22"/>
        </w:rPr>
        <w:t>for engagement, t</w:t>
      </w:r>
      <w:r w:rsidRPr="006029D1">
        <w:rPr>
          <w:szCs w:val="22"/>
        </w:rPr>
        <w:t>here were signs of policy movement</w:t>
      </w:r>
      <w:r>
        <w:rPr>
          <w:szCs w:val="22"/>
        </w:rPr>
        <w:t>,</w:t>
      </w:r>
      <w:r>
        <w:rPr>
          <w:b/>
          <w:szCs w:val="22"/>
        </w:rPr>
        <w:t xml:space="preserve"> </w:t>
      </w:r>
      <w:r w:rsidRPr="00EE3A5F">
        <w:rPr>
          <w:szCs w:val="22"/>
        </w:rPr>
        <w:t>some early results, and potential for</w:t>
      </w:r>
      <w:r w:rsidRPr="006029D1">
        <w:rPr>
          <w:szCs w:val="22"/>
        </w:rPr>
        <w:t xml:space="preserve"> impact in the longer term</w:t>
      </w:r>
      <w:r>
        <w:rPr>
          <w:szCs w:val="22"/>
        </w:rPr>
        <w:t>.</w:t>
      </w:r>
    </w:p>
    <w:p w14:paraId="75590A72" w14:textId="41BE4355" w:rsidR="00115F30" w:rsidRPr="006029D1" w:rsidRDefault="00115F30" w:rsidP="0044011A">
      <w:pPr>
        <w:pStyle w:val="BodyText"/>
        <w:rPr>
          <w:szCs w:val="22"/>
        </w:rPr>
      </w:pPr>
      <w:r w:rsidRPr="006029D1">
        <w:rPr>
          <w:szCs w:val="22"/>
        </w:rPr>
        <w:t xml:space="preserve">At </w:t>
      </w:r>
      <w:r w:rsidRPr="00EE3A5F">
        <w:rPr>
          <w:szCs w:val="22"/>
        </w:rPr>
        <w:t>community level</w:t>
      </w:r>
      <w:r w:rsidRPr="006029D1">
        <w:rPr>
          <w:b/>
          <w:i/>
          <w:szCs w:val="22"/>
        </w:rPr>
        <w:t xml:space="preserve"> </w:t>
      </w:r>
      <w:r w:rsidR="001B0907">
        <w:rPr>
          <w:szCs w:val="22"/>
        </w:rPr>
        <w:t xml:space="preserve">the Australian aid program </w:t>
      </w:r>
      <w:r w:rsidRPr="006029D1">
        <w:rPr>
          <w:szCs w:val="22"/>
        </w:rPr>
        <w:t xml:space="preserve">has supported citizens to strengthen their voice and demand rights by providing information and enabling them to </w:t>
      </w:r>
      <w:r>
        <w:rPr>
          <w:szCs w:val="22"/>
        </w:rPr>
        <w:t>play</w:t>
      </w:r>
      <w:r w:rsidRPr="006029D1">
        <w:rPr>
          <w:szCs w:val="22"/>
        </w:rPr>
        <w:t xml:space="preserve"> a role in decision making</w:t>
      </w:r>
      <w:r>
        <w:rPr>
          <w:szCs w:val="22"/>
        </w:rPr>
        <w:t>. For example:</w:t>
      </w:r>
    </w:p>
    <w:p w14:paraId="0E07446B" w14:textId="12CBBF56" w:rsidR="00115F30" w:rsidRPr="0044011A" w:rsidRDefault="00115F30" w:rsidP="0044011A">
      <w:pPr>
        <w:pStyle w:val="ListBullet"/>
      </w:pPr>
      <w:r w:rsidRPr="0044011A">
        <w:t>Women represent</w:t>
      </w:r>
      <w:r w:rsidR="001F694D" w:rsidRPr="0044011A">
        <w:t>ed</w:t>
      </w:r>
      <w:r w:rsidRPr="0044011A">
        <w:t xml:space="preserve"> 34 per cent of community organisation members under the Hygiene, Sanitation and Water pro</w:t>
      </w:r>
      <w:r w:rsidR="00287E9C" w:rsidRPr="0044011A">
        <w:t>ject</w:t>
      </w:r>
      <w:r w:rsidR="001F694D" w:rsidRPr="0044011A">
        <w:t>, and m</w:t>
      </w:r>
      <w:r w:rsidRPr="0044011A">
        <w:t>ore than 25 per cent of people with disability in the target area benefit</w:t>
      </w:r>
      <w:r w:rsidR="001F694D" w:rsidRPr="0044011A">
        <w:t>ed</w:t>
      </w:r>
      <w:r w:rsidRPr="0044011A">
        <w:t xml:space="preserve"> from the</w:t>
      </w:r>
      <w:r w:rsidR="001F694D" w:rsidRPr="0044011A">
        <w:t xml:space="preserve"> </w:t>
      </w:r>
      <w:r w:rsidRPr="0044011A">
        <w:t>pro</w:t>
      </w:r>
      <w:r w:rsidR="00287E9C" w:rsidRPr="0044011A">
        <w:t>ject</w:t>
      </w:r>
      <w:r w:rsidRPr="0044011A">
        <w:t xml:space="preserve">. </w:t>
      </w:r>
    </w:p>
    <w:p w14:paraId="1738A9CA" w14:textId="120A5D47" w:rsidR="00115F30" w:rsidRPr="0044011A" w:rsidRDefault="00115F30" w:rsidP="0044011A">
      <w:pPr>
        <w:pStyle w:val="ListBullet"/>
      </w:pPr>
      <w:r w:rsidRPr="0044011A">
        <w:lastRenderedPageBreak/>
        <w:t xml:space="preserve">BRAC’s Community Empowerment Programme worked across 55 districts in 2012 </w:t>
      </w:r>
      <w:r w:rsidR="001F694D" w:rsidRPr="0044011A">
        <w:t xml:space="preserve">(out of a total of 64 districts) </w:t>
      </w:r>
      <w:r w:rsidRPr="0044011A">
        <w:t xml:space="preserve">using popular theatre and community discussion to promote action on issues such as early marriage and violence against women. This </w:t>
      </w:r>
      <w:r w:rsidR="00632316" w:rsidRPr="0044011A">
        <w:t xml:space="preserve">work </w:t>
      </w:r>
      <w:r w:rsidR="001F694D" w:rsidRPr="0044011A">
        <w:t xml:space="preserve">also helped the extreme poor to </w:t>
      </w:r>
      <w:r w:rsidRPr="0044011A">
        <w:t xml:space="preserve">access </w:t>
      </w:r>
      <w:r w:rsidR="00FF3924" w:rsidRPr="0044011A">
        <w:t xml:space="preserve">legal services and </w:t>
      </w:r>
      <w:r w:rsidRPr="0044011A">
        <w:t xml:space="preserve">government entitlements such as </w:t>
      </w:r>
      <w:r w:rsidR="00FF3924" w:rsidRPr="0044011A">
        <w:t xml:space="preserve">the </w:t>
      </w:r>
      <w:r w:rsidRPr="0044011A">
        <w:t xml:space="preserve">old age grant. </w:t>
      </w:r>
    </w:p>
    <w:p w14:paraId="284E29C2" w14:textId="3616F809" w:rsidR="00115F30" w:rsidRPr="0044011A" w:rsidRDefault="001F694D" w:rsidP="0044011A">
      <w:pPr>
        <w:pStyle w:val="ListBullet"/>
      </w:pPr>
      <w:r w:rsidRPr="0044011A">
        <w:t>T</w:t>
      </w:r>
      <w:r w:rsidR="00115F30" w:rsidRPr="0044011A">
        <w:t xml:space="preserve">he Acid Survivors Foundation </w:t>
      </w:r>
      <w:r w:rsidR="00AE669D" w:rsidRPr="000A35D5">
        <w:rPr>
          <w:rStyle w:val="FootnoteReference"/>
          <w:position w:val="0"/>
          <w:sz w:val="22"/>
          <w:szCs w:val="24"/>
          <w:vertAlign w:val="superscript"/>
        </w:rPr>
        <w:footnoteReference w:id="29"/>
      </w:r>
      <w:r w:rsidR="00586AF8" w:rsidRPr="0044011A">
        <w:t xml:space="preserve"> </w:t>
      </w:r>
      <w:r w:rsidR="00115F30" w:rsidRPr="0044011A">
        <w:t>continued to help address the problem of acid violence in Bangladesh. Acid attacks happen at least once every three days</w:t>
      </w:r>
      <w:r w:rsidR="001D4357" w:rsidRPr="0044011A">
        <w:t>—</w:t>
      </w:r>
      <w:r w:rsidR="00CF5FD7" w:rsidRPr="0044011A">
        <w:t>68 per cent of victims are women</w:t>
      </w:r>
      <w:r w:rsidR="001D4357" w:rsidRPr="0044011A">
        <w:t xml:space="preserve"> and</w:t>
      </w:r>
      <w:r w:rsidR="00CF5FD7" w:rsidRPr="0044011A">
        <w:t xml:space="preserve"> 25 per cent are children</w:t>
      </w:r>
      <w:r w:rsidR="00115F30" w:rsidRPr="0044011A">
        <w:t xml:space="preserve">. In 2012, the Acid Survivors Foundation hospital treated 318 patients and helped victims with legal support and counselling so they could return </w:t>
      </w:r>
      <w:r w:rsidR="003D158E" w:rsidRPr="0044011A">
        <w:t xml:space="preserve">safely </w:t>
      </w:r>
      <w:r w:rsidR="00115F30" w:rsidRPr="0044011A">
        <w:t xml:space="preserve">to their families and communities.  </w:t>
      </w:r>
    </w:p>
    <w:p w14:paraId="4B354E28" w14:textId="3289B700" w:rsidR="00115F30" w:rsidRDefault="00115F30" w:rsidP="0044011A">
      <w:pPr>
        <w:pStyle w:val="BodyText"/>
      </w:pPr>
      <w:r>
        <w:t xml:space="preserve">At central level </w:t>
      </w:r>
      <w:r w:rsidR="004F7F0D">
        <w:t xml:space="preserve">development partners </w:t>
      </w:r>
      <w:r w:rsidRPr="006029D1">
        <w:t xml:space="preserve">encouraged </w:t>
      </w:r>
      <w:r>
        <w:t>the G</w:t>
      </w:r>
      <w:r w:rsidRPr="006029D1">
        <w:t>overnment</w:t>
      </w:r>
      <w:r>
        <w:t xml:space="preserve"> of Bangladesh</w:t>
      </w:r>
      <w:r w:rsidRPr="006029D1">
        <w:t xml:space="preserve"> to</w:t>
      </w:r>
      <w:r w:rsidR="00632316">
        <w:t xml:space="preserve"> consider</w:t>
      </w:r>
      <w:r w:rsidRPr="006029D1">
        <w:t xml:space="preserve"> improve</w:t>
      </w:r>
      <w:r w:rsidR="00632316">
        <w:t>d</w:t>
      </w:r>
      <w:r w:rsidRPr="006029D1">
        <w:t xml:space="preserve"> social accountability mechanisms so it can</w:t>
      </w:r>
      <w:r>
        <w:t xml:space="preserve"> better</w:t>
      </w:r>
      <w:r w:rsidRPr="006029D1">
        <w:t xml:space="preserve"> respond to citizen’s needs</w:t>
      </w:r>
      <w:r>
        <w:t xml:space="preserve">. </w:t>
      </w:r>
      <w:r w:rsidRPr="006029D1">
        <w:t xml:space="preserve">For example: </w:t>
      </w:r>
    </w:p>
    <w:p w14:paraId="7E67FEB8" w14:textId="6C12CB3E" w:rsidR="00115F30" w:rsidRPr="0044011A" w:rsidRDefault="00ED2756" w:rsidP="0044011A">
      <w:pPr>
        <w:pStyle w:val="ListBullet"/>
      </w:pPr>
      <w:r w:rsidRPr="0044011A">
        <w:t>Agreement</w:t>
      </w:r>
      <w:r w:rsidR="007124AB" w:rsidRPr="0044011A">
        <w:t xml:space="preserve"> was reached with Government</w:t>
      </w:r>
      <w:r w:rsidRPr="0044011A">
        <w:t xml:space="preserve"> to explore h</w:t>
      </w:r>
      <w:r w:rsidR="00115F30" w:rsidRPr="0044011A">
        <w:t xml:space="preserve">ealth service user surveys, text book distribution surveys and community school construction checklists for the health and education sectors. </w:t>
      </w:r>
    </w:p>
    <w:p w14:paraId="76A3D73F" w14:textId="280BFA4B" w:rsidR="00115F30" w:rsidRPr="006160D1" w:rsidRDefault="00115F30" w:rsidP="0044011A">
      <w:pPr>
        <w:pStyle w:val="ListBullet"/>
      </w:pPr>
      <w:r w:rsidRPr="0044011A">
        <w:t xml:space="preserve">Introduction </w:t>
      </w:r>
      <w:r w:rsidR="007124AB" w:rsidRPr="0044011A">
        <w:t xml:space="preserve">by the Government </w:t>
      </w:r>
      <w:r w:rsidRPr="0044011A">
        <w:t>of a relevant and appropriate Tribal Health, Nutrition and Population Plan in the health sector.</w:t>
      </w:r>
      <w:r w:rsidRPr="000A35D5">
        <w:rPr>
          <w:rStyle w:val="FootnoteReference"/>
          <w:rFonts w:eastAsia="SimSun"/>
          <w:position w:val="0"/>
          <w:sz w:val="22"/>
          <w:szCs w:val="24"/>
          <w:vertAlign w:val="superscript"/>
        </w:rPr>
        <w:footnoteReference w:id="30"/>
      </w:r>
      <w:r w:rsidRPr="0044011A">
        <w:rPr>
          <w:rStyle w:val="FootnoteReference"/>
          <w:rFonts w:eastAsia="SimSun"/>
          <w:position w:val="0"/>
          <w:sz w:val="22"/>
          <w:szCs w:val="24"/>
        </w:rPr>
        <w:t xml:space="preserve"> </w:t>
      </w:r>
      <w:r w:rsidRPr="0044011A">
        <w:t>A mandatory Client’s Charter of Rights</w:t>
      </w:r>
      <w:r w:rsidRPr="006160D1">
        <w:t xml:space="preserve"> is now promoted at health facilities. While not binding, the charter provides a moral tie between provider and clients. </w:t>
      </w:r>
    </w:p>
    <w:p w14:paraId="7B66C6B8" w14:textId="18D0711F" w:rsidR="00115F30" w:rsidRPr="006029D1" w:rsidRDefault="00115F30" w:rsidP="0044011A">
      <w:pPr>
        <w:pStyle w:val="BodyText"/>
      </w:pPr>
      <w:r w:rsidRPr="006029D1">
        <w:rPr>
          <w:b/>
        </w:rPr>
        <w:t>The most positive results have been through local civil society organisations</w:t>
      </w:r>
      <w:r>
        <w:t xml:space="preserve">. </w:t>
      </w:r>
      <w:r w:rsidRPr="006029D1">
        <w:t xml:space="preserve">Civil </w:t>
      </w:r>
      <w:r>
        <w:t>s</w:t>
      </w:r>
      <w:r w:rsidRPr="006029D1">
        <w:t xml:space="preserve">ociety partners such as BRAC, </w:t>
      </w:r>
      <w:proofErr w:type="spellStart"/>
      <w:r w:rsidRPr="006029D1">
        <w:t>Icddr</w:t>
      </w:r>
      <w:proofErr w:type="gramStart"/>
      <w:r w:rsidRPr="006029D1">
        <w:t>,b</w:t>
      </w:r>
      <w:proofErr w:type="spellEnd"/>
      <w:proofErr w:type="gramEnd"/>
      <w:r w:rsidRPr="006029D1">
        <w:t xml:space="preserve"> and the Acid Survivors Foundation, demonstrate commitment and good practice in promoting social accountability</w:t>
      </w:r>
      <w:r>
        <w:t xml:space="preserve">. </w:t>
      </w:r>
      <w:r w:rsidRPr="006029D1">
        <w:t>More than 8000 community groups have been established across Australian</w:t>
      </w:r>
      <w:r>
        <w:t>-</w:t>
      </w:r>
      <w:r w:rsidRPr="006029D1">
        <w:t xml:space="preserve">supported health and water and sanitation programs, </w:t>
      </w:r>
      <w:r w:rsidR="00357C42">
        <w:t>facilitating</w:t>
      </w:r>
      <w:r w:rsidRPr="006029D1">
        <w:t xml:space="preserve"> greater engagement of community members in decision making</w:t>
      </w:r>
      <w:r>
        <w:t xml:space="preserve">. </w:t>
      </w:r>
      <w:r w:rsidR="00FF3924">
        <w:t>At central level</w:t>
      </w:r>
      <w:r w:rsidR="001D4357">
        <w:t>,</w:t>
      </w:r>
      <w:r w:rsidR="00FF3924">
        <w:t xml:space="preserve"> however</w:t>
      </w:r>
      <w:r w:rsidR="001D4357">
        <w:t>,</w:t>
      </w:r>
      <w:r w:rsidR="00FF3924">
        <w:t xml:space="preserve"> the Government remains sensitive to introducing social accountability mechanisms.</w:t>
      </w:r>
      <w:r w:rsidR="00EF5ECB">
        <w:rPr>
          <w:rStyle w:val="FootnoteReference"/>
        </w:rPr>
        <w:footnoteReference w:id="31"/>
      </w:r>
      <w:r w:rsidR="00FF3924">
        <w:t xml:space="preserve"> </w:t>
      </w:r>
      <w:r w:rsidRPr="006029D1">
        <w:t>Australian NGOs working with partner local organisations deliver</w:t>
      </w:r>
      <w:r w:rsidR="00632316">
        <w:t>ed</w:t>
      </w:r>
      <w:r w:rsidRPr="006029D1">
        <w:t xml:space="preserve"> community</w:t>
      </w:r>
      <w:r w:rsidR="001D4357">
        <w:t>-</w:t>
      </w:r>
      <w:r w:rsidRPr="006029D1">
        <w:t>based social development activities</w:t>
      </w:r>
      <w:r>
        <w:t xml:space="preserve">. </w:t>
      </w:r>
      <w:r w:rsidRPr="006029D1">
        <w:t>This included assistance to support people with disabilit</w:t>
      </w:r>
      <w:r w:rsidR="001D4357">
        <w:t>y</w:t>
      </w:r>
      <w:r w:rsidRPr="006029D1">
        <w:t>, provide primary health care, strengthen food security and support improved water and sanitation services</w:t>
      </w:r>
      <w:r>
        <w:t>.</w:t>
      </w:r>
      <w:r w:rsidRPr="006029D1">
        <w:t xml:space="preserve"> These partnerships are helping civil society organisations empower local communities to demand better services and link poor families to local government services</w:t>
      </w:r>
      <w:r>
        <w:t xml:space="preserve">. </w:t>
      </w:r>
    </w:p>
    <w:p w14:paraId="1F291027" w14:textId="5FAAF527" w:rsidR="00115F30" w:rsidRPr="006029D1" w:rsidRDefault="00115F30" w:rsidP="0044011A">
      <w:pPr>
        <w:pStyle w:val="BodyText"/>
      </w:pPr>
      <w:r>
        <w:t>Australian volunteers f</w:t>
      </w:r>
      <w:r w:rsidRPr="006029D1">
        <w:t>urther support local service delivery organisations</w:t>
      </w:r>
      <w:r>
        <w:t>. A</w:t>
      </w:r>
      <w:r w:rsidRPr="006029D1">
        <w:t>pproximately 32</w:t>
      </w:r>
      <w:r>
        <w:t> </w:t>
      </w:r>
      <w:r w:rsidRPr="006029D1">
        <w:t xml:space="preserve">volunteers </w:t>
      </w:r>
      <w:r w:rsidR="004A0540">
        <w:t xml:space="preserve">were mobilised to </w:t>
      </w:r>
      <w:r w:rsidRPr="006029D1">
        <w:t>assist development in Bangladesh in disaster and emergency management, community and social development</w:t>
      </w:r>
      <w:r w:rsidR="007438EB">
        <w:t>,</w:t>
      </w:r>
      <w:r w:rsidR="00E86275">
        <w:t xml:space="preserve"> </w:t>
      </w:r>
      <w:r w:rsidRPr="006029D1">
        <w:t>and</w:t>
      </w:r>
      <w:r w:rsidR="007438EB">
        <w:t xml:space="preserve"> in</w:t>
      </w:r>
      <w:r w:rsidRPr="006029D1">
        <w:t xml:space="preserve"> health and education</w:t>
      </w:r>
      <w:r>
        <w:t xml:space="preserve">. </w:t>
      </w:r>
      <w:r w:rsidRPr="006029D1">
        <w:t xml:space="preserve">Contingency planning </w:t>
      </w:r>
      <w:r w:rsidR="00CF5FD7">
        <w:t>will</w:t>
      </w:r>
      <w:r w:rsidRPr="006029D1">
        <w:t xml:space="preserve"> </w:t>
      </w:r>
      <w:r>
        <w:t>help</w:t>
      </w:r>
      <w:r w:rsidRPr="006029D1">
        <w:t xml:space="preserve"> ensure the volunteer program can be managed through </w:t>
      </w:r>
      <w:r>
        <w:t>any</w:t>
      </w:r>
      <w:r w:rsidRPr="006029D1">
        <w:t xml:space="preserve"> political unrest </w:t>
      </w:r>
      <w:r>
        <w:t>leading</w:t>
      </w:r>
      <w:r w:rsidRPr="006029D1">
        <w:t xml:space="preserve"> up to the election</w:t>
      </w:r>
      <w:r>
        <w:t xml:space="preserve">. </w:t>
      </w:r>
    </w:p>
    <w:p w14:paraId="4ADEC194" w14:textId="0A1EC7B0" w:rsidR="00115F30" w:rsidRDefault="00115F30" w:rsidP="0044011A">
      <w:pPr>
        <w:pStyle w:val="BodyText"/>
      </w:pPr>
      <w:r w:rsidRPr="006029D1">
        <w:rPr>
          <w:b/>
        </w:rPr>
        <w:t>More realistic expectations and clearer indicators of progress are needed</w:t>
      </w:r>
      <w:r>
        <w:rPr>
          <w:b/>
        </w:rPr>
        <w:t xml:space="preserve">. </w:t>
      </w:r>
      <w:r w:rsidRPr="006029D1">
        <w:t>The importance of this is reinforced by lessons</w:t>
      </w:r>
      <w:r>
        <w:t xml:space="preserve"> learned</w:t>
      </w:r>
      <w:r w:rsidRPr="006029D1">
        <w:t xml:space="preserve"> and results</w:t>
      </w:r>
      <w:r>
        <w:t xml:space="preserve"> achieved in </w:t>
      </w:r>
      <w:r w:rsidRPr="006029D1">
        <w:t>2012</w:t>
      </w:r>
      <w:r w:rsidR="007438EB">
        <w:t>–</w:t>
      </w:r>
      <w:r w:rsidRPr="006029D1">
        <w:t>13</w:t>
      </w:r>
      <w:r>
        <w:t xml:space="preserve">. </w:t>
      </w:r>
      <w:r w:rsidR="001F694D">
        <w:t>Expected r</w:t>
      </w:r>
      <w:r>
        <w:t xml:space="preserve">esults against </w:t>
      </w:r>
      <w:r w:rsidRPr="006029D1">
        <w:t xml:space="preserve">this objective </w:t>
      </w:r>
      <w:r>
        <w:t>were</w:t>
      </w:r>
      <w:r w:rsidRPr="006029D1">
        <w:t xml:space="preserve"> set against a scaling up </w:t>
      </w:r>
      <w:r>
        <w:t xml:space="preserve">of the </w:t>
      </w:r>
      <w:r w:rsidRPr="006029D1">
        <w:t xml:space="preserve">aid program, which was </w:t>
      </w:r>
      <w:r>
        <w:t xml:space="preserve">delayed. </w:t>
      </w:r>
      <w:r w:rsidR="008B28ED">
        <w:t>N</w:t>
      </w:r>
      <w:r w:rsidRPr="006029D1">
        <w:t>ational</w:t>
      </w:r>
      <w:r>
        <w:t>-</w:t>
      </w:r>
      <w:r w:rsidRPr="006029D1">
        <w:t xml:space="preserve">level </w:t>
      </w:r>
      <w:r>
        <w:t>progress</w:t>
      </w:r>
      <w:r w:rsidRPr="006029D1">
        <w:t xml:space="preserve"> will be slow</w:t>
      </w:r>
      <w:r>
        <w:t xml:space="preserve"> and</w:t>
      </w:r>
      <w:r w:rsidRPr="006029D1">
        <w:t xml:space="preserve"> requir</w:t>
      </w:r>
      <w:r>
        <w:t>es</w:t>
      </w:r>
      <w:r w:rsidRPr="006029D1">
        <w:t xml:space="preserve"> fundamental changes in the political economy unlikely in the current uncertain context</w:t>
      </w:r>
      <w:r>
        <w:t xml:space="preserve">. </w:t>
      </w:r>
      <w:r w:rsidRPr="006029D1">
        <w:t xml:space="preserve">Possible areas where </w:t>
      </w:r>
      <w:r w:rsidR="007438EB">
        <w:t>we</w:t>
      </w:r>
      <w:r w:rsidR="007438EB" w:rsidRPr="006029D1">
        <w:t xml:space="preserve"> </w:t>
      </w:r>
      <w:r w:rsidR="007E5DE8">
        <w:t>may be able to</w:t>
      </w:r>
      <w:r w:rsidRPr="006029D1">
        <w:t xml:space="preserve"> </w:t>
      </w:r>
      <w:r w:rsidRPr="006029D1">
        <w:lastRenderedPageBreak/>
        <w:t xml:space="preserve">achieve results and report on more fully in </w:t>
      </w:r>
      <w:r w:rsidR="008B28ED">
        <w:t xml:space="preserve">the </w:t>
      </w:r>
      <w:r w:rsidRPr="006029D1">
        <w:t>future are</w:t>
      </w:r>
      <w:r w:rsidR="007E5DE8">
        <w:t xml:space="preserve"> through our sector engagements in health and education and through </w:t>
      </w:r>
      <w:r w:rsidR="007438EB">
        <w:t xml:space="preserve">our </w:t>
      </w:r>
      <w:r w:rsidR="007E5DE8">
        <w:t xml:space="preserve">new partnerships with civil society groups engaged in advocacy. </w:t>
      </w:r>
      <w:r w:rsidR="00A71F8E">
        <w:t xml:space="preserve">This includes, for </w:t>
      </w:r>
      <w:r w:rsidR="007E5DE8">
        <w:t>example</w:t>
      </w:r>
      <w:r w:rsidRPr="006029D1">
        <w:t>:</w:t>
      </w:r>
    </w:p>
    <w:p w14:paraId="61DFAE1A" w14:textId="3B29EBC5" w:rsidR="00115F30" w:rsidRPr="0044011A" w:rsidRDefault="00357C42" w:rsidP="0044011A">
      <w:pPr>
        <w:pStyle w:val="ListBullet"/>
      </w:pPr>
      <w:r w:rsidRPr="0044011A">
        <w:t>D</w:t>
      </w:r>
      <w:r w:rsidR="008B28ED" w:rsidRPr="0044011A">
        <w:t>raw</w:t>
      </w:r>
      <w:r w:rsidR="007E5DE8" w:rsidRPr="0044011A">
        <w:t>ing</w:t>
      </w:r>
      <w:r w:rsidR="008B28ED" w:rsidRPr="0044011A">
        <w:t xml:space="preserve"> on international experience to advocate for </w:t>
      </w:r>
      <w:r w:rsidR="00115F30" w:rsidRPr="0044011A">
        <w:t>incremental improvements in voice and accountability</w:t>
      </w:r>
      <w:r w:rsidR="003F3668" w:rsidRPr="0044011A">
        <w:t>. In education this includes</w:t>
      </w:r>
      <w:r w:rsidR="006B58B8" w:rsidRPr="0044011A">
        <w:t xml:space="preserve"> </w:t>
      </w:r>
      <w:r w:rsidR="005A6DB0" w:rsidRPr="0044011A">
        <w:t>learning from</w:t>
      </w:r>
      <w:r w:rsidR="006B58B8" w:rsidRPr="0044011A">
        <w:t xml:space="preserve"> regional evidence on the use of school report cards, linked to new School Level Improvement Plans, as a </w:t>
      </w:r>
      <w:r w:rsidR="003F3668" w:rsidRPr="0044011A">
        <w:t>way</w:t>
      </w:r>
      <w:r w:rsidR="006B58B8" w:rsidRPr="0044011A">
        <w:t xml:space="preserve"> to promote community mobilisation</w:t>
      </w:r>
      <w:r w:rsidR="007E5DE8" w:rsidRPr="0044011A">
        <w:t xml:space="preserve"> for primary education</w:t>
      </w:r>
      <w:r w:rsidR="003F3668" w:rsidRPr="0044011A">
        <w:t>. In health this includes</w:t>
      </w:r>
      <w:r w:rsidR="006B58B8" w:rsidRPr="0044011A">
        <w:t xml:space="preserve"> publicising the experiences of</w:t>
      </w:r>
      <w:r w:rsidR="005A6DB0" w:rsidRPr="0044011A">
        <w:t xml:space="preserve"> successful </w:t>
      </w:r>
      <w:r w:rsidR="001B0907">
        <w:t>Australian Government</w:t>
      </w:r>
      <w:r w:rsidR="005A6DB0" w:rsidRPr="0044011A">
        <w:t>-funded</w:t>
      </w:r>
      <w:r w:rsidR="006B58B8" w:rsidRPr="0044011A">
        <w:t xml:space="preserve"> </w:t>
      </w:r>
      <w:r w:rsidR="007E5DE8" w:rsidRPr="0044011A">
        <w:t>pilots</w:t>
      </w:r>
      <w:r w:rsidR="00E86275" w:rsidRPr="0044011A">
        <w:t xml:space="preserve"> </w:t>
      </w:r>
      <w:r w:rsidR="007E5DE8" w:rsidRPr="0044011A">
        <w:t xml:space="preserve">using </w:t>
      </w:r>
      <w:r w:rsidR="006B58B8" w:rsidRPr="0044011A">
        <w:t xml:space="preserve">community engagement </w:t>
      </w:r>
      <w:r w:rsidR="007E5DE8" w:rsidRPr="0044011A">
        <w:t>to improve</w:t>
      </w:r>
      <w:r w:rsidR="006B58B8" w:rsidRPr="0044011A">
        <w:t xml:space="preserve"> service delivery referral system</w:t>
      </w:r>
      <w:r w:rsidR="007E5DE8" w:rsidRPr="0044011A">
        <w:t>s</w:t>
      </w:r>
      <w:r w:rsidR="006B58B8" w:rsidRPr="0044011A">
        <w:t xml:space="preserve"> and local</w:t>
      </w:r>
      <w:r w:rsidR="003F3668" w:rsidRPr="0044011A">
        <w:t>-</w:t>
      </w:r>
      <w:r w:rsidR="006B58B8" w:rsidRPr="0044011A">
        <w:t>level planning processes</w:t>
      </w:r>
      <w:r w:rsidR="003F3668" w:rsidRPr="0044011A">
        <w:t>.</w:t>
      </w:r>
    </w:p>
    <w:p w14:paraId="3558BE5E" w14:textId="0C3C9D25" w:rsidR="00115F30" w:rsidRPr="006029D1" w:rsidRDefault="00357C42" w:rsidP="0044011A">
      <w:pPr>
        <w:pStyle w:val="ListBullet"/>
      </w:pPr>
      <w:r w:rsidRPr="0044011A">
        <w:t>P</w:t>
      </w:r>
      <w:r w:rsidR="007E5DE8" w:rsidRPr="0044011A">
        <w:t>iloting engagement with local civil society groups, including civil society umbrella groups, to strengthen advocacy at community, local and central government levels</w:t>
      </w:r>
      <w:r w:rsidR="003F3668" w:rsidRPr="0044011A">
        <w:t>. This</w:t>
      </w:r>
      <w:r w:rsidR="00E86275">
        <w:t xml:space="preserve"> </w:t>
      </w:r>
      <w:r w:rsidR="007E5DE8">
        <w:t>includ</w:t>
      </w:r>
      <w:r w:rsidR="003F3668">
        <w:t xml:space="preserve">es, </w:t>
      </w:r>
      <w:r w:rsidR="007E5DE8">
        <w:t>where appropriate</w:t>
      </w:r>
      <w:r w:rsidR="003F3668">
        <w:t>,</w:t>
      </w:r>
      <w:r w:rsidR="007E5DE8">
        <w:t xml:space="preserve"> linking these groups with</w:t>
      </w:r>
      <w:r w:rsidR="007438EB">
        <w:t xml:space="preserve"> </w:t>
      </w:r>
      <w:r w:rsidR="00115F30" w:rsidRPr="006029D1">
        <w:t>government policy</w:t>
      </w:r>
      <w:r w:rsidR="003F3668">
        <w:t>-</w:t>
      </w:r>
      <w:r w:rsidR="00115F30" w:rsidRPr="006029D1">
        <w:t>making processes by brokering relationships and sharing lessons</w:t>
      </w:r>
      <w:r w:rsidR="00115F30">
        <w:t xml:space="preserve"> learned. </w:t>
      </w:r>
    </w:p>
    <w:p w14:paraId="22335DE2" w14:textId="0DEF6DEC" w:rsidR="00115F30" w:rsidRPr="0044011A" w:rsidRDefault="00115F30" w:rsidP="0044011A">
      <w:pPr>
        <w:pStyle w:val="Heading2"/>
      </w:pPr>
      <w:r w:rsidRPr="0044011A">
        <w:t>Program management</w:t>
      </w:r>
    </w:p>
    <w:p w14:paraId="0C56127A" w14:textId="36ADABB5" w:rsidR="00115F30" w:rsidRPr="006029D1" w:rsidRDefault="00115F30" w:rsidP="0044011A">
      <w:pPr>
        <w:pStyle w:val="BodyText"/>
      </w:pPr>
      <w:r w:rsidRPr="006029D1">
        <w:rPr>
          <w:b/>
        </w:rPr>
        <w:t>Australia’s aid program in Bangladesh continued to receive good ratings from</w:t>
      </w:r>
      <w:r w:rsidR="00BD6D7E">
        <w:rPr>
          <w:b/>
        </w:rPr>
        <w:t xml:space="preserve"> </w:t>
      </w:r>
      <w:r w:rsidR="004C2E04">
        <w:rPr>
          <w:b/>
        </w:rPr>
        <w:t xml:space="preserve">the </w:t>
      </w:r>
      <w:r w:rsidR="00EE579B">
        <w:rPr>
          <w:b/>
        </w:rPr>
        <w:t>department</w:t>
      </w:r>
      <w:r w:rsidRPr="006029D1">
        <w:rPr>
          <w:b/>
        </w:rPr>
        <w:t>’s quality review process</w:t>
      </w:r>
      <w:r w:rsidR="003F3668">
        <w:rPr>
          <w:b/>
        </w:rPr>
        <w:t>.</w:t>
      </w:r>
      <w:r>
        <w:rPr>
          <w:b/>
        </w:rPr>
        <w:t xml:space="preserve"> </w:t>
      </w:r>
      <w:r w:rsidR="003F3668" w:rsidRPr="008F2B7A">
        <w:t>In 2012–13, a</w:t>
      </w:r>
      <w:r w:rsidRPr="003F3668">
        <w:t>ctivities</w:t>
      </w:r>
      <w:r w:rsidRPr="006029D1">
        <w:t xml:space="preserve"> received </w:t>
      </w:r>
      <w:r>
        <w:t>‘</w:t>
      </w:r>
      <w:r w:rsidRPr="006029D1">
        <w:t>satisfactory</w:t>
      </w:r>
      <w:r>
        <w:t>’</w:t>
      </w:r>
      <w:r w:rsidRPr="006029D1">
        <w:t xml:space="preserve"> and </w:t>
      </w:r>
      <w:r w:rsidR="003F3668">
        <w:t>‘</w:t>
      </w:r>
      <w:r w:rsidRPr="006029D1">
        <w:t>above</w:t>
      </w:r>
      <w:r w:rsidR="003F3668">
        <w:t>’</w:t>
      </w:r>
      <w:r w:rsidRPr="006029D1">
        <w:t xml:space="preserve"> scores in the design phase and at conclusion</w:t>
      </w:r>
      <w:r>
        <w:t xml:space="preserve">. </w:t>
      </w:r>
      <w:r w:rsidRPr="006029D1">
        <w:t>During implementation</w:t>
      </w:r>
      <w:r w:rsidR="003F3668">
        <w:t>,</w:t>
      </w:r>
      <w:r w:rsidRPr="006029D1">
        <w:t xml:space="preserve"> scores were generally high, reflecting </w:t>
      </w:r>
      <w:r>
        <w:t>a</w:t>
      </w:r>
      <w:r w:rsidRPr="006029D1">
        <w:t xml:space="preserve"> strongly performing program</w:t>
      </w:r>
      <w:r>
        <w:t xml:space="preserve">. </w:t>
      </w:r>
      <w:r w:rsidRPr="006029D1">
        <w:t xml:space="preserve">Challenges outside of </w:t>
      </w:r>
      <w:r w:rsidR="003F3668">
        <w:t>our</w:t>
      </w:r>
      <w:r w:rsidR="003F3668" w:rsidRPr="006029D1">
        <w:t xml:space="preserve"> </w:t>
      </w:r>
      <w:r w:rsidRPr="006029D1">
        <w:t xml:space="preserve">immediate control, including coordination shortcomings and extreme operating environments, </w:t>
      </w:r>
      <w:r>
        <w:t>lowered</w:t>
      </w:r>
      <w:r w:rsidRPr="006029D1">
        <w:t xml:space="preserve"> scores </w:t>
      </w:r>
      <w:r w:rsidR="005029C6">
        <w:t>in</w:t>
      </w:r>
      <w:r w:rsidRPr="006029D1">
        <w:t xml:space="preserve"> two activities</w:t>
      </w:r>
      <w:r w:rsidR="00CF1B9E">
        <w:t xml:space="preserve"> </w:t>
      </w:r>
      <w:r w:rsidR="005029C6">
        <w:t>relating to</w:t>
      </w:r>
      <w:r w:rsidR="00CF1B9E">
        <w:t xml:space="preserve"> climate change and humanitarian</w:t>
      </w:r>
      <w:r w:rsidR="00DB0C58">
        <w:t xml:space="preserve"> assistance</w:t>
      </w:r>
      <w:r>
        <w:t xml:space="preserve">. </w:t>
      </w:r>
      <w:r w:rsidRPr="006029D1">
        <w:t xml:space="preserve">Both </w:t>
      </w:r>
      <w:r>
        <w:t>challenges</w:t>
      </w:r>
      <w:r w:rsidRPr="006029D1">
        <w:t xml:space="preserve"> are being addressed by partners and prospects </w:t>
      </w:r>
      <w:r w:rsidR="007124AB" w:rsidRPr="006029D1">
        <w:t xml:space="preserve">for improvement </w:t>
      </w:r>
      <w:r w:rsidRPr="006029D1">
        <w:t>are encouraging</w:t>
      </w:r>
      <w:r>
        <w:t xml:space="preserve">. </w:t>
      </w:r>
    </w:p>
    <w:p w14:paraId="506FADBA" w14:textId="3280023E" w:rsidR="00115F30" w:rsidRPr="006029D1" w:rsidRDefault="00115F30" w:rsidP="0044011A">
      <w:pPr>
        <w:pStyle w:val="BodyText"/>
      </w:pPr>
      <w:r w:rsidRPr="006029D1">
        <w:rPr>
          <w:b/>
        </w:rPr>
        <w:t>The program improv</w:t>
      </w:r>
      <w:r w:rsidR="005029C6">
        <w:rPr>
          <w:b/>
        </w:rPr>
        <w:t>ed</w:t>
      </w:r>
      <w:r w:rsidRPr="006029D1">
        <w:rPr>
          <w:b/>
        </w:rPr>
        <w:t xml:space="preserve"> </w:t>
      </w:r>
      <w:r w:rsidR="007124AB">
        <w:rPr>
          <w:b/>
        </w:rPr>
        <w:t xml:space="preserve">its </w:t>
      </w:r>
      <w:r w:rsidRPr="006029D1">
        <w:rPr>
          <w:b/>
        </w:rPr>
        <w:t>performance management in 2012</w:t>
      </w:r>
      <w:r>
        <w:rPr>
          <w:b/>
        </w:rPr>
        <w:t>–</w:t>
      </w:r>
      <w:r w:rsidRPr="006029D1">
        <w:rPr>
          <w:b/>
        </w:rPr>
        <w:t>13</w:t>
      </w:r>
      <w:r>
        <w:rPr>
          <w:b/>
        </w:rPr>
        <w:t xml:space="preserve">. </w:t>
      </w:r>
      <w:r w:rsidRPr="006029D1">
        <w:t>The Australia</w:t>
      </w:r>
      <w:r>
        <w:t xml:space="preserve"> – </w:t>
      </w:r>
      <w:r w:rsidRPr="006029D1">
        <w:t>Bangladesh Aid Program Strategy 2012</w:t>
      </w:r>
      <w:r>
        <w:t>–</w:t>
      </w:r>
      <w:r w:rsidRPr="006029D1">
        <w:t xml:space="preserve">16 was published in December 2012, </w:t>
      </w:r>
      <w:r>
        <w:t>outlining</w:t>
      </w:r>
      <w:r w:rsidRPr="006029D1">
        <w:t xml:space="preserve"> objectives and priorities</w:t>
      </w:r>
      <w:r>
        <w:t xml:space="preserve">. </w:t>
      </w:r>
      <w:r w:rsidR="005029C6">
        <w:t>Consistent with the strategy t</w:t>
      </w:r>
      <w:r w:rsidR="005029C6" w:rsidRPr="006029D1">
        <w:t xml:space="preserve">he program </w:t>
      </w:r>
      <w:r w:rsidR="005029C6">
        <w:t xml:space="preserve">will </w:t>
      </w:r>
      <w:r w:rsidR="005029C6" w:rsidRPr="006029D1">
        <w:t>consolidate and deepen policy engagement in key sectors, while retaining flexibility to deliver results in the uncertain political context</w:t>
      </w:r>
      <w:r w:rsidR="005029C6">
        <w:t xml:space="preserve">. </w:t>
      </w:r>
      <w:r w:rsidR="00F67835">
        <w:t xml:space="preserve">The strategy includes a </w:t>
      </w:r>
      <w:r w:rsidR="00F67835" w:rsidRPr="006029D1">
        <w:t>performance assessment framework to guide analysis and reporting of results</w:t>
      </w:r>
      <w:r w:rsidR="00F67835">
        <w:t>.</w:t>
      </w:r>
      <w:r w:rsidR="00F67835">
        <w:rPr>
          <w:rStyle w:val="FootnoteReference"/>
        </w:rPr>
        <w:footnoteReference w:id="32"/>
      </w:r>
      <w:r w:rsidR="00F67835">
        <w:t xml:space="preserve"> </w:t>
      </w:r>
      <w:r>
        <w:t xml:space="preserve">The </w:t>
      </w:r>
      <w:r w:rsidRPr="00CB15EF">
        <w:t>Australia</w:t>
      </w:r>
      <w:r w:rsidR="003F3668">
        <w:t xml:space="preserve"> – </w:t>
      </w:r>
      <w:r w:rsidRPr="00CB15EF">
        <w:t>Bangladesh Development Cooperation Program: Statement of Commitment</w:t>
      </w:r>
      <w:r w:rsidRPr="006029D1">
        <w:t>, endorsing the</w:t>
      </w:r>
      <w:r>
        <w:t xml:space="preserve"> program’s</w:t>
      </w:r>
      <w:r w:rsidRPr="006029D1">
        <w:t xml:space="preserve"> focus, was signed by both </w:t>
      </w:r>
      <w:r w:rsidR="003F3668">
        <w:t>g</w:t>
      </w:r>
      <w:r w:rsidRPr="006029D1">
        <w:t>overnments during inaugural</w:t>
      </w:r>
      <w:r w:rsidR="003F3668">
        <w:t>,</w:t>
      </w:r>
      <w:r w:rsidRPr="006029D1">
        <w:t xml:space="preserve"> high</w:t>
      </w:r>
      <w:r>
        <w:t>-</w:t>
      </w:r>
      <w:r w:rsidRPr="006029D1">
        <w:t>level consultations in April 2013</w:t>
      </w:r>
      <w:r>
        <w:t>.</w:t>
      </w:r>
      <w:r w:rsidR="00F75026">
        <w:t xml:space="preserve"> These consultations were a useful first step in establishing a forum for the two </w:t>
      </w:r>
      <w:r w:rsidR="003F3668">
        <w:t>g</w:t>
      </w:r>
      <w:r w:rsidR="00F75026">
        <w:t xml:space="preserve">overnments to jointly assess program effectiveness. </w:t>
      </w:r>
      <w:r w:rsidR="003A442E">
        <w:t>An assessment of n</w:t>
      </w:r>
      <w:r w:rsidR="00261486">
        <w:t>ational systems</w:t>
      </w:r>
      <w:r w:rsidR="00E8091B">
        <w:t xml:space="preserve"> found that </w:t>
      </w:r>
      <w:r w:rsidR="00C505D7">
        <w:t xml:space="preserve">the program’s </w:t>
      </w:r>
      <w:r w:rsidR="00C505D7" w:rsidRPr="00B61CED">
        <w:t xml:space="preserve">existing safeguards </w:t>
      </w:r>
      <w:r w:rsidR="00C505D7">
        <w:t>are helping to mitigate the country’s high fiduciary risks. The report</w:t>
      </w:r>
      <w:r w:rsidR="00261486">
        <w:t xml:space="preserve"> </w:t>
      </w:r>
      <w:r w:rsidR="003F3668">
        <w:t>will inform</w:t>
      </w:r>
      <w:r w:rsidR="00705151">
        <w:t xml:space="preserve"> </w:t>
      </w:r>
      <w:r w:rsidR="007124AB">
        <w:t xml:space="preserve">decisions on </w:t>
      </w:r>
      <w:r w:rsidR="00705151">
        <w:t xml:space="preserve">future investments </w:t>
      </w:r>
      <w:r w:rsidR="00261486">
        <w:t>with the Government</w:t>
      </w:r>
      <w:r w:rsidR="007124AB">
        <w:t xml:space="preserve"> of Bangladesh</w:t>
      </w:r>
      <w:r>
        <w:t xml:space="preserve">. </w:t>
      </w:r>
    </w:p>
    <w:p w14:paraId="450F7C20" w14:textId="79AF6D9B" w:rsidR="00115F30" w:rsidRPr="006029D1" w:rsidRDefault="00115F30" w:rsidP="0044011A">
      <w:pPr>
        <w:pStyle w:val="BodyText"/>
      </w:pPr>
      <w:r>
        <w:rPr>
          <w:b/>
        </w:rPr>
        <w:t>I</w:t>
      </w:r>
      <w:r w:rsidRPr="006029D1">
        <w:rPr>
          <w:b/>
        </w:rPr>
        <w:t xml:space="preserve">ntensive investment </w:t>
      </w:r>
      <w:r w:rsidR="00632316">
        <w:rPr>
          <w:b/>
        </w:rPr>
        <w:t xml:space="preserve">took place in 2012–13 </w:t>
      </w:r>
      <w:r w:rsidRPr="006029D1">
        <w:rPr>
          <w:b/>
        </w:rPr>
        <w:t>in new and existing partnerships to embed the new</w:t>
      </w:r>
      <w:r>
        <w:rPr>
          <w:b/>
        </w:rPr>
        <w:t xml:space="preserve"> program</w:t>
      </w:r>
      <w:r w:rsidRPr="006029D1">
        <w:rPr>
          <w:b/>
        </w:rPr>
        <w:t xml:space="preserve"> strategy</w:t>
      </w:r>
      <w:r>
        <w:rPr>
          <w:b/>
          <w:i/>
        </w:rPr>
        <w:t xml:space="preserve">. </w:t>
      </w:r>
      <w:r w:rsidRPr="006029D1">
        <w:t xml:space="preserve">Australia developed strong relationships with senior managers in BRAC and DFID and led the first review of the </w:t>
      </w:r>
      <w:r w:rsidRPr="008C7062">
        <w:t xml:space="preserve">BRAC Strategic Partnership Arrangement. Our brokering role and technical contribution in social protection has helped the </w:t>
      </w:r>
      <w:r>
        <w:t>G</w:t>
      </w:r>
      <w:r w:rsidRPr="008C7062">
        <w:t>overnment an</w:t>
      </w:r>
      <w:r w:rsidRPr="006029D1">
        <w:t>d partners maintain momentum for policy reform</w:t>
      </w:r>
      <w:r>
        <w:t xml:space="preserve">. </w:t>
      </w:r>
      <w:r w:rsidRPr="006029D1">
        <w:t>At the same time</w:t>
      </w:r>
      <w:r w:rsidR="003F3668">
        <w:t>, we</w:t>
      </w:r>
      <w:r w:rsidRPr="006029D1">
        <w:t xml:space="preserve"> maintained </w:t>
      </w:r>
      <w:r w:rsidR="00A70552">
        <w:t>relationships</w:t>
      </w:r>
      <w:r w:rsidR="00A70552" w:rsidRPr="006029D1">
        <w:t xml:space="preserve"> </w:t>
      </w:r>
      <w:r w:rsidRPr="006029D1">
        <w:t xml:space="preserve">with multilateral partners (see </w:t>
      </w:r>
      <w:r>
        <w:t>‘Multilateral Partners’ Performance’</w:t>
      </w:r>
      <w:r w:rsidRPr="006029D1">
        <w:t xml:space="preserve">) to iron out implementation difficulties in sector programs and </w:t>
      </w:r>
      <w:r>
        <w:t>capture</w:t>
      </w:r>
      <w:r w:rsidRPr="006029D1">
        <w:t xml:space="preserve"> emerging information relevant to the program</w:t>
      </w:r>
      <w:r>
        <w:t xml:space="preserve">. </w:t>
      </w:r>
    </w:p>
    <w:p w14:paraId="02B4D567" w14:textId="73E2DAC3" w:rsidR="00115F30" w:rsidRPr="006029D1" w:rsidRDefault="00115F30" w:rsidP="0044011A">
      <w:pPr>
        <w:pStyle w:val="BodyText"/>
      </w:pPr>
      <w:r w:rsidRPr="006029D1">
        <w:rPr>
          <w:b/>
        </w:rPr>
        <w:t>Australia has set out to be a credible and flexible donor with strong technical expertise in selected areas</w:t>
      </w:r>
      <w:r>
        <w:rPr>
          <w:b/>
        </w:rPr>
        <w:t xml:space="preserve">. </w:t>
      </w:r>
      <w:r w:rsidR="003F3668">
        <w:t>Our</w:t>
      </w:r>
      <w:r w:rsidR="003F3668" w:rsidRPr="006029D1">
        <w:t xml:space="preserve"> </w:t>
      </w:r>
      <w:r w:rsidRPr="006029D1">
        <w:t xml:space="preserve">leadership role in education reflects our strong reputation in the sector </w:t>
      </w:r>
      <w:r w:rsidRPr="006029D1">
        <w:lastRenderedPageBreak/>
        <w:t xml:space="preserve">built over multiple years of engagement, and continued through </w:t>
      </w:r>
      <w:r>
        <w:t>our</w:t>
      </w:r>
      <w:r w:rsidRPr="006029D1">
        <w:t xml:space="preserve"> role </w:t>
      </w:r>
      <w:r>
        <w:t>as</w:t>
      </w:r>
      <w:r w:rsidRPr="006029D1">
        <w:t xml:space="preserve"> </w:t>
      </w:r>
      <w:r w:rsidR="00BE7D14">
        <w:t>Co</w:t>
      </w:r>
      <w:r w:rsidRPr="006029D1">
        <w:t>-Chair of the donor consortium supporting the Government’s Primary Education Development Program</w:t>
      </w:r>
      <w:r>
        <w:t xml:space="preserve">. </w:t>
      </w:r>
      <w:r w:rsidR="003F3668">
        <w:t>We</w:t>
      </w:r>
      <w:r w:rsidRPr="006029D1">
        <w:t xml:space="preserve"> brokered closer engagement between UNICEF and BRAC in maternal and child health</w:t>
      </w:r>
      <w:r>
        <w:t xml:space="preserve">. </w:t>
      </w:r>
      <w:r w:rsidRPr="006029D1">
        <w:t xml:space="preserve">We </w:t>
      </w:r>
      <w:r>
        <w:t xml:space="preserve">also </w:t>
      </w:r>
      <w:r w:rsidRPr="006029D1">
        <w:t xml:space="preserve">helped partners support institutional reform within </w:t>
      </w:r>
      <w:proofErr w:type="spellStart"/>
      <w:r w:rsidRPr="006029D1">
        <w:t>Icddr</w:t>
      </w:r>
      <w:proofErr w:type="gramStart"/>
      <w:r w:rsidRPr="006029D1">
        <w:t>,b</w:t>
      </w:r>
      <w:proofErr w:type="spellEnd"/>
      <w:proofErr w:type="gramEnd"/>
      <w:r>
        <w:t>. P</w:t>
      </w:r>
      <w:r w:rsidRPr="006029D1">
        <w:t xml:space="preserve">artners and </w:t>
      </w:r>
      <w:r>
        <w:t xml:space="preserve">the </w:t>
      </w:r>
      <w:r w:rsidRPr="006029D1">
        <w:t>Government</w:t>
      </w:r>
      <w:r>
        <w:t xml:space="preserve"> of Bangladesh</w:t>
      </w:r>
      <w:r w:rsidRPr="006029D1">
        <w:t xml:space="preserve"> </w:t>
      </w:r>
      <w:r>
        <w:t>see</w:t>
      </w:r>
      <w:r w:rsidRPr="006029D1">
        <w:t xml:space="preserve"> </w:t>
      </w:r>
      <w:r w:rsidR="003F3668">
        <w:t>us</w:t>
      </w:r>
      <w:r w:rsidR="003F3668" w:rsidRPr="006029D1">
        <w:t xml:space="preserve"> </w:t>
      </w:r>
      <w:r w:rsidRPr="006029D1">
        <w:t>as impartial and pragmatic</w:t>
      </w:r>
      <w:r>
        <w:t>. T</w:t>
      </w:r>
      <w:r w:rsidRPr="006029D1">
        <w:t xml:space="preserve">he scope of the new </w:t>
      </w:r>
      <w:r>
        <w:t xml:space="preserve">program </w:t>
      </w:r>
      <w:r w:rsidRPr="006029D1">
        <w:t>strategy</w:t>
      </w:r>
      <w:r>
        <w:t>,</w:t>
      </w:r>
      <w:r w:rsidRPr="006029D1">
        <w:t xml:space="preserve"> with early plans for expansion</w:t>
      </w:r>
      <w:r>
        <w:t xml:space="preserve">, means </w:t>
      </w:r>
      <w:r w:rsidR="003F3668">
        <w:t>we have</w:t>
      </w:r>
      <w:r>
        <w:t xml:space="preserve"> to manage its </w:t>
      </w:r>
      <w:r w:rsidRPr="006029D1">
        <w:t>involvement over a broad</w:t>
      </w:r>
      <w:r>
        <w:t>er</w:t>
      </w:r>
      <w:r w:rsidRPr="006029D1">
        <w:t xml:space="preserve"> spread of activities, especially in the light of </w:t>
      </w:r>
      <w:r>
        <w:t xml:space="preserve">budget </w:t>
      </w:r>
      <w:r w:rsidRPr="006029D1">
        <w:t>reductions in 2012</w:t>
      </w:r>
      <w:r>
        <w:t>–</w:t>
      </w:r>
      <w:r w:rsidRPr="006029D1">
        <w:t>13</w:t>
      </w:r>
      <w:r>
        <w:t xml:space="preserve">. </w:t>
      </w:r>
      <w:r w:rsidRPr="006029D1">
        <w:t xml:space="preserve">The ability to maintain partnerships with </w:t>
      </w:r>
      <w:r>
        <w:t xml:space="preserve">the </w:t>
      </w:r>
      <w:r w:rsidRPr="006029D1">
        <w:t>Government has been hampered by frequent strikes</w:t>
      </w:r>
      <w:r>
        <w:t xml:space="preserve"> in-country limiting</w:t>
      </w:r>
      <w:r w:rsidRPr="006029D1">
        <w:t xml:space="preserve"> movement in Dhaka</w:t>
      </w:r>
      <w:r>
        <w:t xml:space="preserve">. </w:t>
      </w:r>
    </w:p>
    <w:p w14:paraId="3C8E7ED3" w14:textId="789E7AEB" w:rsidR="00115F30" w:rsidRPr="006029D1" w:rsidRDefault="00115F30" w:rsidP="0044011A">
      <w:pPr>
        <w:pStyle w:val="BodyText"/>
      </w:pPr>
      <w:r w:rsidRPr="006029D1">
        <w:rPr>
          <w:b/>
        </w:rPr>
        <w:t xml:space="preserve">Stronger operational support from </w:t>
      </w:r>
      <w:r w:rsidR="004361B6">
        <w:rPr>
          <w:b/>
        </w:rPr>
        <w:t>headquarters</w:t>
      </w:r>
      <w:r w:rsidR="00EC4F51">
        <w:rPr>
          <w:b/>
        </w:rPr>
        <w:t xml:space="preserve"> in </w:t>
      </w:r>
      <w:r w:rsidRPr="006029D1">
        <w:rPr>
          <w:b/>
        </w:rPr>
        <w:t xml:space="preserve">Canberra and intensive efforts by </w:t>
      </w:r>
      <w:r w:rsidR="006E277B">
        <w:rPr>
          <w:b/>
        </w:rPr>
        <w:t xml:space="preserve">those working in the </w:t>
      </w:r>
      <w:r w:rsidR="006E277B" w:rsidRPr="008F2B7A">
        <w:rPr>
          <w:b/>
        </w:rPr>
        <w:t>Australia High Commission</w:t>
      </w:r>
      <w:r w:rsidR="006E277B">
        <w:rPr>
          <w:sz w:val="24"/>
        </w:rPr>
        <w:t xml:space="preserve"> (</w:t>
      </w:r>
      <w:r w:rsidRPr="006029D1">
        <w:rPr>
          <w:b/>
        </w:rPr>
        <w:t>Post</w:t>
      </w:r>
      <w:r w:rsidR="006E277B">
        <w:rPr>
          <w:b/>
        </w:rPr>
        <w:t>)</w:t>
      </w:r>
      <w:r w:rsidRPr="006029D1">
        <w:rPr>
          <w:b/>
        </w:rPr>
        <w:t xml:space="preserve"> in Dhaka underpinned Australia’s performance</w:t>
      </w:r>
      <w:r>
        <w:t>. Dhaka</w:t>
      </w:r>
      <w:r w:rsidRPr="006029D1">
        <w:t xml:space="preserve"> Post was reorganised to manage the new program</w:t>
      </w:r>
      <w:r>
        <w:t xml:space="preserve"> strategy</w:t>
      </w:r>
      <w:r w:rsidRPr="006029D1">
        <w:t xml:space="preserve"> </w:t>
      </w:r>
      <w:r w:rsidR="005029C6">
        <w:t>and</w:t>
      </w:r>
      <w:r w:rsidRPr="006029D1">
        <w:t xml:space="preserve"> some </w:t>
      </w:r>
      <w:r w:rsidR="005029C6">
        <w:t>progress was made toward staff development</w:t>
      </w:r>
      <w:r>
        <w:t xml:space="preserve">. </w:t>
      </w:r>
      <w:r w:rsidRPr="006029D1">
        <w:t xml:space="preserve">However, efficiency gains from new </w:t>
      </w:r>
      <w:r w:rsidR="00FD0510">
        <w:t>agency</w:t>
      </w:r>
      <w:r w:rsidR="00EC4F51">
        <w:t>-</w:t>
      </w:r>
      <w:r w:rsidR="00FD0510">
        <w:t>wide</w:t>
      </w:r>
      <w:r w:rsidR="00FD0510" w:rsidRPr="006029D1">
        <w:t xml:space="preserve"> </w:t>
      </w:r>
      <w:r w:rsidRPr="006029D1">
        <w:t xml:space="preserve">corporate processes </w:t>
      </w:r>
      <w:r>
        <w:t>were</w:t>
      </w:r>
      <w:r w:rsidRPr="006029D1">
        <w:t xml:space="preserve"> not realised</w:t>
      </w:r>
      <w:r w:rsidR="00FD0510">
        <w:t xml:space="preserve"> </w:t>
      </w:r>
      <w:r w:rsidRPr="006029D1">
        <w:t xml:space="preserve">and it </w:t>
      </w:r>
      <w:r>
        <w:t>was</w:t>
      </w:r>
      <w:r w:rsidRPr="006029D1">
        <w:t xml:space="preserve"> not possible to balance detailed program management and compliance on the one hand and learning, analysis and external contact on the other</w:t>
      </w:r>
      <w:r>
        <w:t xml:space="preserve"> hand. </w:t>
      </w:r>
      <w:r w:rsidRPr="006029D1">
        <w:t>Staff ha</w:t>
      </w:r>
      <w:r>
        <w:t xml:space="preserve">d to work </w:t>
      </w:r>
      <w:r w:rsidRPr="006029D1">
        <w:t>unsustainably long hours</w:t>
      </w:r>
      <w:r>
        <w:t xml:space="preserve">. </w:t>
      </w:r>
      <w:r w:rsidRPr="006029D1">
        <w:t>Continuing professional development and access to additional technical support through the South Asia Resource Platform</w:t>
      </w:r>
      <w:r w:rsidR="004D7310">
        <w:rPr>
          <w:rStyle w:val="FootnoteReference"/>
        </w:rPr>
        <w:footnoteReference w:id="33"/>
      </w:r>
      <w:r w:rsidRPr="006029D1">
        <w:t xml:space="preserve"> are critical to sustain performance</w:t>
      </w:r>
      <w:r>
        <w:t xml:space="preserve">. </w:t>
      </w:r>
    </w:p>
    <w:p w14:paraId="11E8B78C" w14:textId="5F553FF0" w:rsidR="00115F30" w:rsidRPr="0044011A" w:rsidRDefault="00115F30" w:rsidP="0044011A">
      <w:pPr>
        <w:pStyle w:val="Heading3"/>
      </w:pPr>
      <w:r w:rsidRPr="0044011A">
        <w:t>Multilateral Partners’ Performance</w:t>
      </w:r>
    </w:p>
    <w:p w14:paraId="75273A3C" w14:textId="7AAE3356" w:rsidR="00115F30" w:rsidRDefault="00115F30" w:rsidP="0044011A">
      <w:pPr>
        <w:pStyle w:val="BodyText"/>
      </w:pPr>
      <w:r w:rsidRPr="006029D1">
        <w:t>As part of th</w:t>
      </w:r>
      <w:r>
        <w:t>is</w:t>
      </w:r>
      <w:r w:rsidRPr="006029D1">
        <w:t xml:space="preserve"> annual review, staff </w:t>
      </w:r>
      <w:r>
        <w:t>assessed</w:t>
      </w:r>
      <w:r w:rsidRPr="006029D1">
        <w:t xml:space="preserve"> </w:t>
      </w:r>
      <w:r w:rsidRPr="006029D1">
        <w:rPr>
          <w:b/>
        </w:rPr>
        <w:t>key partnerships</w:t>
      </w:r>
      <w:r w:rsidRPr="006029D1">
        <w:t xml:space="preserve"> and the time invested in </w:t>
      </w:r>
      <w:r>
        <w:t xml:space="preserve">each. </w:t>
      </w:r>
      <w:r w:rsidRPr="006029D1">
        <w:t xml:space="preserve">The assessment </w:t>
      </w:r>
      <w:r>
        <w:t>determined</w:t>
      </w:r>
      <w:r w:rsidRPr="006029D1">
        <w:t xml:space="preserve"> that the</w:t>
      </w:r>
      <w:r>
        <w:t xml:space="preserve"> partnerships—briefly described below—are </w:t>
      </w:r>
      <w:r w:rsidRPr="006029D1">
        <w:t>appropriate</w:t>
      </w:r>
      <w:r>
        <w:t xml:space="preserve">. </w:t>
      </w:r>
    </w:p>
    <w:p w14:paraId="342061E3" w14:textId="4DFEEAE1" w:rsidR="00115F30" w:rsidRPr="0044011A" w:rsidRDefault="00115F30" w:rsidP="0044011A">
      <w:pPr>
        <w:pStyle w:val="BodyText"/>
        <w:rPr>
          <w:b/>
        </w:rPr>
      </w:pPr>
      <w:r w:rsidRPr="0044011A">
        <w:rPr>
          <w:b/>
        </w:rPr>
        <w:t>Department for International Development, United Kingdom</w:t>
      </w:r>
    </w:p>
    <w:p w14:paraId="59580AD2" w14:textId="5B95C954" w:rsidR="00115F30" w:rsidRPr="006029D1" w:rsidRDefault="00115F30" w:rsidP="0044011A">
      <w:pPr>
        <w:pStyle w:val="BodyText"/>
      </w:pPr>
      <w:r w:rsidRPr="006029D1">
        <w:t>The U</w:t>
      </w:r>
      <w:r>
        <w:t>nited Kingdom</w:t>
      </w:r>
      <w:r w:rsidRPr="006029D1">
        <w:t xml:space="preserve"> is the biggest bilateral aid donor to Bangladesh and the one most closely aligned with </w:t>
      </w:r>
      <w:r w:rsidR="00EC4F51">
        <w:t>our</w:t>
      </w:r>
      <w:r w:rsidR="00EC4F51" w:rsidRPr="006029D1">
        <w:t xml:space="preserve"> </w:t>
      </w:r>
      <w:r w:rsidRPr="006029D1">
        <w:t>goals and objectives</w:t>
      </w:r>
      <w:r>
        <w:t>. DFID</w:t>
      </w:r>
      <w:r w:rsidRPr="006029D1">
        <w:t xml:space="preserve"> play</w:t>
      </w:r>
      <w:r>
        <w:t>s</w:t>
      </w:r>
      <w:r w:rsidRPr="006029D1">
        <w:t xml:space="preserve"> a strong and valuable role across </w:t>
      </w:r>
      <w:r>
        <w:t xml:space="preserve">all </w:t>
      </w:r>
      <w:r w:rsidRPr="006029D1">
        <w:t>sectors, most crucially for Australia in health, social protection, climate change</w:t>
      </w:r>
      <w:r w:rsidR="00EC4F51">
        <w:t>,</w:t>
      </w:r>
      <w:r>
        <w:t xml:space="preserve"> disaster risk reduction</w:t>
      </w:r>
      <w:r w:rsidRPr="006029D1">
        <w:t xml:space="preserve"> and education</w:t>
      </w:r>
      <w:r>
        <w:t xml:space="preserve">. </w:t>
      </w:r>
      <w:r w:rsidRPr="006029D1">
        <w:t xml:space="preserve">We value </w:t>
      </w:r>
      <w:r>
        <w:t>its</w:t>
      </w:r>
      <w:r w:rsidRPr="006029D1">
        <w:t xml:space="preserve"> advocacy for vulnerable communities</w:t>
      </w:r>
      <w:r>
        <w:t>,</w:t>
      </w:r>
      <w:r w:rsidRPr="006029D1">
        <w:t xml:space="preserve"> collaborative approach in social protection </w:t>
      </w:r>
      <w:r>
        <w:t>and</w:t>
      </w:r>
      <w:r w:rsidRPr="006029D1">
        <w:t xml:space="preserve"> sound management of our delegated cooperation arrangement for support to the Chars area</w:t>
      </w:r>
      <w:r>
        <w:t xml:space="preserve">. </w:t>
      </w:r>
      <w:r w:rsidRPr="006029D1">
        <w:t xml:space="preserve">We welcome </w:t>
      </w:r>
      <w:r>
        <w:t>DFID’s</w:t>
      </w:r>
      <w:r w:rsidRPr="006029D1">
        <w:t xml:space="preserve"> leadership in climate change and disaster risk reduction</w:t>
      </w:r>
      <w:r>
        <w:t xml:space="preserve"> and</w:t>
      </w:r>
      <w:r w:rsidRPr="006029D1">
        <w:t xml:space="preserve"> </w:t>
      </w:r>
      <w:r>
        <w:t>its</w:t>
      </w:r>
      <w:r w:rsidRPr="006029D1">
        <w:t xml:space="preserve"> role in strengthening coordination</w:t>
      </w:r>
      <w:r>
        <w:t>, which</w:t>
      </w:r>
      <w:r w:rsidRPr="006029D1">
        <w:t xml:space="preserve"> has been critical to progress</w:t>
      </w:r>
      <w:r>
        <w:t xml:space="preserve">. </w:t>
      </w:r>
    </w:p>
    <w:p w14:paraId="21A3ED76" w14:textId="4E7D7C0B" w:rsidR="00115F30" w:rsidRPr="006029D1" w:rsidRDefault="00A70552" w:rsidP="0044011A">
      <w:pPr>
        <w:pStyle w:val="BodyText"/>
      </w:pPr>
      <w:r>
        <w:t xml:space="preserve">We will work with the </w:t>
      </w:r>
      <w:r w:rsidR="00115F30" w:rsidRPr="006029D1">
        <w:t>U</w:t>
      </w:r>
      <w:r w:rsidR="00115F30">
        <w:t xml:space="preserve">nited </w:t>
      </w:r>
      <w:r w:rsidR="00115F30" w:rsidRPr="006029D1">
        <w:t>K</w:t>
      </w:r>
      <w:r w:rsidR="00115F30">
        <w:t>ingdom</w:t>
      </w:r>
      <w:r>
        <w:t xml:space="preserve"> to strengthen our partnership in some areas</w:t>
      </w:r>
      <w:r w:rsidR="00EC4F51">
        <w:t>, including in health where t</w:t>
      </w:r>
      <w:r>
        <w:t>he United Kingdom</w:t>
      </w:r>
      <w:r w:rsidR="00115F30" w:rsidRPr="006029D1">
        <w:t xml:space="preserve"> is a </w:t>
      </w:r>
      <w:r w:rsidR="00115F30">
        <w:t xml:space="preserve">strong leader. </w:t>
      </w:r>
      <w:r w:rsidR="00115F30" w:rsidRPr="006029D1">
        <w:t xml:space="preserve">Despite delays in technical assistance arrangements to support the Government’s health program, which </w:t>
      </w:r>
      <w:r w:rsidR="00EC4F51">
        <w:t>we</w:t>
      </w:r>
      <w:r w:rsidR="00EC4F51" w:rsidRPr="006029D1">
        <w:t xml:space="preserve"> </w:t>
      </w:r>
      <w:r w:rsidR="00115F30" w:rsidRPr="006029D1">
        <w:t>co-fund, recent progress points to</w:t>
      </w:r>
      <w:r w:rsidR="004D7310">
        <w:t xml:space="preserve"> good</w:t>
      </w:r>
      <w:r w:rsidR="00115F30" w:rsidRPr="006029D1">
        <w:t xml:space="preserve"> prospects for support to the Ministry for Health and Welfare</w:t>
      </w:r>
      <w:r w:rsidR="00115F30">
        <w:t xml:space="preserve">. </w:t>
      </w:r>
      <w:r w:rsidR="00EC4F51">
        <w:t>We</w:t>
      </w:r>
      <w:r w:rsidR="00EC4F51" w:rsidRPr="006029D1">
        <w:t xml:space="preserve"> </w:t>
      </w:r>
      <w:r w:rsidR="00115F30" w:rsidRPr="006029D1">
        <w:t>will work to draw more from the U</w:t>
      </w:r>
      <w:r w:rsidR="00115F30">
        <w:t xml:space="preserve">nited </w:t>
      </w:r>
      <w:r w:rsidR="00115F30" w:rsidRPr="006029D1">
        <w:t>K</w:t>
      </w:r>
      <w:r w:rsidR="00115F30">
        <w:t>ingdom</w:t>
      </w:r>
      <w:r w:rsidR="00115F30" w:rsidRPr="006029D1">
        <w:t xml:space="preserve">’s expertise in education and continue to work closely on our joint commitment to BRAC through the </w:t>
      </w:r>
      <w:r w:rsidR="00EC4F51">
        <w:t xml:space="preserve">unique </w:t>
      </w:r>
      <w:r w:rsidR="00115F30" w:rsidRPr="006029D1">
        <w:t xml:space="preserve">Strategic Partnership Arrangement </w:t>
      </w:r>
      <w:r w:rsidR="00115F30">
        <w:t>so</w:t>
      </w:r>
      <w:r w:rsidR="00115F30" w:rsidRPr="006029D1">
        <w:t xml:space="preserve"> all parties get the most out of </w:t>
      </w:r>
      <w:r w:rsidR="00EC4F51">
        <w:t>it</w:t>
      </w:r>
      <w:r w:rsidR="00115F30">
        <w:t xml:space="preserve">. </w:t>
      </w:r>
    </w:p>
    <w:p w14:paraId="28D9932C" w14:textId="77777777" w:rsidR="00115F30" w:rsidRPr="0044011A" w:rsidRDefault="00115F30" w:rsidP="0044011A">
      <w:pPr>
        <w:pStyle w:val="BodyText"/>
        <w:rPr>
          <w:b/>
        </w:rPr>
      </w:pPr>
      <w:r w:rsidRPr="0044011A">
        <w:rPr>
          <w:b/>
        </w:rPr>
        <w:t>BRAC</w:t>
      </w:r>
    </w:p>
    <w:p w14:paraId="3DEFC784" w14:textId="60041AE9" w:rsidR="00115F30" w:rsidRPr="006029D1" w:rsidRDefault="00115F30" w:rsidP="0044011A">
      <w:pPr>
        <w:pStyle w:val="BodyText"/>
      </w:pPr>
      <w:r w:rsidRPr="006029D1">
        <w:t>Australia provides core funding for BRAC through a three</w:t>
      </w:r>
      <w:r>
        <w:t>-</w:t>
      </w:r>
      <w:r w:rsidRPr="006029D1">
        <w:t>way Strategic Partnership Arrangement between BRAC, the U</w:t>
      </w:r>
      <w:r>
        <w:t xml:space="preserve">nited </w:t>
      </w:r>
      <w:r w:rsidRPr="006029D1">
        <w:t>K</w:t>
      </w:r>
      <w:r>
        <w:t>ingdom</w:t>
      </w:r>
      <w:r w:rsidRPr="006029D1">
        <w:t xml:space="preserve"> and Australia</w:t>
      </w:r>
      <w:r>
        <w:t xml:space="preserve">. </w:t>
      </w:r>
      <w:r w:rsidRPr="006029D1">
        <w:t xml:space="preserve">BRAC continues to deliver </w:t>
      </w:r>
      <w:r w:rsidR="00EC4F51" w:rsidRPr="006029D1">
        <w:t>high</w:t>
      </w:r>
      <w:r w:rsidR="00EC4F51">
        <w:t>-</w:t>
      </w:r>
      <w:r w:rsidRPr="006029D1">
        <w:t xml:space="preserve">quality results </w:t>
      </w:r>
      <w:r>
        <w:t>on</w:t>
      </w:r>
      <w:r w:rsidRPr="006029D1">
        <w:t xml:space="preserve"> a large scale</w:t>
      </w:r>
      <w:r>
        <w:t>. Its</w:t>
      </w:r>
      <w:r w:rsidRPr="006029D1">
        <w:t xml:space="preserve"> programs are closely aligned with </w:t>
      </w:r>
      <w:r w:rsidR="00EC4F51">
        <w:t>our</w:t>
      </w:r>
      <w:r w:rsidR="00EC4F51" w:rsidRPr="006029D1">
        <w:t xml:space="preserve"> </w:t>
      </w:r>
      <w:r w:rsidRPr="006029D1">
        <w:t>objectives and increasingly targeted toward the poorest, reducing poverty levels by reaching th</w:t>
      </w:r>
      <w:r>
        <w:t>ose without</w:t>
      </w:r>
      <w:r w:rsidRPr="006029D1">
        <w:t xml:space="preserve"> access to basic services</w:t>
      </w:r>
      <w:r>
        <w:t xml:space="preserve">. </w:t>
      </w:r>
    </w:p>
    <w:p w14:paraId="32C5E633" w14:textId="4FBF0367" w:rsidR="00115F30" w:rsidRPr="006029D1" w:rsidRDefault="00115F30" w:rsidP="0044011A">
      <w:pPr>
        <w:pStyle w:val="BodyText"/>
      </w:pPr>
      <w:r w:rsidRPr="006029D1">
        <w:lastRenderedPageBreak/>
        <w:t>After its first year, partners agree</w:t>
      </w:r>
      <w:r w:rsidR="00EC4F51">
        <w:t>d</w:t>
      </w:r>
      <w:r w:rsidRPr="006029D1">
        <w:t xml:space="preserve"> that the Strategic Partnership Arrangement is helping BRAC to </w:t>
      </w:r>
      <w:r w:rsidR="004D7310">
        <w:t xml:space="preserve">deliver </w:t>
      </w:r>
      <w:r w:rsidRPr="006029D1">
        <w:t>accelerate</w:t>
      </w:r>
      <w:r w:rsidR="004D7310">
        <w:t>d</w:t>
      </w:r>
      <w:r w:rsidRPr="006029D1">
        <w:t xml:space="preserve"> results</w:t>
      </w:r>
      <w:r>
        <w:t xml:space="preserve">. </w:t>
      </w:r>
      <w:r w:rsidR="004D7310">
        <w:t xml:space="preserve">BRAC’s </w:t>
      </w:r>
      <w:r w:rsidRPr="006029D1">
        <w:t xml:space="preserve">strong reporting systems underpin </w:t>
      </w:r>
      <w:r>
        <w:t>its</w:t>
      </w:r>
      <w:r w:rsidRPr="006029D1">
        <w:t xml:space="preserve"> dynamic and responsive accountability and transparency</w:t>
      </w:r>
      <w:r>
        <w:t>. P</w:t>
      </w:r>
      <w:r w:rsidRPr="006029D1">
        <w:t xml:space="preserve">artners worked collaboratively to build on BRAC’s monitoring arrangements, helping to link </w:t>
      </w:r>
      <w:r>
        <w:t>its</w:t>
      </w:r>
      <w:r w:rsidRPr="006029D1">
        <w:t xml:space="preserve"> remarkable achievements and the </w:t>
      </w:r>
      <w:r w:rsidR="004D7310">
        <w:t>country’s development goals</w:t>
      </w:r>
      <w:r>
        <w:t xml:space="preserve">. </w:t>
      </w:r>
      <w:r w:rsidRPr="006029D1">
        <w:t>BRAC’s effectiveness will be enhanced through close coordination with other stakeholders in each sector it engages in</w:t>
      </w:r>
      <w:r>
        <w:t xml:space="preserve">. </w:t>
      </w:r>
    </w:p>
    <w:p w14:paraId="6D1D04CC" w14:textId="77777777" w:rsidR="00115F30" w:rsidRPr="0044011A" w:rsidRDefault="00115F30" w:rsidP="0044011A">
      <w:pPr>
        <w:pStyle w:val="BodyText"/>
        <w:rPr>
          <w:b/>
        </w:rPr>
      </w:pPr>
      <w:r w:rsidRPr="0044011A">
        <w:rPr>
          <w:b/>
        </w:rPr>
        <w:t>World Bank</w:t>
      </w:r>
    </w:p>
    <w:p w14:paraId="5649E041" w14:textId="6757528A" w:rsidR="00115F30" w:rsidRPr="006029D1" w:rsidRDefault="00115F30" w:rsidP="0044011A">
      <w:pPr>
        <w:pStyle w:val="BodyText"/>
      </w:pPr>
      <w:r w:rsidRPr="006029D1">
        <w:t>Australia’s funding to the Government</w:t>
      </w:r>
      <w:r>
        <w:t xml:space="preserve"> of Bangladesh</w:t>
      </w:r>
      <w:r w:rsidRPr="006029D1">
        <w:t>’s health and climate change programs is provided through multi donor trust funds managed by the World Bank</w:t>
      </w:r>
      <w:r>
        <w:t xml:space="preserve">. </w:t>
      </w:r>
      <w:r w:rsidRPr="006029D1">
        <w:t xml:space="preserve">We also engage the </w:t>
      </w:r>
      <w:r>
        <w:t>World B</w:t>
      </w:r>
      <w:r w:rsidRPr="006029D1">
        <w:t>ank for technical support in education</w:t>
      </w:r>
      <w:r>
        <w:t>.</w:t>
      </w:r>
      <w:r w:rsidRPr="006029D1">
        <w:t xml:space="preserve"> For </w:t>
      </w:r>
      <w:r w:rsidR="00EC4F51">
        <w:t>us</w:t>
      </w:r>
      <w:r>
        <w:t>, the World Bank’s</w:t>
      </w:r>
      <w:r w:rsidRPr="006029D1">
        <w:t xml:space="preserve"> key strength lie</w:t>
      </w:r>
      <w:r w:rsidR="00EC4F51">
        <w:t>s</w:t>
      </w:r>
      <w:r w:rsidRPr="006029D1">
        <w:t xml:space="preserve"> in the strong fiduciary systems </w:t>
      </w:r>
      <w:r>
        <w:t>it</w:t>
      </w:r>
      <w:r w:rsidRPr="006029D1">
        <w:t xml:space="preserve"> bring</w:t>
      </w:r>
      <w:r>
        <w:t>s</w:t>
      </w:r>
      <w:r w:rsidRPr="006029D1">
        <w:t xml:space="preserve"> to managing</w:t>
      </w:r>
      <w:r>
        <w:t xml:space="preserve"> cost-effective</w:t>
      </w:r>
      <w:r w:rsidRPr="006029D1">
        <w:t xml:space="preserve"> financial arrangements</w:t>
      </w:r>
      <w:r>
        <w:t xml:space="preserve">. </w:t>
      </w:r>
      <w:r w:rsidRPr="006029D1">
        <w:t>This underpins our ability to function within limited resources in-country</w:t>
      </w:r>
      <w:r>
        <w:t xml:space="preserve">. </w:t>
      </w:r>
      <w:r w:rsidRPr="006029D1">
        <w:t>The</w:t>
      </w:r>
      <w:r>
        <w:t xml:space="preserve"> World Bank is</w:t>
      </w:r>
      <w:r w:rsidRPr="006029D1">
        <w:t xml:space="preserve"> also an important advocate for systems strengthening and universal coverage of services</w:t>
      </w:r>
      <w:r>
        <w:t>. Its</w:t>
      </w:r>
      <w:r w:rsidRPr="006029D1">
        <w:t xml:space="preserve"> large resources and lead role in health and climate change make </w:t>
      </w:r>
      <w:r>
        <w:t>its</w:t>
      </w:r>
      <w:r w:rsidRPr="006029D1">
        <w:t xml:space="preserve"> contribution important to </w:t>
      </w:r>
      <w:r w:rsidR="00FD0510">
        <w:t xml:space="preserve">stronger </w:t>
      </w:r>
      <w:r w:rsidRPr="006029D1">
        <w:t>progress</w:t>
      </w:r>
      <w:r>
        <w:t xml:space="preserve">. </w:t>
      </w:r>
    </w:p>
    <w:p w14:paraId="021EE1CD" w14:textId="1C065DD0" w:rsidR="00115F30" w:rsidRPr="006029D1" w:rsidRDefault="00A70552" w:rsidP="0044011A">
      <w:pPr>
        <w:pStyle w:val="BodyText"/>
      </w:pPr>
      <w:r>
        <w:t>N</w:t>
      </w:r>
      <w:r w:rsidR="00115F30" w:rsidRPr="006029D1">
        <w:t>ew senior management</w:t>
      </w:r>
      <w:r w:rsidR="00115F30">
        <w:t xml:space="preserve"> at the World Bank</w:t>
      </w:r>
      <w:r w:rsidR="00115F30" w:rsidRPr="006029D1">
        <w:t xml:space="preserve"> </w:t>
      </w:r>
      <w:r w:rsidR="00115F30">
        <w:t>points to</w:t>
      </w:r>
      <w:r w:rsidR="00115F30" w:rsidRPr="006029D1">
        <w:t xml:space="preserve"> good prospects for addressing concerns around coordination and slow progress in climate change</w:t>
      </w:r>
      <w:r w:rsidR="00115F30">
        <w:t>.</w:t>
      </w:r>
      <w:r>
        <w:t xml:space="preserve"> More active engagement with the </w:t>
      </w:r>
      <w:r w:rsidR="00C6176F">
        <w:t>G</w:t>
      </w:r>
      <w:r>
        <w:t xml:space="preserve">overnment will help progress development of capacity building support for the government on climate change. </w:t>
      </w:r>
      <w:r w:rsidR="00115F30" w:rsidRPr="006029D1">
        <w:t>Similarly in health Australia and other donors value closer coordination with partners and promotion of government leadership</w:t>
      </w:r>
      <w:r w:rsidR="00115F30">
        <w:t>. T</w:t>
      </w:r>
      <w:r w:rsidR="00115F30" w:rsidRPr="006029D1">
        <w:t>he collective knowledge from all stakeholders can build better results</w:t>
      </w:r>
      <w:r w:rsidR="00115F30">
        <w:t xml:space="preserve"> in these areas. </w:t>
      </w:r>
    </w:p>
    <w:p w14:paraId="75C924D3" w14:textId="3B49BAB2" w:rsidR="00115F30" w:rsidRPr="0044011A" w:rsidRDefault="00115F30" w:rsidP="0044011A">
      <w:pPr>
        <w:pStyle w:val="BodyText"/>
        <w:rPr>
          <w:b/>
        </w:rPr>
      </w:pPr>
      <w:r w:rsidRPr="0044011A">
        <w:rPr>
          <w:b/>
        </w:rPr>
        <w:t xml:space="preserve">United Nations Development Programme </w:t>
      </w:r>
    </w:p>
    <w:p w14:paraId="4096AB11" w14:textId="168C191B" w:rsidR="00115F30" w:rsidRPr="006029D1" w:rsidRDefault="00115F30" w:rsidP="0044011A">
      <w:pPr>
        <w:pStyle w:val="BodyText"/>
      </w:pPr>
      <w:r w:rsidRPr="006029D1">
        <w:t xml:space="preserve">The UNDP </w:t>
      </w:r>
      <w:r>
        <w:t>is</w:t>
      </w:r>
      <w:r w:rsidRPr="006029D1">
        <w:t xml:space="preserve"> an important partner to Australia</w:t>
      </w:r>
      <w:r w:rsidR="00EC4F51">
        <w:t>,</w:t>
      </w:r>
      <w:r w:rsidRPr="006029D1">
        <w:t xml:space="preserve"> particularly in social protection and disaster risk reduction</w:t>
      </w:r>
      <w:r>
        <w:t>. Its</w:t>
      </w:r>
      <w:r w:rsidRPr="006029D1">
        <w:t xml:space="preserve"> programs target the poorest and most vulnerable communities and </w:t>
      </w:r>
      <w:r>
        <w:t>it</w:t>
      </w:r>
      <w:r w:rsidRPr="006029D1">
        <w:t xml:space="preserve"> engage</w:t>
      </w:r>
      <w:r>
        <w:t>s</w:t>
      </w:r>
      <w:r w:rsidRPr="006029D1">
        <w:t xml:space="preserve"> at length with stakeholders in developing UNDP support</w:t>
      </w:r>
      <w:r>
        <w:t>. It also</w:t>
      </w:r>
      <w:r w:rsidRPr="006029D1">
        <w:t xml:space="preserve"> promote</w:t>
      </w:r>
      <w:r>
        <w:t>s</w:t>
      </w:r>
      <w:r w:rsidRPr="006029D1">
        <w:t xml:space="preserve"> and support</w:t>
      </w:r>
      <w:r>
        <w:t>s</w:t>
      </w:r>
      <w:r w:rsidRPr="006029D1">
        <w:t xml:space="preserve"> strong coordination in the sectors </w:t>
      </w:r>
      <w:r>
        <w:t>it</w:t>
      </w:r>
      <w:r w:rsidRPr="006029D1">
        <w:t xml:space="preserve"> engage</w:t>
      </w:r>
      <w:r>
        <w:t>s</w:t>
      </w:r>
      <w:r w:rsidRPr="006029D1">
        <w:t xml:space="preserve"> in</w:t>
      </w:r>
      <w:r>
        <w:t xml:space="preserve">. </w:t>
      </w:r>
      <w:r w:rsidRPr="006029D1">
        <w:t>Like Australia</w:t>
      </w:r>
      <w:r>
        <w:t>,</w:t>
      </w:r>
      <w:r w:rsidRPr="006029D1">
        <w:t xml:space="preserve"> the UNDP </w:t>
      </w:r>
      <w:r>
        <w:t>is</w:t>
      </w:r>
      <w:r w:rsidRPr="006029D1">
        <w:t xml:space="preserve"> a strong advocate for the merits of an effective social protection policy in Bangladesh</w:t>
      </w:r>
      <w:r>
        <w:t xml:space="preserve">. </w:t>
      </w:r>
      <w:r w:rsidRPr="006029D1">
        <w:t>We worked well with the UNDP and U</w:t>
      </w:r>
      <w:r>
        <w:t xml:space="preserve">nited </w:t>
      </w:r>
      <w:r w:rsidRPr="006029D1">
        <w:t>K</w:t>
      </w:r>
      <w:r>
        <w:t>ingdom</w:t>
      </w:r>
      <w:r w:rsidRPr="006029D1">
        <w:t xml:space="preserve"> in this area</w:t>
      </w:r>
      <w:r w:rsidR="00EC4F51">
        <w:t>,</w:t>
      </w:r>
      <w:r w:rsidRPr="006029D1">
        <w:t xml:space="preserve"> providing small</w:t>
      </w:r>
      <w:r w:rsidR="00EC4F51">
        <w:t>-</w:t>
      </w:r>
      <w:r w:rsidRPr="006029D1">
        <w:t>scale but strategic support for the Government’s reform process</w:t>
      </w:r>
      <w:r>
        <w:t xml:space="preserve">. </w:t>
      </w:r>
      <w:r w:rsidRPr="006029D1">
        <w:t>The UNDP’s positive relationships with the Government facilitated progress</w:t>
      </w:r>
      <w:r>
        <w:t xml:space="preserve">. </w:t>
      </w:r>
    </w:p>
    <w:p w14:paraId="6F2D71AE" w14:textId="375D5649" w:rsidR="00115F30" w:rsidRDefault="00EC4F51" w:rsidP="0044011A">
      <w:pPr>
        <w:pStyle w:val="BodyText"/>
      </w:pPr>
      <w:r>
        <w:t>Our</w:t>
      </w:r>
      <w:r w:rsidRPr="006029D1">
        <w:t xml:space="preserve"> </w:t>
      </w:r>
      <w:r w:rsidR="00115F30" w:rsidRPr="006029D1">
        <w:t>funding in disaster risk reduction is provided through the Government’s Comprehensive Disaster Management Program</w:t>
      </w:r>
      <w:r w:rsidR="00115F30">
        <w:t>me</w:t>
      </w:r>
      <w:r w:rsidR="00115F30" w:rsidRPr="006029D1">
        <w:t xml:space="preserve"> and the Early Recovery Facility</w:t>
      </w:r>
      <w:r w:rsidR="00115F30">
        <w:t>,</w:t>
      </w:r>
      <w:r w:rsidR="00115F30" w:rsidRPr="006029D1">
        <w:t xml:space="preserve"> both managed by the UNDP</w:t>
      </w:r>
      <w:r w:rsidR="00115F30">
        <w:t xml:space="preserve">. </w:t>
      </w:r>
      <w:r w:rsidR="00115F30" w:rsidRPr="006029D1">
        <w:t xml:space="preserve">Donors are </w:t>
      </w:r>
      <w:r w:rsidR="00D01DD8">
        <w:t>encouraged by</w:t>
      </w:r>
      <w:r w:rsidR="00115F30" w:rsidRPr="006029D1">
        <w:t xml:space="preserve"> improved levels of disbursement and progress toward </w:t>
      </w:r>
      <w:r w:rsidR="00295EAC">
        <w:t xml:space="preserve">a results framework for the Comprehensive </w:t>
      </w:r>
      <w:r w:rsidR="00115F30" w:rsidRPr="006029D1">
        <w:t>Disaster Management Program</w:t>
      </w:r>
      <w:r w:rsidR="00115F30">
        <w:t xml:space="preserve">me. </w:t>
      </w:r>
      <w:r w:rsidR="00115F30" w:rsidRPr="006029D1">
        <w:t xml:space="preserve">The UNDP </w:t>
      </w:r>
      <w:r w:rsidR="00115F30">
        <w:t>is playing</w:t>
      </w:r>
      <w:r w:rsidR="00115F30" w:rsidRPr="006029D1">
        <w:t xml:space="preserve"> an important role in maintaining focus on project quality</w:t>
      </w:r>
      <w:r w:rsidR="00115F30">
        <w:t xml:space="preserve"> </w:t>
      </w:r>
      <w:r w:rsidR="00DB0C58">
        <w:t>in this</w:t>
      </w:r>
      <w:r w:rsidR="00115F30">
        <w:t xml:space="preserve"> program</w:t>
      </w:r>
      <w:r w:rsidR="00DB0C58">
        <w:t xml:space="preserve"> as it</w:t>
      </w:r>
      <w:r w:rsidR="00115F30">
        <w:t xml:space="preserve"> reach</w:t>
      </w:r>
      <w:r w:rsidR="00DB0C58">
        <w:t>es its</w:t>
      </w:r>
      <w:r w:rsidR="00115F30">
        <w:t xml:space="preserve"> conclusion (due in </w:t>
      </w:r>
      <w:r w:rsidR="00DB0C58">
        <w:t>2014</w:t>
      </w:r>
      <w:r w:rsidR="00115F30">
        <w:t xml:space="preserve">). </w:t>
      </w:r>
    </w:p>
    <w:p w14:paraId="3D6F1D7E" w14:textId="77777777" w:rsidR="00115F30" w:rsidRPr="0044011A" w:rsidRDefault="00115F30" w:rsidP="0044011A">
      <w:pPr>
        <w:pStyle w:val="BodyText"/>
        <w:rPr>
          <w:b/>
        </w:rPr>
      </w:pPr>
      <w:r w:rsidRPr="0044011A">
        <w:rPr>
          <w:b/>
        </w:rPr>
        <w:t>UNICEF</w:t>
      </w:r>
    </w:p>
    <w:p w14:paraId="6ACB3939" w14:textId="0436F1F8" w:rsidR="00115F30" w:rsidRPr="006029D1" w:rsidRDefault="00EC4F51" w:rsidP="0044011A">
      <w:pPr>
        <w:pStyle w:val="BodyText"/>
      </w:pPr>
      <w:r>
        <w:t>Our</w:t>
      </w:r>
      <w:r w:rsidRPr="006029D1">
        <w:t xml:space="preserve"> </w:t>
      </w:r>
      <w:r w:rsidR="00115F30" w:rsidRPr="006029D1">
        <w:t xml:space="preserve">funding levels for UNICEF activities have reduced, as </w:t>
      </w:r>
      <w:r w:rsidR="00115F30">
        <w:t>we have</w:t>
      </w:r>
      <w:r w:rsidR="00115F30" w:rsidRPr="006029D1">
        <w:t xml:space="preserve"> </w:t>
      </w:r>
      <w:r w:rsidR="00115F30">
        <w:t>provided</w:t>
      </w:r>
      <w:r w:rsidR="00115F30" w:rsidRPr="006029D1">
        <w:t xml:space="preserve"> direct support for government programs in health and education</w:t>
      </w:r>
      <w:r w:rsidR="00115F30">
        <w:t>. However, UNICEF</w:t>
      </w:r>
      <w:r w:rsidR="00115F30" w:rsidRPr="006029D1">
        <w:t xml:space="preserve"> remain</w:t>
      </w:r>
      <w:r w:rsidR="00115F30">
        <w:t>s</w:t>
      </w:r>
      <w:r w:rsidR="00115F30" w:rsidRPr="006029D1">
        <w:t xml:space="preserve"> an important strategic partner</w:t>
      </w:r>
      <w:r w:rsidR="00115F30">
        <w:t>. Its</w:t>
      </w:r>
      <w:r w:rsidR="00115F30" w:rsidRPr="006029D1">
        <w:t xml:space="preserve"> strong working relationships with</w:t>
      </w:r>
      <w:r w:rsidR="00867D47">
        <w:t xml:space="preserve"> the</w:t>
      </w:r>
      <w:r w:rsidR="00115F30" w:rsidRPr="006029D1">
        <w:t xml:space="preserve"> </w:t>
      </w:r>
      <w:r w:rsidR="00AA00EF">
        <w:t>G</w:t>
      </w:r>
      <w:r w:rsidR="00115F30" w:rsidRPr="006029D1">
        <w:t xml:space="preserve">overnment and BRAC, encouraging </w:t>
      </w:r>
      <w:r w:rsidR="00115F30">
        <w:t>discussion,</w:t>
      </w:r>
      <w:r w:rsidR="00115F30" w:rsidRPr="006029D1">
        <w:t xml:space="preserve"> continue to complement our engagement in health and education</w:t>
      </w:r>
      <w:r w:rsidR="00115F30">
        <w:t>. UNICEF’s</w:t>
      </w:r>
      <w:r w:rsidR="00115F30" w:rsidRPr="006029D1">
        <w:t xml:space="preserve"> multi</w:t>
      </w:r>
      <w:r w:rsidR="00115F30">
        <w:t>-</w:t>
      </w:r>
      <w:r w:rsidR="00115F30" w:rsidRPr="006029D1">
        <w:t xml:space="preserve">country investment case study, </w:t>
      </w:r>
      <w:r w:rsidR="00115F30">
        <w:t xml:space="preserve">which </w:t>
      </w:r>
      <w:r w:rsidR="00115F30" w:rsidRPr="006029D1">
        <w:t>includ</w:t>
      </w:r>
      <w:r w:rsidR="00115F30">
        <w:t>es</w:t>
      </w:r>
      <w:r w:rsidR="00115F30" w:rsidRPr="006029D1">
        <w:t xml:space="preserve"> Bangladesh</w:t>
      </w:r>
      <w:r w:rsidR="00115F30">
        <w:t>,</w:t>
      </w:r>
      <w:r w:rsidR="00115F30" w:rsidRPr="006029D1">
        <w:t xml:space="preserve"> look</w:t>
      </w:r>
      <w:r w:rsidR="00115F30">
        <w:t>s</w:t>
      </w:r>
      <w:r w:rsidR="00115F30" w:rsidRPr="006029D1">
        <w:t xml:space="preserve"> at local planning in health</w:t>
      </w:r>
      <w:r w:rsidR="00115F30">
        <w:t xml:space="preserve"> and</w:t>
      </w:r>
      <w:r w:rsidR="00115F30" w:rsidRPr="006029D1">
        <w:t xml:space="preserve"> has prospects for strengthening sector capacity</w:t>
      </w:r>
      <w:r w:rsidR="00115F30">
        <w:t xml:space="preserve">. </w:t>
      </w:r>
    </w:p>
    <w:p w14:paraId="115F205E" w14:textId="4AED77AE" w:rsidR="00115F30" w:rsidRPr="0044011A" w:rsidRDefault="00115F30" w:rsidP="0044011A">
      <w:pPr>
        <w:pStyle w:val="BodyText"/>
        <w:rPr>
          <w:b/>
        </w:rPr>
      </w:pPr>
      <w:r w:rsidRPr="0044011A">
        <w:rPr>
          <w:b/>
        </w:rPr>
        <w:t>Asia</w:t>
      </w:r>
      <w:r w:rsidR="00AA00EF" w:rsidRPr="0044011A">
        <w:rPr>
          <w:b/>
        </w:rPr>
        <w:t>n</w:t>
      </w:r>
      <w:r w:rsidRPr="0044011A">
        <w:rPr>
          <w:b/>
        </w:rPr>
        <w:t xml:space="preserve"> Development Bank </w:t>
      </w:r>
    </w:p>
    <w:p w14:paraId="096975EB" w14:textId="755231FF" w:rsidR="00115F30" w:rsidRPr="006029D1" w:rsidRDefault="00867D47" w:rsidP="0044011A">
      <w:pPr>
        <w:pStyle w:val="BodyText"/>
      </w:pPr>
      <w:r>
        <w:t>The Asian Development Bank</w:t>
      </w:r>
      <w:r w:rsidR="00115F30" w:rsidRPr="006029D1">
        <w:t xml:space="preserve"> play</w:t>
      </w:r>
      <w:r w:rsidR="00115F30">
        <w:t>s</w:t>
      </w:r>
      <w:r w:rsidR="00115F30" w:rsidRPr="006029D1">
        <w:t xml:space="preserve"> a strong role in Bangladesh, most importantly for Australia in primary education</w:t>
      </w:r>
      <w:r w:rsidR="00115F30">
        <w:t xml:space="preserve">. </w:t>
      </w:r>
      <w:r>
        <w:t>The Bank</w:t>
      </w:r>
      <w:r w:rsidR="00115F30">
        <w:t xml:space="preserve"> chairs</w:t>
      </w:r>
      <w:r w:rsidR="00115F30" w:rsidRPr="006029D1">
        <w:t xml:space="preserve"> the donor consortium supporting the </w:t>
      </w:r>
      <w:r w:rsidR="00115F30">
        <w:t>G</w:t>
      </w:r>
      <w:r w:rsidR="00115F30" w:rsidRPr="006029D1">
        <w:t>overnment</w:t>
      </w:r>
      <w:r w:rsidR="00115F30">
        <w:t xml:space="preserve"> of Bangladesh</w:t>
      </w:r>
      <w:r w:rsidR="00115F30" w:rsidRPr="006029D1">
        <w:t>’s primary education program (</w:t>
      </w:r>
      <w:r>
        <w:t>we</w:t>
      </w:r>
      <w:r w:rsidRPr="006029D1">
        <w:t xml:space="preserve"> </w:t>
      </w:r>
      <w:r w:rsidR="00EE5C4E">
        <w:t>took up the C</w:t>
      </w:r>
      <w:r w:rsidR="00115F30" w:rsidRPr="006029D1">
        <w:t>o</w:t>
      </w:r>
      <w:r w:rsidR="00115F30">
        <w:t>-</w:t>
      </w:r>
      <w:r w:rsidR="00115F30" w:rsidRPr="006029D1">
        <w:t xml:space="preserve">chair role </w:t>
      </w:r>
      <w:r w:rsidR="00115F30">
        <w:t>in</w:t>
      </w:r>
      <w:r w:rsidR="00115F30" w:rsidRPr="006029D1">
        <w:t xml:space="preserve"> January 2013)</w:t>
      </w:r>
      <w:r w:rsidR="00115F30">
        <w:t xml:space="preserve">. </w:t>
      </w:r>
      <w:r>
        <w:t xml:space="preserve">It </w:t>
      </w:r>
      <w:r w:rsidR="00115F30">
        <w:t>is</w:t>
      </w:r>
      <w:r w:rsidR="00115F30" w:rsidRPr="006029D1">
        <w:t xml:space="preserve"> an effective coordinator of the donor group helping provide sound support </w:t>
      </w:r>
      <w:r w:rsidR="00115F30" w:rsidRPr="006029D1">
        <w:lastRenderedPageBreak/>
        <w:t xml:space="preserve">for the </w:t>
      </w:r>
      <w:r w:rsidR="00115F30">
        <w:t>G</w:t>
      </w:r>
      <w:r w:rsidR="00115F30" w:rsidRPr="006029D1">
        <w:t>overnment’s priorities in the sector</w:t>
      </w:r>
      <w:r w:rsidR="00115F30">
        <w:t>. It also</w:t>
      </w:r>
      <w:r w:rsidR="00115F30" w:rsidRPr="006029D1">
        <w:t xml:space="preserve"> bring</w:t>
      </w:r>
      <w:r w:rsidR="00115F30">
        <w:t>s</w:t>
      </w:r>
      <w:r w:rsidR="00115F30" w:rsidRPr="006029D1">
        <w:t xml:space="preserve"> considerable fiduciary expertise to this sub-sector</w:t>
      </w:r>
      <w:r w:rsidR="00115F30">
        <w:t>,</w:t>
      </w:r>
      <w:r w:rsidR="00115F30" w:rsidRPr="006029D1">
        <w:t xml:space="preserve"> an important consideration in </w:t>
      </w:r>
      <w:r>
        <w:t>our</w:t>
      </w:r>
      <w:r w:rsidRPr="006029D1">
        <w:t xml:space="preserve"> </w:t>
      </w:r>
      <w:r w:rsidR="00115F30" w:rsidRPr="006029D1">
        <w:t>decision to engage in the program</w:t>
      </w:r>
      <w:r w:rsidR="00115F30">
        <w:t xml:space="preserve">. </w:t>
      </w:r>
    </w:p>
    <w:p w14:paraId="2DDD5B97" w14:textId="418910DD" w:rsidR="00115F30" w:rsidRPr="0044011A" w:rsidRDefault="00115F30" w:rsidP="0044011A">
      <w:pPr>
        <w:pStyle w:val="BodyText"/>
        <w:rPr>
          <w:b/>
        </w:rPr>
      </w:pPr>
      <w:r w:rsidRPr="0044011A">
        <w:rPr>
          <w:b/>
        </w:rPr>
        <w:t>W</w:t>
      </w:r>
      <w:r w:rsidR="00AA00EF" w:rsidRPr="0044011A">
        <w:rPr>
          <w:b/>
        </w:rPr>
        <w:t xml:space="preserve">orld Food Programme </w:t>
      </w:r>
    </w:p>
    <w:p w14:paraId="6549B31D" w14:textId="18A6F308" w:rsidR="00115F30" w:rsidRPr="006029D1" w:rsidRDefault="00867D47" w:rsidP="0044011A">
      <w:pPr>
        <w:pStyle w:val="BodyText"/>
      </w:pPr>
      <w:r>
        <w:t xml:space="preserve">The World Food Programme </w:t>
      </w:r>
      <w:r w:rsidR="00115F30" w:rsidRPr="006029D1">
        <w:t>ha</w:t>
      </w:r>
      <w:r w:rsidR="00115F30">
        <w:t>s</w:t>
      </w:r>
      <w:r w:rsidR="00115F30" w:rsidRPr="006029D1">
        <w:t xml:space="preserve"> been an important partner for Australia, helping us provide nutrition and livelihoods support to some of the poorest and most vulnerable communities in </w:t>
      </w:r>
      <w:r w:rsidR="00115F30">
        <w:t xml:space="preserve">Bangladesh. </w:t>
      </w:r>
      <w:r w:rsidR="00D01DD8">
        <w:t>This includes in</w:t>
      </w:r>
      <w:r w:rsidR="00115F30" w:rsidRPr="006029D1">
        <w:t xml:space="preserve"> difficult operating environment </w:t>
      </w:r>
      <w:r w:rsidR="00EC3BF5">
        <w:t xml:space="preserve">which relies on </w:t>
      </w:r>
      <w:r>
        <w:t>its</w:t>
      </w:r>
      <w:r w:rsidRPr="006029D1">
        <w:t xml:space="preserve"> </w:t>
      </w:r>
      <w:r w:rsidR="00115F30" w:rsidRPr="006029D1">
        <w:t xml:space="preserve">strong working relationships with the </w:t>
      </w:r>
      <w:r w:rsidR="00115F30">
        <w:t>G</w:t>
      </w:r>
      <w:r w:rsidR="00115F30" w:rsidRPr="006029D1">
        <w:t>overnment</w:t>
      </w:r>
      <w:r w:rsidR="00AA00EF">
        <w:t xml:space="preserve"> of Bangladesh</w:t>
      </w:r>
      <w:r w:rsidR="00EC3BF5">
        <w:t>.</w:t>
      </w:r>
      <w:r w:rsidR="00115F30">
        <w:t xml:space="preserve"> </w:t>
      </w:r>
      <w:r w:rsidR="00115F30" w:rsidRPr="006029D1">
        <w:t>New funding arrangements provide an opportunity to learn from previous challenges in reporting and coordination</w:t>
      </w:r>
      <w:r w:rsidR="00115F30">
        <w:t xml:space="preserve">. </w:t>
      </w:r>
      <w:r w:rsidR="00115F30" w:rsidRPr="006029D1">
        <w:t xml:space="preserve">In social protection </w:t>
      </w:r>
      <w:r>
        <w:t>the World Food Programme</w:t>
      </w:r>
      <w:r w:rsidR="00115F30">
        <w:t xml:space="preserve"> is</w:t>
      </w:r>
      <w:r w:rsidR="00115F30" w:rsidRPr="006029D1">
        <w:t xml:space="preserve"> a willing and interested partner and we</w:t>
      </w:r>
      <w:r w:rsidR="00115F30">
        <w:t xml:space="preserve"> will look for</w:t>
      </w:r>
      <w:r w:rsidR="00115F30" w:rsidRPr="006029D1">
        <w:t xml:space="preserve"> further opportunities to engage</w:t>
      </w:r>
      <w:r w:rsidR="00115F30">
        <w:t xml:space="preserve">. </w:t>
      </w:r>
    </w:p>
    <w:p w14:paraId="22335DE5" w14:textId="0FF65571" w:rsidR="00115F30" w:rsidRPr="0044011A" w:rsidRDefault="00115F30" w:rsidP="0044011A">
      <w:pPr>
        <w:pStyle w:val="Heading1"/>
      </w:pPr>
      <w:r w:rsidRPr="0044011A">
        <w:t>Management consequences</w:t>
      </w:r>
    </w:p>
    <w:p w14:paraId="67B445F5" w14:textId="12FFD160" w:rsidR="00115F30" w:rsidRPr="0044011A" w:rsidRDefault="00A14D3F" w:rsidP="0044011A">
      <w:pPr>
        <w:pStyle w:val="BodyText"/>
        <w:rPr>
          <w:i/>
        </w:rPr>
      </w:pPr>
      <w:r w:rsidRPr="0044011A">
        <w:rPr>
          <w:i/>
        </w:rPr>
        <w:t xml:space="preserve">In spite of the </w:t>
      </w:r>
      <w:r w:rsidR="00115F30" w:rsidRPr="0044011A">
        <w:rPr>
          <w:i/>
        </w:rPr>
        <w:t>challenging operating environment in Bangladesh</w:t>
      </w:r>
      <w:r w:rsidRPr="0044011A">
        <w:rPr>
          <w:i/>
        </w:rPr>
        <w:t>, a slower than expected budget scale</w:t>
      </w:r>
      <w:r w:rsidR="00303091" w:rsidRPr="0044011A">
        <w:rPr>
          <w:i/>
        </w:rPr>
        <w:t>-</w:t>
      </w:r>
      <w:r w:rsidRPr="0044011A">
        <w:rPr>
          <w:i/>
        </w:rPr>
        <w:t xml:space="preserve">up and limited access to technical resources the program made encouraging progress. The following adjustments </w:t>
      </w:r>
      <w:r w:rsidR="00867D47" w:rsidRPr="0044011A">
        <w:rPr>
          <w:i/>
        </w:rPr>
        <w:t>are needed to</w:t>
      </w:r>
      <w:r w:rsidRPr="0044011A">
        <w:rPr>
          <w:i/>
        </w:rPr>
        <w:t xml:space="preserve"> </w:t>
      </w:r>
      <w:r w:rsidR="00867D47" w:rsidRPr="0044011A">
        <w:rPr>
          <w:i/>
        </w:rPr>
        <w:t xml:space="preserve">extend </w:t>
      </w:r>
      <w:r w:rsidRPr="0044011A">
        <w:rPr>
          <w:i/>
        </w:rPr>
        <w:t>the program</w:t>
      </w:r>
      <w:r w:rsidR="00867D47" w:rsidRPr="0044011A">
        <w:rPr>
          <w:i/>
        </w:rPr>
        <w:t>’s</w:t>
      </w:r>
      <w:r w:rsidRPr="0044011A">
        <w:rPr>
          <w:i/>
        </w:rPr>
        <w:t xml:space="preserve"> progress</w:t>
      </w:r>
      <w:r w:rsidR="00115F30" w:rsidRPr="0044011A">
        <w:rPr>
          <w:i/>
        </w:rPr>
        <w:t xml:space="preserve">. </w:t>
      </w:r>
    </w:p>
    <w:p w14:paraId="0453BB4B" w14:textId="777DCE4E" w:rsidR="0077672E" w:rsidRPr="0044011A" w:rsidRDefault="008E694A" w:rsidP="0044011A">
      <w:pPr>
        <w:pStyle w:val="BodyText"/>
        <w:rPr>
          <w:i/>
        </w:rPr>
      </w:pPr>
      <w:r w:rsidRPr="00940581">
        <w:rPr>
          <w:b/>
          <w:i/>
        </w:rPr>
        <w:t>The Australian Department of Foreign Affairs and Trade (DFAT)</w:t>
      </w:r>
      <w:r w:rsidR="000A0805" w:rsidRPr="0044011A">
        <w:rPr>
          <w:b/>
          <w:i/>
        </w:rPr>
        <w:t xml:space="preserve"> will consolidate our existing program and develop a policy agenda to sharpen our engagement in key sectors</w:t>
      </w:r>
      <w:r w:rsidR="00272BB6" w:rsidRPr="0044011A">
        <w:rPr>
          <w:b/>
          <w:i/>
        </w:rPr>
        <w:t>.</w:t>
      </w:r>
      <w:r w:rsidR="00272BB6" w:rsidRPr="0044011A">
        <w:rPr>
          <w:i/>
        </w:rPr>
        <w:t xml:space="preserve"> Priority will be in </w:t>
      </w:r>
      <w:r w:rsidR="000A0805" w:rsidRPr="0044011A">
        <w:rPr>
          <w:i/>
        </w:rPr>
        <w:t>education, health, and social protection</w:t>
      </w:r>
      <w:r w:rsidR="005F1142" w:rsidRPr="0044011A">
        <w:rPr>
          <w:i/>
        </w:rPr>
        <w:t xml:space="preserve"> </w:t>
      </w:r>
      <w:r w:rsidR="00272BB6" w:rsidRPr="0044011A">
        <w:rPr>
          <w:i/>
        </w:rPr>
        <w:t xml:space="preserve">complemented by work </w:t>
      </w:r>
      <w:r w:rsidR="0077672E" w:rsidRPr="0044011A">
        <w:rPr>
          <w:i/>
        </w:rPr>
        <w:t>in</w:t>
      </w:r>
      <w:r w:rsidR="00867D47" w:rsidRPr="0044011A">
        <w:rPr>
          <w:i/>
        </w:rPr>
        <w:t xml:space="preserve"> climate change, Australia scholarships and in humanitarian activities. </w:t>
      </w:r>
    </w:p>
    <w:p w14:paraId="70844AD9" w14:textId="0DB71D1A" w:rsidR="00867D47" w:rsidRPr="0044011A" w:rsidRDefault="0044011A" w:rsidP="0044011A">
      <w:pPr>
        <w:pStyle w:val="Heading3"/>
      </w:pPr>
      <w:r>
        <w:t>E</w:t>
      </w:r>
      <w:r w:rsidR="008B28ED" w:rsidRPr="0044011A">
        <w:t>ducation</w:t>
      </w:r>
    </w:p>
    <w:p w14:paraId="392EDA23" w14:textId="6F87379C" w:rsidR="00EA7CE9" w:rsidRDefault="00867D47" w:rsidP="0044011A">
      <w:pPr>
        <w:pStyle w:val="BodyText"/>
      </w:pPr>
      <w:r>
        <w:t>A</w:t>
      </w:r>
      <w:r w:rsidR="008B28ED" w:rsidRPr="00A14D3F">
        <w:t>s</w:t>
      </w:r>
      <w:r w:rsidR="00EE5C4E">
        <w:t xml:space="preserve"> Co-</w:t>
      </w:r>
      <w:r w:rsidR="008B28ED" w:rsidRPr="00A14D3F">
        <w:t xml:space="preserve">chair of the Education Donor Consortium, </w:t>
      </w:r>
      <w:r w:rsidR="00CC3998">
        <w:t>we</w:t>
      </w:r>
      <w:r w:rsidR="008B28ED" w:rsidRPr="00A14D3F">
        <w:t xml:space="preserve"> will</w:t>
      </w:r>
      <w:r w:rsidR="000A0805">
        <w:t xml:space="preserve"> be</w:t>
      </w:r>
      <w:r w:rsidR="006D39EE">
        <w:t>:</w:t>
      </w:r>
      <w:r w:rsidR="008B28ED" w:rsidRPr="00A14D3F">
        <w:t xml:space="preserve"> </w:t>
      </w:r>
    </w:p>
    <w:p w14:paraId="620F857B" w14:textId="2178742C" w:rsidR="006F09CB" w:rsidRDefault="004E5BA4" w:rsidP="0044011A">
      <w:pPr>
        <w:pStyle w:val="ListBullet"/>
      </w:pPr>
      <w:r>
        <w:t>play</w:t>
      </w:r>
      <w:r w:rsidR="000A0805">
        <w:t>ing</w:t>
      </w:r>
      <w:r>
        <w:t xml:space="preserve"> a pivotal role in the Mid-term Review in 2014</w:t>
      </w:r>
    </w:p>
    <w:p w14:paraId="27A5F759" w14:textId="122FCC10" w:rsidR="008B28ED" w:rsidRPr="00A14D3F" w:rsidRDefault="00CC3998" w:rsidP="0044011A">
      <w:pPr>
        <w:pStyle w:val="ListBullet"/>
      </w:pPr>
      <w:r>
        <w:t>improv</w:t>
      </w:r>
      <w:r w:rsidR="000A0805">
        <w:t>ing</w:t>
      </w:r>
      <w:r>
        <w:t xml:space="preserve"> education quality through support to institutionalise </w:t>
      </w:r>
      <w:r w:rsidR="00782012">
        <w:t xml:space="preserve">the </w:t>
      </w:r>
      <w:r w:rsidR="008B28ED" w:rsidRPr="00A14D3F">
        <w:t>Government</w:t>
      </w:r>
      <w:r w:rsidR="00782012">
        <w:t>’s</w:t>
      </w:r>
      <w:r w:rsidR="008B28ED" w:rsidRPr="00A14D3F">
        <w:t xml:space="preserve"> commitment to new teaching methods and learning assessment tool</w:t>
      </w:r>
      <w:r w:rsidR="004E5BA4">
        <w:t>s</w:t>
      </w:r>
      <w:r>
        <w:t xml:space="preserve"> </w:t>
      </w:r>
    </w:p>
    <w:p w14:paraId="2CCEA656" w14:textId="30607FA5" w:rsidR="008B28ED" w:rsidRPr="00A14D3F" w:rsidRDefault="000A0805" w:rsidP="0044011A">
      <w:pPr>
        <w:pStyle w:val="ListBullet"/>
      </w:pPr>
      <w:proofErr w:type="gramStart"/>
      <w:r>
        <w:t>working</w:t>
      </w:r>
      <w:proofErr w:type="gramEnd"/>
      <w:r>
        <w:t xml:space="preserve"> with partners and the Government to strengthen </w:t>
      </w:r>
      <w:r w:rsidRPr="009B1872">
        <w:t>sector-wid</w:t>
      </w:r>
      <w:r>
        <w:t>e approach management practices</w:t>
      </w:r>
      <w:r w:rsidRPr="009B1872">
        <w:t xml:space="preserve"> </w:t>
      </w:r>
      <w:r>
        <w:t xml:space="preserve">in areas including </w:t>
      </w:r>
      <w:r w:rsidRPr="009B1872">
        <w:t xml:space="preserve">policy oversight, </w:t>
      </w:r>
      <w:r w:rsidR="008E694A">
        <w:t>technical assistance</w:t>
      </w:r>
      <w:r w:rsidRPr="009B1872">
        <w:t xml:space="preserve"> coordination</w:t>
      </w:r>
      <w:r w:rsidRPr="00A14D3F" w:rsidDel="00E914F3">
        <w:t xml:space="preserve"> </w:t>
      </w:r>
      <w:r w:rsidRPr="00A14D3F">
        <w:t>and D</w:t>
      </w:r>
      <w:r>
        <w:t xml:space="preserve">isbursement Linked Indicators </w:t>
      </w:r>
      <w:r w:rsidRPr="00A14D3F">
        <w:t>reporting.</w:t>
      </w:r>
      <w:r w:rsidRPr="009B1872" w:rsidDel="000A0805">
        <w:t xml:space="preserve"> </w:t>
      </w:r>
    </w:p>
    <w:p w14:paraId="5ACED457" w14:textId="5EDFCE03" w:rsidR="00867D47" w:rsidRDefault="008B28ED" w:rsidP="0044011A">
      <w:pPr>
        <w:pStyle w:val="Heading3"/>
      </w:pPr>
      <w:r w:rsidRPr="00A14D3F">
        <w:t>Health</w:t>
      </w:r>
    </w:p>
    <w:p w14:paraId="62514FCF" w14:textId="6B7E2F18" w:rsidR="00E86275" w:rsidRPr="009B1872" w:rsidRDefault="00867D47" w:rsidP="0044011A">
      <w:pPr>
        <w:pStyle w:val="BodyText"/>
      </w:pPr>
      <w:r w:rsidRPr="0044011A">
        <w:rPr>
          <w:rFonts w:eastAsia="SimSun"/>
        </w:rPr>
        <w:t>W</w:t>
      </w:r>
      <w:r w:rsidR="008B28ED" w:rsidRPr="0044011A">
        <w:rPr>
          <w:rFonts w:eastAsia="SimSun"/>
        </w:rPr>
        <w:t xml:space="preserve">e will </w:t>
      </w:r>
      <w:r w:rsidR="00F74AED" w:rsidRPr="0044011A">
        <w:rPr>
          <w:rFonts w:eastAsia="SimSun"/>
        </w:rPr>
        <w:t>narrow our</w:t>
      </w:r>
      <w:r w:rsidR="00F74AED">
        <w:t xml:space="preserve"> focus to </w:t>
      </w:r>
      <w:r w:rsidR="008B28ED" w:rsidRPr="00A14D3F">
        <w:t>promote change</w:t>
      </w:r>
      <w:r w:rsidR="004E5BA4">
        <w:t xml:space="preserve"> in selected areas</w:t>
      </w:r>
      <w:r w:rsidR="00F74AED">
        <w:t xml:space="preserve"> by</w:t>
      </w:r>
      <w:r w:rsidR="008B28ED" w:rsidRPr="00A14D3F">
        <w:t>:</w:t>
      </w:r>
    </w:p>
    <w:p w14:paraId="1E1C0BEA" w14:textId="452B3642" w:rsidR="008B28ED" w:rsidRPr="009B1872" w:rsidRDefault="008B28ED" w:rsidP="0044011A">
      <w:pPr>
        <w:pStyle w:val="ListBullet"/>
      </w:pPr>
      <w:r w:rsidRPr="00A14D3F">
        <w:t>assist</w:t>
      </w:r>
      <w:r w:rsidR="00F74AED">
        <w:t>ing</w:t>
      </w:r>
      <w:r w:rsidRPr="00A14D3F">
        <w:t xml:space="preserve"> the M</w:t>
      </w:r>
      <w:r w:rsidR="00966598">
        <w:t>in</w:t>
      </w:r>
      <w:r w:rsidR="001E1F68">
        <w:t>i</w:t>
      </w:r>
      <w:r w:rsidR="00966598">
        <w:t>stry of Health and Family Welfare</w:t>
      </w:r>
      <w:r w:rsidRPr="00A14D3F">
        <w:t xml:space="preserve"> to implement financial management and procurement management </w:t>
      </w:r>
      <w:r w:rsidR="00966598" w:rsidRPr="00A14D3F">
        <w:t xml:space="preserve">systems </w:t>
      </w:r>
      <w:r w:rsidRPr="00A14D3F">
        <w:t xml:space="preserve">(including e-procurement) </w:t>
      </w:r>
    </w:p>
    <w:p w14:paraId="3501DAF0" w14:textId="1ED53584" w:rsidR="008B28ED" w:rsidRPr="00A14D3F" w:rsidRDefault="008B28ED" w:rsidP="0044011A">
      <w:pPr>
        <w:pStyle w:val="ListBullet"/>
      </w:pPr>
      <w:r w:rsidRPr="009B1872">
        <w:t>institutionalis</w:t>
      </w:r>
      <w:r w:rsidR="00F74AED">
        <w:t>ing</w:t>
      </w:r>
      <w:r w:rsidRPr="009B1872">
        <w:t xml:space="preserve"> </w:t>
      </w:r>
      <w:r w:rsidR="00F74AED">
        <w:t xml:space="preserve">the </w:t>
      </w:r>
      <w:r w:rsidRPr="009B1872">
        <w:t>Government</w:t>
      </w:r>
      <w:r w:rsidR="001E1F68">
        <w:t>’s</w:t>
      </w:r>
      <w:r w:rsidRPr="009B1872">
        <w:t xml:space="preserve"> commitment to the 2013</w:t>
      </w:r>
      <w:r w:rsidR="0077672E">
        <w:t>–</w:t>
      </w:r>
      <w:r w:rsidR="000A0805">
        <w:t>32</w:t>
      </w:r>
      <w:r w:rsidRPr="009B1872">
        <w:t xml:space="preserve"> Heath Financing Strategy, which </w:t>
      </w:r>
      <w:r w:rsidR="001E1F68">
        <w:t>includes s</w:t>
      </w:r>
      <w:r w:rsidRPr="009B1872">
        <w:t xml:space="preserve">ocial security measures </w:t>
      </w:r>
    </w:p>
    <w:p w14:paraId="2338F53E" w14:textId="7472CFC2" w:rsidR="008B28ED" w:rsidRPr="00A14D3F" w:rsidRDefault="00966598" w:rsidP="0044011A">
      <w:pPr>
        <w:pStyle w:val="ListBullet"/>
      </w:pPr>
      <w:r>
        <w:t>us</w:t>
      </w:r>
      <w:r w:rsidR="00F74AED">
        <w:t>ing</w:t>
      </w:r>
      <w:r w:rsidR="008B28ED" w:rsidRPr="009B1872">
        <w:t xml:space="preserve"> the findings from </w:t>
      </w:r>
      <w:r w:rsidR="001E1F68">
        <w:t>maternal, neonatal and child health</w:t>
      </w:r>
      <w:r>
        <w:t xml:space="preserve"> </w:t>
      </w:r>
      <w:r w:rsidR="008B28ED" w:rsidRPr="009B1872">
        <w:t xml:space="preserve">pilots to promote the potential benefits of decentralisation and community engagement </w:t>
      </w:r>
    </w:p>
    <w:p w14:paraId="2BC7EB02" w14:textId="0E135BEE" w:rsidR="006D034F" w:rsidRDefault="008B28ED" w:rsidP="0044011A">
      <w:pPr>
        <w:pStyle w:val="ListBullet"/>
      </w:pPr>
      <w:proofErr w:type="gramStart"/>
      <w:r w:rsidRPr="00A14D3F">
        <w:t>support</w:t>
      </w:r>
      <w:r w:rsidR="00F74AED">
        <w:t>ing</w:t>
      </w:r>
      <w:proofErr w:type="gramEnd"/>
      <w:r w:rsidRPr="00A14D3F">
        <w:t xml:space="preserve"> </w:t>
      </w:r>
      <w:proofErr w:type="spellStart"/>
      <w:r w:rsidRPr="00A14D3F">
        <w:t>Icddr,b</w:t>
      </w:r>
      <w:proofErr w:type="spellEnd"/>
      <w:r w:rsidRPr="00A14D3F">
        <w:t xml:space="preserve"> in its ongoing institutional strengthening process</w:t>
      </w:r>
      <w:r w:rsidR="00CF2FF7">
        <w:t>.</w:t>
      </w:r>
    </w:p>
    <w:p w14:paraId="3043D34E" w14:textId="58106D08" w:rsidR="0077672E" w:rsidRDefault="008B28ED" w:rsidP="0044011A">
      <w:pPr>
        <w:pStyle w:val="Heading3"/>
      </w:pPr>
      <w:r w:rsidRPr="008F2B7A">
        <w:t xml:space="preserve">Social </w:t>
      </w:r>
      <w:r w:rsidR="0077672E">
        <w:t>p</w:t>
      </w:r>
      <w:r w:rsidRPr="008F2B7A">
        <w:t>rotection</w:t>
      </w:r>
    </w:p>
    <w:p w14:paraId="647033F6" w14:textId="08EBB4EC" w:rsidR="000A0805" w:rsidRPr="0044011A" w:rsidRDefault="008E694A" w:rsidP="0044011A">
      <w:pPr>
        <w:pStyle w:val="BodyText"/>
      </w:pPr>
      <w:r>
        <w:t xml:space="preserve">We </w:t>
      </w:r>
      <w:r w:rsidR="008B28ED" w:rsidRPr="008F2B7A">
        <w:t xml:space="preserve">will finalise a </w:t>
      </w:r>
      <w:r w:rsidR="0077672E" w:rsidRPr="008F2B7A">
        <w:t>d</w:t>
      </w:r>
      <w:r w:rsidR="008B28ED" w:rsidRPr="008F2B7A">
        <w:t xml:space="preserve">elivery </w:t>
      </w:r>
      <w:r w:rsidR="0077672E" w:rsidRPr="008F2B7A">
        <w:t>s</w:t>
      </w:r>
      <w:r w:rsidR="008B28ED" w:rsidRPr="008F2B7A">
        <w:t>trategy</w:t>
      </w:r>
      <w:r w:rsidR="00154FD3" w:rsidRPr="008F2B7A">
        <w:t xml:space="preserve"> </w:t>
      </w:r>
      <w:r w:rsidR="008B28ED" w:rsidRPr="008F2B7A">
        <w:t xml:space="preserve">for engagement in </w:t>
      </w:r>
      <w:r w:rsidR="0077672E" w:rsidRPr="008F2B7A">
        <w:t>s</w:t>
      </w:r>
      <w:r w:rsidR="008B28ED" w:rsidRPr="008F2B7A">
        <w:t>ocial</w:t>
      </w:r>
      <w:r w:rsidR="0077672E" w:rsidRPr="008F2B7A">
        <w:t xml:space="preserve"> p</w:t>
      </w:r>
      <w:r w:rsidR="008B28ED" w:rsidRPr="008F2B7A">
        <w:t xml:space="preserve">rotection. </w:t>
      </w:r>
    </w:p>
    <w:p w14:paraId="04A63C1F" w14:textId="04F826BE" w:rsidR="000A0805" w:rsidRPr="008F2B7A" w:rsidRDefault="000A0805" w:rsidP="0044011A">
      <w:pPr>
        <w:pStyle w:val="Heading3"/>
      </w:pPr>
      <w:r w:rsidRPr="008F2B7A">
        <w:t xml:space="preserve">BRAC </w:t>
      </w:r>
      <w:r w:rsidR="00B45C50" w:rsidRPr="008F2B7A">
        <w:t>Strategic Partnership Arrangement</w:t>
      </w:r>
    </w:p>
    <w:p w14:paraId="4EEFB1D5" w14:textId="1D7B1D2A" w:rsidR="00E86275" w:rsidRPr="0044011A" w:rsidRDefault="0077672E" w:rsidP="0044011A">
      <w:pPr>
        <w:pStyle w:val="BodyText"/>
      </w:pPr>
      <w:r>
        <w:t xml:space="preserve">We will work with </w:t>
      </w:r>
      <w:r w:rsidR="008B28ED" w:rsidRPr="008F2B7A">
        <w:t xml:space="preserve">BRAC and DFID to further </w:t>
      </w:r>
      <w:r w:rsidR="00B61923">
        <w:t>strengthen</w:t>
      </w:r>
      <w:r w:rsidR="008B28ED" w:rsidRPr="008F2B7A">
        <w:t xml:space="preserve"> the </w:t>
      </w:r>
      <w:r w:rsidR="009B1872" w:rsidRPr="008F2B7A">
        <w:t>BRAC partnership</w:t>
      </w:r>
      <w:r>
        <w:t xml:space="preserve"> by</w:t>
      </w:r>
      <w:r w:rsidR="008B28ED" w:rsidRPr="008F2B7A">
        <w:t>:</w:t>
      </w:r>
    </w:p>
    <w:p w14:paraId="0D253495" w14:textId="68A09890" w:rsidR="008B28ED" w:rsidRDefault="006D39EE" w:rsidP="0044011A">
      <w:pPr>
        <w:pStyle w:val="ListBullet"/>
      </w:pPr>
      <w:r>
        <w:lastRenderedPageBreak/>
        <w:t>f</w:t>
      </w:r>
      <w:r w:rsidR="00980236">
        <w:t>inalis</w:t>
      </w:r>
      <w:r w:rsidR="0077672E">
        <w:t xml:space="preserve">ing </w:t>
      </w:r>
      <w:r w:rsidR="008B28ED" w:rsidRPr="00A14D3F">
        <w:t>a risk management matrix</w:t>
      </w:r>
      <w:r w:rsidR="00154FD3">
        <w:t xml:space="preserve"> by end of 2013</w:t>
      </w:r>
    </w:p>
    <w:p w14:paraId="0FFF73BA" w14:textId="1B774DBC" w:rsidR="006D39EE" w:rsidRPr="00A14D3F" w:rsidRDefault="006D39EE" w:rsidP="0044011A">
      <w:pPr>
        <w:pStyle w:val="ListBullet"/>
      </w:pPr>
      <w:r>
        <w:t>support</w:t>
      </w:r>
      <w:r w:rsidR="0077672E">
        <w:t xml:space="preserve">ing the </w:t>
      </w:r>
      <w:r>
        <w:t xml:space="preserve">establishment of a </w:t>
      </w:r>
      <w:r w:rsidR="0077672E">
        <w:t>s</w:t>
      </w:r>
      <w:r>
        <w:t xml:space="preserve">teering </w:t>
      </w:r>
      <w:r w:rsidR="0077672E">
        <w:t>c</w:t>
      </w:r>
      <w:r>
        <w:t>ommittee to overs</w:t>
      </w:r>
      <w:r w:rsidR="0077672E">
        <w:t>ee</w:t>
      </w:r>
      <w:r>
        <w:t xml:space="preserve"> the</w:t>
      </w:r>
      <w:r w:rsidR="0077672E">
        <w:t xml:space="preserve"> partnership’s</w:t>
      </w:r>
      <w:r>
        <w:t xml:space="preserve"> strategic direction</w:t>
      </w:r>
    </w:p>
    <w:p w14:paraId="3EA9D4AE" w14:textId="239EBEB7" w:rsidR="008B28ED" w:rsidRPr="00A14D3F" w:rsidRDefault="006D39EE" w:rsidP="0044011A">
      <w:pPr>
        <w:pStyle w:val="ListBullet"/>
      </w:pPr>
      <w:r>
        <w:t>s</w:t>
      </w:r>
      <w:r w:rsidR="00154FD3">
        <w:t>upport</w:t>
      </w:r>
      <w:r w:rsidR="0077672E">
        <w:t>ing</w:t>
      </w:r>
      <w:r w:rsidR="00154FD3">
        <w:t xml:space="preserve"> a </w:t>
      </w:r>
      <w:r w:rsidR="008B28ED" w:rsidRPr="00A14D3F">
        <w:t>visit from BRAC</w:t>
      </w:r>
      <w:r w:rsidR="0077672E">
        <w:t>’s</w:t>
      </w:r>
      <w:r w:rsidR="008B28ED" w:rsidRPr="00A14D3F">
        <w:t xml:space="preserve"> Chairperson to Australia in 2013</w:t>
      </w:r>
      <w:r w:rsidR="0077672E">
        <w:t>–</w:t>
      </w:r>
      <w:r w:rsidR="008B28ED" w:rsidRPr="00A14D3F">
        <w:t>14</w:t>
      </w:r>
      <w:r w:rsidR="0003193E">
        <w:t xml:space="preserve"> </w:t>
      </w:r>
    </w:p>
    <w:p w14:paraId="1CEA6CA8" w14:textId="6089975C" w:rsidR="00B45C50" w:rsidRPr="00A14D3F" w:rsidRDefault="006D39EE" w:rsidP="008B28ED">
      <w:pPr>
        <w:pStyle w:val="ListBullet"/>
      </w:pPr>
      <w:proofErr w:type="gramStart"/>
      <w:r>
        <w:t>s</w:t>
      </w:r>
      <w:r w:rsidR="008B28ED" w:rsidRPr="00A14D3F">
        <w:t>upport</w:t>
      </w:r>
      <w:r w:rsidR="0077672E">
        <w:t>ing</w:t>
      </w:r>
      <w:proofErr w:type="gramEnd"/>
      <w:r w:rsidR="008B28ED" w:rsidRPr="00A14D3F">
        <w:t xml:space="preserve"> research to demonstrate how our core funding partnership is delivering results that could not have been achieved through</w:t>
      </w:r>
      <w:r w:rsidR="005F1142">
        <w:t xml:space="preserve"> typical</w:t>
      </w:r>
      <w:r w:rsidR="008B28ED" w:rsidRPr="00A14D3F">
        <w:t xml:space="preserve"> project support</w:t>
      </w:r>
      <w:r w:rsidR="00F74AED">
        <w:t>.</w:t>
      </w:r>
      <w:r w:rsidR="008B28ED" w:rsidRPr="00A14D3F">
        <w:t xml:space="preserve"> </w:t>
      </w:r>
      <w:r w:rsidR="0003193E">
        <w:t xml:space="preserve"> </w:t>
      </w:r>
    </w:p>
    <w:p w14:paraId="474E3743" w14:textId="1C0724FC" w:rsidR="0077672E" w:rsidRPr="00496698" w:rsidRDefault="0077672E" w:rsidP="0044011A">
      <w:pPr>
        <w:pStyle w:val="Heading3"/>
      </w:pPr>
      <w:r w:rsidRPr="008F2B7A">
        <w:t>C</w:t>
      </w:r>
      <w:r w:rsidR="00FF7FF0" w:rsidRPr="008F2B7A">
        <w:t>limate change</w:t>
      </w:r>
    </w:p>
    <w:p w14:paraId="6AB73C19" w14:textId="18C79157" w:rsidR="00FF7FF0" w:rsidRPr="0044011A" w:rsidRDefault="00B45C50" w:rsidP="0044011A">
      <w:pPr>
        <w:pStyle w:val="BodyText"/>
        <w:rPr>
          <w:szCs w:val="22"/>
        </w:rPr>
      </w:pPr>
      <w:r w:rsidRPr="008F2B7A">
        <w:rPr>
          <w:szCs w:val="22"/>
        </w:rPr>
        <w:t xml:space="preserve">In climate </w:t>
      </w:r>
      <w:r w:rsidRPr="0044011A">
        <w:t>change we will exploit synergies and management efficiencies with</w:t>
      </w:r>
      <w:r w:rsidR="008E694A">
        <w:t xml:space="preserve"> </w:t>
      </w:r>
      <w:r w:rsidR="001B0907">
        <w:t>DFAT</w:t>
      </w:r>
      <w:r w:rsidRPr="0044011A">
        <w:t>’s global and regional sustainable development initiatives to support capacity building in key ministries and ensure the progression</w:t>
      </w:r>
      <w:r w:rsidRPr="008F2B7A">
        <w:rPr>
          <w:szCs w:val="22"/>
        </w:rPr>
        <w:t xml:space="preserve"> to Government of Bangladesh owned climate financing mechanisms. </w:t>
      </w:r>
    </w:p>
    <w:p w14:paraId="4311E39B" w14:textId="379A15A5" w:rsidR="0077672E" w:rsidRPr="00496698" w:rsidRDefault="008B28ED" w:rsidP="0044011A">
      <w:pPr>
        <w:pStyle w:val="Heading3"/>
      </w:pPr>
      <w:r w:rsidRPr="008F2B7A">
        <w:t xml:space="preserve">Scholarships </w:t>
      </w:r>
      <w:r w:rsidR="0077672E" w:rsidRPr="008F2B7A">
        <w:t>program</w:t>
      </w:r>
    </w:p>
    <w:p w14:paraId="3FF8BA4D" w14:textId="55887DFA" w:rsidR="008B28ED" w:rsidRPr="00A14D3F" w:rsidRDefault="008E694A" w:rsidP="0044011A">
      <w:pPr>
        <w:pStyle w:val="BodyText"/>
      </w:pPr>
      <w:r>
        <w:t>We</w:t>
      </w:r>
      <w:r w:rsidR="001B0907">
        <w:t xml:space="preserve"> </w:t>
      </w:r>
      <w:r w:rsidR="008B28ED" w:rsidRPr="008F2B7A">
        <w:t>will</w:t>
      </w:r>
      <w:r w:rsidR="0003193E" w:rsidRPr="008F2B7A">
        <w:t xml:space="preserve"> i</w:t>
      </w:r>
      <w:r w:rsidR="008B28ED" w:rsidRPr="008F2B7A">
        <w:t xml:space="preserve">mplement the recommendations of </w:t>
      </w:r>
      <w:r w:rsidR="0077672E">
        <w:t>its</w:t>
      </w:r>
      <w:r w:rsidR="0077672E" w:rsidRPr="008F2B7A">
        <w:t xml:space="preserve"> </w:t>
      </w:r>
      <w:r w:rsidR="008B28ED" w:rsidRPr="008F2B7A">
        <w:t>2013 review of the Austr</w:t>
      </w:r>
      <w:r w:rsidR="00F74AED" w:rsidRPr="008F2B7A">
        <w:t>alia Awards and alumni programs</w:t>
      </w:r>
      <w:r w:rsidR="0077672E">
        <w:t xml:space="preserve"> to enhance work in this important area</w:t>
      </w:r>
      <w:r w:rsidR="00F74AED" w:rsidRPr="008F2B7A">
        <w:t>.</w:t>
      </w:r>
      <w:r w:rsidR="008B28ED" w:rsidRPr="008F2B7A">
        <w:t> </w:t>
      </w:r>
    </w:p>
    <w:p w14:paraId="3F76C5DB" w14:textId="77777777" w:rsidR="0077672E" w:rsidRPr="008F2B7A" w:rsidRDefault="0077672E" w:rsidP="0044011A">
      <w:pPr>
        <w:pStyle w:val="Heading3"/>
      </w:pPr>
      <w:r w:rsidRPr="008F2B7A">
        <w:t>Humanitarian activities</w:t>
      </w:r>
    </w:p>
    <w:p w14:paraId="7590A37C" w14:textId="15764F86" w:rsidR="00B45C50" w:rsidRPr="0044011A" w:rsidRDefault="008B28ED" w:rsidP="0044011A">
      <w:pPr>
        <w:pStyle w:val="BodyText"/>
      </w:pPr>
      <w:r w:rsidRPr="008F2B7A">
        <w:t>We will build on our existing collection of humanitarian activities to design a more cohesive and longer</w:t>
      </w:r>
      <w:r w:rsidR="0077672E" w:rsidRPr="008F2B7A">
        <w:t>-</w:t>
      </w:r>
      <w:r w:rsidRPr="008F2B7A">
        <w:t xml:space="preserve">term </w:t>
      </w:r>
      <w:r w:rsidR="00E77B6B" w:rsidRPr="008F2B7A">
        <w:t>program</w:t>
      </w:r>
      <w:r w:rsidR="00F74AED" w:rsidRPr="008F2B7A">
        <w:t xml:space="preserve">, </w:t>
      </w:r>
      <w:r w:rsidR="00E77B6B" w:rsidRPr="008F2B7A">
        <w:t>which will include</w:t>
      </w:r>
      <w:r w:rsidR="00F74AED" w:rsidRPr="008F2B7A">
        <w:t xml:space="preserve"> a focus on Cox’s Bazaar.</w:t>
      </w:r>
    </w:p>
    <w:p w14:paraId="366CD0CF" w14:textId="0793538B" w:rsidR="00B45C50" w:rsidRPr="008F2B7A" w:rsidRDefault="00B45C50" w:rsidP="0044011A">
      <w:pPr>
        <w:pStyle w:val="Heading3"/>
      </w:pPr>
      <w:r w:rsidRPr="008F2B7A">
        <w:t>Small investments</w:t>
      </w:r>
    </w:p>
    <w:p w14:paraId="6E412BF9" w14:textId="65B670F7" w:rsidR="006F30EA" w:rsidRPr="0044011A" w:rsidRDefault="00B45C50" w:rsidP="0044011A">
      <w:pPr>
        <w:pStyle w:val="BodyText"/>
      </w:pPr>
      <w:r w:rsidRPr="008F2B7A">
        <w:t>We will rationalise our investments below $10m, including in water and sanitation.</w:t>
      </w:r>
    </w:p>
    <w:p w14:paraId="790F7D38" w14:textId="39E9B7DE" w:rsidR="00F75026" w:rsidRPr="0044011A" w:rsidRDefault="00677134" w:rsidP="0044011A">
      <w:pPr>
        <w:pStyle w:val="BodyText"/>
        <w:rPr>
          <w:i/>
        </w:rPr>
      </w:pPr>
      <w:r w:rsidRPr="0044011A">
        <w:rPr>
          <w:b/>
          <w:i/>
        </w:rPr>
        <w:t>We wil</w:t>
      </w:r>
      <w:r w:rsidR="00E86275" w:rsidRPr="0044011A">
        <w:rPr>
          <w:b/>
          <w:i/>
        </w:rPr>
        <w:t>l</w:t>
      </w:r>
      <w:r w:rsidRPr="0044011A">
        <w:rPr>
          <w:b/>
          <w:i/>
        </w:rPr>
        <w:t xml:space="preserve"> </w:t>
      </w:r>
      <w:r w:rsidR="00B61923" w:rsidRPr="0044011A">
        <w:rPr>
          <w:b/>
          <w:i/>
        </w:rPr>
        <w:t xml:space="preserve">deepen our analysis of </w:t>
      </w:r>
      <w:r w:rsidR="008B28ED" w:rsidRPr="0044011A">
        <w:rPr>
          <w:b/>
          <w:i/>
        </w:rPr>
        <w:t>the emerging political, social and economic context</w:t>
      </w:r>
      <w:r w:rsidRPr="0044011A">
        <w:rPr>
          <w:b/>
          <w:i/>
        </w:rPr>
        <w:t>, to</w:t>
      </w:r>
      <w:r w:rsidR="0077672E" w:rsidRPr="0044011A">
        <w:rPr>
          <w:b/>
          <w:i/>
        </w:rPr>
        <w:t xml:space="preserve"> inform </w:t>
      </w:r>
      <w:r w:rsidR="005F1142" w:rsidRPr="0044011A">
        <w:rPr>
          <w:b/>
          <w:i/>
        </w:rPr>
        <w:t>future program planning</w:t>
      </w:r>
      <w:r w:rsidR="0077672E" w:rsidRPr="0044011A">
        <w:rPr>
          <w:b/>
          <w:i/>
        </w:rPr>
        <w:t>.</w:t>
      </w:r>
      <w:r w:rsidR="008F2B7A" w:rsidRPr="0044011A">
        <w:rPr>
          <w:i/>
        </w:rPr>
        <w:t xml:space="preserve"> </w:t>
      </w:r>
      <w:r w:rsidRPr="0044011A">
        <w:rPr>
          <w:i/>
        </w:rPr>
        <w:t>This includes a range of important activities,</w:t>
      </w:r>
      <w:r w:rsidR="008B28ED" w:rsidRPr="0044011A">
        <w:rPr>
          <w:i/>
        </w:rPr>
        <w:t xml:space="preserve"> including:</w:t>
      </w:r>
    </w:p>
    <w:p w14:paraId="1B590717" w14:textId="3F0F971C" w:rsidR="00980236" w:rsidRPr="008F2B7A" w:rsidRDefault="00980236" w:rsidP="0044011A">
      <w:pPr>
        <w:pStyle w:val="ListBullet"/>
      </w:pPr>
      <w:r w:rsidRPr="008F2B7A">
        <w:t>Developing a political economy analysis of change in education (and possibly health) to focus engagement and inform possible broader involvement in governance</w:t>
      </w:r>
      <w:r w:rsidR="00677134" w:rsidRPr="008F2B7A">
        <w:t>.</w:t>
      </w:r>
    </w:p>
    <w:p w14:paraId="7066F2A8" w14:textId="1C1700C8" w:rsidR="00980236" w:rsidRPr="008F2B7A" w:rsidRDefault="00980236" w:rsidP="0044011A">
      <w:pPr>
        <w:pStyle w:val="ListBullet"/>
      </w:pPr>
      <w:r w:rsidRPr="008F2B7A">
        <w:t>Assessing</w:t>
      </w:r>
      <w:r w:rsidR="00677134" w:rsidRPr="008F2B7A">
        <w:t xml:space="preserve"> our expectations for achieving objectives</w:t>
      </w:r>
      <w:r w:rsidRPr="008F2B7A">
        <w:t xml:space="preserve">, </w:t>
      </w:r>
      <w:r w:rsidR="00677134" w:rsidRPr="008F2B7A">
        <w:t xml:space="preserve">by supporting national systems, </w:t>
      </w:r>
      <w:r w:rsidRPr="008F2B7A">
        <w:t xml:space="preserve">in light of </w:t>
      </w:r>
      <w:r w:rsidR="007124AB">
        <w:t xml:space="preserve">current </w:t>
      </w:r>
      <w:r w:rsidRPr="008F2B7A">
        <w:t xml:space="preserve">political, economic and social developments.   </w:t>
      </w:r>
    </w:p>
    <w:p w14:paraId="06E758DC" w14:textId="5954B774" w:rsidR="00980236" w:rsidRPr="008F2B7A" w:rsidRDefault="00980236" w:rsidP="0044011A">
      <w:pPr>
        <w:pStyle w:val="ListBullet"/>
      </w:pPr>
      <w:r w:rsidRPr="008F2B7A">
        <w:t xml:space="preserve">Increasing </w:t>
      </w:r>
      <w:r w:rsidR="00677134" w:rsidRPr="008F2B7A">
        <w:t xml:space="preserve">our </w:t>
      </w:r>
      <w:r w:rsidRPr="008F2B7A">
        <w:t xml:space="preserve">knowledge of </w:t>
      </w:r>
      <w:r w:rsidR="00677134" w:rsidRPr="008F2B7A">
        <w:t xml:space="preserve">the </w:t>
      </w:r>
      <w:r w:rsidRPr="008F2B7A">
        <w:t xml:space="preserve">obstacles faced by women and marginalised </w:t>
      </w:r>
      <w:proofErr w:type="gramStart"/>
      <w:r w:rsidRPr="008F2B7A">
        <w:t>people</w:t>
      </w:r>
      <w:r w:rsidR="00677134" w:rsidRPr="008F2B7A">
        <w:t>,</w:t>
      </w:r>
      <w:proofErr w:type="gramEnd"/>
      <w:r w:rsidR="00677134" w:rsidRPr="008F2B7A">
        <w:t xml:space="preserve"> including the obstacles they face</w:t>
      </w:r>
      <w:r w:rsidRPr="008F2B7A">
        <w:t xml:space="preserve"> in accessing services and exploring program options to support </w:t>
      </w:r>
      <w:r w:rsidR="00677134" w:rsidRPr="008F2B7A">
        <w:t xml:space="preserve">them </w:t>
      </w:r>
      <w:r w:rsidRPr="008F2B7A">
        <w:t>to demand their rights</w:t>
      </w:r>
      <w:r w:rsidR="00677134" w:rsidRPr="008F2B7A">
        <w:t>.</w:t>
      </w:r>
    </w:p>
    <w:p w14:paraId="39B63558" w14:textId="520B26C1" w:rsidR="00980236" w:rsidRPr="008F2B7A" w:rsidRDefault="00980236" w:rsidP="0044011A">
      <w:pPr>
        <w:pStyle w:val="ListBullet"/>
      </w:pPr>
      <w:r w:rsidRPr="008F2B7A">
        <w:t>Scoping opportunities for greater engagement on institutional strengthening</w:t>
      </w:r>
      <w:r w:rsidR="00677134" w:rsidRPr="008F2B7A">
        <w:t>,</w:t>
      </w:r>
      <w:r w:rsidRPr="008F2B7A">
        <w:t xml:space="preserve"> including in public financial management</w:t>
      </w:r>
      <w:r w:rsidR="00677134" w:rsidRPr="008F2B7A">
        <w:t>.</w:t>
      </w:r>
    </w:p>
    <w:p w14:paraId="13B43C29" w14:textId="220EC298" w:rsidR="008B28ED" w:rsidRPr="008F2B7A" w:rsidRDefault="008B28ED" w:rsidP="0044011A">
      <w:pPr>
        <w:pStyle w:val="ListBullet"/>
      </w:pPr>
      <w:r w:rsidRPr="008F2B7A">
        <w:t>Prepar</w:t>
      </w:r>
      <w:r w:rsidR="00677134" w:rsidRPr="008F2B7A">
        <w:t>ing</w:t>
      </w:r>
      <w:r w:rsidRPr="008F2B7A">
        <w:t xml:space="preserve"> for a mid-term review of the current country strategy by the end of 2014</w:t>
      </w:r>
      <w:r w:rsidR="00677134" w:rsidRPr="008F2B7A">
        <w:t>.</w:t>
      </w:r>
    </w:p>
    <w:p w14:paraId="0411493C" w14:textId="2010672A" w:rsidR="008B28ED" w:rsidRDefault="008B28ED" w:rsidP="008B28ED"/>
    <w:p w14:paraId="2633305B" w14:textId="5686FDEB" w:rsidR="008B28ED" w:rsidRPr="0044011A" w:rsidRDefault="00B61923" w:rsidP="0044011A">
      <w:pPr>
        <w:pStyle w:val="BodyText"/>
        <w:rPr>
          <w:i/>
        </w:rPr>
      </w:pPr>
      <w:r w:rsidRPr="0044011A">
        <w:rPr>
          <w:b/>
          <w:i/>
        </w:rPr>
        <w:t xml:space="preserve">We will better align </w:t>
      </w:r>
      <w:r w:rsidR="008B28ED" w:rsidRPr="0044011A">
        <w:rPr>
          <w:b/>
          <w:i/>
        </w:rPr>
        <w:t xml:space="preserve">the structures and resources at </w:t>
      </w:r>
      <w:r w:rsidR="00677134" w:rsidRPr="0044011A">
        <w:rPr>
          <w:b/>
          <w:i/>
        </w:rPr>
        <w:t>P</w:t>
      </w:r>
      <w:r w:rsidR="008B28ED" w:rsidRPr="0044011A">
        <w:rPr>
          <w:b/>
          <w:i/>
        </w:rPr>
        <w:t>ost to deliver a more consolidated program strategy</w:t>
      </w:r>
      <w:r w:rsidR="008F2B7A" w:rsidRPr="0044011A">
        <w:rPr>
          <w:b/>
          <w:i/>
        </w:rPr>
        <w:t>.</w:t>
      </w:r>
      <w:r w:rsidR="008F2B7A" w:rsidRPr="0044011A">
        <w:rPr>
          <w:i/>
        </w:rPr>
        <w:t xml:space="preserve"> </w:t>
      </w:r>
      <w:r w:rsidR="008B28ED" w:rsidRPr="0044011A">
        <w:rPr>
          <w:i/>
        </w:rPr>
        <w:t>This will include:</w:t>
      </w:r>
    </w:p>
    <w:p w14:paraId="376F8A51" w14:textId="529A5813" w:rsidR="00980236" w:rsidRDefault="00677134" w:rsidP="0044011A">
      <w:pPr>
        <w:pStyle w:val="ListBullet"/>
      </w:pPr>
      <w:r>
        <w:t>Conducting a</w:t>
      </w:r>
      <w:r w:rsidR="00980236" w:rsidRPr="00A14D3F">
        <w:t xml:space="preserve"> team planning exercise to develop a prioritised annual work plan and identify the most efficient use of resources to achieve objectives</w:t>
      </w:r>
      <w:r>
        <w:t>.</w:t>
      </w:r>
    </w:p>
    <w:p w14:paraId="2A0D33B9" w14:textId="1A7B7CBE" w:rsidR="00980236" w:rsidRPr="00A14D3F" w:rsidRDefault="00677134" w:rsidP="0044011A">
      <w:pPr>
        <w:pStyle w:val="ListBullet"/>
      </w:pPr>
      <w:r>
        <w:t>R</w:t>
      </w:r>
      <w:r w:rsidR="00980236" w:rsidRPr="00A14D3F">
        <w:t>eview</w:t>
      </w:r>
      <w:r>
        <w:t xml:space="preserve">ing </w:t>
      </w:r>
      <w:r w:rsidR="00980236" w:rsidRPr="00A14D3F">
        <w:t xml:space="preserve">the functions and structure of the corporate team and options for providing </w:t>
      </w:r>
      <w:r w:rsidR="00980236">
        <w:t xml:space="preserve">more </w:t>
      </w:r>
      <w:r w:rsidR="00980236" w:rsidRPr="00A14D3F">
        <w:t>efficient and effective program support</w:t>
      </w:r>
      <w:r>
        <w:t>.</w:t>
      </w:r>
    </w:p>
    <w:p w14:paraId="14D2D752" w14:textId="5C0D5645" w:rsidR="008B28ED" w:rsidRPr="00A14D3F" w:rsidRDefault="008B28ED" w:rsidP="0044011A">
      <w:pPr>
        <w:pStyle w:val="ListBullet"/>
      </w:pPr>
      <w:r w:rsidRPr="00A14D3F">
        <w:t>Ongoing assessment of operational realities</w:t>
      </w:r>
      <w:r w:rsidR="00DD3F8F">
        <w:t>,</w:t>
      </w:r>
      <w:r w:rsidRPr="00A14D3F">
        <w:t xml:space="preserve"> including the safety of staff in the current security context</w:t>
      </w:r>
      <w:r w:rsidR="00DD3F8F">
        <w:t>.</w:t>
      </w:r>
    </w:p>
    <w:p w14:paraId="16B93AF4" w14:textId="36E4F9AF" w:rsidR="008B28ED" w:rsidRPr="00A14D3F" w:rsidRDefault="008B28ED" w:rsidP="0044011A">
      <w:pPr>
        <w:pStyle w:val="ListBullet"/>
      </w:pPr>
      <w:r w:rsidRPr="00A14D3F">
        <w:lastRenderedPageBreak/>
        <w:t>Completi</w:t>
      </w:r>
      <w:r w:rsidR="00DD3F8F">
        <w:t>ng</w:t>
      </w:r>
      <w:r w:rsidRPr="00A14D3F">
        <w:t xml:space="preserve"> an </w:t>
      </w:r>
      <w:r w:rsidR="00DD3F8F">
        <w:t>overseas</w:t>
      </w:r>
      <w:r w:rsidRPr="00A14D3F">
        <w:t>-based</w:t>
      </w:r>
      <w:r w:rsidR="00DD3F8F">
        <w:t>,</w:t>
      </w:r>
      <w:r w:rsidRPr="00A14D3F">
        <w:t xml:space="preserve"> work</w:t>
      </w:r>
      <w:r w:rsidR="00DD3F8F">
        <w:t>-</w:t>
      </w:r>
      <w:r w:rsidRPr="00A14D3F">
        <w:t>level standard assessment and remuneration review</w:t>
      </w:r>
      <w:r w:rsidR="00DD3F8F">
        <w:t>.</w:t>
      </w:r>
    </w:p>
    <w:p w14:paraId="28A8D613" w14:textId="7055BB28" w:rsidR="008B28ED" w:rsidRPr="00A14D3F" w:rsidRDefault="008E694A" w:rsidP="0044011A">
      <w:pPr>
        <w:pStyle w:val="ListBullet"/>
      </w:pPr>
      <w:r>
        <w:t>U</w:t>
      </w:r>
      <w:r w:rsidR="008B28ED" w:rsidRPr="00A14D3F">
        <w:t>se</w:t>
      </w:r>
      <w:r w:rsidR="005E792E">
        <w:t xml:space="preserve"> </w:t>
      </w:r>
      <w:r w:rsidR="001B0907">
        <w:t>DFAT</w:t>
      </w:r>
      <w:r w:rsidR="00DD3F8F">
        <w:t>’s</w:t>
      </w:r>
      <w:r w:rsidR="00DD3F8F" w:rsidRPr="00A14D3F">
        <w:t xml:space="preserve"> </w:t>
      </w:r>
      <w:r w:rsidR="008B28ED" w:rsidRPr="00A14D3F">
        <w:t xml:space="preserve">specialist expertise strategically to achieve identified policy objectives and engage more closely with </w:t>
      </w:r>
      <w:r w:rsidR="00DD3F8F">
        <w:t xml:space="preserve">the </w:t>
      </w:r>
      <w:r w:rsidR="008B28ED" w:rsidRPr="00A14D3F">
        <w:t xml:space="preserve">Government </w:t>
      </w:r>
      <w:r w:rsidR="00DD3F8F">
        <w:t xml:space="preserve">of Bangladesh </w:t>
      </w:r>
      <w:r w:rsidR="008B28ED" w:rsidRPr="00A14D3F">
        <w:t>and sector partners</w:t>
      </w:r>
      <w:r w:rsidR="007124AB">
        <w:t>.</w:t>
      </w:r>
    </w:p>
    <w:p w14:paraId="41A56D00" w14:textId="40D4CB47" w:rsidR="00AA00EF" w:rsidRPr="0044011A" w:rsidRDefault="00AA00EF" w:rsidP="0044011A">
      <w:pPr>
        <w:pStyle w:val="BodyText"/>
      </w:pPr>
    </w:p>
    <w:p w14:paraId="22335DE9" w14:textId="77777777" w:rsidR="00BE65E4" w:rsidRDefault="00BE65E4" w:rsidP="00BE65E4">
      <w:pPr>
        <w:pStyle w:val="Caption"/>
      </w:pPr>
      <w:r>
        <w:t xml:space="preserve">Table </w:t>
      </w:r>
      <w:fldSimple w:instr=" SEQ Table \* ARABIC ">
        <w:r w:rsidR="00AF7A7B">
          <w:rPr>
            <w:noProof/>
          </w:rPr>
          <w:t>3</w:t>
        </w:r>
      </w:fldSimple>
      <w:r>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180B19" w14:paraId="22335DF0" w14:textId="77777777" w:rsidTr="0044011A">
        <w:trPr>
          <w:cantSplit/>
          <w:tblHeader w:val="0"/>
        </w:trPr>
        <w:tc>
          <w:tcPr>
            <w:tcW w:w="4363" w:type="dxa"/>
            <w:hideMark/>
          </w:tcPr>
          <w:p w14:paraId="22335DEE" w14:textId="77777777" w:rsidR="00180B19" w:rsidRPr="004C4A3E" w:rsidRDefault="00180B19" w:rsidP="004C4A3E">
            <w:pPr>
              <w:pStyle w:val="TableTextColumnHeading"/>
            </w:pPr>
            <w:r w:rsidRPr="004C4A3E">
              <w:t>Most significant risks</w:t>
            </w:r>
          </w:p>
        </w:tc>
        <w:tc>
          <w:tcPr>
            <w:tcW w:w="4103" w:type="dxa"/>
          </w:tcPr>
          <w:p w14:paraId="22335DEF" w14:textId="7423C309" w:rsidR="00180B19" w:rsidRPr="004C4A3E" w:rsidRDefault="00180B19" w:rsidP="0012416E">
            <w:pPr>
              <w:pStyle w:val="TableTextColumnHeading"/>
            </w:pPr>
            <w:r w:rsidRPr="004C4A3E">
              <w:t xml:space="preserve">Management </w:t>
            </w:r>
            <w:r w:rsidR="0012416E">
              <w:t>r</w:t>
            </w:r>
            <w:r w:rsidRPr="004C4A3E">
              <w:t>esponse</w:t>
            </w:r>
            <w:r w:rsidR="0012416E">
              <w:t>—</w:t>
            </w:r>
            <w:r w:rsidRPr="004C4A3E">
              <w:t xml:space="preserve">What? Who? How? When? </w:t>
            </w:r>
          </w:p>
        </w:tc>
      </w:tr>
      <w:tr w:rsidR="00180B19" w:rsidRPr="00180B19" w14:paraId="22335DF6" w14:textId="77777777" w:rsidTr="0044011A">
        <w:trPr>
          <w:cantSplit/>
          <w:tblHeader w:val="0"/>
        </w:trPr>
        <w:tc>
          <w:tcPr>
            <w:tcW w:w="4363" w:type="dxa"/>
            <w:hideMark/>
          </w:tcPr>
          <w:p w14:paraId="22335DF4" w14:textId="783F319A" w:rsidR="00180B19" w:rsidRPr="004C4A3E" w:rsidRDefault="009360BE" w:rsidP="002267BE">
            <w:pPr>
              <w:pStyle w:val="TableTextEntries"/>
            </w:pPr>
            <w:r w:rsidRPr="009360BE">
              <w:t>Uncertainty over future budget allocations</w:t>
            </w:r>
            <w:r w:rsidR="00C15BF1">
              <w:t xml:space="preserve"> impacting our performance as a donor</w:t>
            </w:r>
            <w:r w:rsidR="00F54E7F">
              <w:t xml:space="preserve">. </w:t>
            </w:r>
            <w:r w:rsidR="00C15BF1">
              <w:t>This include</w:t>
            </w:r>
            <w:r w:rsidR="002267BE">
              <w:t>s</w:t>
            </w:r>
            <w:r w:rsidR="00C15BF1">
              <w:t xml:space="preserve"> a</w:t>
            </w:r>
            <w:r w:rsidRPr="009360BE">
              <w:t xml:space="preserve"> delay in the scale-up of the </w:t>
            </w:r>
            <w:r w:rsidR="0012416E">
              <w:t xml:space="preserve">overall </w:t>
            </w:r>
            <w:r w:rsidRPr="009360BE">
              <w:t>aid program</w:t>
            </w:r>
            <w:r w:rsidR="00C15BF1">
              <w:t>, which</w:t>
            </w:r>
            <w:r w:rsidRPr="009360BE">
              <w:t xml:space="preserve"> could mean some programs are unable to meet their commitments in 2013</w:t>
            </w:r>
            <w:r w:rsidR="00C63B66">
              <w:t>–</w:t>
            </w:r>
            <w:r w:rsidRPr="009360BE">
              <w:t>14 and 2014</w:t>
            </w:r>
            <w:r w:rsidR="00C63B66">
              <w:t>–</w:t>
            </w:r>
            <w:r w:rsidRPr="009360BE">
              <w:t>15</w:t>
            </w:r>
            <w:r w:rsidR="00F54E7F">
              <w:t xml:space="preserve">. </w:t>
            </w:r>
            <w:r w:rsidR="00C15BF1">
              <w:t xml:space="preserve"> </w:t>
            </w:r>
          </w:p>
        </w:tc>
        <w:tc>
          <w:tcPr>
            <w:tcW w:w="4103" w:type="dxa"/>
          </w:tcPr>
          <w:p w14:paraId="22335DF5" w14:textId="34ADF9C0" w:rsidR="00180B19" w:rsidRPr="004C4A3E" w:rsidRDefault="009360BE" w:rsidP="00DD1587">
            <w:pPr>
              <w:pStyle w:val="TableTextEntries"/>
            </w:pPr>
            <w:r>
              <w:t>The program has</w:t>
            </w:r>
            <w:r w:rsidRPr="009360BE">
              <w:t xml:space="preserve"> </w:t>
            </w:r>
            <w:r w:rsidR="006674A1" w:rsidRPr="009360BE">
              <w:t>a</w:t>
            </w:r>
            <w:r w:rsidR="006674A1">
              <w:t xml:space="preserve"> four</w:t>
            </w:r>
            <w:r w:rsidRPr="009360BE">
              <w:t>-year pipeline plan in place which is updated quarterly</w:t>
            </w:r>
            <w:r w:rsidR="00F54E7F">
              <w:t xml:space="preserve">. </w:t>
            </w:r>
            <w:r w:rsidRPr="009360BE">
              <w:t>The status of the pipeline plan is considered before new agreements are entered into</w:t>
            </w:r>
            <w:r w:rsidR="00F54E7F">
              <w:t xml:space="preserve">. </w:t>
            </w:r>
            <w:r w:rsidRPr="009360BE">
              <w:t>Regular discussions are held with partners</w:t>
            </w:r>
            <w:r w:rsidR="00DD1587">
              <w:t>,</w:t>
            </w:r>
            <w:r>
              <w:t xml:space="preserve"> includ</w:t>
            </w:r>
            <w:r w:rsidR="00DD1587">
              <w:t>ing</w:t>
            </w:r>
            <w:r>
              <w:t xml:space="preserve"> senior management where appropriate</w:t>
            </w:r>
            <w:r w:rsidR="00F54E7F">
              <w:t xml:space="preserve">. </w:t>
            </w:r>
            <w:r w:rsidRPr="009360BE">
              <w:t>Payments from existing agreements have been deferred to future years where possible</w:t>
            </w:r>
            <w:r w:rsidR="00F54E7F">
              <w:t xml:space="preserve">. </w:t>
            </w:r>
          </w:p>
        </w:tc>
      </w:tr>
      <w:tr w:rsidR="00180B19" w:rsidRPr="00180B19" w14:paraId="22335DF9" w14:textId="77777777" w:rsidTr="0044011A">
        <w:trPr>
          <w:cantSplit/>
          <w:tblHeader w:val="0"/>
        </w:trPr>
        <w:tc>
          <w:tcPr>
            <w:tcW w:w="4363" w:type="dxa"/>
          </w:tcPr>
          <w:p w14:paraId="22335DF7" w14:textId="4C9995B6" w:rsidR="00180B19" w:rsidRPr="006029D1" w:rsidRDefault="00C15BF1" w:rsidP="002267BE">
            <w:pPr>
              <w:pStyle w:val="TableTextEntries"/>
            </w:pPr>
            <w:r w:rsidRPr="006029D1">
              <w:t>An operating environment that continues to challenge effective program implementation</w:t>
            </w:r>
            <w:r w:rsidR="00F54E7F">
              <w:t xml:space="preserve">. </w:t>
            </w:r>
            <w:r w:rsidR="009360BE" w:rsidRPr="006029D1">
              <w:t xml:space="preserve">A highly volatile political context, </w:t>
            </w:r>
            <w:r w:rsidR="009147DC" w:rsidRPr="006029D1">
              <w:t xml:space="preserve">including elections </w:t>
            </w:r>
            <w:r w:rsidR="002267BE">
              <w:t xml:space="preserve">to be held </w:t>
            </w:r>
            <w:r w:rsidR="009147DC" w:rsidRPr="006029D1">
              <w:t xml:space="preserve">by </w:t>
            </w:r>
            <w:r w:rsidR="002267BE">
              <w:t>January</w:t>
            </w:r>
            <w:r w:rsidR="009147DC" w:rsidRPr="006029D1">
              <w:t xml:space="preserve"> 2014, </w:t>
            </w:r>
            <w:r w:rsidR="009360BE" w:rsidRPr="006029D1">
              <w:t xml:space="preserve">coupled with a program that is increasingly being delivered through partner government systems and large donor groups, with reduced oversight of </w:t>
            </w:r>
            <w:r w:rsidR="006674A1">
              <w:t>Australian Government</w:t>
            </w:r>
            <w:r w:rsidR="006674A1" w:rsidRPr="006029D1">
              <w:t xml:space="preserve"> </w:t>
            </w:r>
            <w:r w:rsidR="009360BE" w:rsidRPr="006029D1">
              <w:t>funds</w:t>
            </w:r>
            <w:r w:rsidR="00F54E7F">
              <w:t xml:space="preserve">. </w:t>
            </w:r>
          </w:p>
        </w:tc>
        <w:tc>
          <w:tcPr>
            <w:tcW w:w="4103" w:type="dxa"/>
          </w:tcPr>
          <w:p w14:paraId="22335DF8" w14:textId="6434DC33" w:rsidR="00180B19" w:rsidRPr="006029D1" w:rsidRDefault="00D61009" w:rsidP="001B0907">
            <w:pPr>
              <w:pStyle w:val="TableTextEntries"/>
            </w:pPr>
            <w:r w:rsidRPr="006029D1">
              <w:t xml:space="preserve">This context validates </w:t>
            </w:r>
            <w:r w:rsidR="00DD1587">
              <w:t>our</w:t>
            </w:r>
            <w:r w:rsidR="00DD1587" w:rsidRPr="006029D1">
              <w:t xml:space="preserve"> </w:t>
            </w:r>
            <w:r w:rsidRPr="006029D1">
              <w:t>dual approach to program delivery, complementing support for government leadership in key sectors with funding for non</w:t>
            </w:r>
            <w:r w:rsidR="00C63B66">
              <w:t>-</w:t>
            </w:r>
            <w:r w:rsidRPr="006029D1">
              <w:t>state actors to continue delivering results</w:t>
            </w:r>
            <w:r w:rsidR="00F54E7F">
              <w:t xml:space="preserve">. </w:t>
            </w:r>
            <w:r w:rsidR="00DD1587">
              <w:t>Our</w:t>
            </w:r>
            <w:r w:rsidR="009360BE" w:rsidRPr="006029D1">
              <w:t xml:space="preserve"> </w:t>
            </w:r>
            <w:r w:rsidR="002267BE">
              <w:t>f</w:t>
            </w:r>
            <w:r w:rsidR="009360BE" w:rsidRPr="006029D1">
              <w:t xml:space="preserve">raud </w:t>
            </w:r>
            <w:r w:rsidR="002267BE">
              <w:t>m</w:t>
            </w:r>
            <w:r w:rsidR="009360BE" w:rsidRPr="006029D1">
              <w:t xml:space="preserve">anagement </w:t>
            </w:r>
            <w:r w:rsidR="002267BE">
              <w:t>p</w:t>
            </w:r>
            <w:r w:rsidR="009360BE" w:rsidRPr="006029D1">
              <w:t xml:space="preserve">lan </w:t>
            </w:r>
            <w:r w:rsidR="00562401" w:rsidRPr="006029D1">
              <w:t>is</w:t>
            </w:r>
            <w:r w:rsidR="009360BE" w:rsidRPr="006029D1">
              <w:t xml:space="preserve"> applied to South Asia</w:t>
            </w:r>
            <w:r w:rsidR="00F54E7F">
              <w:t xml:space="preserve">. </w:t>
            </w:r>
            <w:r w:rsidR="009360BE" w:rsidRPr="006029D1">
              <w:t>Cases of</w:t>
            </w:r>
            <w:r w:rsidR="00562401" w:rsidRPr="006029D1">
              <w:t xml:space="preserve"> potential</w:t>
            </w:r>
            <w:r w:rsidR="009360BE" w:rsidRPr="006029D1">
              <w:t xml:space="preserve"> fraud (</w:t>
            </w:r>
            <w:r w:rsidR="00C63B66">
              <w:t>for example,</w:t>
            </w:r>
            <w:r w:rsidR="009360BE" w:rsidRPr="006029D1">
              <w:t xml:space="preserve"> in the health portfolio in Bangladesh) are reported to</w:t>
            </w:r>
            <w:r w:rsidR="008E694A">
              <w:t xml:space="preserve"> </w:t>
            </w:r>
            <w:r w:rsidR="001B0907">
              <w:t>DFAT</w:t>
            </w:r>
            <w:r w:rsidR="00060FCC">
              <w:t>’s</w:t>
            </w:r>
            <w:r w:rsidR="00562401" w:rsidRPr="006029D1">
              <w:t xml:space="preserve"> </w:t>
            </w:r>
            <w:r w:rsidR="00060FCC">
              <w:t>f</w:t>
            </w:r>
            <w:r w:rsidR="00562401" w:rsidRPr="006029D1">
              <w:t>r</w:t>
            </w:r>
            <w:r w:rsidR="009360BE" w:rsidRPr="006029D1">
              <w:t xml:space="preserve">aud </w:t>
            </w:r>
            <w:r w:rsidR="00060FCC">
              <w:t>m</w:t>
            </w:r>
            <w:r w:rsidR="009360BE" w:rsidRPr="006029D1">
              <w:t>anagement team</w:t>
            </w:r>
            <w:r w:rsidR="00562401" w:rsidRPr="006029D1">
              <w:t xml:space="preserve"> to coordinate follow</w:t>
            </w:r>
            <w:r w:rsidR="006674A1">
              <w:t>-</w:t>
            </w:r>
            <w:r w:rsidR="00562401" w:rsidRPr="006029D1">
              <w:t>up action</w:t>
            </w:r>
            <w:r w:rsidR="00F54E7F">
              <w:t xml:space="preserve">. </w:t>
            </w:r>
            <w:r w:rsidR="00AA00EF">
              <w:t xml:space="preserve">An annual </w:t>
            </w:r>
            <w:r w:rsidR="00DD1587">
              <w:t>a</w:t>
            </w:r>
            <w:r w:rsidR="00AA00EF">
              <w:t xml:space="preserve">ssessment of </w:t>
            </w:r>
            <w:r w:rsidR="00DD1587">
              <w:t>n</w:t>
            </w:r>
            <w:r w:rsidR="00AA00EF">
              <w:t xml:space="preserve">ational </w:t>
            </w:r>
            <w:r w:rsidR="00DD1587">
              <w:t>s</w:t>
            </w:r>
            <w:r w:rsidR="00AA00EF">
              <w:t xml:space="preserve">ystems is helping to strengthen our risk mitigation approach. </w:t>
            </w:r>
          </w:p>
        </w:tc>
      </w:tr>
      <w:tr w:rsidR="00180B19" w:rsidRPr="00180B19" w14:paraId="22335DFC" w14:textId="77777777" w:rsidTr="0044011A">
        <w:trPr>
          <w:cantSplit/>
          <w:tblHeader w:val="0"/>
        </w:trPr>
        <w:tc>
          <w:tcPr>
            <w:tcW w:w="4363" w:type="dxa"/>
          </w:tcPr>
          <w:p w14:paraId="31728CAB" w14:textId="01480CA7" w:rsidR="00333F24" w:rsidRPr="006029D1" w:rsidRDefault="00333F24" w:rsidP="00333F24">
            <w:pPr>
              <w:pStyle w:val="TableTextEntries"/>
            </w:pPr>
            <w:r w:rsidRPr="006029D1">
              <w:t xml:space="preserve">Major partnerships need to function </w:t>
            </w:r>
            <w:r w:rsidR="007A66C2" w:rsidRPr="006029D1">
              <w:t>well</w:t>
            </w:r>
            <w:r w:rsidRPr="006029D1">
              <w:t xml:space="preserve"> </w:t>
            </w:r>
            <w:r w:rsidR="007A66C2" w:rsidRPr="006029D1">
              <w:t>for Australia to perform effectively in Bangladesh</w:t>
            </w:r>
            <w:r w:rsidR="00F54E7F">
              <w:t xml:space="preserve">. </w:t>
            </w:r>
            <w:r w:rsidRPr="006029D1">
              <w:t>This approach has been taken for reasons of operational efficiency and aid effectiveness</w:t>
            </w:r>
            <w:r w:rsidR="00F54E7F">
              <w:t xml:space="preserve">. </w:t>
            </w:r>
            <w:r w:rsidRPr="006029D1">
              <w:t>However, it carries with it a level of risk if partners do not meet our expectations in delivering effective programs</w:t>
            </w:r>
            <w:r w:rsidR="00F54E7F">
              <w:t xml:space="preserve">. </w:t>
            </w:r>
            <w:r w:rsidR="007A66C2" w:rsidRPr="006029D1">
              <w:t xml:space="preserve">Further, proposed reshaping </w:t>
            </w:r>
            <w:r w:rsidR="006674A1">
              <w:t>of the</w:t>
            </w:r>
            <w:r w:rsidR="007A66C2" w:rsidRPr="006029D1">
              <w:t xml:space="preserve"> program will affect how we work with partners, with corresponding risks if this is not implemented carefully</w:t>
            </w:r>
            <w:r w:rsidR="00F54E7F">
              <w:t xml:space="preserve">. </w:t>
            </w:r>
          </w:p>
          <w:p w14:paraId="22335DFA" w14:textId="10E36B63" w:rsidR="00333F24" w:rsidRPr="006029D1" w:rsidRDefault="00333F24" w:rsidP="00D61009">
            <w:pPr>
              <w:pStyle w:val="TableTextEntries"/>
            </w:pPr>
          </w:p>
        </w:tc>
        <w:tc>
          <w:tcPr>
            <w:tcW w:w="4103" w:type="dxa"/>
          </w:tcPr>
          <w:p w14:paraId="22335DFB" w14:textId="2372E7ED" w:rsidR="00180B19" w:rsidRPr="006029D1" w:rsidRDefault="00DD1587" w:rsidP="00DD1587">
            <w:pPr>
              <w:pStyle w:val="TableTextEntries"/>
            </w:pPr>
            <w:r>
              <w:t>We have</w:t>
            </w:r>
            <w:r w:rsidR="00333F24" w:rsidRPr="006029D1">
              <w:t xml:space="preserve"> taken steps to ensure</w:t>
            </w:r>
            <w:r w:rsidR="006674A1">
              <w:t>,</w:t>
            </w:r>
            <w:r w:rsidR="00333F24" w:rsidRPr="006029D1">
              <w:t xml:space="preserve"> as far as possible</w:t>
            </w:r>
            <w:r w:rsidR="006674A1">
              <w:t>,</w:t>
            </w:r>
            <w:r w:rsidR="00333F24" w:rsidRPr="006029D1">
              <w:t xml:space="preserve"> that </w:t>
            </w:r>
            <w:r>
              <w:t>our</w:t>
            </w:r>
            <w:r w:rsidRPr="006029D1">
              <w:t xml:space="preserve"> </w:t>
            </w:r>
            <w:r w:rsidR="00333F24" w:rsidRPr="006029D1">
              <w:t xml:space="preserve">aid funding will be effectively used, including by engaging closely with each partner throughout </w:t>
            </w:r>
            <w:r w:rsidR="006674A1">
              <w:t>program</w:t>
            </w:r>
            <w:r w:rsidR="006674A1" w:rsidRPr="006029D1">
              <w:t xml:space="preserve"> </w:t>
            </w:r>
            <w:r w:rsidR="00333F24" w:rsidRPr="006029D1">
              <w:t>implementation</w:t>
            </w:r>
            <w:r w:rsidR="00F54E7F">
              <w:t xml:space="preserve">. </w:t>
            </w:r>
            <w:r w:rsidR="00333F24" w:rsidRPr="006029D1">
              <w:t xml:space="preserve">Key partnerships have been formed only after institutional assessments of each partners’ capability to deliver high-quality results and maintain effective internal systems to safeguard </w:t>
            </w:r>
            <w:r>
              <w:t>our</w:t>
            </w:r>
            <w:r w:rsidRPr="006029D1">
              <w:t> </w:t>
            </w:r>
            <w:r w:rsidR="00333F24" w:rsidRPr="006029D1">
              <w:t>funding</w:t>
            </w:r>
            <w:r w:rsidR="00F54E7F">
              <w:t xml:space="preserve">. </w:t>
            </w:r>
            <w:r w:rsidR="007A66C2" w:rsidRPr="006029D1">
              <w:t xml:space="preserve">Changes to key partnerships will be communicated carefully, with an awareness of </w:t>
            </w:r>
            <w:r w:rsidR="00F76051" w:rsidRPr="006029D1">
              <w:t>program</w:t>
            </w:r>
            <w:r w:rsidR="006674A1">
              <w:t>-</w:t>
            </w:r>
            <w:r w:rsidR="00F76051" w:rsidRPr="006029D1">
              <w:t xml:space="preserve">wide </w:t>
            </w:r>
            <w:r w:rsidR="007A66C2" w:rsidRPr="006029D1">
              <w:t xml:space="preserve">implications and with appropriate involvement from senior </w:t>
            </w:r>
            <w:r w:rsidR="00F76051" w:rsidRPr="006029D1">
              <w:t>management</w:t>
            </w:r>
            <w:r w:rsidR="00F54E7F">
              <w:t xml:space="preserve">. </w:t>
            </w:r>
          </w:p>
        </w:tc>
      </w:tr>
    </w:tbl>
    <w:p w14:paraId="22335E03" w14:textId="77777777" w:rsidR="00522AB9" w:rsidRDefault="00522AB9" w:rsidP="002A1935">
      <w:pPr>
        <w:pStyle w:val="BodyText"/>
        <w:sectPr w:rsidR="00522AB9" w:rsidSect="003D6095">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14:paraId="22335E04" w14:textId="77777777" w:rsidR="00FE4491" w:rsidRPr="0044011A" w:rsidRDefault="00C65930" w:rsidP="0044011A">
      <w:pPr>
        <w:pStyle w:val="Heading1"/>
      </w:pPr>
      <w:r w:rsidRPr="0044011A">
        <w:lastRenderedPageBreak/>
        <w:t>Annex A</w:t>
      </w:r>
      <w:r w:rsidR="00FE4491" w:rsidRPr="0044011A">
        <w:t xml:space="preserve"> </w:t>
      </w:r>
    </w:p>
    <w:p w14:paraId="22335E05" w14:textId="5D63B295" w:rsidR="00FE4491" w:rsidRPr="0044011A" w:rsidRDefault="00FE4491" w:rsidP="0044011A">
      <w:pPr>
        <w:pStyle w:val="Heading2"/>
      </w:pPr>
      <w:r w:rsidRPr="0044011A">
        <w:t xml:space="preserve">Progress in addressing 2011 </w:t>
      </w:r>
      <w:r w:rsidR="00C63B66" w:rsidRPr="0044011A">
        <w:t>Annual</w:t>
      </w:r>
      <w:r w:rsidR="008E694A">
        <w:t xml:space="preserve"> </w:t>
      </w:r>
      <w:r w:rsidR="00C63B66" w:rsidRPr="0044011A">
        <w:t>Progr</w:t>
      </w:r>
      <w:r w:rsidR="006F139D" w:rsidRPr="0044011A">
        <w:t>a</w:t>
      </w:r>
      <w:r w:rsidR="00C63B66" w:rsidRPr="0044011A">
        <w:t>m Performance Report (APPR)</w:t>
      </w:r>
      <w:r w:rsidR="00E5604A">
        <w:rPr>
          <w:rStyle w:val="FootnoteReference"/>
        </w:rPr>
        <w:footnoteReference w:id="34"/>
      </w:r>
      <w:r w:rsidR="00C63B66" w:rsidRPr="0044011A">
        <w:t xml:space="preserve"> </w:t>
      </w:r>
      <w:r w:rsidRPr="0044011A">
        <w:t>management consequences</w:t>
      </w:r>
    </w:p>
    <w:tbl>
      <w:tblPr>
        <w:tblStyle w:val="APPR"/>
        <w:tblW w:w="5000" w:type="pct"/>
        <w:tblLayout w:type="fixed"/>
        <w:tblLook w:val="0000" w:firstRow="0" w:lastRow="0" w:firstColumn="0" w:lastColumn="0" w:noHBand="0" w:noVBand="0"/>
      </w:tblPr>
      <w:tblGrid>
        <w:gridCol w:w="6282"/>
        <w:gridCol w:w="829"/>
        <w:gridCol w:w="6824"/>
      </w:tblGrid>
      <w:tr w:rsidR="00FE4491" w:rsidRPr="00180B19" w14:paraId="22335E09" w14:textId="77777777" w:rsidTr="0044011A">
        <w:trPr>
          <w:cantSplit/>
          <w:tblHeader w:val="0"/>
        </w:trPr>
        <w:tc>
          <w:tcPr>
            <w:tcW w:w="6473" w:type="dxa"/>
          </w:tcPr>
          <w:p w14:paraId="22335E06" w14:textId="77777777" w:rsidR="00FE4491" w:rsidRPr="0044011A" w:rsidRDefault="00FE4491" w:rsidP="0044011A">
            <w:pPr>
              <w:pStyle w:val="TableTextColumnHeading"/>
            </w:pPr>
            <w:r w:rsidRPr="0044011A">
              <w:t>Management consequences identified in 2011 APPR</w:t>
            </w:r>
            <w:r w:rsidRPr="0044011A">
              <w:tab/>
            </w:r>
          </w:p>
        </w:tc>
        <w:tc>
          <w:tcPr>
            <w:tcW w:w="823" w:type="dxa"/>
          </w:tcPr>
          <w:p w14:paraId="22335E07" w14:textId="77777777" w:rsidR="00FE4491" w:rsidRPr="0044011A" w:rsidRDefault="00FE4491" w:rsidP="0044011A">
            <w:pPr>
              <w:pStyle w:val="TableTextColumnHeading"/>
            </w:pPr>
            <w:r w:rsidRPr="0044011A">
              <w:t>Rating</w:t>
            </w:r>
          </w:p>
        </w:tc>
        <w:tc>
          <w:tcPr>
            <w:tcW w:w="7037" w:type="dxa"/>
          </w:tcPr>
          <w:p w14:paraId="22335E08" w14:textId="11E90315" w:rsidR="00FE4491" w:rsidRPr="0044011A" w:rsidRDefault="00FE4491" w:rsidP="0044011A">
            <w:pPr>
              <w:pStyle w:val="TableTextColumnHeading"/>
            </w:pPr>
            <w:r w:rsidRPr="0044011A">
              <w:t>Progress made in 2012</w:t>
            </w:r>
            <w:r w:rsidR="00C63B66" w:rsidRPr="0044011A">
              <w:t>–</w:t>
            </w:r>
            <w:r w:rsidRPr="0044011A">
              <w:t>13</w:t>
            </w:r>
          </w:p>
        </w:tc>
      </w:tr>
      <w:tr w:rsidR="00FE4491" w:rsidRPr="00180B19" w14:paraId="22335E0D"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094D2D06" w14:textId="22C958A8" w:rsidR="00F978F3" w:rsidRDefault="00F978F3" w:rsidP="003040CD">
            <w:pPr>
              <w:pStyle w:val="TableTextEntries"/>
            </w:pPr>
            <w:r w:rsidRPr="00940331">
              <w:t xml:space="preserve">Working with the </w:t>
            </w:r>
            <w:r w:rsidR="00C63B66">
              <w:t>Government of Bangladesh</w:t>
            </w:r>
            <w:r w:rsidR="00B25187">
              <w:t>, Australia</w:t>
            </w:r>
            <w:r w:rsidR="00DD1587">
              <w:t xml:space="preserve"> will</w:t>
            </w:r>
            <w:r w:rsidR="00B25187">
              <w:t>:</w:t>
            </w:r>
            <w:r>
              <w:t xml:space="preserve"> </w:t>
            </w:r>
            <w:r w:rsidRPr="00940331">
              <w:t xml:space="preserve"> </w:t>
            </w:r>
          </w:p>
          <w:p w14:paraId="1D6949D9" w14:textId="4B8D1F0F" w:rsidR="00F978F3" w:rsidRPr="00940331" w:rsidRDefault="00E86275" w:rsidP="003040CD">
            <w:pPr>
              <w:pStyle w:val="TableListNumber"/>
            </w:pPr>
            <w:proofErr w:type="gramStart"/>
            <w:r>
              <w:t>c</w:t>
            </w:r>
            <w:r w:rsidR="00DD1587">
              <w:t>ontinue</w:t>
            </w:r>
            <w:proofErr w:type="gramEnd"/>
            <w:r w:rsidR="00DD1587">
              <w:t xml:space="preserve"> to</w:t>
            </w:r>
            <w:r w:rsidR="00F978F3" w:rsidRPr="00940331">
              <w:t xml:space="preserve"> work directly with </w:t>
            </w:r>
            <w:r w:rsidR="00B25187">
              <w:t xml:space="preserve">Bangladesh </w:t>
            </w:r>
            <w:r w:rsidR="00F978F3" w:rsidRPr="00940331">
              <w:t>in all of our key sectors</w:t>
            </w:r>
            <w:r w:rsidR="00F54E7F">
              <w:t xml:space="preserve">. </w:t>
            </w:r>
            <w:r w:rsidR="00F978F3" w:rsidRPr="00940331">
              <w:t>This provides the basis for regularising our relationship</w:t>
            </w:r>
            <w:r w:rsidR="00C63B66">
              <w:t>,</w:t>
            </w:r>
            <w:r w:rsidR="00F978F3" w:rsidRPr="00940331">
              <w:t xml:space="preserve"> including through reaching bilateral agreement on a program strategy</w:t>
            </w:r>
            <w:r w:rsidR="00F54E7F">
              <w:t xml:space="preserve">. </w:t>
            </w:r>
          </w:p>
          <w:p w14:paraId="6B42DDAD" w14:textId="286F0D82" w:rsidR="00F978F3" w:rsidRPr="00940331" w:rsidRDefault="00F978F3" w:rsidP="003040CD">
            <w:pPr>
              <w:pStyle w:val="TableListNumber"/>
            </w:pPr>
            <w:proofErr w:type="gramStart"/>
            <w:r w:rsidRPr="00940331">
              <w:t>use</w:t>
            </w:r>
            <w:proofErr w:type="gramEnd"/>
            <w:r w:rsidRPr="00940331">
              <w:t xml:space="preserve"> upcoming consultations on the program strategy to seek </w:t>
            </w:r>
            <w:r w:rsidR="00B25187">
              <w:t xml:space="preserve">the Bangladesh </w:t>
            </w:r>
            <w:r w:rsidR="00DD1587">
              <w:t>G</w:t>
            </w:r>
            <w:r w:rsidR="00B25187">
              <w:t>overnment’s</w:t>
            </w:r>
            <w:r w:rsidRPr="00940331">
              <w:t xml:space="preserve"> agreement to institutionalise our good working relationship through annual high-level consultations</w:t>
            </w:r>
            <w:r w:rsidR="00F54E7F">
              <w:t xml:space="preserve">. </w:t>
            </w:r>
          </w:p>
          <w:p w14:paraId="22335E0A" w14:textId="1942B4D0" w:rsidR="00FE4491" w:rsidRPr="00100AA2" w:rsidRDefault="00F978F3" w:rsidP="0044011A">
            <w:pPr>
              <w:pStyle w:val="TableListNumber"/>
            </w:pPr>
            <w:proofErr w:type="gramStart"/>
            <w:r w:rsidRPr="00940331">
              <w:t>support</w:t>
            </w:r>
            <w:proofErr w:type="gramEnd"/>
            <w:r w:rsidRPr="00940331">
              <w:t xml:space="preserve"> the </w:t>
            </w:r>
            <w:r w:rsidR="00B25187">
              <w:t xml:space="preserve">Bangladesh </w:t>
            </w:r>
            <w:r w:rsidR="00DD1587">
              <w:t>G</w:t>
            </w:r>
            <w:r w:rsidR="00B25187">
              <w:t>overnment to</w:t>
            </w:r>
            <w:r w:rsidRPr="00940331">
              <w:t xml:space="preserve"> develop</w:t>
            </w:r>
            <w:r w:rsidR="00B25187">
              <w:t xml:space="preserve"> </w:t>
            </w:r>
            <w:r w:rsidRPr="00940331">
              <w:t>a national s</w:t>
            </w:r>
            <w:r w:rsidR="00324216">
              <w:t>ocial protection strategy</w:t>
            </w:r>
            <w:r w:rsidR="00F54E7F">
              <w:t xml:space="preserve">. </w:t>
            </w:r>
            <w:r w:rsidR="00DD1587">
              <w:t>We</w:t>
            </w:r>
            <w:r w:rsidR="00DD1587" w:rsidRPr="00940331">
              <w:t xml:space="preserve"> </w:t>
            </w:r>
            <w:r w:rsidRPr="00940331">
              <w:t>will also provide leadership</w:t>
            </w:r>
            <w:r w:rsidR="00CE50CB">
              <w:t xml:space="preserve"> in this area</w:t>
            </w:r>
            <w:r w:rsidRPr="00940331">
              <w:t xml:space="preserve"> by continuing to strongly advocate for a coordinated approach by development partners</w:t>
            </w:r>
            <w:r w:rsidR="00F54E7F">
              <w:t xml:space="preserve">. </w:t>
            </w:r>
          </w:p>
        </w:tc>
        <w:tc>
          <w:tcPr>
            <w:tcW w:w="823" w:type="dxa"/>
            <w:shd w:val="clear" w:color="auto" w:fill="92D050"/>
          </w:tcPr>
          <w:p w14:paraId="22335E0B" w14:textId="7F9B630B" w:rsidR="00FE4491" w:rsidRPr="003040CD" w:rsidRDefault="00B846A7" w:rsidP="003040CD">
            <w:pPr>
              <w:pStyle w:val="TableTextEntries"/>
            </w:pPr>
            <w:r w:rsidRPr="003040CD">
              <w:t>Green</w:t>
            </w:r>
          </w:p>
        </w:tc>
        <w:tc>
          <w:tcPr>
            <w:tcW w:w="7037" w:type="dxa"/>
          </w:tcPr>
          <w:p w14:paraId="51F13234" w14:textId="1F98AF28" w:rsidR="00F978F3" w:rsidRDefault="00A14D3F" w:rsidP="0044011A">
            <w:pPr>
              <w:pStyle w:val="TableTextEntries"/>
            </w:pPr>
            <w:r>
              <w:t>T</w:t>
            </w:r>
            <w:r w:rsidR="00AB27A8">
              <w:t xml:space="preserve">wo </w:t>
            </w:r>
            <w:r>
              <w:t>high</w:t>
            </w:r>
            <w:r w:rsidR="00DD1587">
              <w:t>-</w:t>
            </w:r>
            <w:r>
              <w:t xml:space="preserve">level </w:t>
            </w:r>
            <w:r w:rsidR="00AB27A8">
              <w:t xml:space="preserve">visits to Dhaka in </w:t>
            </w:r>
            <w:r w:rsidR="00C63B66">
              <w:t>2012–13</w:t>
            </w:r>
            <w:r>
              <w:t xml:space="preserve"> provided opportunities for senior </w:t>
            </w:r>
            <w:r w:rsidR="00BD6D7E">
              <w:t>DFAT</w:t>
            </w:r>
            <w:r w:rsidR="001B0907">
              <w:t xml:space="preserve"> </w:t>
            </w:r>
            <w:r>
              <w:t>management to engage with counterparts in the Government of Bangladesh</w:t>
            </w:r>
            <w:r w:rsidR="00F54E7F">
              <w:t>.</w:t>
            </w:r>
            <w:r w:rsidR="00C63B66">
              <w:t xml:space="preserve"> </w:t>
            </w:r>
            <w:r w:rsidR="007203D3">
              <w:t xml:space="preserve">Australia </w:t>
            </w:r>
            <w:r w:rsidR="00C63B66">
              <w:t>and the Government of Bangladesh:</w:t>
            </w:r>
            <w:r w:rsidR="00F978F3">
              <w:t xml:space="preserve"> </w:t>
            </w:r>
          </w:p>
          <w:p w14:paraId="36A7007D" w14:textId="5FC98503" w:rsidR="00F978F3" w:rsidRDefault="00C63B66" w:rsidP="0044011A">
            <w:pPr>
              <w:pStyle w:val="TableListBullet"/>
            </w:pPr>
            <w:r>
              <w:t>h</w:t>
            </w:r>
            <w:r w:rsidR="00AB27A8">
              <w:t xml:space="preserve">eld the first annual </w:t>
            </w:r>
            <w:r w:rsidR="00F978F3">
              <w:t>high</w:t>
            </w:r>
            <w:r>
              <w:t>-</w:t>
            </w:r>
            <w:r w:rsidR="00F978F3">
              <w:t>level consultations on the aid program</w:t>
            </w:r>
            <w:r w:rsidR="00AB27A8">
              <w:t xml:space="preserve"> </w:t>
            </w:r>
          </w:p>
          <w:p w14:paraId="42849003" w14:textId="0DCC2E5B" w:rsidR="00FC11F6" w:rsidRDefault="00C63B66" w:rsidP="0044011A">
            <w:pPr>
              <w:pStyle w:val="TableListBullet"/>
            </w:pPr>
            <w:r>
              <w:t>s</w:t>
            </w:r>
            <w:r w:rsidR="00FC11F6">
              <w:t xml:space="preserve">igned a joint </w:t>
            </w:r>
            <w:r w:rsidR="00CB15EF" w:rsidRPr="00CB15EF">
              <w:t>Australia</w:t>
            </w:r>
            <w:r w:rsidR="00DD1587">
              <w:t xml:space="preserve"> – </w:t>
            </w:r>
            <w:r w:rsidR="00CB15EF" w:rsidRPr="00CB15EF">
              <w:t>Bangladesh Development Cooperation Program: Statement of Commitment</w:t>
            </w:r>
            <w:r w:rsidR="00FC11F6">
              <w:t xml:space="preserve"> on development cooperation</w:t>
            </w:r>
            <w:r w:rsidR="00BF1A62">
              <w:t xml:space="preserve"> wit</w:t>
            </w:r>
            <w:r w:rsidR="00324216">
              <w:t>h the Government of Bangladesh</w:t>
            </w:r>
          </w:p>
          <w:p w14:paraId="3FCA88A9" w14:textId="6D1B1B71" w:rsidR="00F978F3" w:rsidRDefault="00C63B66" w:rsidP="0044011A">
            <w:pPr>
              <w:pStyle w:val="TableListBullet"/>
            </w:pPr>
            <w:proofErr w:type="gramStart"/>
            <w:r>
              <w:t>d</w:t>
            </w:r>
            <w:r w:rsidR="001F356B">
              <w:t>iscussed</w:t>
            </w:r>
            <w:proofErr w:type="gramEnd"/>
            <w:r w:rsidR="001F356B">
              <w:t xml:space="preserve"> and agreed the </w:t>
            </w:r>
            <w:r w:rsidR="00F978F3">
              <w:t>broad</w:t>
            </w:r>
            <w:r w:rsidR="006F3B28">
              <w:t xml:space="preserve"> </w:t>
            </w:r>
            <w:r w:rsidR="00F978F3">
              <w:t>direction of Australia’s aid program to Bangladesh</w:t>
            </w:r>
            <w:r w:rsidR="00FC11F6">
              <w:t xml:space="preserve"> </w:t>
            </w:r>
            <w:r w:rsidR="00F978F3">
              <w:t>(</w:t>
            </w:r>
            <w:r w:rsidR="00B25187">
              <w:t>Australia</w:t>
            </w:r>
            <w:r w:rsidR="00DD1587">
              <w:t xml:space="preserve"> </w:t>
            </w:r>
            <w:r w:rsidR="00B25187">
              <w:t>–</w:t>
            </w:r>
            <w:r w:rsidR="00DD1587">
              <w:t xml:space="preserve"> </w:t>
            </w:r>
            <w:r w:rsidR="00B25187">
              <w:t>Bangladesh Aid Program Strategy 2012</w:t>
            </w:r>
            <w:r w:rsidR="00DD1587">
              <w:t>–</w:t>
            </w:r>
            <w:r w:rsidR="00B25187">
              <w:t>16</w:t>
            </w:r>
            <w:r w:rsidR="00324216">
              <w:t>,</w:t>
            </w:r>
            <w:r w:rsidR="00B25187">
              <w:t xml:space="preserve"> p</w:t>
            </w:r>
            <w:r w:rsidR="00F978F3">
              <w:t>ublished in December 2012)</w:t>
            </w:r>
            <w:r>
              <w:t>.</w:t>
            </w:r>
          </w:p>
          <w:p w14:paraId="22335E0C" w14:textId="442EF99D" w:rsidR="001F356B" w:rsidRPr="003040CD" w:rsidRDefault="001B0907" w:rsidP="003040CD">
            <w:pPr>
              <w:pStyle w:val="TableListBullet"/>
              <w:rPr>
                <w:color w:val="92D050"/>
              </w:rPr>
            </w:pPr>
            <w:r>
              <w:t xml:space="preserve">the Australian Government </w:t>
            </w:r>
            <w:r w:rsidR="00324216">
              <w:t xml:space="preserve">helped arrange </w:t>
            </w:r>
            <w:r w:rsidR="00F978F3">
              <w:t xml:space="preserve">social protection training for senior </w:t>
            </w:r>
            <w:r w:rsidR="00C63B66">
              <w:t>g</w:t>
            </w:r>
            <w:r w:rsidR="001F356B">
              <w:t xml:space="preserve">overnment </w:t>
            </w:r>
            <w:r w:rsidR="00F978F3">
              <w:t>officials in September 2012</w:t>
            </w:r>
          </w:p>
        </w:tc>
      </w:tr>
      <w:tr w:rsidR="00FE4491" w:rsidRPr="00180B19" w14:paraId="22335E11" w14:textId="77777777" w:rsidTr="0044011A">
        <w:trPr>
          <w:cantSplit/>
          <w:tblHeader w:val="0"/>
        </w:trPr>
        <w:tc>
          <w:tcPr>
            <w:tcW w:w="6473" w:type="dxa"/>
          </w:tcPr>
          <w:p w14:paraId="6C9AC84C" w14:textId="5E93ADD8" w:rsidR="00F978F3" w:rsidRPr="00940331" w:rsidRDefault="00F978F3" w:rsidP="003040CD">
            <w:pPr>
              <w:pStyle w:val="TableTextEntries"/>
            </w:pPr>
            <w:r w:rsidRPr="00940331">
              <w:t>Developing our pol</w:t>
            </w:r>
            <w:r w:rsidR="00B25187">
              <w:t>icy agenda, Australia will:</w:t>
            </w:r>
          </w:p>
          <w:p w14:paraId="09030020" w14:textId="43F8BBB5" w:rsidR="00F978F3" w:rsidRPr="003040CD" w:rsidRDefault="00DD1587" w:rsidP="003040CD">
            <w:pPr>
              <w:pStyle w:val="TableListNumber"/>
              <w:numPr>
                <w:ilvl w:val="0"/>
                <w:numId w:val="38"/>
              </w:numPr>
              <w:rPr>
                <w:b/>
              </w:rPr>
            </w:pPr>
            <w:proofErr w:type="gramStart"/>
            <w:r>
              <w:t>d</w:t>
            </w:r>
            <w:r w:rsidR="00F978F3" w:rsidRPr="00940331">
              <w:t>evelop</w:t>
            </w:r>
            <w:proofErr w:type="gramEnd"/>
            <w:r w:rsidR="00F978F3" w:rsidRPr="00940331">
              <w:t xml:space="preserve"> short policy notes on our sectoral engagements in education, health and climate change</w:t>
            </w:r>
            <w:r w:rsidR="00F54E7F">
              <w:t xml:space="preserve">. </w:t>
            </w:r>
          </w:p>
          <w:p w14:paraId="5328907C" w14:textId="6ABFBA7F" w:rsidR="00F978F3" w:rsidRPr="00940331" w:rsidRDefault="00DD1587" w:rsidP="003040CD">
            <w:pPr>
              <w:pStyle w:val="TableListNumber"/>
              <w:rPr>
                <w:b/>
              </w:rPr>
            </w:pPr>
            <w:proofErr w:type="gramStart"/>
            <w:r>
              <w:t>e</w:t>
            </w:r>
            <w:r w:rsidR="00F978F3" w:rsidRPr="00940331">
              <w:t>ncourage</w:t>
            </w:r>
            <w:proofErr w:type="gramEnd"/>
            <w:r w:rsidR="00F978F3" w:rsidRPr="00940331">
              <w:t xml:space="preserve"> linkages with</w:t>
            </w:r>
            <w:r>
              <w:t>,</w:t>
            </w:r>
            <w:r w:rsidR="00F978F3" w:rsidRPr="00940331">
              <w:t xml:space="preserve"> and collaboration between</w:t>
            </w:r>
            <w:r>
              <w:t>, the Government of Bangladesh</w:t>
            </w:r>
            <w:r w:rsidR="00F978F3" w:rsidRPr="00940331">
              <w:t xml:space="preserve"> </w:t>
            </w:r>
            <w:r w:rsidR="0021712A">
              <w:t xml:space="preserve">and </w:t>
            </w:r>
            <w:r w:rsidR="00F978F3" w:rsidRPr="00940331">
              <w:t>large NGOs</w:t>
            </w:r>
            <w:r w:rsidR="00F54E7F">
              <w:t xml:space="preserve">. </w:t>
            </w:r>
          </w:p>
          <w:p w14:paraId="563BBC1D" w14:textId="55837E6C" w:rsidR="00F978F3" w:rsidRPr="009A14B9" w:rsidRDefault="00DD1587" w:rsidP="003040CD">
            <w:pPr>
              <w:pStyle w:val="TableListNumber"/>
              <w:rPr>
                <w:b/>
              </w:rPr>
            </w:pPr>
            <w:proofErr w:type="gramStart"/>
            <w:r>
              <w:t>c</w:t>
            </w:r>
            <w:r w:rsidR="00F978F3" w:rsidRPr="00940331">
              <w:t>ontinue</w:t>
            </w:r>
            <w:proofErr w:type="gramEnd"/>
            <w:r w:rsidR="00F978F3" w:rsidRPr="00940331">
              <w:t xml:space="preserve"> to focus on fiduciary management in sector programs, particularly in education where </w:t>
            </w:r>
            <w:r>
              <w:t>our</w:t>
            </w:r>
            <w:r w:rsidRPr="00940331">
              <w:t xml:space="preserve"> </w:t>
            </w:r>
            <w:r w:rsidR="00F978F3" w:rsidRPr="00940331">
              <w:t xml:space="preserve">funds are provided directly to the </w:t>
            </w:r>
            <w:r w:rsidR="0012416E">
              <w:t>G</w:t>
            </w:r>
            <w:r w:rsidR="00F978F3" w:rsidRPr="00940331">
              <w:t>overnment</w:t>
            </w:r>
            <w:r>
              <w:t xml:space="preserve"> of Bangladesh</w:t>
            </w:r>
            <w:r w:rsidR="00F54E7F">
              <w:t xml:space="preserve">. </w:t>
            </w:r>
          </w:p>
          <w:p w14:paraId="22335E0E" w14:textId="7D1C2A3F" w:rsidR="00FE4491" w:rsidRPr="00100AA2" w:rsidRDefault="00DD1587" w:rsidP="003040CD">
            <w:pPr>
              <w:pStyle w:val="TableListNumber"/>
            </w:pPr>
            <w:proofErr w:type="gramStart"/>
            <w:r>
              <w:t>i</w:t>
            </w:r>
            <w:r w:rsidR="00F978F3" w:rsidRPr="009A14B9">
              <w:t>mplement</w:t>
            </w:r>
            <w:proofErr w:type="gramEnd"/>
            <w:r w:rsidR="00F978F3" w:rsidRPr="009A14B9">
              <w:t xml:space="preserve"> the recommendations of the 2011 assessment report to effectively mainstream disability into the program</w:t>
            </w:r>
            <w:r w:rsidR="00F54E7F">
              <w:t xml:space="preserve">. </w:t>
            </w:r>
          </w:p>
        </w:tc>
        <w:tc>
          <w:tcPr>
            <w:tcW w:w="823" w:type="dxa"/>
            <w:shd w:val="clear" w:color="auto" w:fill="F79646" w:themeFill="accent6"/>
          </w:tcPr>
          <w:p w14:paraId="22335E0F" w14:textId="17C3D029" w:rsidR="00FE4491" w:rsidRPr="003040CD" w:rsidRDefault="00B846A7" w:rsidP="003040CD">
            <w:pPr>
              <w:pStyle w:val="TableTextEntries"/>
            </w:pPr>
            <w:r w:rsidRPr="003040CD">
              <w:t>Amber</w:t>
            </w:r>
            <w:r w:rsidR="00FE4491" w:rsidRPr="003040CD">
              <w:fldChar w:fldCharType="begin"/>
            </w:r>
            <w:r w:rsidR="00FE4491" w:rsidRPr="003040CD">
              <w:instrText xml:space="preserve"> AUTOTEXTLIST  \s "Rating bullet"\t "Right click to choose a rating" \* MERGEFORMAT </w:instrText>
            </w:r>
            <w:r w:rsidR="00FE4491" w:rsidRPr="003040CD">
              <w:fldChar w:fldCharType="end"/>
            </w:r>
          </w:p>
        </w:tc>
        <w:tc>
          <w:tcPr>
            <w:tcW w:w="7037" w:type="dxa"/>
          </w:tcPr>
          <w:p w14:paraId="6BEF6584" w14:textId="20536B2D" w:rsidR="00F978F3" w:rsidRDefault="00513DEF" w:rsidP="003040CD">
            <w:pPr>
              <w:pStyle w:val="TableListBullet"/>
            </w:pPr>
            <w:r>
              <w:t xml:space="preserve">Australia </w:t>
            </w:r>
            <w:r w:rsidR="00324216">
              <w:t>draft</w:t>
            </w:r>
            <w:r>
              <w:t>ed</w:t>
            </w:r>
            <w:r w:rsidR="00F978F3">
              <w:t xml:space="preserve"> policy notes describing how we engage in each sector</w:t>
            </w:r>
            <w:r w:rsidR="00F54E7F">
              <w:t xml:space="preserve">. </w:t>
            </w:r>
            <w:r w:rsidR="00B846A7">
              <w:t xml:space="preserve">More work is required (see </w:t>
            </w:r>
            <w:r w:rsidR="00DD1587">
              <w:t>M</w:t>
            </w:r>
            <w:r w:rsidR="00B846A7">
              <w:t>anagement consequences)</w:t>
            </w:r>
            <w:r w:rsidR="00F54E7F">
              <w:t xml:space="preserve">. </w:t>
            </w:r>
          </w:p>
          <w:p w14:paraId="5F826BD3" w14:textId="25296AA8" w:rsidR="00B846A7" w:rsidRDefault="00B846A7" w:rsidP="003040CD">
            <w:pPr>
              <w:pStyle w:val="TableListBullet"/>
            </w:pPr>
            <w:r>
              <w:t xml:space="preserve">While there were signs of increased collaboration between </w:t>
            </w:r>
            <w:r w:rsidR="00DD1587">
              <w:t xml:space="preserve">the </w:t>
            </w:r>
            <w:r>
              <w:t>Government</w:t>
            </w:r>
            <w:r w:rsidR="00DD1587">
              <w:t xml:space="preserve"> of Bangladesh</w:t>
            </w:r>
            <w:r>
              <w:t xml:space="preserve"> and civil society</w:t>
            </w:r>
            <w:r w:rsidR="0012416E">
              <w:t>,</w:t>
            </w:r>
            <w:r>
              <w:t xml:space="preserve"> challenges remain</w:t>
            </w:r>
            <w:r w:rsidR="00F54E7F">
              <w:t xml:space="preserve">. </w:t>
            </w:r>
            <w:r w:rsidR="00DD1587">
              <w:t xml:space="preserve">More </w:t>
            </w:r>
            <w:r w:rsidR="004F3991">
              <w:t xml:space="preserve">work and an increased willingness to engage will help convert aspirational commitments </w:t>
            </w:r>
            <w:r w:rsidR="00D75D34">
              <w:t xml:space="preserve">for collaboration </w:t>
            </w:r>
            <w:r w:rsidR="004F3991">
              <w:t>into practical action</w:t>
            </w:r>
            <w:r w:rsidR="00F54E7F">
              <w:t xml:space="preserve">. </w:t>
            </w:r>
          </w:p>
          <w:p w14:paraId="1A689910" w14:textId="56DD3BBC" w:rsidR="00F978F3" w:rsidRDefault="004F3991" w:rsidP="003040CD">
            <w:pPr>
              <w:pStyle w:val="TableListBullet"/>
            </w:pPr>
            <w:r>
              <w:t>T</w:t>
            </w:r>
            <w:r w:rsidR="00F978F3">
              <w:t xml:space="preserve">he first annual review of the </w:t>
            </w:r>
            <w:r w:rsidR="00B846A7">
              <w:t>BRAC Strategic Partnership Arrangement</w:t>
            </w:r>
            <w:r w:rsidR="004361B6">
              <w:t>, led by Australia,</w:t>
            </w:r>
            <w:r w:rsidR="00B846A7">
              <w:t xml:space="preserve"> </w:t>
            </w:r>
            <w:r w:rsidR="00F978F3">
              <w:t xml:space="preserve">was an opportunity to discuss and encourage linkages between </w:t>
            </w:r>
            <w:r w:rsidR="00DD1587">
              <w:t>the Government of Bangladesh</w:t>
            </w:r>
            <w:r w:rsidR="00F978F3">
              <w:t xml:space="preserve"> and BRAC</w:t>
            </w:r>
            <w:r w:rsidR="00F54E7F">
              <w:t xml:space="preserve">. </w:t>
            </w:r>
            <w:r w:rsidR="00DD1587">
              <w:t xml:space="preserve">We </w:t>
            </w:r>
            <w:r w:rsidR="00F978F3">
              <w:t>review</w:t>
            </w:r>
            <w:r w:rsidR="00513DEF">
              <w:t>ed</w:t>
            </w:r>
            <w:r w:rsidR="00F978F3">
              <w:t xml:space="preserve"> quarterly financial statements released by the </w:t>
            </w:r>
            <w:r w:rsidR="0012416E">
              <w:t>G</w:t>
            </w:r>
            <w:r w:rsidR="00F978F3">
              <w:t>ov</w:t>
            </w:r>
            <w:r>
              <w:t>ernment</w:t>
            </w:r>
            <w:r w:rsidR="00F978F3">
              <w:t xml:space="preserve"> under its primary education program</w:t>
            </w:r>
            <w:r w:rsidR="00513DEF">
              <w:t xml:space="preserve"> and drew on Australian </w:t>
            </w:r>
            <w:r w:rsidR="0021712A">
              <w:t>p</w:t>
            </w:r>
            <w:r>
              <w:t xml:space="preserve">ublic </w:t>
            </w:r>
            <w:r w:rsidR="0021712A">
              <w:t>f</w:t>
            </w:r>
            <w:r>
              <w:t xml:space="preserve">inancial </w:t>
            </w:r>
            <w:r w:rsidR="0021712A">
              <w:t>m</w:t>
            </w:r>
            <w:r>
              <w:t xml:space="preserve">anagement </w:t>
            </w:r>
            <w:r w:rsidR="00F978F3">
              <w:t xml:space="preserve">expertise </w:t>
            </w:r>
            <w:r w:rsidR="00513DEF">
              <w:t xml:space="preserve">to </w:t>
            </w:r>
            <w:r w:rsidR="00F978F3">
              <w:t xml:space="preserve">review </w:t>
            </w:r>
            <w:proofErr w:type="spellStart"/>
            <w:r w:rsidR="0021712A">
              <w:t>Icddr</w:t>
            </w:r>
            <w:proofErr w:type="gramStart"/>
            <w:r w:rsidR="0021712A">
              <w:t>,b</w:t>
            </w:r>
            <w:proofErr w:type="spellEnd"/>
            <w:proofErr w:type="gramEnd"/>
            <w:r w:rsidR="00DD1587">
              <w:t xml:space="preserve"> processes</w:t>
            </w:r>
            <w:r w:rsidR="00F54E7F">
              <w:t xml:space="preserve">. </w:t>
            </w:r>
            <w:r w:rsidR="00513DEF">
              <w:t>T</w:t>
            </w:r>
            <w:r>
              <w:t xml:space="preserve">he absence of a dedicated </w:t>
            </w:r>
            <w:r w:rsidR="0021712A">
              <w:t>p</w:t>
            </w:r>
            <w:r>
              <w:t xml:space="preserve">ublic </w:t>
            </w:r>
            <w:r w:rsidR="0021712A">
              <w:t>f</w:t>
            </w:r>
            <w:r>
              <w:t xml:space="preserve">inancial </w:t>
            </w:r>
            <w:r w:rsidR="0021712A">
              <w:t>m</w:t>
            </w:r>
            <w:r>
              <w:t>anagement resource in-country restricted our ability to progress further</w:t>
            </w:r>
            <w:r w:rsidR="00F54E7F">
              <w:t xml:space="preserve">. </w:t>
            </w:r>
          </w:p>
          <w:p w14:paraId="22335E10" w14:textId="4825D578" w:rsidR="00FE4491" w:rsidRPr="006D5358" w:rsidRDefault="0021712A" w:rsidP="001B0907">
            <w:pPr>
              <w:pStyle w:val="TableListBullet"/>
            </w:pPr>
            <w:r>
              <w:t>A</w:t>
            </w:r>
            <w:r w:rsidR="00DD1587">
              <w:t xml:space="preserve">n </w:t>
            </w:r>
            <w:r w:rsidR="001B0907">
              <w:t xml:space="preserve">Australian aid </w:t>
            </w:r>
            <w:r>
              <w:t>d</w:t>
            </w:r>
            <w:r w:rsidR="00DC1B57" w:rsidRPr="00DC1B57">
              <w:t xml:space="preserve">isability focal point has been nominated at Dhaka Post, to implement recommendations </w:t>
            </w:r>
            <w:r w:rsidR="00DC1B57">
              <w:t xml:space="preserve">from </w:t>
            </w:r>
            <w:r w:rsidR="00DC1B57" w:rsidRPr="00DC1B57">
              <w:t>the</w:t>
            </w:r>
            <w:r w:rsidR="00DD1587">
              <w:t xml:space="preserve"> 2011 assessment</w:t>
            </w:r>
            <w:r w:rsidR="00DC1B57" w:rsidRPr="00DC1B57">
              <w:t xml:space="preserve"> report</w:t>
            </w:r>
            <w:r w:rsidR="00DC1B57">
              <w:t xml:space="preserve"> on </w:t>
            </w:r>
            <w:r w:rsidR="001B0907">
              <w:t>disability. The Australian Government</w:t>
            </w:r>
            <w:r w:rsidR="00DC1B57">
              <w:t xml:space="preserve">’s </w:t>
            </w:r>
            <w:r w:rsidR="00887D24">
              <w:t>d</w:t>
            </w:r>
            <w:r w:rsidR="00DC1B57">
              <w:t>isability</w:t>
            </w:r>
            <w:r w:rsidR="00DC1B57" w:rsidRPr="00DC1B57">
              <w:t xml:space="preserve"> thematic team</w:t>
            </w:r>
            <w:r w:rsidR="00887D24">
              <w:t xml:space="preserve"> has provided training and support and </w:t>
            </w:r>
            <w:r w:rsidR="00DC1B57" w:rsidRPr="00DC1B57">
              <w:t>has mapped out disability</w:t>
            </w:r>
            <w:r w:rsidR="00887D24">
              <w:t>-</w:t>
            </w:r>
            <w:r w:rsidR="00DC1B57" w:rsidRPr="00DC1B57">
              <w:t xml:space="preserve">inclusive approaches </w:t>
            </w:r>
            <w:r w:rsidR="006F3B28">
              <w:t>for the program</w:t>
            </w:r>
            <w:r w:rsidR="00F54E7F">
              <w:t xml:space="preserve">. </w:t>
            </w:r>
          </w:p>
        </w:tc>
      </w:tr>
      <w:tr w:rsidR="00FE4491" w:rsidRPr="00180B19" w14:paraId="22335E19"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7707544A" w14:textId="022FBDFA" w:rsidR="00F978F3" w:rsidRPr="00940331" w:rsidRDefault="00F978F3" w:rsidP="003040CD">
            <w:pPr>
              <w:pStyle w:val="TableTextEntries"/>
            </w:pPr>
            <w:r w:rsidRPr="00940331">
              <w:lastRenderedPageBreak/>
              <w:t>Continuing our focus on managing for results</w:t>
            </w:r>
            <w:r w:rsidR="00B25187">
              <w:t>, Australia will:</w:t>
            </w:r>
            <w:r w:rsidRPr="00940331">
              <w:t xml:space="preserve"> </w:t>
            </w:r>
          </w:p>
          <w:p w14:paraId="0EAF1BF3" w14:textId="48A71E4D" w:rsidR="00F978F3" w:rsidRPr="003040CD" w:rsidRDefault="00887D24" w:rsidP="003040CD">
            <w:pPr>
              <w:pStyle w:val="TableListNumber"/>
              <w:numPr>
                <w:ilvl w:val="0"/>
                <w:numId w:val="39"/>
              </w:numPr>
              <w:rPr>
                <w:b/>
              </w:rPr>
            </w:pPr>
            <w:proofErr w:type="gramStart"/>
            <w:r>
              <w:t>c</w:t>
            </w:r>
            <w:r w:rsidR="00F978F3" w:rsidRPr="003C6B11">
              <w:t>ontinue</w:t>
            </w:r>
            <w:proofErr w:type="gramEnd"/>
            <w:r w:rsidR="00F978F3" w:rsidRPr="003C6B11">
              <w:t xml:space="preserve"> work with implementing partners </w:t>
            </w:r>
            <w:r w:rsidR="00573C1C" w:rsidRPr="003C6B11">
              <w:t>on</w:t>
            </w:r>
            <w:r w:rsidR="00F978F3" w:rsidRPr="003C6B11">
              <w:t xml:space="preserve"> performance reporting systems</w:t>
            </w:r>
            <w:r w:rsidR="00F54E7F" w:rsidRPr="003C6B11">
              <w:t xml:space="preserve">. </w:t>
            </w:r>
            <w:r>
              <w:t>We will w</w:t>
            </w:r>
            <w:r w:rsidR="00B25187" w:rsidRPr="003C6B11">
              <w:t>o</w:t>
            </w:r>
            <w:r w:rsidR="00F978F3" w:rsidRPr="003C6B11">
              <w:t>rk closely with BRAC and DFID to establish a results framework</w:t>
            </w:r>
            <w:r w:rsidR="00573C1C" w:rsidRPr="003C6B11">
              <w:t xml:space="preserve"> and </w:t>
            </w:r>
            <w:r w:rsidR="00F978F3" w:rsidRPr="003C6B11">
              <w:t>support research on the contribution the partnership arrangement is making</w:t>
            </w:r>
            <w:r w:rsidR="00F54E7F" w:rsidRPr="003C6B11">
              <w:t xml:space="preserve">. </w:t>
            </w:r>
          </w:p>
          <w:p w14:paraId="6ECFE9C1" w14:textId="4E4241A5" w:rsidR="00F978F3" w:rsidRPr="006F6F33" w:rsidRDefault="00887D24" w:rsidP="003040CD">
            <w:pPr>
              <w:pStyle w:val="TableListNumber"/>
              <w:rPr>
                <w:b/>
              </w:rPr>
            </w:pPr>
            <w:proofErr w:type="gramStart"/>
            <w:r>
              <w:t>i</w:t>
            </w:r>
            <w:r w:rsidR="00F978F3" w:rsidRPr="006F6F33">
              <w:t>nvest</w:t>
            </w:r>
            <w:proofErr w:type="gramEnd"/>
            <w:r w:rsidR="00F978F3" w:rsidRPr="006F6F33">
              <w:t xml:space="preserve"> in monitoring health and education results</w:t>
            </w:r>
            <w:r w:rsidR="00F54E7F">
              <w:t xml:space="preserve">. </w:t>
            </w:r>
          </w:p>
          <w:p w14:paraId="39477EF5" w14:textId="5EDD3054" w:rsidR="00F978F3" w:rsidRPr="00940331" w:rsidRDefault="00887D24" w:rsidP="003040CD">
            <w:pPr>
              <w:pStyle w:val="TableListNumber"/>
              <w:rPr>
                <w:b/>
              </w:rPr>
            </w:pPr>
            <w:proofErr w:type="gramStart"/>
            <w:r>
              <w:t>h</w:t>
            </w:r>
            <w:r w:rsidR="00F978F3" w:rsidRPr="00940331">
              <w:t>ave</w:t>
            </w:r>
            <w:proofErr w:type="gramEnd"/>
            <w:r w:rsidR="00F978F3" w:rsidRPr="00940331">
              <w:t xml:space="preserve"> a major focus on donor coordination and alignment within </w:t>
            </w:r>
            <w:r w:rsidR="00570AC5">
              <w:t>key</w:t>
            </w:r>
            <w:r w:rsidR="00F978F3" w:rsidRPr="00940331">
              <w:t xml:space="preserve"> programs</w:t>
            </w:r>
            <w:r w:rsidR="00F54E7F">
              <w:t xml:space="preserve">. </w:t>
            </w:r>
          </w:p>
          <w:p w14:paraId="06DE61F0" w14:textId="7FA98E49" w:rsidR="00F978F3" w:rsidRPr="00940331" w:rsidRDefault="00887D24" w:rsidP="003040CD">
            <w:pPr>
              <w:pStyle w:val="TableListNumber"/>
              <w:rPr>
                <w:b/>
              </w:rPr>
            </w:pPr>
            <w:proofErr w:type="gramStart"/>
            <w:r>
              <w:t>a</w:t>
            </w:r>
            <w:r w:rsidR="00F978F3" w:rsidRPr="00940331">
              <w:t>lign</w:t>
            </w:r>
            <w:proofErr w:type="gramEnd"/>
            <w:r w:rsidR="00F978F3" w:rsidRPr="00940331">
              <w:t xml:space="preserve"> our work to the program strategy agreed with the G</w:t>
            </w:r>
            <w:r w:rsidR="00E6468B">
              <w:t>overnment of Bangladesh</w:t>
            </w:r>
            <w:r w:rsidR="0012416E">
              <w:t xml:space="preserve"> and</w:t>
            </w:r>
            <w:r w:rsidR="00F978F3" w:rsidRPr="00940331">
              <w:t xml:space="preserve"> supported by the performance assessment framework developed in early 2012</w:t>
            </w:r>
            <w:r w:rsidR="00F54E7F">
              <w:t xml:space="preserve">. </w:t>
            </w:r>
          </w:p>
          <w:p w14:paraId="2B99A6AA" w14:textId="73B9AE72" w:rsidR="003C33D1" w:rsidRPr="003C6B11" w:rsidRDefault="00887D24" w:rsidP="003040CD">
            <w:pPr>
              <w:pStyle w:val="TableListNumber"/>
              <w:rPr>
                <w:b/>
              </w:rPr>
            </w:pPr>
            <w:proofErr w:type="gramStart"/>
            <w:r>
              <w:t>c</w:t>
            </w:r>
            <w:r w:rsidR="00F978F3" w:rsidRPr="003C6B11">
              <w:t>onsolidate</w:t>
            </w:r>
            <w:proofErr w:type="gramEnd"/>
            <w:r w:rsidR="001B0907">
              <w:t xml:space="preserve"> the </w:t>
            </w:r>
            <w:r w:rsidR="00EE579B">
              <w:t>department’s</w:t>
            </w:r>
            <w:r w:rsidR="00F978F3" w:rsidRPr="003C6B11">
              <w:t xml:space="preserve"> internal program manag</w:t>
            </w:r>
            <w:r w:rsidR="00573C1C" w:rsidRPr="003C6B11">
              <w:t>ement in the Bangladesh program</w:t>
            </w:r>
            <w:r>
              <w:t>, d</w:t>
            </w:r>
            <w:r w:rsidR="00F978F3" w:rsidRPr="003C6B11">
              <w:t xml:space="preserve">evelop a delivery strategy by mid-2013 for social protection and support activities addressing the </w:t>
            </w:r>
            <w:r>
              <w:t xml:space="preserve">program strategy’s </w:t>
            </w:r>
            <w:r w:rsidR="00F978F3" w:rsidRPr="003C6B11">
              <w:t>third objective</w:t>
            </w:r>
            <w:r w:rsidR="00F54E7F" w:rsidRPr="003C6B11">
              <w:t xml:space="preserve">. </w:t>
            </w:r>
          </w:p>
          <w:p w14:paraId="22335E16" w14:textId="0BF7FC7B" w:rsidR="00FE4491" w:rsidRPr="003040CD" w:rsidRDefault="00887D24" w:rsidP="003040CD">
            <w:pPr>
              <w:pStyle w:val="TableListNumber"/>
              <w:rPr>
                <w:b/>
              </w:rPr>
            </w:pPr>
            <w:proofErr w:type="gramStart"/>
            <w:r>
              <w:t>m</w:t>
            </w:r>
            <w:r w:rsidR="003C33D1" w:rsidRPr="00940331">
              <w:t>ake</w:t>
            </w:r>
            <w:proofErr w:type="gramEnd"/>
            <w:r w:rsidR="003C33D1" w:rsidRPr="00940331">
              <w:t xml:space="preserve"> decisions on support to climate change and water</w:t>
            </w:r>
            <w:r w:rsidR="0012416E">
              <w:t xml:space="preserve"> as well as</w:t>
            </w:r>
            <w:r w:rsidR="003C33D1" w:rsidRPr="00940331">
              <w:t xml:space="preserve"> sanitation and hygiene activities</w:t>
            </w:r>
            <w:r w:rsidR="0012416E">
              <w:t>,</w:t>
            </w:r>
            <w:r w:rsidR="003C33D1" w:rsidRPr="00940331">
              <w:t xml:space="preserve"> including the mix of bilateral and regional activities and management</w:t>
            </w:r>
            <w:r w:rsidR="00F54E7F">
              <w:t xml:space="preserve">. </w:t>
            </w:r>
          </w:p>
        </w:tc>
        <w:tc>
          <w:tcPr>
            <w:tcW w:w="823" w:type="dxa"/>
            <w:shd w:val="clear" w:color="auto" w:fill="92D050"/>
          </w:tcPr>
          <w:p w14:paraId="22335E17" w14:textId="74F4C89C" w:rsidR="00FE4491" w:rsidRPr="003040CD" w:rsidRDefault="00D75D34" w:rsidP="003040CD">
            <w:pPr>
              <w:pStyle w:val="TableTextEntries"/>
            </w:pPr>
            <w:r w:rsidRPr="003040CD">
              <w:t>green</w:t>
            </w:r>
          </w:p>
        </w:tc>
        <w:tc>
          <w:tcPr>
            <w:tcW w:w="7037" w:type="dxa"/>
          </w:tcPr>
          <w:p w14:paraId="37E6C3D0" w14:textId="05716E31" w:rsidR="00C24761" w:rsidRPr="008F1967" w:rsidRDefault="00887D24" w:rsidP="003040CD">
            <w:pPr>
              <w:pStyle w:val="TableListBullet"/>
            </w:pPr>
            <w:r>
              <w:t>We</w:t>
            </w:r>
            <w:r w:rsidRPr="008F1967">
              <w:t xml:space="preserve"> </w:t>
            </w:r>
            <w:r w:rsidR="00FC11F6" w:rsidRPr="008F1967">
              <w:t>played a strong role in reviews of the Government</w:t>
            </w:r>
            <w:r>
              <w:t xml:space="preserve"> of Bangladesh</w:t>
            </w:r>
            <w:r w:rsidR="00FC11F6" w:rsidRPr="008F1967">
              <w:t>’s primar</w:t>
            </w:r>
            <w:r w:rsidR="00573C1C">
              <w:t>y education and health programs</w:t>
            </w:r>
            <w:r w:rsidR="00F54E7F">
              <w:t xml:space="preserve">. </w:t>
            </w:r>
            <w:r>
              <w:t>We</w:t>
            </w:r>
            <w:r w:rsidRPr="008F1967">
              <w:t xml:space="preserve"> </w:t>
            </w:r>
            <w:r w:rsidR="00F978F3" w:rsidRPr="008F1967">
              <w:t>provid</w:t>
            </w:r>
            <w:r w:rsidR="00570AC5" w:rsidRPr="008F1967">
              <w:t>ed</w:t>
            </w:r>
            <w:r w:rsidR="00573C1C">
              <w:t xml:space="preserve"> technical support</w:t>
            </w:r>
            <w:r w:rsidR="00F978F3" w:rsidRPr="008F1967">
              <w:t xml:space="preserve"> to help finalise </w:t>
            </w:r>
            <w:r w:rsidR="003C33D1" w:rsidRPr="008F1967">
              <w:t>a</w:t>
            </w:r>
            <w:r w:rsidR="00F978F3" w:rsidRPr="008F1967">
              <w:t xml:space="preserve"> results framework covering the</w:t>
            </w:r>
            <w:r w:rsidR="005405C5" w:rsidRPr="008F1967">
              <w:t xml:space="preserve"> </w:t>
            </w:r>
            <w:r>
              <w:t xml:space="preserve">BRAC </w:t>
            </w:r>
            <w:r w:rsidR="005405C5" w:rsidRPr="008F1967">
              <w:t>S</w:t>
            </w:r>
            <w:r w:rsidR="0012416E">
              <w:t>trategic Partnership A</w:t>
            </w:r>
            <w:r w:rsidR="00573C1C">
              <w:t>rrangement</w:t>
            </w:r>
            <w:r w:rsidR="00F54E7F">
              <w:t xml:space="preserve">. </w:t>
            </w:r>
            <w:r w:rsidR="005405C5" w:rsidRPr="008F1967">
              <w:t xml:space="preserve">Preparation for research into the </w:t>
            </w:r>
            <w:r w:rsidR="00513DEF" w:rsidRPr="008F1967">
              <w:t>partnership</w:t>
            </w:r>
            <w:r w:rsidR="00513DEF">
              <w:t xml:space="preserve">’s performance </w:t>
            </w:r>
            <w:r w:rsidR="00313AAD" w:rsidRPr="008F1967">
              <w:t>has been undertaken</w:t>
            </w:r>
            <w:r w:rsidR="007203D3">
              <w:t>, led by</w:t>
            </w:r>
            <w:r w:rsidR="001B0907">
              <w:t xml:space="preserve"> the Australian Government</w:t>
            </w:r>
            <w:proofErr w:type="gramStart"/>
            <w:r w:rsidR="001B0907">
              <w:t>.</w:t>
            </w:r>
            <w:r w:rsidR="00F54E7F">
              <w:t>.</w:t>
            </w:r>
            <w:proofErr w:type="gramEnd"/>
            <w:r w:rsidR="00F54E7F">
              <w:t xml:space="preserve"> </w:t>
            </w:r>
            <w:r>
              <w:t>We</w:t>
            </w:r>
            <w:r w:rsidRPr="008F1967">
              <w:t xml:space="preserve"> </w:t>
            </w:r>
            <w:r w:rsidR="00C24761" w:rsidRPr="008F1967">
              <w:t xml:space="preserve">worked with </w:t>
            </w:r>
            <w:proofErr w:type="spellStart"/>
            <w:r w:rsidR="00C24761" w:rsidRPr="008F1967">
              <w:t>I</w:t>
            </w:r>
            <w:r w:rsidR="00570AC5" w:rsidRPr="008F1967">
              <w:t>cddr</w:t>
            </w:r>
            <w:proofErr w:type="gramStart"/>
            <w:r w:rsidR="00570AC5" w:rsidRPr="008F1967">
              <w:t>,b</w:t>
            </w:r>
            <w:proofErr w:type="spellEnd"/>
            <w:proofErr w:type="gramEnd"/>
            <w:r w:rsidR="00C24761" w:rsidRPr="008F1967">
              <w:t xml:space="preserve"> to strengthen its internal systems and process</w:t>
            </w:r>
            <w:r w:rsidR="00570AC5" w:rsidRPr="008F1967">
              <w:t>es</w:t>
            </w:r>
            <w:r w:rsidR="00F54E7F">
              <w:t xml:space="preserve">. </w:t>
            </w:r>
          </w:p>
          <w:p w14:paraId="0085D981" w14:textId="16C187D6" w:rsidR="00F978F3" w:rsidRPr="008F1967" w:rsidRDefault="00887D24" w:rsidP="003040CD">
            <w:pPr>
              <w:pStyle w:val="TableListBullet"/>
            </w:pPr>
            <w:r>
              <w:t xml:space="preserve">We </w:t>
            </w:r>
            <w:r w:rsidR="00573C1C">
              <w:t xml:space="preserve">took </w:t>
            </w:r>
            <w:r w:rsidR="00F978F3" w:rsidRPr="008F1967">
              <w:t>up</w:t>
            </w:r>
            <w:r w:rsidR="00573C1C">
              <w:t xml:space="preserve"> </w:t>
            </w:r>
            <w:r>
              <w:t>c</w:t>
            </w:r>
            <w:r w:rsidR="00573C1C">
              <w:t>o-</w:t>
            </w:r>
            <w:r w:rsidR="00F978F3" w:rsidRPr="008F1967">
              <w:t xml:space="preserve">chair of </w:t>
            </w:r>
            <w:r w:rsidR="0012416E">
              <w:t xml:space="preserve">the </w:t>
            </w:r>
            <w:r w:rsidR="00F978F3" w:rsidRPr="008F1967">
              <w:t>donor consortium</w:t>
            </w:r>
            <w:r w:rsidR="00C24761" w:rsidRPr="008F1967">
              <w:t xml:space="preserve"> in primary education</w:t>
            </w:r>
            <w:r w:rsidR="00F978F3" w:rsidRPr="008F1967">
              <w:t xml:space="preserve"> </w:t>
            </w:r>
            <w:r w:rsidR="00C24761" w:rsidRPr="008F1967">
              <w:t>from January 2013</w:t>
            </w:r>
            <w:r w:rsidR="00F54E7F">
              <w:t xml:space="preserve">. </w:t>
            </w:r>
            <w:r w:rsidR="00F978F3" w:rsidRPr="008F1967">
              <w:t xml:space="preserve">In health, </w:t>
            </w:r>
            <w:r>
              <w:t>we</w:t>
            </w:r>
            <w:r w:rsidR="00F978F3" w:rsidRPr="008F1967">
              <w:t xml:space="preserve"> positioned </w:t>
            </w:r>
            <w:r w:rsidR="008E694A">
              <w:t>ourselves</w:t>
            </w:r>
            <w:r w:rsidRPr="008F1967">
              <w:t xml:space="preserve"> </w:t>
            </w:r>
            <w:r w:rsidR="00F978F3" w:rsidRPr="008F1967">
              <w:t>to engage with other donors</w:t>
            </w:r>
            <w:r w:rsidR="00513DEF">
              <w:t xml:space="preserve"> in working groups in key areas</w:t>
            </w:r>
            <w:r w:rsidR="00F54E7F">
              <w:t xml:space="preserve">. </w:t>
            </w:r>
          </w:p>
          <w:p w14:paraId="28DA7C51" w14:textId="0F096F54" w:rsidR="003C33D1" w:rsidRDefault="00F978F3" w:rsidP="003040CD">
            <w:pPr>
              <w:pStyle w:val="TableListBullet"/>
            </w:pPr>
            <w:r w:rsidRPr="008F1967">
              <w:t>An audit of program management systems</w:t>
            </w:r>
            <w:r w:rsidR="007203D3">
              <w:t xml:space="preserve"> undertaken by </w:t>
            </w:r>
            <w:r w:rsidR="001B0907">
              <w:t>the</w:t>
            </w:r>
            <w:r w:rsidR="00EE579B">
              <w:t xml:space="preserve"> department’s </w:t>
            </w:r>
            <w:r w:rsidRPr="008F1967">
              <w:t>found that the systems were sound</w:t>
            </w:r>
            <w:r w:rsidR="00F54E7F">
              <w:t xml:space="preserve">. </w:t>
            </w:r>
            <w:r w:rsidRPr="008F1967">
              <w:t>An ass</w:t>
            </w:r>
            <w:r w:rsidR="003C33D1" w:rsidRPr="008F1967">
              <w:t xml:space="preserve">essment of national systems </w:t>
            </w:r>
            <w:r w:rsidR="007203D3">
              <w:t xml:space="preserve">undertaken by a consultant </w:t>
            </w:r>
            <w:r w:rsidRPr="008F1967">
              <w:t xml:space="preserve">confirmed that </w:t>
            </w:r>
            <w:r w:rsidR="00DC47A3" w:rsidRPr="008F1967">
              <w:t>while the operating environment is high risk</w:t>
            </w:r>
            <w:r w:rsidR="0012416E">
              <w:t>,</w:t>
            </w:r>
            <w:r w:rsidR="00DC47A3" w:rsidRPr="008F1967">
              <w:t xml:space="preserve"> </w:t>
            </w:r>
            <w:r w:rsidRPr="008F1967">
              <w:t>the program ha</w:t>
            </w:r>
            <w:r w:rsidR="00DC47A3" w:rsidRPr="008F1967">
              <w:t>s</w:t>
            </w:r>
            <w:r w:rsidRPr="008F1967">
              <w:t xml:space="preserve"> taken adequate steps to safeguard against program risks</w:t>
            </w:r>
            <w:r w:rsidR="00F54E7F">
              <w:t xml:space="preserve">. </w:t>
            </w:r>
          </w:p>
          <w:p w14:paraId="151E4923" w14:textId="61FC2D6E" w:rsidR="003C33D1" w:rsidRPr="008F1967" w:rsidRDefault="003C33D1" w:rsidP="003040CD">
            <w:pPr>
              <w:pStyle w:val="TableListBullet"/>
            </w:pPr>
            <w:r w:rsidRPr="008F1967">
              <w:t xml:space="preserve">Work is underway to develop a delivery strategy to provide guidance for </w:t>
            </w:r>
            <w:r w:rsidR="00887D24">
              <w:t>our</w:t>
            </w:r>
            <w:r w:rsidR="00887D24" w:rsidRPr="008F1967">
              <w:t xml:space="preserve"> </w:t>
            </w:r>
            <w:r w:rsidRPr="008F1967">
              <w:t>engagement in social protection</w:t>
            </w:r>
            <w:r w:rsidR="00F54E7F">
              <w:t xml:space="preserve">. </w:t>
            </w:r>
            <w:r w:rsidRPr="008F1967">
              <w:t>A mission to Dhaka identified a demand for continued</w:t>
            </w:r>
            <w:r w:rsidR="007203D3">
              <w:t xml:space="preserve"> Australian support in the sector</w:t>
            </w:r>
            <w:r w:rsidR="00F54E7F">
              <w:t xml:space="preserve">. </w:t>
            </w:r>
          </w:p>
          <w:p w14:paraId="22335E18" w14:textId="16B92B94" w:rsidR="00FE4491" w:rsidRPr="008F1967" w:rsidRDefault="00137597" w:rsidP="008E694A">
            <w:pPr>
              <w:pStyle w:val="TableListBullet"/>
            </w:pPr>
            <w:r>
              <w:t>A R</w:t>
            </w:r>
            <w:r w:rsidR="00F978F3" w:rsidRPr="008F1967">
              <w:t xml:space="preserve">egional </w:t>
            </w:r>
            <w:r>
              <w:t>S</w:t>
            </w:r>
            <w:r w:rsidR="003C33D1" w:rsidRPr="008F1967">
              <w:t xml:space="preserve">ustainable </w:t>
            </w:r>
            <w:r>
              <w:t>D</w:t>
            </w:r>
            <w:r w:rsidR="003C33D1" w:rsidRPr="008F1967">
              <w:t>evelopment</w:t>
            </w:r>
            <w:r w:rsidR="00F978F3" w:rsidRPr="008F1967">
              <w:t xml:space="preserve"> </w:t>
            </w:r>
            <w:r>
              <w:t>S</w:t>
            </w:r>
            <w:r w:rsidR="00F978F3" w:rsidRPr="008F1967">
              <w:t>trategy was</w:t>
            </w:r>
            <w:r w:rsidR="007203D3">
              <w:t xml:space="preserve"> developed and approved by Australia which</w:t>
            </w:r>
            <w:r w:rsidR="0012416E">
              <w:t>,</w:t>
            </w:r>
            <w:r w:rsidR="00F978F3" w:rsidRPr="008F1967">
              <w:t xml:space="preserve"> along with </w:t>
            </w:r>
            <w:r w:rsidR="007203D3">
              <w:t xml:space="preserve">individual </w:t>
            </w:r>
            <w:r w:rsidR="00F978F3" w:rsidRPr="008F1967">
              <w:t xml:space="preserve">country strategies, will guide </w:t>
            </w:r>
            <w:r w:rsidR="007203D3">
              <w:t>Australia’s</w:t>
            </w:r>
            <w:r w:rsidR="00F978F3" w:rsidRPr="008F1967">
              <w:t xml:space="preserve"> </w:t>
            </w:r>
            <w:r w:rsidR="003C33D1" w:rsidRPr="008F1967">
              <w:t xml:space="preserve">aid engagement in </w:t>
            </w:r>
            <w:r w:rsidR="00F978F3" w:rsidRPr="008F1967">
              <w:t>climate change</w:t>
            </w:r>
            <w:r w:rsidR="00F54E7F">
              <w:t xml:space="preserve">. </w:t>
            </w:r>
            <w:r w:rsidR="00FC4CAF">
              <w:t xml:space="preserve">Any new support for water and sanitation </w:t>
            </w:r>
            <w:r w:rsidR="00573C1C">
              <w:t>will need to come from existing bilateral programs.</w:t>
            </w:r>
          </w:p>
        </w:tc>
      </w:tr>
      <w:tr w:rsidR="00FE4491" w:rsidRPr="00180B19" w14:paraId="22335E1D" w14:textId="77777777" w:rsidTr="0044011A">
        <w:trPr>
          <w:cantSplit/>
          <w:tblHeader w:val="0"/>
        </w:trPr>
        <w:tc>
          <w:tcPr>
            <w:tcW w:w="6473" w:type="dxa"/>
          </w:tcPr>
          <w:p w14:paraId="3FFB9F9F" w14:textId="722E59C7" w:rsidR="00F978F3" w:rsidRPr="00940331" w:rsidRDefault="00F978F3" w:rsidP="003040CD">
            <w:pPr>
              <w:pStyle w:val="TableTextEntries"/>
            </w:pPr>
            <w:r w:rsidRPr="00940331">
              <w:t>Consolidating the BRAC Strategic Partnership Arrangement</w:t>
            </w:r>
            <w:r w:rsidR="00B25187">
              <w:t>, Australia will:</w:t>
            </w:r>
          </w:p>
          <w:p w14:paraId="3327618B" w14:textId="79F340BD" w:rsidR="00F978F3" w:rsidRPr="003040CD" w:rsidRDefault="004361B6" w:rsidP="003040CD">
            <w:pPr>
              <w:pStyle w:val="TableListNumber"/>
              <w:numPr>
                <w:ilvl w:val="0"/>
                <w:numId w:val="40"/>
              </w:numPr>
              <w:rPr>
                <w:b/>
              </w:rPr>
            </w:pPr>
            <w:proofErr w:type="gramStart"/>
            <w:r>
              <w:t>c</w:t>
            </w:r>
            <w:r w:rsidR="00F978F3" w:rsidRPr="00940331">
              <w:t>onsolidate</w:t>
            </w:r>
            <w:proofErr w:type="gramEnd"/>
            <w:r w:rsidR="00F978F3" w:rsidRPr="00940331">
              <w:t xml:space="preserve"> the way we work and ensure </w:t>
            </w:r>
            <w:r>
              <w:t>we</w:t>
            </w:r>
            <w:r w:rsidRPr="00940331">
              <w:t xml:space="preserve"> </w:t>
            </w:r>
            <w:r w:rsidR="00F978F3" w:rsidRPr="00940331">
              <w:t>can inform this increasingly strategic-level engagement</w:t>
            </w:r>
            <w:r w:rsidR="00F54E7F">
              <w:t xml:space="preserve">. </w:t>
            </w:r>
          </w:p>
          <w:p w14:paraId="08D5E69E" w14:textId="0407836E" w:rsidR="00F978F3" w:rsidRPr="00940331" w:rsidRDefault="004361B6" w:rsidP="003040CD">
            <w:pPr>
              <w:pStyle w:val="TableListNumber"/>
              <w:rPr>
                <w:b/>
              </w:rPr>
            </w:pPr>
            <w:proofErr w:type="gramStart"/>
            <w:r>
              <w:t>l</w:t>
            </w:r>
            <w:r w:rsidR="00F978F3" w:rsidRPr="00940331">
              <w:t>ead</w:t>
            </w:r>
            <w:proofErr w:type="gramEnd"/>
            <w:r w:rsidR="00F978F3" w:rsidRPr="00940331">
              <w:t xml:space="preserve"> the first annual review of the BRAC Strategic Partnership Arrangement</w:t>
            </w:r>
            <w:r w:rsidR="00F54E7F">
              <w:t xml:space="preserve">. </w:t>
            </w:r>
          </w:p>
          <w:p w14:paraId="10FCFC11" w14:textId="2F49D4AD" w:rsidR="00F978F3" w:rsidRPr="00940331" w:rsidRDefault="004361B6" w:rsidP="003040CD">
            <w:pPr>
              <w:pStyle w:val="TableListNumber"/>
              <w:rPr>
                <w:b/>
              </w:rPr>
            </w:pPr>
            <w:proofErr w:type="gramStart"/>
            <w:r>
              <w:t>m</w:t>
            </w:r>
            <w:r w:rsidR="00F978F3" w:rsidRPr="00940331">
              <w:t>anage</w:t>
            </w:r>
            <w:proofErr w:type="gramEnd"/>
            <w:r w:rsidR="00F978F3" w:rsidRPr="00940331">
              <w:t xml:space="preserve"> the transition of senior staff at Post to enable continued institutional ownership</w:t>
            </w:r>
            <w:r w:rsidR="00F54E7F">
              <w:t xml:space="preserve">. </w:t>
            </w:r>
          </w:p>
          <w:p w14:paraId="545EC249" w14:textId="2E3B0207" w:rsidR="00F978F3" w:rsidRPr="00940331" w:rsidRDefault="004361B6" w:rsidP="003040CD">
            <w:pPr>
              <w:pStyle w:val="TableListNumber"/>
              <w:rPr>
                <w:b/>
              </w:rPr>
            </w:pPr>
            <w:proofErr w:type="gramStart"/>
            <w:r>
              <w:t>i</w:t>
            </w:r>
            <w:r w:rsidR="00F978F3" w:rsidRPr="00940331">
              <w:t>nstitutionalise</w:t>
            </w:r>
            <w:proofErr w:type="gramEnd"/>
            <w:r w:rsidR="00F978F3" w:rsidRPr="00940331">
              <w:t xml:space="preserve"> relationships at headquarters in Canberra, including by facilitating a visit by BRAC leadership (chairman and executive director) to Australia to engage with policymakers</w:t>
            </w:r>
            <w:r w:rsidR="00F54E7F">
              <w:t xml:space="preserve">. </w:t>
            </w:r>
          </w:p>
          <w:p w14:paraId="22335E1A" w14:textId="77777777" w:rsidR="00FE4491" w:rsidRPr="00100AA2" w:rsidRDefault="00FE4491" w:rsidP="0044011A">
            <w:pPr>
              <w:pStyle w:val="TableTextEntries"/>
            </w:pPr>
          </w:p>
        </w:tc>
        <w:tc>
          <w:tcPr>
            <w:tcW w:w="823" w:type="dxa"/>
            <w:shd w:val="clear" w:color="auto" w:fill="F79646" w:themeFill="accent6"/>
          </w:tcPr>
          <w:p w14:paraId="22335E1B" w14:textId="575EB548" w:rsidR="00FE4491" w:rsidRPr="003040CD" w:rsidRDefault="007324C1" w:rsidP="003040CD">
            <w:pPr>
              <w:pStyle w:val="TableTextEntries"/>
            </w:pPr>
            <w:r w:rsidRPr="003040CD">
              <w:t>Amber</w:t>
            </w:r>
          </w:p>
        </w:tc>
        <w:tc>
          <w:tcPr>
            <w:tcW w:w="7037" w:type="dxa"/>
          </w:tcPr>
          <w:p w14:paraId="2ACA825C" w14:textId="26992251" w:rsidR="00FF3387" w:rsidRPr="008F1967" w:rsidRDefault="00FF3387" w:rsidP="003040CD">
            <w:pPr>
              <w:pStyle w:val="TableListBullet"/>
            </w:pPr>
            <w:r w:rsidRPr="008F1967">
              <w:t>BRAC’s sectoral consortiums are now operating in health and education, bringing together BRAC staff with relevant staff from other partners</w:t>
            </w:r>
            <w:r w:rsidR="00F54E7F">
              <w:t xml:space="preserve">. </w:t>
            </w:r>
            <w:r w:rsidRPr="008F1967">
              <w:t>These consortiums provide a useful forum for sector program staff to move from project</w:t>
            </w:r>
            <w:r w:rsidR="004361B6">
              <w:t>-</w:t>
            </w:r>
            <w:r w:rsidRPr="008F1967">
              <w:t>level engagement to discussions focused on broader technical and sector policy issues</w:t>
            </w:r>
            <w:r w:rsidR="00F54E7F">
              <w:t xml:space="preserve">. </w:t>
            </w:r>
          </w:p>
          <w:p w14:paraId="65CE87F5" w14:textId="2E0AC12D" w:rsidR="007324C1" w:rsidRDefault="00F978F3" w:rsidP="003040CD">
            <w:pPr>
              <w:pStyle w:val="TableListBullet"/>
            </w:pPr>
            <w:r w:rsidRPr="008F1967">
              <w:t>Australia led the first review of the</w:t>
            </w:r>
            <w:r w:rsidR="00887D24">
              <w:t xml:space="preserve"> BRAC</w:t>
            </w:r>
            <w:r w:rsidR="00CE50CB" w:rsidRPr="008F1967">
              <w:t xml:space="preserve"> S</w:t>
            </w:r>
            <w:r w:rsidR="00CE50CB">
              <w:t>trategic Partnership Arrangement</w:t>
            </w:r>
            <w:r w:rsidR="00CE50CB" w:rsidRPr="008F1967">
              <w:t xml:space="preserve"> </w:t>
            </w:r>
            <w:r w:rsidRPr="008F1967">
              <w:t xml:space="preserve">in </w:t>
            </w:r>
            <w:r w:rsidR="007324C1" w:rsidRPr="008F1967">
              <w:t>S</w:t>
            </w:r>
            <w:r w:rsidRPr="008F1967">
              <w:t>ept</w:t>
            </w:r>
            <w:r w:rsidR="007324C1" w:rsidRPr="008F1967">
              <w:t>ember</w:t>
            </w:r>
            <w:r w:rsidRPr="008F1967">
              <w:t xml:space="preserve"> 2012</w:t>
            </w:r>
            <w:r w:rsidR="00F54E7F">
              <w:t xml:space="preserve">. </w:t>
            </w:r>
          </w:p>
          <w:p w14:paraId="75B44BEB" w14:textId="4D5F4DBE" w:rsidR="00F978F3" w:rsidRPr="008F1967" w:rsidRDefault="00513DEF" w:rsidP="003040CD">
            <w:pPr>
              <w:pStyle w:val="TableListBullet"/>
            </w:pPr>
            <w:r>
              <w:t>Regular partnership meetings</w:t>
            </w:r>
            <w:r w:rsidRPr="008F1967">
              <w:t xml:space="preserve"> </w:t>
            </w:r>
            <w:r>
              <w:t xml:space="preserve">assisted teams </w:t>
            </w:r>
            <w:r w:rsidR="007203D3">
              <w:t xml:space="preserve">to </w:t>
            </w:r>
            <w:r>
              <w:t xml:space="preserve">maintain focus on the partnership during the period of </w:t>
            </w:r>
            <w:r w:rsidR="007324C1" w:rsidRPr="008F1967">
              <w:t>high staff turnover</w:t>
            </w:r>
            <w:r w:rsidR="007203D3">
              <w:t xml:space="preserve"> in </w:t>
            </w:r>
            <w:proofErr w:type="gramStart"/>
            <w:r w:rsidR="001B0907">
              <w:t xml:space="preserve">the </w:t>
            </w:r>
            <w:r w:rsidR="00EE579B">
              <w:t xml:space="preserve"> department’s</w:t>
            </w:r>
            <w:proofErr w:type="gramEnd"/>
            <w:r w:rsidR="001B0907">
              <w:t xml:space="preserve"> </w:t>
            </w:r>
            <w:r w:rsidR="007203D3">
              <w:t>and DFID</w:t>
            </w:r>
            <w:r w:rsidR="00F54E7F">
              <w:t xml:space="preserve">. </w:t>
            </w:r>
          </w:p>
          <w:p w14:paraId="22335E1C" w14:textId="2B6D9EEC" w:rsidR="00FE4491" w:rsidRPr="008F1967" w:rsidRDefault="00F978F3" w:rsidP="00EE579B">
            <w:pPr>
              <w:pStyle w:val="TableListBullet"/>
            </w:pPr>
            <w:r w:rsidRPr="008F1967">
              <w:t xml:space="preserve">The Chairman of BRAC is expected to visit </w:t>
            </w:r>
            <w:r w:rsidR="004361B6">
              <w:t xml:space="preserve">headquarters in </w:t>
            </w:r>
            <w:r w:rsidRPr="008F1967">
              <w:t>Canberra in 2013</w:t>
            </w:r>
            <w:r w:rsidR="00F54E7F">
              <w:t xml:space="preserve">. </w:t>
            </w:r>
            <w:r w:rsidRPr="008F1967">
              <w:t>This follows a</w:t>
            </w:r>
            <w:r w:rsidR="007324C1" w:rsidRPr="008F1967">
              <w:t xml:space="preserve"> 2012</w:t>
            </w:r>
            <w:r w:rsidR="00CE50CB">
              <w:t xml:space="preserve"> </w:t>
            </w:r>
            <w:r w:rsidRPr="008F1967">
              <w:t>visit by BRAC’s Strategic Communications</w:t>
            </w:r>
            <w:r w:rsidR="00CE50CB">
              <w:t xml:space="preserve"> D</w:t>
            </w:r>
            <w:r w:rsidRPr="008F1967">
              <w:t>irector, who present</w:t>
            </w:r>
            <w:r w:rsidR="004361B6">
              <w:t>ed</w:t>
            </w:r>
            <w:r w:rsidRPr="008F1967">
              <w:t xml:space="preserve"> to </w:t>
            </w:r>
            <w:r w:rsidR="00EE579B">
              <w:t>DFAT</w:t>
            </w:r>
            <w:r w:rsidR="001B0907">
              <w:t xml:space="preserve"> </w:t>
            </w:r>
            <w:r w:rsidRPr="008F1967">
              <w:t>staff on BRAC’s approach to poverty alleviation</w:t>
            </w:r>
            <w:r w:rsidR="00F54E7F">
              <w:t xml:space="preserve">. </w:t>
            </w:r>
          </w:p>
        </w:tc>
      </w:tr>
      <w:tr w:rsidR="00F978F3" w:rsidRPr="00180B19" w14:paraId="58FB716B" w14:textId="77777777" w:rsidTr="0044011A">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413B0D62" w14:textId="6CD90687" w:rsidR="00F978F3" w:rsidRPr="00940331" w:rsidRDefault="00F978F3" w:rsidP="003040CD">
            <w:pPr>
              <w:pStyle w:val="TableTextEntries"/>
            </w:pPr>
            <w:r w:rsidRPr="00940331">
              <w:lastRenderedPageBreak/>
              <w:t xml:space="preserve">Strengthening the management structure and </w:t>
            </w:r>
            <w:r w:rsidR="006E277B">
              <w:t>starting</w:t>
            </w:r>
            <w:r w:rsidR="006E277B" w:rsidRPr="00940331">
              <w:t xml:space="preserve"> </w:t>
            </w:r>
            <w:r w:rsidRPr="00940331">
              <w:t>workforce planning</w:t>
            </w:r>
            <w:r w:rsidR="00B25187">
              <w:t>, Australia will:</w:t>
            </w:r>
          </w:p>
          <w:p w14:paraId="117D3794" w14:textId="0A9F3810" w:rsidR="00F978F3" w:rsidRPr="003040CD" w:rsidRDefault="006E277B" w:rsidP="003040CD">
            <w:pPr>
              <w:pStyle w:val="TableListNumber"/>
              <w:numPr>
                <w:ilvl w:val="0"/>
                <w:numId w:val="41"/>
              </w:numPr>
              <w:rPr>
                <w:b/>
              </w:rPr>
            </w:pPr>
            <w:proofErr w:type="gramStart"/>
            <w:r>
              <w:t>b</w:t>
            </w:r>
            <w:r w:rsidR="00B25187">
              <w:t>uild</w:t>
            </w:r>
            <w:proofErr w:type="gramEnd"/>
            <w:r w:rsidR="00B25187">
              <w:t xml:space="preserve"> the capacity of </w:t>
            </w:r>
            <w:r w:rsidR="00EE579B">
              <w:t>the department’s</w:t>
            </w:r>
            <w:r w:rsidR="001B0907">
              <w:t xml:space="preserve"> </w:t>
            </w:r>
            <w:r w:rsidR="00B25187">
              <w:t xml:space="preserve">Bangladesh program managers at </w:t>
            </w:r>
            <w:r w:rsidR="00F978F3" w:rsidRPr="00940331">
              <w:t xml:space="preserve">Dhaka </w:t>
            </w:r>
            <w:r>
              <w:t xml:space="preserve">Post </w:t>
            </w:r>
            <w:r w:rsidR="00F978F3" w:rsidRPr="00940331">
              <w:t xml:space="preserve">and </w:t>
            </w:r>
            <w:r>
              <w:t>in Canberra</w:t>
            </w:r>
            <w:r w:rsidR="004361B6">
              <w:t xml:space="preserve"> headquarters</w:t>
            </w:r>
            <w:r w:rsidR="00F54E7F">
              <w:t xml:space="preserve">. </w:t>
            </w:r>
          </w:p>
          <w:p w14:paraId="0BC9ED7A" w14:textId="7D8C9912" w:rsidR="00F978F3" w:rsidRPr="00940331" w:rsidRDefault="006E277B" w:rsidP="003040CD">
            <w:pPr>
              <w:pStyle w:val="TableListNumber"/>
              <w:rPr>
                <w:b/>
              </w:rPr>
            </w:pPr>
            <w:proofErr w:type="gramStart"/>
            <w:r>
              <w:t>p</w:t>
            </w:r>
            <w:r w:rsidR="00F978F3" w:rsidRPr="00940331">
              <w:t>ut</w:t>
            </w:r>
            <w:proofErr w:type="gramEnd"/>
            <w:r w:rsidR="00F978F3" w:rsidRPr="00940331">
              <w:t xml:space="preserve"> in place a clearer structure to develop a</w:t>
            </w:r>
            <w:r w:rsidR="00A048A7">
              <w:t xml:space="preserve">n </w:t>
            </w:r>
            <w:r w:rsidR="001B0907">
              <w:t xml:space="preserve">Australian Government </w:t>
            </w:r>
            <w:r w:rsidR="00F978F3" w:rsidRPr="00940331">
              <w:t xml:space="preserve">leadership team </w:t>
            </w:r>
            <w:r>
              <w:t>at</w:t>
            </w:r>
            <w:r w:rsidRPr="00940331">
              <w:t xml:space="preserve"> </w:t>
            </w:r>
            <w:r w:rsidR="00F978F3" w:rsidRPr="00940331">
              <w:t>Dhaka Post</w:t>
            </w:r>
            <w:r w:rsidR="00F54E7F">
              <w:t xml:space="preserve">. </w:t>
            </w:r>
          </w:p>
          <w:p w14:paraId="397D93BE" w14:textId="0E57CECC" w:rsidR="001C5F69" w:rsidRPr="001C5F69" w:rsidRDefault="006E277B" w:rsidP="003040CD">
            <w:pPr>
              <w:pStyle w:val="TableListNumber"/>
              <w:rPr>
                <w:b/>
              </w:rPr>
            </w:pPr>
            <w:proofErr w:type="gramStart"/>
            <w:r>
              <w:t>i</w:t>
            </w:r>
            <w:r w:rsidR="00F978F3" w:rsidRPr="00940331">
              <w:t>dentify</w:t>
            </w:r>
            <w:proofErr w:type="gramEnd"/>
            <w:r w:rsidR="00F978F3" w:rsidRPr="00940331">
              <w:t xml:space="preserve"> the skills required to support deeper engagement and larger</w:t>
            </w:r>
            <w:r w:rsidR="007203D3">
              <w:t xml:space="preserve"> aid</w:t>
            </w:r>
            <w:r w:rsidR="00F978F3" w:rsidRPr="00940331">
              <w:t xml:space="preserve"> investments</w:t>
            </w:r>
            <w:r w:rsidR="00F54E7F">
              <w:t xml:space="preserve">. </w:t>
            </w:r>
          </w:p>
          <w:p w14:paraId="2DA120D7" w14:textId="4D4B82A1" w:rsidR="00F978F3" w:rsidRPr="00F978F3" w:rsidRDefault="00E86275" w:rsidP="001B0907">
            <w:pPr>
              <w:pStyle w:val="TableListNumber"/>
              <w:rPr>
                <w:b/>
              </w:rPr>
            </w:pPr>
            <w:proofErr w:type="gramStart"/>
            <w:r>
              <w:t>r</w:t>
            </w:r>
            <w:r w:rsidR="00F978F3" w:rsidRPr="00940331">
              <w:t>ecruit</w:t>
            </w:r>
            <w:proofErr w:type="gramEnd"/>
            <w:r w:rsidR="00F978F3" w:rsidRPr="00940331">
              <w:t xml:space="preserve"> a</w:t>
            </w:r>
            <w:r w:rsidR="001B0907">
              <w:t xml:space="preserve"> </w:t>
            </w:r>
            <w:r w:rsidR="00F978F3" w:rsidRPr="00940331">
              <w:t>corporate manager</w:t>
            </w:r>
            <w:r w:rsidR="00A048A7">
              <w:t xml:space="preserve"> t</w:t>
            </w:r>
            <w:r w:rsidR="00F978F3" w:rsidRPr="00940331">
              <w:t>o better coordinate corporate processes</w:t>
            </w:r>
            <w:r w:rsidR="007203D3">
              <w:t xml:space="preserve"> at Dhaka Post</w:t>
            </w:r>
            <w:r w:rsidR="00F54E7F">
              <w:t xml:space="preserve">. </w:t>
            </w:r>
          </w:p>
        </w:tc>
        <w:tc>
          <w:tcPr>
            <w:tcW w:w="823" w:type="dxa"/>
            <w:shd w:val="clear" w:color="auto" w:fill="F79646" w:themeFill="accent6"/>
          </w:tcPr>
          <w:p w14:paraId="1975A330" w14:textId="26A26E2B" w:rsidR="00F978F3" w:rsidRPr="003040CD" w:rsidRDefault="00AA2452" w:rsidP="003040CD">
            <w:pPr>
              <w:pStyle w:val="TableTextEntries"/>
            </w:pPr>
            <w:r w:rsidRPr="003040CD">
              <w:t>Amber</w:t>
            </w:r>
          </w:p>
        </w:tc>
        <w:tc>
          <w:tcPr>
            <w:tcW w:w="7037" w:type="dxa"/>
          </w:tcPr>
          <w:p w14:paraId="661DFCFB" w14:textId="5A14E500" w:rsidR="00F978F3" w:rsidRDefault="001B0907" w:rsidP="003040CD">
            <w:pPr>
              <w:pStyle w:val="TableListBullet"/>
            </w:pPr>
            <w:r>
              <w:t xml:space="preserve">The </w:t>
            </w:r>
            <w:r w:rsidR="00EE579B">
              <w:t>department</w:t>
            </w:r>
            <w:r>
              <w:t xml:space="preserve"> </w:t>
            </w:r>
            <w:r w:rsidR="00AA2452">
              <w:t xml:space="preserve">is developing a revised </w:t>
            </w:r>
            <w:r w:rsidR="006E277B">
              <w:t xml:space="preserve">program </w:t>
            </w:r>
            <w:r w:rsidR="00AA2452">
              <w:t>workforce plan, expected to be finalised toward the end of 2013</w:t>
            </w:r>
            <w:r w:rsidR="00F54E7F">
              <w:t xml:space="preserve">. </w:t>
            </w:r>
            <w:r w:rsidR="00AA2452">
              <w:t xml:space="preserve">This will help </w:t>
            </w:r>
            <w:r w:rsidR="00F978F3">
              <w:t>Australia</w:t>
            </w:r>
            <w:r w:rsidR="00AA2452">
              <w:t xml:space="preserve"> maximise the effectiveness of its investments through the</w:t>
            </w:r>
            <w:r w:rsidR="00F978F3">
              <w:t xml:space="preserve"> BRAC </w:t>
            </w:r>
            <w:r w:rsidR="00CE50CB" w:rsidRPr="008F1967">
              <w:t>S</w:t>
            </w:r>
            <w:r w:rsidR="00CE50CB">
              <w:t>trategic Partnership Arrangement</w:t>
            </w:r>
            <w:r w:rsidR="00CE50CB" w:rsidRPr="008F1967">
              <w:t xml:space="preserve"> </w:t>
            </w:r>
            <w:r w:rsidR="00F978F3">
              <w:t>a</w:t>
            </w:r>
            <w:r w:rsidR="006E277B">
              <w:t>nd</w:t>
            </w:r>
            <w:r w:rsidR="00F978F3">
              <w:t xml:space="preserve"> </w:t>
            </w:r>
            <w:r w:rsidR="00AA2452">
              <w:t xml:space="preserve">with </w:t>
            </w:r>
            <w:r w:rsidR="00F978F3">
              <w:t xml:space="preserve">the </w:t>
            </w:r>
            <w:r w:rsidR="00CE50CB">
              <w:t>G</w:t>
            </w:r>
            <w:r w:rsidR="00F978F3">
              <w:t>overnment</w:t>
            </w:r>
            <w:r w:rsidR="006E277B">
              <w:t xml:space="preserve"> of Bangladesh</w:t>
            </w:r>
            <w:r w:rsidR="00E86275">
              <w:t>’</w:t>
            </w:r>
            <w:r w:rsidR="00F978F3">
              <w:t>s health, education and climate change programs</w:t>
            </w:r>
            <w:r w:rsidR="006E277B">
              <w:t xml:space="preserve"> </w:t>
            </w:r>
            <w:r w:rsidR="008E694A">
              <w:t>(</w:t>
            </w:r>
            <w:r w:rsidR="00AA2452">
              <w:t>Management consequences refer to adjustments in team focus to support this approach</w:t>
            </w:r>
            <w:r w:rsidR="006E277B">
              <w:t>)</w:t>
            </w:r>
            <w:r w:rsidR="00F54E7F">
              <w:t xml:space="preserve">. </w:t>
            </w:r>
          </w:p>
          <w:p w14:paraId="277F118F" w14:textId="5AE55C00" w:rsidR="00F978F3" w:rsidRDefault="001B0907" w:rsidP="003040CD">
            <w:pPr>
              <w:pStyle w:val="TableListBullet"/>
            </w:pPr>
            <w:r>
              <w:t xml:space="preserve">The </w:t>
            </w:r>
            <w:r w:rsidR="00EE579B">
              <w:t>department</w:t>
            </w:r>
            <w:r>
              <w:t xml:space="preserve"> </w:t>
            </w:r>
            <w:r w:rsidR="007203D3">
              <w:t xml:space="preserve">is equipping </w:t>
            </w:r>
            <w:r w:rsidR="00F978F3">
              <w:t>the team with technical skills in these areas</w:t>
            </w:r>
            <w:r w:rsidR="006E277B">
              <w:t>.</w:t>
            </w:r>
            <w:r w:rsidR="00E86275">
              <w:t xml:space="preserve"> </w:t>
            </w:r>
            <w:r w:rsidR="006E277B">
              <w:t>T</w:t>
            </w:r>
            <w:r w:rsidR="00F978F3">
              <w:t>he team</w:t>
            </w:r>
            <w:r w:rsidR="006E277B">
              <w:t>, for example,</w:t>
            </w:r>
            <w:r w:rsidR="00F978F3">
              <w:t xml:space="preserve"> recently recruited an education specialist to assist engagement on the government’s education program</w:t>
            </w:r>
            <w:r w:rsidR="00F54E7F">
              <w:t xml:space="preserve">. </w:t>
            </w:r>
            <w:r w:rsidR="00AA2452">
              <w:t>T</w:t>
            </w:r>
            <w:r w:rsidR="00F978F3">
              <w:t xml:space="preserve">he team now has a corporate manager </w:t>
            </w:r>
            <w:r w:rsidR="001C5F69">
              <w:t xml:space="preserve">and a performance and quality manager </w:t>
            </w:r>
            <w:r w:rsidR="00F978F3">
              <w:t xml:space="preserve">to oversight </w:t>
            </w:r>
            <w:r w:rsidR="00CE50CB">
              <w:t>human resources</w:t>
            </w:r>
            <w:r w:rsidR="00F978F3">
              <w:t>,</w:t>
            </w:r>
            <w:r w:rsidR="001C5F69">
              <w:t xml:space="preserve"> quality, </w:t>
            </w:r>
            <w:proofErr w:type="gramStart"/>
            <w:r w:rsidR="00F978F3">
              <w:t>finance</w:t>
            </w:r>
            <w:proofErr w:type="gramEnd"/>
            <w:r w:rsidR="00F978F3">
              <w:t xml:space="preserve"> and administration functions</w:t>
            </w:r>
            <w:r w:rsidR="00F54E7F">
              <w:t xml:space="preserve">. </w:t>
            </w:r>
            <w:r w:rsidR="00F978F3">
              <w:t>The team is also trialling monitoring tools to assess our policy engagement</w:t>
            </w:r>
            <w:r w:rsidR="00F54E7F">
              <w:t xml:space="preserve">. </w:t>
            </w:r>
          </w:p>
          <w:p w14:paraId="51021C10" w14:textId="619E25A1" w:rsidR="00F978F3" w:rsidRDefault="00F978F3" w:rsidP="001B0907">
            <w:pPr>
              <w:pStyle w:val="TableListBullet"/>
            </w:pPr>
            <w:r>
              <w:t>The team</w:t>
            </w:r>
            <w:r w:rsidR="004361B6">
              <w:t xml:space="preserve"> at headquarters</w:t>
            </w:r>
            <w:r>
              <w:t xml:space="preserve"> in Canberra </w:t>
            </w:r>
            <w:r w:rsidRPr="001F6EBF">
              <w:t>has benefited from the</w:t>
            </w:r>
            <w:r>
              <w:t xml:space="preserve"> addition of a part</w:t>
            </w:r>
            <w:r w:rsidR="006E277B">
              <w:t>-</w:t>
            </w:r>
            <w:r>
              <w:t xml:space="preserve">time social protection adviser who is assisting </w:t>
            </w:r>
            <w:r w:rsidR="006E277B">
              <w:t xml:space="preserve">the </w:t>
            </w:r>
            <w:r>
              <w:t>development of the social protection delivery strategy</w:t>
            </w:r>
            <w:r w:rsidR="00F54E7F">
              <w:t xml:space="preserve">. </w:t>
            </w:r>
          </w:p>
        </w:tc>
      </w:tr>
    </w:tbl>
    <w:p w14:paraId="22335E20" w14:textId="77777777" w:rsidR="00FE4491" w:rsidRPr="00FE4491" w:rsidRDefault="00FE4491" w:rsidP="00FE4491">
      <w:pPr>
        <w:pStyle w:val="Note"/>
      </w:pPr>
      <w:r w:rsidRPr="00FE4491">
        <w:t xml:space="preserve">Note: </w:t>
      </w:r>
    </w:p>
    <w:p w14:paraId="22335E21" w14:textId="1CA3E0C3" w:rsidR="00FE4491" w:rsidRPr="00FE4491" w:rsidRDefault="00FE4491" w:rsidP="00FE4491">
      <w:pPr>
        <w:pStyle w:val="Note"/>
      </w:pPr>
      <w:r w:rsidRPr="00FE4491">
        <w:rPr>
          <w:color w:val="92D050"/>
        </w:rPr>
        <w:sym w:font="Webdings" w:char="F067"/>
      </w:r>
      <w:r w:rsidRPr="00FE4491">
        <w:t> </w:t>
      </w:r>
      <w:r w:rsidRPr="00FE4491">
        <w:t xml:space="preserve"> </w:t>
      </w:r>
      <w:proofErr w:type="gramStart"/>
      <w:r w:rsidR="00443639">
        <w:t>Green</w:t>
      </w:r>
      <w:r w:rsidR="00F54E7F">
        <w:t>.</w:t>
      </w:r>
      <w:proofErr w:type="gramEnd"/>
      <w:r w:rsidR="00F54E7F">
        <w:t xml:space="preserve"> </w:t>
      </w:r>
      <w:r w:rsidRPr="00EC3C88">
        <w:t>Progress is as expected for this point in time and it is likely that the objective will be achieved</w:t>
      </w:r>
      <w:r w:rsidR="00F54E7F">
        <w:t xml:space="preserve">. </w:t>
      </w:r>
      <w:r w:rsidRPr="00EC3C88">
        <w:t>Standard program management practices are sufficient</w:t>
      </w:r>
      <w:r w:rsidR="00F54E7F">
        <w:t xml:space="preserve">. </w:t>
      </w:r>
    </w:p>
    <w:p w14:paraId="22335E22" w14:textId="511C14B9" w:rsidR="00FE4491" w:rsidRDefault="00FE4491" w:rsidP="00FE4491">
      <w:pPr>
        <w:pStyle w:val="Note"/>
      </w:pPr>
      <w:r w:rsidRPr="00FE4491">
        <w:rPr>
          <w:color w:val="F79646" w:themeColor="accent6"/>
        </w:rPr>
        <w:sym w:font="Webdings" w:char="F067"/>
      </w:r>
      <w:r w:rsidRPr="00FE4491">
        <w:t> </w:t>
      </w:r>
      <w:r w:rsidRPr="00FE4491">
        <w:t xml:space="preserve"> </w:t>
      </w:r>
      <w:r w:rsidRPr="00C93493">
        <w:t>Amber</w:t>
      </w:r>
      <w:r w:rsidR="00F54E7F">
        <w:t xml:space="preserve">. </w:t>
      </w:r>
      <w:r w:rsidRPr="00EC3C88">
        <w:t>Progress is somewhat less than expected for this point in time and restorative action will be necessary if the objective is to be achieved</w:t>
      </w:r>
      <w:r w:rsidR="00F54E7F">
        <w:t xml:space="preserve">. </w:t>
      </w:r>
      <w:r w:rsidRPr="00EC3C88">
        <w:t>Close performance monitoring is recommended</w:t>
      </w:r>
      <w:r w:rsidR="00F54E7F">
        <w:t xml:space="preserve">. </w:t>
      </w:r>
    </w:p>
    <w:p w14:paraId="22335E23" w14:textId="1B17BB5F" w:rsidR="00BB1C24" w:rsidRDefault="00FE4491" w:rsidP="00FE4491">
      <w:pPr>
        <w:pStyle w:val="Note"/>
      </w:pPr>
      <w:r w:rsidRPr="00FE4491">
        <w:rPr>
          <w:color w:val="FF0000"/>
        </w:rPr>
        <w:sym w:font="Webdings" w:char="F067"/>
      </w:r>
      <w:r w:rsidRPr="00FE4491">
        <w:t> </w:t>
      </w:r>
      <w:r w:rsidRPr="00FE4491">
        <w:t xml:space="preserve"> </w:t>
      </w:r>
      <w:proofErr w:type="gramStart"/>
      <w:r>
        <w:t>Red</w:t>
      </w:r>
      <w:r w:rsidR="00F54E7F">
        <w:t>.</w:t>
      </w:r>
      <w:proofErr w:type="gramEnd"/>
      <w:r w:rsidR="00F54E7F">
        <w:t xml:space="preserve"> </w:t>
      </w:r>
      <w:r w:rsidRPr="00714039">
        <w:t xml:space="preserve">Progress is significantly less than expected for this point in time and the objective is not likely to be met given available resources and </w:t>
      </w:r>
      <w:r w:rsidRPr="00502435">
        <w:t>priorities</w:t>
      </w:r>
      <w:r w:rsidR="00F54E7F">
        <w:t xml:space="preserve">. </w:t>
      </w:r>
      <w:r w:rsidRPr="00502435">
        <w:t>Recasting the objective may be required</w:t>
      </w:r>
      <w:r w:rsidR="00F54E7F">
        <w:t xml:space="preserve">. </w:t>
      </w:r>
    </w:p>
    <w:p w14:paraId="22335E24" w14:textId="77777777" w:rsidR="00FE4491" w:rsidRDefault="00FE4491" w:rsidP="00FE4491">
      <w:pPr>
        <w:sectPr w:rsidR="00FE4491" w:rsidSect="003D6095">
          <w:headerReference w:type="default" r:id="rId14"/>
          <w:footerReference w:type="default" r:id="rId15"/>
          <w:headerReference w:type="first" r:id="rId16"/>
          <w:pgSz w:w="16838" w:h="11906" w:orient="landscape" w:code="9"/>
          <w:pgMar w:top="1871" w:right="2268" w:bottom="1134" w:left="907" w:header="709" w:footer="454" w:gutter="0"/>
          <w:cols w:space="708"/>
          <w:docGrid w:linePitch="360"/>
        </w:sectPr>
      </w:pPr>
    </w:p>
    <w:p w14:paraId="22335E25" w14:textId="77777777" w:rsidR="00FE4491" w:rsidRPr="003040CD" w:rsidRDefault="00FE4491" w:rsidP="003040CD">
      <w:pPr>
        <w:pStyle w:val="Heading1"/>
      </w:pPr>
      <w:r w:rsidRPr="003040CD">
        <w:lastRenderedPageBreak/>
        <w:t xml:space="preserve">Annex B </w:t>
      </w:r>
    </w:p>
    <w:p w14:paraId="3F3D11DA" w14:textId="729B51A2" w:rsidR="00DC1B57" w:rsidRPr="003040CD" w:rsidRDefault="00DC1B57" w:rsidP="003040CD">
      <w:pPr>
        <w:pStyle w:val="Heading2"/>
      </w:pPr>
      <w:r w:rsidRPr="003040CD">
        <w:t xml:space="preserve">Quality at </w:t>
      </w:r>
      <w:r w:rsidR="00D80031" w:rsidRPr="003040CD">
        <w:t>i</w:t>
      </w:r>
      <w:r w:rsidRPr="003040CD">
        <w:t xml:space="preserve">mplementation </w:t>
      </w:r>
      <w:r w:rsidR="00FC39AC" w:rsidRPr="003040CD">
        <w:t xml:space="preserve">(QAI) </w:t>
      </w:r>
      <w:r w:rsidRPr="003040CD">
        <w:t>ratings</w:t>
      </w:r>
    </w:p>
    <w:tbl>
      <w:tblPr>
        <w:tblStyle w:val="APPR"/>
        <w:tblW w:w="5000" w:type="pct"/>
        <w:tblLayout w:type="fixed"/>
        <w:tblLook w:val="0000" w:firstRow="0" w:lastRow="0" w:firstColumn="0" w:lastColumn="0" w:noHBand="0" w:noVBand="0"/>
      </w:tblPr>
      <w:tblGrid>
        <w:gridCol w:w="1693"/>
        <w:gridCol w:w="923"/>
        <w:gridCol w:w="1523"/>
        <w:gridCol w:w="41"/>
        <w:gridCol w:w="698"/>
        <w:gridCol w:w="622"/>
        <w:gridCol w:w="622"/>
        <w:gridCol w:w="655"/>
        <w:gridCol w:w="575"/>
        <w:gridCol w:w="622"/>
        <w:gridCol w:w="632"/>
      </w:tblGrid>
      <w:tr w:rsidR="00DC1B57" w:rsidRPr="009D53C4" w14:paraId="71004324" w14:textId="77777777" w:rsidTr="003D6095">
        <w:trPr>
          <w:trHeight w:val="1814"/>
          <w:tblHeader w:val="0"/>
        </w:trPr>
        <w:tc>
          <w:tcPr>
            <w:tcW w:w="961" w:type="pct"/>
          </w:tcPr>
          <w:p w14:paraId="24E29E7B" w14:textId="77777777" w:rsidR="00DC1B57" w:rsidRPr="003040CD" w:rsidRDefault="00DC1B57" w:rsidP="003040CD">
            <w:pPr>
              <w:pStyle w:val="TableTextColumnHeading"/>
            </w:pPr>
            <w:r w:rsidRPr="003040CD">
              <w:rPr>
                <w:noProof/>
                <w:lang w:eastAsia="en-AU"/>
              </w:rPr>
              <w:drawing>
                <wp:anchor distT="0" distB="0" distL="114300" distR="114300" simplePos="0" relativeHeight="251668480" behindDoc="0" locked="0" layoutInCell="1" allowOverlap="1" wp14:anchorId="69DE01DD" wp14:editId="04FA7546">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0CD">
              <w:t>Initiative name</w:t>
            </w:r>
          </w:p>
        </w:tc>
        <w:tc>
          <w:tcPr>
            <w:tcW w:w="521" w:type="pct"/>
            <w:textDirection w:val="btLr"/>
          </w:tcPr>
          <w:p w14:paraId="24E696B3" w14:textId="77777777" w:rsidR="00DC1B57" w:rsidRPr="003040CD" w:rsidRDefault="00DC1B57" w:rsidP="003040CD">
            <w:pPr>
              <w:pStyle w:val="TableTextColumnHeading"/>
            </w:pPr>
            <w:r w:rsidRPr="003040CD">
              <w:t>Approved budget and duration</w:t>
            </w:r>
          </w:p>
        </w:tc>
        <w:tc>
          <w:tcPr>
            <w:tcW w:w="877" w:type="pct"/>
            <w:gridSpan w:val="2"/>
            <w:textDirection w:val="btLr"/>
          </w:tcPr>
          <w:p w14:paraId="3D30057A" w14:textId="77777777" w:rsidR="00DC1B57" w:rsidRPr="003040CD" w:rsidRDefault="00DC1B57" w:rsidP="003040CD">
            <w:pPr>
              <w:pStyle w:val="TableTextColumnHeading"/>
            </w:pPr>
            <w:proofErr w:type="spellStart"/>
            <w:r w:rsidRPr="003040CD">
              <w:t>QaI</w:t>
            </w:r>
            <w:proofErr w:type="spellEnd"/>
            <w:r w:rsidRPr="003040CD">
              <w:t xml:space="preserve"> year</w:t>
            </w:r>
          </w:p>
        </w:tc>
        <w:tc>
          <w:tcPr>
            <w:tcW w:w="389" w:type="pct"/>
            <w:textDirection w:val="btLr"/>
          </w:tcPr>
          <w:p w14:paraId="764EF8DA" w14:textId="77777777" w:rsidR="00DC1B57" w:rsidRPr="003040CD" w:rsidRDefault="00DC1B57" w:rsidP="003040CD">
            <w:pPr>
              <w:pStyle w:val="TableTextColumnHeading"/>
            </w:pPr>
            <w:r w:rsidRPr="003040CD">
              <w:t>Relevance</w:t>
            </w:r>
          </w:p>
        </w:tc>
        <w:tc>
          <w:tcPr>
            <w:tcW w:w="345" w:type="pct"/>
            <w:textDirection w:val="btLr"/>
          </w:tcPr>
          <w:p w14:paraId="4EADB3BD" w14:textId="77777777" w:rsidR="00DC1B57" w:rsidRPr="003040CD" w:rsidRDefault="00DC1B57" w:rsidP="003040CD">
            <w:pPr>
              <w:pStyle w:val="TableTextColumnHeading"/>
            </w:pPr>
            <w:r w:rsidRPr="003040CD">
              <w:t>Effectiveness</w:t>
            </w:r>
          </w:p>
        </w:tc>
        <w:tc>
          <w:tcPr>
            <w:tcW w:w="345" w:type="pct"/>
            <w:textDirection w:val="btLr"/>
          </w:tcPr>
          <w:p w14:paraId="78D52CE7" w14:textId="77777777" w:rsidR="00DC1B57" w:rsidRPr="003040CD" w:rsidRDefault="00DC1B57" w:rsidP="003040CD">
            <w:pPr>
              <w:pStyle w:val="TableTextColumnHeading"/>
            </w:pPr>
            <w:r w:rsidRPr="003040CD">
              <w:t>Efficiency</w:t>
            </w:r>
          </w:p>
        </w:tc>
        <w:tc>
          <w:tcPr>
            <w:tcW w:w="364" w:type="pct"/>
            <w:textDirection w:val="btLr"/>
          </w:tcPr>
          <w:p w14:paraId="2528928E" w14:textId="254D8CF4" w:rsidR="00DC1B57" w:rsidRPr="003040CD" w:rsidRDefault="00DC1B57" w:rsidP="003040CD">
            <w:pPr>
              <w:pStyle w:val="TableTextColumnHeading"/>
            </w:pPr>
            <w:r w:rsidRPr="003040CD">
              <w:t xml:space="preserve">Monitoring and </w:t>
            </w:r>
            <w:r w:rsidR="00FC39AC" w:rsidRPr="003040CD">
              <w:t>e</w:t>
            </w:r>
            <w:r w:rsidRPr="003040CD">
              <w:t>valuation</w:t>
            </w:r>
          </w:p>
        </w:tc>
        <w:tc>
          <w:tcPr>
            <w:tcW w:w="318" w:type="pct"/>
            <w:textDirection w:val="btLr"/>
          </w:tcPr>
          <w:p w14:paraId="208B1626" w14:textId="77777777" w:rsidR="00DC1B57" w:rsidRPr="003040CD" w:rsidRDefault="00DC1B57" w:rsidP="003040CD">
            <w:pPr>
              <w:pStyle w:val="TableTextColumnHeading"/>
            </w:pPr>
            <w:r w:rsidRPr="003040CD">
              <w:t>Sustainability</w:t>
            </w:r>
          </w:p>
        </w:tc>
        <w:tc>
          <w:tcPr>
            <w:tcW w:w="345" w:type="pct"/>
            <w:textDirection w:val="btLr"/>
          </w:tcPr>
          <w:p w14:paraId="12DD6B00" w14:textId="77777777" w:rsidR="00DC1B57" w:rsidRPr="003040CD" w:rsidRDefault="00DC1B57" w:rsidP="003040CD">
            <w:pPr>
              <w:pStyle w:val="TableTextColumnHeading"/>
            </w:pPr>
            <w:r w:rsidRPr="003040CD">
              <w:t>Gender equality</w:t>
            </w:r>
          </w:p>
        </w:tc>
        <w:tc>
          <w:tcPr>
            <w:tcW w:w="343" w:type="pct"/>
            <w:textDirection w:val="btLr"/>
          </w:tcPr>
          <w:p w14:paraId="535EA582" w14:textId="669AD41A" w:rsidR="00DC1B57" w:rsidRPr="003040CD" w:rsidRDefault="00DC1B57" w:rsidP="003040CD">
            <w:pPr>
              <w:pStyle w:val="TableTextColumnHeading"/>
            </w:pPr>
            <w:r w:rsidRPr="003040CD">
              <w:t xml:space="preserve">Risk </w:t>
            </w:r>
            <w:r w:rsidR="00FC39AC" w:rsidRPr="003040CD">
              <w:t>m</w:t>
            </w:r>
            <w:r w:rsidRPr="003040CD">
              <w:t>anagement</w:t>
            </w:r>
          </w:p>
        </w:tc>
      </w:tr>
      <w:tr w:rsidR="00DC1B57" w:rsidRPr="009D53C4" w14:paraId="5143CFE9"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321CB0E4" w14:textId="77777777" w:rsidR="00DC1B57" w:rsidRPr="00FE4491" w:rsidRDefault="00DC1B57" w:rsidP="003040CD">
            <w:pPr>
              <w:pStyle w:val="TableTextEntries"/>
            </w:pPr>
            <w:r>
              <w:t>A</w:t>
            </w:r>
            <w:r w:rsidRPr="00610543">
              <w:t>ustralian Development Scholarships</w:t>
            </w:r>
          </w:p>
        </w:tc>
        <w:tc>
          <w:tcPr>
            <w:tcW w:w="521" w:type="pct"/>
            <w:vMerge w:val="restart"/>
          </w:tcPr>
          <w:p w14:paraId="11BAFB90" w14:textId="14D36B4F" w:rsidR="00DC1B57" w:rsidRPr="00FE4491" w:rsidRDefault="00FC22AA" w:rsidP="003040CD">
            <w:pPr>
              <w:pStyle w:val="TableTextEntries"/>
            </w:pPr>
            <w:r>
              <w:t>$9.3</w:t>
            </w:r>
            <w:r w:rsidR="006E277B">
              <w:t xml:space="preserve"> </w:t>
            </w:r>
            <w:r>
              <w:t>m 5 years</w:t>
            </w:r>
          </w:p>
        </w:tc>
        <w:tc>
          <w:tcPr>
            <w:tcW w:w="869" w:type="pct"/>
          </w:tcPr>
          <w:p w14:paraId="4D5189E5" w14:textId="77777777" w:rsidR="00DC1B57" w:rsidRPr="00FE4491" w:rsidRDefault="00DC1B57" w:rsidP="003040CD">
            <w:pPr>
              <w:pStyle w:val="TableTextEntries"/>
            </w:pPr>
            <w:r w:rsidRPr="00FE4491">
              <w:t>2012</w:t>
            </w:r>
          </w:p>
        </w:tc>
        <w:tc>
          <w:tcPr>
            <w:tcW w:w="397" w:type="pct"/>
            <w:gridSpan w:val="2"/>
            <w:shd w:val="clear" w:color="auto" w:fill="FFFF00"/>
            <w:noWrap/>
          </w:tcPr>
          <w:p w14:paraId="4C23F413" w14:textId="77777777" w:rsidR="00DC1B57" w:rsidRPr="00FE4491" w:rsidRDefault="00DC1B57" w:rsidP="003040CD">
            <w:pPr>
              <w:pStyle w:val="TableTextEntries"/>
              <w:jc w:val="center"/>
            </w:pPr>
            <w:r>
              <w:t>4</w:t>
            </w:r>
          </w:p>
        </w:tc>
        <w:tc>
          <w:tcPr>
            <w:tcW w:w="345" w:type="pct"/>
            <w:shd w:val="clear" w:color="auto" w:fill="92D050"/>
            <w:noWrap/>
          </w:tcPr>
          <w:p w14:paraId="1A576D99" w14:textId="77777777" w:rsidR="00DC1B57" w:rsidRPr="00FE4491" w:rsidRDefault="00DC1B57" w:rsidP="003040CD">
            <w:pPr>
              <w:pStyle w:val="TableTextEntries"/>
              <w:jc w:val="center"/>
            </w:pPr>
            <w:r>
              <w:t>5</w:t>
            </w:r>
          </w:p>
        </w:tc>
        <w:tc>
          <w:tcPr>
            <w:tcW w:w="345" w:type="pct"/>
            <w:shd w:val="clear" w:color="auto" w:fill="FFFF00"/>
            <w:noWrap/>
          </w:tcPr>
          <w:p w14:paraId="27144141" w14:textId="77777777" w:rsidR="00DC1B57" w:rsidRPr="00FE4491" w:rsidRDefault="00DC1B57" w:rsidP="003040CD">
            <w:pPr>
              <w:pStyle w:val="TableTextEntries"/>
              <w:jc w:val="center"/>
            </w:pPr>
            <w:r>
              <w:t>4</w:t>
            </w:r>
          </w:p>
        </w:tc>
        <w:tc>
          <w:tcPr>
            <w:tcW w:w="364" w:type="pct"/>
            <w:shd w:val="clear" w:color="auto" w:fill="FFFF00"/>
            <w:noWrap/>
          </w:tcPr>
          <w:p w14:paraId="4F1816B5" w14:textId="77777777" w:rsidR="00DC1B57" w:rsidRPr="00FE4491" w:rsidRDefault="00DC1B57" w:rsidP="003040CD">
            <w:pPr>
              <w:pStyle w:val="TableTextEntries"/>
              <w:jc w:val="center"/>
            </w:pPr>
            <w:r>
              <w:t>4</w:t>
            </w:r>
          </w:p>
        </w:tc>
        <w:tc>
          <w:tcPr>
            <w:tcW w:w="318" w:type="pct"/>
            <w:shd w:val="clear" w:color="auto" w:fill="FFFF00"/>
            <w:noWrap/>
          </w:tcPr>
          <w:p w14:paraId="6A2BEB27" w14:textId="77777777" w:rsidR="00DC1B57" w:rsidRPr="00FE4491" w:rsidRDefault="00DC1B57" w:rsidP="003040CD">
            <w:pPr>
              <w:pStyle w:val="TableTextEntries"/>
              <w:jc w:val="center"/>
            </w:pPr>
            <w:r>
              <w:t>4</w:t>
            </w:r>
          </w:p>
        </w:tc>
        <w:tc>
          <w:tcPr>
            <w:tcW w:w="345" w:type="pct"/>
            <w:shd w:val="clear" w:color="auto" w:fill="92D050"/>
            <w:noWrap/>
          </w:tcPr>
          <w:p w14:paraId="31E9295C" w14:textId="77777777" w:rsidR="00DC1B57" w:rsidRPr="00FE4491" w:rsidRDefault="00DC1B57" w:rsidP="003040CD">
            <w:pPr>
              <w:pStyle w:val="TableTextEntries"/>
              <w:jc w:val="center"/>
            </w:pPr>
            <w:r>
              <w:t>5</w:t>
            </w:r>
          </w:p>
        </w:tc>
        <w:tc>
          <w:tcPr>
            <w:tcW w:w="343" w:type="pct"/>
            <w:shd w:val="clear" w:color="auto" w:fill="92D050"/>
            <w:noWrap/>
          </w:tcPr>
          <w:p w14:paraId="58E4815E" w14:textId="0A649490" w:rsidR="00DC1B57" w:rsidRPr="00FE4491" w:rsidRDefault="00DC1B57" w:rsidP="003040CD">
            <w:pPr>
              <w:pStyle w:val="TableTextEntries"/>
              <w:jc w:val="center"/>
            </w:pPr>
            <w:r w:rsidRPr="00FE4491">
              <w:t>M</w:t>
            </w:r>
          </w:p>
        </w:tc>
      </w:tr>
      <w:tr w:rsidR="00DC1B57" w:rsidRPr="009D53C4" w14:paraId="05598E4B" w14:textId="77777777" w:rsidTr="003040CD">
        <w:trPr>
          <w:tblHeader w:val="0"/>
        </w:trPr>
        <w:tc>
          <w:tcPr>
            <w:tcW w:w="961" w:type="pct"/>
            <w:vMerge/>
          </w:tcPr>
          <w:p w14:paraId="318BF28A" w14:textId="77777777" w:rsidR="00DC1B57" w:rsidRPr="00FE4491" w:rsidRDefault="00DC1B57" w:rsidP="003040CD">
            <w:pPr>
              <w:pStyle w:val="TableTextEntries"/>
            </w:pPr>
          </w:p>
        </w:tc>
        <w:tc>
          <w:tcPr>
            <w:tcW w:w="521" w:type="pct"/>
            <w:vMerge/>
          </w:tcPr>
          <w:p w14:paraId="60E46A41" w14:textId="77777777" w:rsidR="00DC1B57" w:rsidRPr="00FE4491" w:rsidRDefault="00DC1B57" w:rsidP="003040CD">
            <w:pPr>
              <w:pStyle w:val="TableTextEntries"/>
            </w:pPr>
          </w:p>
        </w:tc>
        <w:tc>
          <w:tcPr>
            <w:tcW w:w="869" w:type="pct"/>
          </w:tcPr>
          <w:p w14:paraId="35CD1C73" w14:textId="77777777" w:rsidR="00DC1B57" w:rsidRPr="00FE4491" w:rsidRDefault="00DC1B57" w:rsidP="003040CD">
            <w:pPr>
              <w:pStyle w:val="TableTextEntries"/>
            </w:pPr>
            <w:r w:rsidRPr="00FE4491">
              <w:t>2011</w:t>
            </w:r>
          </w:p>
        </w:tc>
        <w:tc>
          <w:tcPr>
            <w:tcW w:w="397" w:type="pct"/>
            <w:gridSpan w:val="2"/>
            <w:shd w:val="clear" w:color="auto" w:fill="92D050"/>
            <w:noWrap/>
          </w:tcPr>
          <w:p w14:paraId="18C943A4" w14:textId="77777777" w:rsidR="00DC1B57" w:rsidRPr="00FE4491" w:rsidRDefault="00DC1B57" w:rsidP="003040CD">
            <w:pPr>
              <w:pStyle w:val="TableTextEntries"/>
              <w:jc w:val="center"/>
            </w:pPr>
            <w:r>
              <w:t>5</w:t>
            </w:r>
          </w:p>
        </w:tc>
        <w:tc>
          <w:tcPr>
            <w:tcW w:w="345" w:type="pct"/>
            <w:shd w:val="clear" w:color="auto" w:fill="FFFF00"/>
            <w:noWrap/>
          </w:tcPr>
          <w:p w14:paraId="7C34B893" w14:textId="77777777" w:rsidR="00DC1B57" w:rsidRPr="00FE4491" w:rsidRDefault="00DC1B57" w:rsidP="003040CD">
            <w:pPr>
              <w:pStyle w:val="TableTextEntries"/>
              <w:jc w:val="center"/>
            </w:pPr>
            <w:r>
              <w:t>4</w:t>
            </w:r>
          </w:p>
        </w:tc>
        <w:tc>
          <w:tcPr>
            <w:tcW w:w="345" w:type="pct"/>
            <w:shd w:val="clear" w:color="auto" w:fill="92D050"/>
            <w:noWrap/>
          </w:tcPr>
          <w:p w14:paraId="0D99E2FB" w14:textId="77777777" w:rsidR="00DC1B57" w:rsidRPr="00FE4491" w:rsidRDefault="00DC1B57" w:rsidP="003040CD">
            <w:pPr>
              <w:pStyle w:val="TableTextEntries"/>
              <w:jc w:val="center"/>
            </w:pPr>
            <w:r>
              <w:t>5</w:t>
            </w:r>
          </w:p>
        </w:tc>
        <w:tc>
          <w:tcPr>
            <w:tcW w:w="364" w:type="pct"/>
            <w:shd w:val="clear" w:color="auto" w:fill="F79646" w:themeFill="accent6"/>
            <w:noWrap/>
          </w:tcPr>
          <w:p w14:paraId="63A56929" w14:textId="77777777" w:rsidR="00DC1B57" w:rsidRPr="00FE4491" w:rsidRDefault="00DC1B57" w:rsidP="003040CD">
            <w:pPr>
              <w:pStyle w:val="TableTextEntries"/>
              <w:jc w:val="center"/>
            </w:pPr>
            <w:r>
              <w:t>3</w:t>
            </w:r>
          </w:p>
        </w:tc>
        <w:tc>
          <w:tcPr>
            <w:tcW w:w="318" w:type="pct"/>
            <w:shd w:val="clear" w:color="auto" w:fill="FFFF00"/>
            <w:noWrap/>
          </w:tcPr>
          <w:p w14:paraId="5BC029A7" w14:textId="77777777" w:rsidR="00DC1B57" w:rsidRPr="00FE4491" w:rsidRDefault="00DC1B57" w:rsidP="003040CD">
            <w:pPr>
              <w:pStyle w:val="TableTextEntries"/>
              <w:jc w:val="center"/>
            </w:pPr>
            <w:r>
              <w:t>4</w:t>
            </w:r>
          </w:p>
        </w:tc>
        <w:tc>
          <w:tcPr>
            <w:tcW w:w="345" w:type="pct"/>
            <w:shd w:val="clear" w:color="auto" w:fill="F79646" w:themeFill="accent6"/>
            <w:noWrap/>
          </w:tcPr>
          <w:p w14:paraId="760ACAC0" w14:textId="77777777" w:rsidR="00DC1B57" w:rsidRPr="00FE4491" w:rsidRDefault="00DC1B57" w:rsidP="003040CD">
            <w:pPr>
              <w:pStyle w:val="TableTextEntries"/>
              <w:jc w:val="center"/>
            </w:pPr>
            <w:r>
              <w:t>3</w:t>
            </w:r>
          </w:p>
        </w:tc>
        <w:tc>
          <w:tcPr>
            <w:tcW w:w="343" w:type="pct"/>
            <w:shd w:val="clear" w:color="auto" w:fill="F79646" w:themeFill="accent6"/>
            <w:noWrap/>
          </w:tcPr>
          <w:p w14:paraId="171114D9" w14:textId="75C71423" w:rsidR="00DC1B57" w:rsidRPr="00FE4491" w:rsidRDefault="00DC1B57" w:rsidP="003040CD">
            <w:pPr>
              <w:pStyle w:val="TableTextEntries"/>
              <w:jc w:val="center"/>
            </w:pPr>
            <w:r w:rsidRPr="00FE4491">
              <w:t>I</w:t>
            </w:r>
          </w:p>
        </w:tc>
      </w:tr>
      <w:tr w:rsidR="00DC1B57" w:rsidRPr="009D53C4" w14:paraId="203AD4C1"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vAlign w:val="center"/>
          </w:tcPr>
          <w:p w14:paraId="57B49555" w14:textId="77777777" w:rsidR="00DC1B57" w:rsidRPr="00FE4491" w:rsidRDefault="00DC1B57" w:rsidP="003040CD">
            <w:pPr>
              <w:pStyle w:val="TableTextEntries"/>
            </w:pPr>
            <w:r w:rsidRPr="00610543">
              <w:t>Chars Livelihood Programme</w:t>
            </w:r>
          </w:p>
        </w:tc>
        <w:tc>
          <w:tcPr>
            <w:tcW w:w="521" w:type="pct"/>
            <w:vMerge w:val="restart"/>
          </w:tcPr>
          <w:p w14:paraId="45D1BFA9" w14:textId="186F59EB" w:rsidR="00DC1B57" w:rsidRDefault="00DC1B57" w:rsidP="003040CD">
            <w:pPr>
              <w:pStyle w:val="TableTextEntries"/>
            </w:pPr>
            <w:r>
              <w:t>$15</w:t>
            </w:r>
            <w:r w:rsidR="00F54E7F">
              <w:t>.</w:t>
            </w:r>
            <w:r>
              <w:t>7</w:t>
            </w:r>
            <w:r w:rsidR="006E277B">
              <w:t xml:space="preserve"> </w:t>
            </w:r>
            <w:r w:rsidR="00FC39AC">
              <w:t>m</w:t>
            </w:r>
          </w:p>
          <w:p w14:paraId="1AB291CF" w14:textId="1A666CA3" w:rsidR="00DC1B57" w:rsidRPr="00FE4491" w:rsidRDefault="00DC1B57" w:rsidP="003040CD">
            <w:pPr>
              <w:pStyle w:val="TableTextEntries"/>
            </w:pPr>
            <w:r>
              <w:t xml:space="preserve">7 </w:t>
            </w:r>
            <w:r w:rsidR="00FC39AC">
              <w:t>y</w:t>
            </w:r>
            <w:r>
              <w:t>ears</w:t>
            </w:r>
          </w:p>
        </w:tc>
        <w:tc>
          <w:tcPr>
            <w:tcW w:w="869" w:type="pct"/>
          </w:tcPr>
          <w:p w14:paraId="4F907CC1" w14:textId="77777777" w:rsidR="00DC1B57" w:rsidRPr="00FE4491" w:rsidRDefault="00DC1B57" w:rsidP="003040CD">
            <w:pPr>
              <w:pStyle w:val="TableTextEntries"/>
            </w:pPr>
            <w:r w:rsidRPr="00FE4491">
              <w:t>2012</w:t>
            </w:r>
          </w:p>
        </w:tc>
        <w:tc>
          <w:tcPr>
            <w:tcW w:w="397" w:type="pct"/>
            <w:gridSpan w:val="2"/>
            <w:shd w:val="clear" w:color="auto" w:fill="92D050"/>
            <w:noWrap/>
          </w:tcPr>
          <w:p w14:paraId="750EC7AF" w14:textId="77777777" w:rsidR="00DC1B57" w:rsidRPr="00FE4491" w:rsidRDefault="00DC1B57" w:rsidP="003040CD">
            <w:pPr>
              <w:pStyle w:val="TableTextEntries"/>
              <w:jc w:val="center"/>
            </w:pPr>
            <w:r>
              <w:t>6</w:t>
            </w:r>
          </w:p>
        </w:tc>
        <w:tc>
          <w:tcPr>
            <w:tcW w:w="345" w:type="pct"/>
            <w:shd w:val="clear" w:color="auto" w:fill="92D050"/>
            <w:noWrap/>
          </w:tcPr>
          <w:p w14:paraId="530F8107" w14:textId="77777777" w:rsidR="00DC1B57" w:rsidRPr="00FE4491" w:rsidRDefault="00DC1B57" w:rsidP="003040CD">
            <w:pPr>
              <w:pStyle w:val="TableTextEntries"/>
              <w:jc w:val="center"/>
            </w:pPr>
            <w:r>
              <w:t>5</w:t>
            </w:r>
          </w:p>
        </w:tc>
        <w:tc>
          <w:tcPr>
            <w:tcW w:w="345" w:type="pct"/>
            <w:shd w:val="clear" w:color="auto" w:fill="92D050"/>
            <w:noWrap/>
          </w:tcPr>
          <w:p w14:paraId="14D5DE82" w14:textId="77777777" w:rsidR="00DC1B57" w:rsidRPr="00FE4491" w:rsidRDefault="00DC1B57" w:rsidP="003040CD">
            <w:pPr>
              <w:pStyle w:val="TableTextEntries"/>
              <w:jc w:val="center"/>
            </w:pPr>
            <w:r>
              <w:t>5</w:t>
            </w:r>
          </w:p>
        </w:tc>
        <w:tc>
          <w:tcPr>
            <w:tcW w:w="364" w:type="pct"/>
            <w:shd w:val="clear" w:color="auto" w:fill="92D050"/>
            <w:noWrap/>
          </w:tcPr>
          <w:p w14:paraId="6BC5E975" w14:textId="77777777" w:rsidR="00DC1B57" w:rsidRPr="00FE4491" w:rsidRDefault="00DC1B57" w:rsidP="003040CD">
            <w:pPr>
              <w:pStyle w:val="TableTextEntries"/>
              <w:jc w:val="center"/>
            </w:pPr>
            <w:r>
              <w:t>5</w:t>
            </w:r>
          </w:p>
        </w:tc>
        <w:tc>
          <w:tcPr>
            <w:tcW w:w="318" w:type="pct"/>
            <w:shd w:val="clear" w:color="auto" w:fill="FFFF00"/>
            <w:noWrap/>
          </w:tcPr>
          <w:p w14:paraId="229A0B3E" w14:textId="77777777" w:rsidR="00DC1B57" w:rsidRPr="00FE4491" w:rsidRDefault="00DC1B57" w:rsidP="003040CD">
            <w:pPr>
              <w:pStyle w:val="TableTextEntries"/>
              <w:jc w:val="center"/>
            </w:pPr>
            <w:r>
              <w:t>4</w:t>
            </w:r>
          </w:p>
        </w:tc>
        <w:tc>
          <w:tcPr>
            <w:tcW w:w="345" w:type="pct"/>
            <w:shd w:val="clear" w:color="auto" w:fill="92D050"/>
            <w:noWrap/>
          </w:tcPr>
          <w:p w14:paraId="0AAE05FF" w14:textId="77777777" w:rsidR="00DC1B57" w:rsidRPr="00FE4491" w:rsidRDefault="00DC1B57" w:rsidP="003040CD">
            <w:pPr>
              <w:pStyle w:val="TableTextEntries"/>
              <w:jc w:val="center"/>
            </w:pPr>
            <w:r>
              <w:t>5</w:t>
            </w:r>
          </w:p>
        </w:tc>
        <w:tc>
          <w:tcPr>
            <w:tcW w:w="343" w:type="pct"/>
            <w:shd w:val="clear" w:color="auto" w:fill="92D050"/>
            <w:noWrap/>
          </w:tcPr>
          <w:p w14:paraId="5128AB27" w14:textId="77777777" w:rsidR="00DC1B57" w:rsidRPr="00FE4491" w:rsidRDefault="00DC1B57" w:rsidP="003040CD">
            <w:pPr>
              <w:pStyle w:val="TableTextEntries"/>
              <w:jc w:val="center"/>
            </w:pPr>
            <w:r>
              <w:t>M</w:t>
            </w:r>
          </w:p>
        </w:tc>
      </w:tr>
      <w:tr w:rsidR="00DC1B57" w:rsidRPr="009D53C4" w14:paraId="162D3C29" w14:textId="77777777" w:rsidTr="003040CD">
        <w:trPr>
          <w:tblHeader w:val="0"/>
        </w:trPr>
        <w:tc>
          <w:tcPr>
            <w:tcW w:w="961" w:type="pct"/>
            <w:vMerge/>
          </w:tcPr>
          <w:p w14:paraId="0C00C4F0" w14:textId="77777777" w:rsidR="00DC1B57" w:rsidRPr="00FE4491" w:rsidRDefault="00DC1B57" w:rsidP="003040CD">
            <w:pPr>
              <w:pStyle w:val="TableTextEntries"/>
            </w:pPr>
          </w:p>
        </w:tc>
        <w:tc>
          <w:tcPr>
            <w:tcW w:w="521" w:type="pct"/>
            <w:vMerge/>
          </w:tcPr>
          <w:p w14:paraId="148FCFFB" w14:textId="77777777" w:rsidR="00DC1B57" w:rsidRPr="00FE4491" w:rsidRDefault="00DC1B57" w:rsidP="003040CD">
            <w:pPr>
              <w:pStyle w:val="TableTextEntries"/>
            </w:pPr>
          </w:p>
        </w:tc>
        <w:tc>
          <w:tcPr>
            <w:tcW w:w="869" w:type="pct"/>
          </w:tcPr>
          <w:p w14:paraId="6C2A8AC6" w14:textId="77777777" w:rsidR="00DC1B57" w:rsidRPr="00FE4491" w:rsidRDefault="00DC1B57" w:rsidP="003040CD">
            <w:pPr>
              <w:pStyle w:val="TableTextEntries"/>
            </w:pPr>
            <w:r w:rsidRPr="00FE4491">
              <w:t>2011</w:t>
            </w:r>
          </w:p>
        </w:tc>
        <w:tc>
          <w:tcPr>
            <w:tcW w:w="397" w:type="pct"/>
            <w:gridSpan w:val="2"/>
            <w:shd w:val="clear" w:color="auto" w:fill="92D050"/>
            <w:noWrap/>
          </w:tcPr>
          <w:p w14:paraId="371ACFC8" w14:textId="77777777" w:rsidR="00DC1B57" w:rsidRPr="00FE4491" w:rsidRDefault="00DC1B57" w:rsidP="003040CD">
            <w:pPr>
              <w:pStyle w:val="TableTextEntries"/>
              <w:jc w:val="center"/>
            </w:pPr>
            <w:r>
              <w:t>6</w:t>
            </w:r>
          </w:p>
        </w:tc>
        <w:tc>
          <w:tcPr>
            <w:tcW w:w="345" w:type="pct"/>
            <w:shd w:val="clear" w:color="auto" w:fill="92D050"/>
            <w:noWrap/>
          </w:tcPr>
          <w:p w14:paraId="1AA1FD41" w14:textId="77777777" w:rsidR="00DC1B57" w:rsidRPr="00FE4491" w:rsidRDefault="00DC1B57" w:rsidP="003040CD">
            <w:pPr>
              <w:pStyle w:val="TableTextEntries"/>
              <w:jc w:val="center"/>
            </w:pPr>
            <w:r>
              <w:t>5</w:t>
            </w:r>
          </w:p>
        </w:tc>
        <w:tc>
          <w:tcPr>
            <w:tcW w:w="345" w:type="pct"/>
            <w:shd w:val="clear" w:color="auto" w:fill="92D050"/>
            <w:noWrap/>
          </w:tcPr>
          <w:p w14:paraId="537D7909" w14:textId="77777777" w:rsidR="00DC1B57" w:rsidRPr="00FE4491" w:rsidRDefault="00DC1B57" w:rsidP="003040CD">
            <w:pPr>
              <w:pStyle w:val="TableTextEntries"/>
              <w:jc w:val="center"/>
            </w:pPr>
            <w:r>
              <w:t>5</w:t>
            </w:r>
          </w:p>
        </w:tc>
        <w:tc>
          <w:tcPr>
            <w:tcW w:w="364" w:type="pct"/>
            <w:shd w:val="clear" w:color="auto" w:fill="92D050"/>
            <w:noWrap/>
          </w:tcPr>
          <w:p w14:paraId="0F99209E" w14:textId="77777777" w:rsidR="00DC1B57" w:rsidRPr="00FE4491" w:rsidRDefault="00DC1B57" w:rsidP="003040CD">
            <w:pPr>
              <w:pStyle w:val="TableTextEntries"/>
              <w:jc w:val="center"/>
            </w:pPr>
            <w:r>
              <w:t>5</w:t>
            </w:r>
          </w:p>
        </w:tc>
        <w:tc>
          <w:tcPr>
            <w:tcW w:w="318" w:type="pct"/>
            <w:shd w:val="clear" w:color="auto" w:fill="FFFF00"/>
            <w:noWrap/>
          </w:tcPr>
          <w:p w14:paraId="008518C8" w14:textId="77777777" w:rsidR="00DC1B57" w:rsidRPr="00FE4491" w:rsidRDefault="00DC1B57" w:rsidP="003040CD">
            <w:pPr>
              <w:pStyle w:val="TableTextEntries"/>
              <w:jc w:val="center"/>
            </w:pPr>
            <w:r>
              <w:t>4</w:t>
            </w:r>
          </w:p>
        </w:tc>
        <w:tc>
          <w:tcPr>
            <w:tcW w:w="345" w:type="pct"/>
            <w:shd w:val="clear" w:color="auto" w:fill="FFFF00"/>
            <w:noWrap/>
          </w:tcPr>
          <w:p w14:paraId="0D1459CC" w14:textId="77777777" w:rsidR="00DC1B57" w:rsidRPr="00FE4491" w:rsidRDefault="00DC1B57" w:rsidP="003040CD">
            <w:pPr>
              <w:pStyle w:val="TableTextEntries"/>
              <w:jc w:val="center"/>
            </w:pPr>
            <w:r>
              <w:t>4</w:t>
            </w:r>
          </w:p>
        </w:tc>
        <w:tc>
          <w:tcPr>
            <w:tcW w:w="343" w:type="pct"/>
            <w:shd w:val="clear" w:color="auto" w:fill="92D050"/>
            <w:noWrap/>
          </w:tcPr>
          <w:p w14:paraId="60C58FDF" w14:textId="77777777" w:rsidR="00DC1B57" w:rsidRPr="00FE4491" w:rsidRDefault="00DC1B57" w:rsidP="003040CD">
            <w:pPr>
              <w:pStyle w:val="TableTextEntries"/>
              <w:jc w:val="center"/>
            </w:pPr>
            <w:r>
              <w:t>M</w:t>
            </w:r>
          </w:p>
        </w:tc>
      </w:tr>
      <w:tr w:rsidR="00DC1B57" w:rsidRPr="009D53C4" w14:paraId="584A900F"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6069C077" w14:textId="6B6166D6" w:rsidR="00DC1B57" w:rsidRPr="00FE4491" w:rsidRDefault="00DC1B57" w:rsidP="003040CD">
            <w:pPr>
              <w:pStyle w:val="TableTextEntries"/>
            </w:pPr>
            <w:r w:rsidRPr="00610543">
              <w:t xml:space="preserve">Hygiene, Sanitation and Water </w:t>
            </w:r>
            <w:r w:rsidR="00287E9C">
              <w:t>project</w:t>
            </w:r>
          </w:p>
        </w:tc>
        <w:tc>
          <w:tcPr>
            <w:tcW w:w="521" w:type="pct"/>
            <w:vMerge w:val="restart"/>
          </w:tcPr>
          <w:p w14:paraId="540991AF" w14:textId="0C6D38DF" w:rsidR="00DC1B57" w:rsidRDefault="00DC1B57" w:rsidP="003040CD">
            <w:pPr>
              <w:pStyle w:val="TableTextEntries"/>
            </w:pPr>
            <w:r>
              <w:t>$10</w:t>
            </w:r>
            <w:r w:rsidR="00F54E7F">
              <w:t>.</w:t>
            </w:r>
            <w:r>
              <w:t>7</w:t>
            </w:r>
            <w:r w:rsidR="006E277B">
              <w:t xml:space="preserve"> </w:t>
            </w:r>
            <w:r>
              <w:t>m</w:t>
            </w:r>
          </w:p>
          <w:p w14:paraId="0E26DB77" w14:textId="696D82BC" w:rsidR="00DC1B57" w:rsidRPr="00FE4491" w:rsidRDefault="00DC1B57" w:rsidP="003040CD">
            <w:pPr>
              <w:pStyle w:val="TableTextEntries"/>
            </w:pPr>
            <w:r>
              <w:t xml:space="preserve">4 </w:t>
            </w:r>
            <w:r w:rsidR="00FC39AC">
              <w:t>y</w:t>
            </w:r>
            <w:r>
              <w:t>ears</w:t>
            </w:r>
          </w:p>
        </w:tc>
        <w:tc>
          <w:tcPr>
            <w:tcW w:w="869" w:type="pct"/>
          </w:tcPr>
          <w:p w14:paraId="03BE257F" w14:textId="77777777" w:rsidR="00DC1B57" w:rsidRPr="00FE4491" w:rsidRDefault="00DC1B57" w:rsidP="003040CD">
            <w:pPr>
              <w:pStyle w:val="TableTextEntries"/>
            </w:pPr>
            <w:r w:rsidRPr="00FE4491">
              <w:t>2012</w:t>
            </w:r>
          </w:p>
        </w:tc>
        <w:tc>
          <w:tcPr>
            <w:tcW w:w="397" w:type="pct"/>
            <w:gridSpan w:val="2"/>
            <w:shd w:val="clear" w:color="auto" w:fill="92D050"/>
            <w:noWrap/>
          </w:tcPr>
          <w:p w14:paraId="30B134A2" w14:textId="77777777" w:rsidR="00DC1B57" w:rsidRPr="00FE4491" w:rsidRDefault="00DC1B57" w:rsidP="003040CD">
            <w:pPr>
              <w:pStyle w:val="TableTextEntries"/>
              <w:jc w:val="center"/>
            </w:pPr>
            <w:r>
              <w:t>5</w:t>
            </w:r>
          </w:p>
        </w:tc>
        <w:tc>
          <w:tcPr>
            <w:tcW w:w="345" w:type="pct"/>
            <w:shd w:val="clear" w:color="auto" w:fill="92D050"/>
            <w:noWrap/>
          </w:tcPr>
          <w:p w14:paraId="193CE6DF" w14:textId="77777777" w:rsidR="00DC1B57" w:rsidRPr="00FE4491" w:rsidRDefault="00DC1B57" w:rsidP="003040CD">
            <w:pPr>
              <w:pStyle w:val="TableTextEntries"/>
              <w:jc w:val="center"/>
            </w:pPr>
            <w:r>
              <w:t>5</w:t>
            </w:r>
          </w:p>
        </w:tc>
        <w:tc>
          <w:tcPr>
            <w:tcW w:w="345" w:type="pct"/>
            <w:shd w:val="clear" w:color="auto" w:fill="92D050"/>
            <w:noWrap/>
          </w:tcPr>
          <w:p w14:paraId="5071BF72" w14:textId="77777777" w:rsidR="00DC1B57" w:rsidRPr="00FE4491" w:rsidRDefault="00DC1B57" w:rsidP="003040CD">
            <w:pPr>
              <w:pStyle w:val="TableTextEntries"/>
              <w:jc w:val="center"/>
            </w:pPr>
            <w:r>
              <w:t>5</w:t>
            </w:r>
          </w:p>
        </w:tc>
        <w:tc>
          <w:tcPr>
            <w:tcW w:w="364" w:type="pct"/>
            <w:shd w:val="clear" w:color="auto" w:fill="FFFF00"/>
            <w:noWrap/>
          </w:tcPr>
          <w:p w14:paraId="36CA485D" w14:textId="77777777" w:rsidR="00DC1B57" w:rsidRPr="00FE4491" w:rsidRDefault="00DC1B57" w:rsidP="003040CD">
            <w:pPr>
              <w:pStyle w:val="TableTextEntries"/>
              <w:jc w:val="center"/>
            </w:pPr>
            <w:r>
              <w:t>4</w:t>
            </w:r>
          </w:p>
        </w:tc>
        <w:tc>
          <w:tcPr>
            <w:tcW w:w="318" w:type="pct"/>
            <w:shd w:val="clear" w:color="auto" w:fill="FFFF00"/>
            <w:noWrap/>
          </w:tcPr>
          <w:p w14:paraId="0946EA5C" w14:textId="77777777" w:rsidR="00DC1B57" w:rsidRPr="00FE4491" w:rsidRDefault="00DC1B57" w:rsidP="003040CD">
            <w:pPr>
              <w:pStyle w:val="TableTextEntries"/>
              <w:jc w:val="center"/>
            </w:pPr>
            <w:r>
              <w:t>4</w:t>
            </w:r>
          </w:p>
        </w:tc>
        <w:tc>
          <w:tcPr>
            <w:tcW w:w="345" w:type="pct"/>
            <w:shd w:val="clear" w:color="auto" w:fill="92D050"/>
            <w:noWrap/>
          </w:tcPr>
          <w:p w14:paraId="00998558" w14:textId="77777777" w:rsidR="00DC1B57" w:rsidRPr="00FE4491" w:rsidRDefault="00DC1B57" w:rsidP="003040CD">
            <w:pPr>
              <w:pStyle w:val="TableTextEntries"/>
              <w:jc w:val="center"/>
            </w:pPr>
            <w:r>
              <w:t>5</w:t>
            </w:r>
          </w:p>
        </w:tc>
        <w:tc>
          <w:tcPr>
            <w:tcW w:w="343" w:type="pct"/>
            <w:shd w:val="clear" w:color="auto" w:fill="F79646" w:themeFill="accent6"/>
            <w:noWrap/>
          </w:tcPr>
          <w:p w14:paraId="1C9D441B" w14:textId="62005D1E" w:rsidR="00DC1B57" w:rsidRPr="00FE4491" w:rsidRDefault="00034CFD" w:rsidP="003040CD">
            <w:pPr>
              <w:pStyle w:val="TableTextEntries"/>
              <w:jc w:val="center"/>
            </w:pPr>
            <w:r>
              <w:t>I</w:t>
            </w:r>
          </w:p>
        </w:tc>
      </w:tr>
      <w:tr w:rsidR="00DC1B57" w:rsidRPr="009D53C4" w14:paraId="2DBFCE3B" w14:textId="77777777" w:rsidTr="003040CD">
        <w:trPr>
          <w:tblHeader w:val="0"/>
        </w:trPr>
        <w:tc>
          <w:tcPr>
            <w:tcW w:w="961" w:type="pct"/>
            <w:vMerge/>
          </w:tcPr>
          <w:p w14:paraId="3F856308" w14:textId="77777777" w:rsidR="00DC1B57" w:rsidRPr="00FE4491" w:rsidRDefault="00DC1B57" w:rsidP="003040CD">
            <w:pPr>
              <w:pStyle w:val="TableTextEntries"/>
            </w:pPr>
          </w:p>
        </w:tc>
        <w:tc>
          <w:tcPr>
            <w:tcW w:w="521" w:type="pct"/>
            <w:vMerge/>
          </w:tcPr>
          <w:p w14:paraId="7B350850" w14:textId="77777777" w:rsidR="00DC1B57" w:rsidRPr="00FE4491" w:rsidRDefault="00DC1B57" w:rsidP="003040CD">
            <w:pPr>
              <w:pStyle w:val="TableTextEntries"/>
            </w:pPr>
          </w:p>
        </w:tc>
        <w:tc>
          <w:tcPr>
            <w:tcW w:w="869" w:type="pct"/>
          </w:tcPr>
          <w:p w14:paraId="3C8CE02C" w14:textId="77777777" w:rsidR="00DC1B57" w:rsidRPr="00FE4491" w:rsidRDefault="00DC1B57" w:rsidP="003040CD">
            <w:pPr>
              <w:pStyle w:val="TableTextEntries"/>
            </w:pPr>
            <w:r w:rsidRPr="00FE4491">
              <w:t>2011</w:t>
            </w:r>
          </w:p>
        </w:tc>
        <w:tc>
          <w:tcPr>
            <w:tcW w:w="397" w:type="pct"/>
            <w:gridSpan w:val="2"/>
            <w:shd w:val="clear" w:color="auto" w:fill="92D050"/>
            <w:noWrap/>
          </w:tcPr>
          <w:p w14:paraId="0380BC40" w14:textId="77777777" w:rsidR="00DC1B57" w:rsidRPr="00FE4491" w:rsidRDefault="00DC1B57" w:rsidP="003040CD">
            <w:pPr>
              <w:pStyle w:val="TableTextEntries"/>
              <w:jc w:val="center"/>
            </w:pPr>
            <w:r>
              <w:t>6</w:t>
            </w:r>
          </w:p>
        </w:tc>
        <w:tc>
          <w:tcPr>
            <w:tcW w:w="345" w:type="pct"/>
            <w:shd w:val="clear" w:color="auto" w:fill="92D050"/>
            <w:noWrap/>
          </w:tcPr>
          <w:p w14:paraId="7CC28291" w14:textId="77777777" w:rsidR="00DC1B57" w:rsidRPr="00FE4491" w:rsidRDefault="00DC1B57" w:rsidP="003040CD">
            <w:pPr>
              <w:pStyle w:val="TableTextEntries"/>
              <w:jc w:val="center"/>
            </w:pPr>
            <w:r>
              <w:t>5</w:t>
            </w:r>
          </w:p>
        </w:tc>
        <w:tc>
          <w:tcPr>
            <w:tcW w:w="345" w:type="pct"/>
            <w:shd w:val="clear" w:color="auto" w:fill="92D050"/>
            <w:noWrap/>
          </w:tcPr>
          <w:p w14:paraId="4D17F208" w14:textId="77777777" w:rsidR="00DC1B57" w:rsidRPr="00FE4491" w:rsidRDefault="00DC1B57" w:rsidP="003040CD">
            <w:pPr>
              <w:pStyle w:val="TableTextEntries"/>
              <w:jc w:val="center"/>
            </w:pPr>
            <w:r>
              <w:t>5</w:t>
            </w:r>
          </w:p>
        </w:tc>
        <w:tc>
          <w:tcPr>
            <w:tcW w:w="364" w:type="pct"/>
            <w:shd w:val="clear" w:color="auto" w:fill="FFFF00"/>
            <w:noWrap/>
          </w:tcPr>
          <w:p w14:paraId="2AACF267" w14:textId="77777777" w:rsidR="00DC1B57" w:rsidRPr="00FE4491" w:rsidRDefault="00DC1B57" w:rsidP="003040CD">
            <w:pPr>
              <w:pStyle w:val="TableTextEntries"/>
              <w:jc w:val="center"/>
            </w:pPr>
            <w:r>
              <w:t>4</w:t>
            </w:r>
          </w:p>
        </w:tc>
        <w:tc>
          <w:tcPr>
            <w:tcW w:w="318" w:type="pct"/>
            <w:shd w:val="clear" w:color="auto" w:fill="92D050"/>
            <w:noWrap/>
          </w:tcPr>
          <w:p w14:paraId="47DC168F" w14:textId="77777777" w:rsidR="00DC1B57" w:rsidRPr="00FE4491" w:rsidRDefault="00DC1B57" w:rsidP="003040CD">
            <w:pPr>
              <w:pStyle w:val="TableTextEntries"/>
              <w:jc w:val="center"/>
            </w:pPr>
            <w:r>
              <w:t>5</w:t>
            </w:r>
          </w:p>
        </w:tc>
        <w:tc>
          <w:tcPr>
            <w:tcW w:w="345" w:type="pct"/>
            <w:shd w:val="clear" w:color="auto" w:fill="92D050"/>
            <w:noWrap/>
          </w:tcPr>
          <w:p w14:paraId="615A4E2E" w14:textId="77777777" w:rsidR="00DC1B57" w:rsidRPr="00FE4491" w:rsidRDefault="00DC1B57" w:rsidP="003040CD">
            <w:pPr>
              <w:pStyle w:val="TableTextEntries"/>
              <w:jc w:val="center"/>
            </w:pPr>
            <w:r>
              <w:t>5</w:t>
            </w:r>
          </w:p>
        </w:tc>
        <w:tc>
          <w:tcPr>
            <w:tcW w:w="343" w:type="pct"/>
            <w:shd w:val="clear" w:color="auto" w:fill="F79646" w:themeFill="accent6"/>
            <w:noWrap/>
          </w:tcPr>
          <w:p w14:paraId="60761992" w14:textId="1E107A7B" w:rsidR="00DC1B57" w:rsidRPr="00FE4491" w:rsidRDefault="00034CFD" w:rsidP="003040CD">
            <w:pPr>
              <w:pStyle w:val="TableTextEntries"/>
              <w:jc w:val="center"/>
            </w:pPr>
            <w:r>
              <w:t>I</w:t>
            </w:r>
          </w:p>
        </w:tc>
      </w:tr>
      <w:tr w:rsidR="00DC1B57" w:rsidRPr="009D53C4" w14:paraId="110B04E5"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32577F42" w14:textId="018DD753" w:rsidR="00DC1B57" w:rsidRPr="00FE4491" w:rsidRDefault="00FC22AA" w:rsidP="003040CD">
            <w:pPr>
              <w:pStyle w:val="TableTextEntries"/>
            </w:pPr>
            <w:r>
              <w:t>Climate Change</w:t>
            </w:r>
          </w:p>
        </w:tc>
        <w:tc>
          <w:tcPr>
            <w:tcW w:w="521" w:type="pct"/>
            <w:vMerge w:val="restart"/>
          </w:tcPr>
          <w:p w14:paraId="61B9C7F0" w14:textId="3BEE7514" w:rsidR="00DC1B57" w:rsidRPr="00FE4491" w:rsidRDefault="00DC1B57" w:rsidP="003040CD">
            <w:pPr>
              <w:pStyle w:val="TableTextEntries"/>
            </w:pPr>
            <w:r>
              <w:t>$15</w:t>
            </w:r>
            <w:r w:rsidR="006E277B">
              <w:t xml:space="preserve"> </w:t>
            </w:r>
            <w:r>
              <w:t xml:space="preserve">m     7 </w:t>
            </w:r>
            <w:r w:rsidR="00FC39AC">
              <w:t>y</w:t>
            </w:r>
            <w:r>
              <w:t>ears</w:t>
            </w:r>
          </w:p>
        </w:tc>
        <w:tc>
          <w:tcPr>
            <w:tcW w:w="869" w:type="pct"/>
          </w:tcPr>
          <w:p w14:paraId="2F382E89" w14:textId="77777777" w:rsidR="00DC1B57" w:rsidRPr="00FE4491" w:rsidRDefault="00DC1B57" w:rsidP="003040CD">
            <w:pPr>
              <w:pStyle w:val="TableTextEntries"/>
            </w:pPr>
            <w:r>
              <w:t>2012</w:t>
            </w:r>
          </w:p>
        </w:tc>
        <w:tc>
          <w:tcPr>
            <w:tcW w:w="397" w:type="pct"/>
            <w:gridSpan w:val="2"/>
            <w:shd w:val="clear" w:color="auto" w:fill="92D050"/>
            <w:noWrap/>
          </w:tcPr>
          <w:p w14:paraId="195E0A46" w14:textId="77777777" w:rsidR="00DC1B57" w:rsidRPr="00FE4491" w:rsidRDefault="00DC1B57" w:rsidP="003040CD">
            <w:pPr>
              <w:pStyle w:val="TableTextEntries"/>
              <w:jc w:val="center"/>
            </w:pPr>
            <w:r>
              <w:t>5</w:t>
            </w:r>
          </w:p>
        </w:tc>
        <w:tc>
          <w:tcPr>
            <w:tcW w:w="345" w:type="pct"/>
            <w:shd w:val="clear" w:color="auto" w:fill="FFFF00"/>
            <w:noWrap/>
          </w:tcPr>
          <w:p w14:paraId="47BCE45D" w14:textId="77777777" w:rsidR="00DC1B57" w:rsidRPr="00FE4491" w:rsidRDefault="00DC1B57" w:rsidP="003040CD">
            <w:pPr>
              <w:pStyle w:val="TableTextEntries"/>
              <w:jc w:val="center"/>
            </w:pPr>
            <w:r>
              <w:t>4</w:t>
            </w:r>
          </w:p>
        </w:tc>
        <w:tc>
          <w:tcPr>
            <w:tcW w:w="345" w:type="pct"/>
            <w:shd w:val="clear" w:color="auto" w:fill="F79646" w:themeFill="accent6"/>
            <w:noWrap/>
          </w:tcPr>
          <w:p w14:paraId="3491A1D2" w14:textId="77777777" w:rsidR="00DC1B57" w:rsidRPr="00FE4491" w:rsidRDefault="00DC1B57" w:rsidP="003040CD">
            <w:pPr>
              <w:pStyle w:val="TableTextEntries"/>
              <w:jc w:val="center"/>
            </w:pPr>
            <w:r>
              <w:t>3</w:t>
            </w:r>
          </w:p>
        </w:tc>
        <w:tc>
          <w:tcPr>
            <w:tcW w:w="364" w:type="pct"/>
            <w:shd w:val="clear" w:color="auto" w:fill="F79646" w:themeFill="accent6"/>
            <w:noWrap/>
          </w:tcPr>
          <w:p w14:paraId="51F9CD8E" w14:textId="77777777" w:rsidR="00DC1B57" w:rsidRPr="00FE4491" w:rsidRDefault="00DC1B57" w:rsidP="003040CD">
            <w:pPr>
              <w:pStyle w:val="TableTextEntries"/>
              <w:jc w:val="center"/>
            </w:pPr>
            <w:r>
              <w:t>3</w:t>
            </w:r>
          </w:p>
        </w:tc>
        <w:tc>
          <w:tcPr>
            <w:tcW w:w="318" w:type="pct"/>
            <w:shd w:val="clear" w:color="auto" w:fill="FFFF00"/>
            <w:noWrap/>
          </w:tcPr>
          <w:p w14:paraId="774F995F" w14:textId="77777777" w:rsidR="00DC1B57" w:rsidRPr="00FE4491" w:rsidRDefault="00DC1B57" w:rsidP="003040CD">
            <w:pPr>
              <w:pStyle w:val="TableTextEntries"/>
              <w:jc w:val="center"/>
            </w:pPr>
            <w:r>
              <w:t>4</w:t>
            </w:r>
          </w:p>
        </w:tc>
        <w:tc>
          <w:tcPr>
            <w:tcW w:w="345" w:type="pct"/>
            <w:shd w:val="clear" w:color="auto" w:fill="FFFF00"/>
            <w:noWrap/>
          </w:tcPr>
          <w:p w14:paraId="43BBDB15" w14:textId="77777777" w:rsidR="00DC1B57" w:rsidRPr="00FE4491" w:rsidRDefault="00DC1B57" w:rsidP="003040CD">
            <w:pPr>
              <w:pStyle w:val="TableTextEntries"/>
              <w:jc w:val="center"/>
            </w:pPr>
            <w:r>
              <w:t>4</w:t>
            </w:r>
          </w:p>
        </w:tc>
        <w:tc>
          <w:tcPr>
            <w:tcW w:w="343" w:type="pct"/>
            <w:shd w:val="clear" w:color="auto" w:fill="F79646" w:themeFill="accent6"/>
            <w:noWrap/>
          </w:tcPr>
          <w:p w14:paraId="18D07AFD" w14:textId="77777777" w:rsidR="00DC1B57" w:rsidRPr="00FE4491" w:rsidRDefault="00DC1B57" w:rsidP="003040CD">
            <w:pPr>
              <w:pStyle w:val="TableTextEntries"/>
              <w:jc w:val="center"/>
            </w:pPr>
            <w:r>
              <w:t>I</w:t>
            </w:r>
          </w:p>
        </w:tc>
      </w:tr>
      <w:tr w:rsidR="00DC1B57" w:rsidRPr="009D53C4" w14:paraId="632EEC61" w14:textId="77777777" w:rsidTr="003040CD">
        <w:trPr>
          <w:tblHeader w:val="0"/>
        </w:trPr>
        <w:tc>
          <w:tcPr>
            <w:tcW w:w="961" w:type="pct"/>
            <w:vMerge/>
          </w:tcPr>
          <w:p w14:paraId="6EC77585" w14:textId="77777777" w:rsidR="00DC1B57" w:rsidRPr="00FE4491" w:rsidRDefault="00DC1B57" w:rsidP="003040CD">
            <w:pPr>
              <w:pStyle w:val="TableTextEntries"/>
            </w:pPr>
          </w:p>
        </w:tc>
        <w:tc>
          <w:tcPr>
            <w:tcW w:w="521" w:type="pct"/>
            <w:vMerge/>
          </w:tcPr>
          <w:p w14:paraId="74F44F39" w14:textId="77777777" w:rsidR="00DC1B57" w:rsidRPr="00FE4491" w:rsidRDefault="00DC1B57" w:rsidP="003040CD">
            <w:pPr>
              <w:pStyle w:val="TableTextEntries"/>
            </w:pPr>
          </w:p>
        </w:tc>
        <w:tc>
          <w:tcPr>
            <w:tcW w:w="869" w:type="pct"/>
          </w:tcPr>
          <w:p w14:paraId="5B902ABA" w14:textId="77777777" w:rsidR="00DC1B57" w:rsidRPr="00FE4491" w:rsidRDefault="00DC1B57" w:rsidP="003040CD">
            <w:pPr>
              <w:pStyle w:val="TableTextEntries"/>
            </w:pPr>
            <w:r>
              <w:t>2011</w:t>
            </w:r>
          </w:p>
        </w:tc>
        <w:tc>
          <w:tcPr>
            <w:tcW w:w="397" w:type="pct"/>
            <w:gridSpan w:val="2"/>
            <w:shd w:val="clear" w:color="auto" w:fill="92D050"/>
            <w:noWrap/>
          </w:tcPr>
          <w:p w14:paraId="44C40680" w14:textId="77777777" w:rsidR="00DC1B57" w:rsidRPr="00FE4491" w:rsidRDefault="00DC1B57" w:rsidP="003040CD">
            <w:pPr>
              <w:pStyle w:val="TableTextEntries"/>
              <w:jc w:val="center"/>
            </w:pPr>
            <w:r>
              <w:t>5</w:t>
            </w:r>
          </w:p>
        </w:tc>
        <w:tc>
          <w:tcPr>
            <w:tcW w:w="345" w:type="pct"/>
            <w:shd w:val="clear" w:color="auto" w:fill="FFFF00"/>
            <w:noWrap/>
          </w:tcPr>
          <w:p w14:paraId="2F3A29AD" w14:textId="77777777" w:rsidR="00DC1B57" w:rsidRPr="00FE4491" w:rsidRDefault="00DC1B57" w:rsidP="003040CD">
            <w:pPr>
              <w:pStyle w:val="TableTextEntries"/>
              <w:jc w:val="center"/>
            </w:pPr>
            <w:r>
              <w:t>4</w:t>
            </w:r>
          </w:p>
        </w:tc>
        <w:tc>
          <w:tcPr>
            <w:tcW w:w="345" w:type="pct"/>
            <w:shd w:val="clear" w:color="auto" w:fill="92D050"/>
            <w:noWrap/>
          </w:tcPr>
          <w:p w14:paraId="655DAF22" w14:textId="77777777" w:rsidR="00DC1B57" w:rsidRPr="00FE4491" w:rsidRDefault="00DC1B57" w:rsidP="003040CD">
            <w:pPr>
              <w:pStyle w:val="TableTextEntries"/>
              <w:jc w:val="center"/>
            </w:pPr>
            <w:r>
              <w:t>5</w:t>
            </w:r>
          </w:p>
        </w:tc>
        <w:tc>
          <w:tcPr>
            <w:tcW w:w="364" w:type="pct"/>
            <w:shd w:val="clear" w:color="auto" w:fill="F79646" w:themeFill="accent6"/>
            <w:noWrap/>
          </w:tcPr>
          <w:p w14:paraId="56148AA9" w14:textId="77777777" w:rsidR="00DC1B57" w:rsidRPr="00FE4491" w:rsidRDefault="00DC1B57" w:rsidP="003040CD">
            <w:pPr>
              <w:pStyle w:val="TableTextEntries"/>
              <w:jc w:val="center"/>
            </w:pPr>
            <w:r>
              <w:t>3</w:t>
            </w:r>
          </w:p>
        </w:tc>
        <w:tc>
          <w:tcPr>
            <w:tcW w:w="318" w:type="pct"/>
            <w:shd w:val="clear" w:color="auto" w:fill="92D050"/>
            <w:noWrap/>
          </w:tcPr>
          <w:p w14:paraId="6D185108" w14:textId="77777777" w:rsidR="00DC1B57" w:rsidRPr="00FE4491" w:rsidRDefault="00DC1B57" w:rsidP="003040CD">
            <w:pPr>
              <w:pStyle w:val="TableTextEntries"/>
              <w:jc w:val="center"/>
            </w:pPr>
            <w:r>
              <w:t>5</w:t>
            </w:r>
          </w:p>
        </w:tc>
        <w:tc>
          <w:tcPr>
            <w:tcW w:w="345" w:type="pct"/>
            <w:shd w:val="clear" w:color="auto" w:fill="FFFF00"/>
            <w:noWrap/>
          </w:tcPr>
          <w:p w14:paraId="58E97F5D" w14:textId="77777777" w:rsidR="00DC1B57" w:rsidRPr="00FE4491" w:rsidRDefault="00DC1B57" w:rsidP="003040CD">
            <w:pPr>
              <w:pStyle w:val="TableTextEntries"/>
              <w:jc w:val="center"/>
            </w:pPr>
            <w:r>
              <w:t>4</w:t>
            </w:r>
          </w:p>
        </w:tc>
        <w:tc>
          <w:tcPr>
            <w:tcW w:w="343" w:type="pct"/>
            <w:shd w:val="clear" w:color="auto" w:fill="F79646" w:themeFill="accent6"/>
            <w:noWrap/>
          </w:tcPr>
          <w:p w14:paraId="10C7FC83" w14:textId="77777777" w:rsidR="00DC1B57" w:rsidRPr="00FE4491" w:rsidRDefault="00DC1B57" w:rsidP="003040CD">
            <w:pPr>
              <w:pStyle w:val="TableTextEntries"/>
              <w:jc w:val="center"/>
            </w:pPr>
            <w:r>
              <w:t>I</w:t>
            </w:r>
          </w:p>
        </w:tc>
      </w:tr>
      <w:tr w:rsidR="00DC1B57" w:rsidRPr="009D53C4" w14:paraId="575C9E9F"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1A2F2752" w14:textId="778FEE32" w:rsidR="00DC1B57" w:rsidRPr="00366121" w:rsidRDefault="00FC22AA" w:rsidP="003040CD">
            <w:pPr>
              <w:pStyle w:val="TableTextEntries"/>
            </w:pPr>
            <w:r w:rsidRPr="00FC22AA">
              <w:t>Int</w:t>
            </w:r>
            <w:r w:rsidR="006E277B">
              <w:t>ernational</w:t>
            </w:r>
            <w:r w:rsidRPr="00FC22AA">
              <w:t xml:space="preserve"> Centre for Diarrhoeal Disease Research, Bangladesh</w:t>
            </w:r>
          </w:p>
        </w:tc>
        <w:tc>
          <w:tcPr>
            <w:tcW w:w="521" w:type="pct"/>
            <w:vMerge w:val="restart"/>
          </w:tcPr>
          <w:p w14:paraId="1E0445B7" w14:textId="4491CC4F" w:rsidR="00DC1B57" w:rsidRDefault="00DC1B57" w:rsidP="003040CD">
            <w:pPr>
              <w:pStyle w:val="TableTextEntries"/>
            </w:pPr>
            <w:r>
              <w:t>$14</w:t>
            </w:r>
            <w:r w:rsidR="00F54E7F">
              <w:t>.</w:t>
            </w:r>
            <w:r>
              <w:t>9</w:t>
            </w:r>
            <w:r w:rsidR="006E277B">
              <w:t xml:space="preserve"> </w:t>
            </w:r>
            <w:r>
              <w:t>m</w:t>
            </w:r>
          </w:p>
          <w:p w14:paraId="24F3378D" w14:textId="5C2E9AAD" w:rsidR="00DC1B57" w:rsidRPr="00FE4491" w:rsidRDefault="00DC1B57" w:rsidP="003040CD">
            <w:pPr>
              <w:pStyle w:val="TableTextEntries"/>
            </w:pPr>
            <w:r>
              <w:t xml:space="preserve">4 </w:t>
            </w:r>
            <w:r w:rsidR="006D7E94">
              <w:t>y</w:t>
            </w:r>
            <w:r>
              <w:t>ears</w:t>
            </w:r>
          </w:p>
        </w:tc>
        <w:tc>
          <w:tcPr>
            <w:tcW w:w="869" w:type="pct"/>
          </w:tcPr>
          <w:p w14:paraId="21A6ED4C" w14:textId="77777777" w:rsidR="00DC1B57" w:rsidRPr="00FE4491" w:rsidRDefault="00DC1B57" w:rsidP="003040CD">
            <w:pPr>
              <w:pStyle w:val="TableTextEntries"/>
            </w:pPr>
            <w:r>
              <w:t>2012</w:t>
            </w:r>
          </w:p>
        </w:tc>
        <w:tc>
          <w:tcPr>
            <w:tcW w:w="397" w:type="pct"/>
            <w:gridSpan w:val="2"/>
            <w:shd w:val="clear" w:color="auto" w:fill="92D050"/>
            <w:noWrap/>
          </w:tcPr>
          <w:p w14:paraId="1BEA449E" w14:textId="77777777" w:rsidR="00DC1B57" w:rsidRPr="00FE4491" w:rsidRDefault="00DC1B57" w:rsidP="003040CD">
            <w:pPr>
              <w:pStyle w:val="TableTextEntries"/>
              <w:jc w:val="center"/>
            </w:pPr>
            <w:r>
              <w:t>6</w:t>
            </w:r>
          </w:p>
        </w:tc>
        <w:tc>
          <w:tcPr>
            <w:tcW w:w="345" w:type="pct"/>
            <w:shd w:val="clear" w:color="auto" w:fill="92D050"/>
            <w:noWrap/>
          </w:tcPr>
          <w:p w14:paraId="05572A3C" w14:textId="77777777" w:rsidR="00DC1B57" w:rsidRPr="00FE4491" w:rsidRDefault="00DC1B57" w:rsidP="003040CD">
            <w:pPr>
              <w:pStyle w:val="TableTextEntries"/>
              <w:jc w:val="center"/>
            </w:pPr>
            <w:r>
              <w:t>5</w:t>
            </w:r>
          </w:p>
        </w:tc>
        <w:tc>
          <w:tcPr>
            <w:tcW w:w="345" w:type="pct"/>
            <w:shd w:val="clear" w:color="auto" w:fill="FFFF00"/>
            <w:noWrap/>
          </w:tcPr>
          <w:p w14:paraId="7BFBE230" w14:textId="77777777" w:rsidR="00DC1B57" w:rsidRPr="00FE4491" w:rsidRDefault="00DC1B57" w:rsidP="003040CD">
            <w:pPr>
              <w:pStyle w:val="TableTextEntries"/>
              <w:jc w:val="center"/>
            </w:pPr>
            <w:r>
              <w:t>4</w:t>
            </w:r>
          </w:p>
        </w:tc>
        <w:tc>
          <w:tcPr>
            <w:tcW w:w="364" w:type="pct"/>
            <w:shd w:val="clear" w:color="auto" w:fill="92D050"/>
            <w:noWrap/>
          </w:tcPr>
          <w:p w14:paraId="09213397" w14:textId="77777777" w:rsidR="00DC1B57" w:rsidRPr="00FE4491" w:rsidRDefault="00DC1B57" w:rsidP="003040CD">
            <w:pPr>
              <w:pStyle w:val="TableTextEntries"/>
              <w:jc w:val="center"/>
            </w:pPr>
            <w:r>
              <w:t>5</w:t>
            </w:r>
          </w:p>
        </w:tc>
        <w:tc>
          <w:tcPr>
            <w:tcW w:w="318" w:type="pct"/>
            <w:shd w:val="clear" w:color="auto" w:fill="92D050"/>
            <w:noWrap/>
          </w:tcPr>
          <w:p w14:paraId="59C4EDEA" w14:textId="77777777" w:rsidR="00DC1B57" w:rsidRPr="00FE4491" w:rsidRDefault="00DC1B57" w:rsidP="003040CD">
            <w:pPr>
              <w:pStyle w:val="TableTextEntries"/>
              <w:jc w:val="center"/>
            </w:pPr>
            <w:r>
              <w:t>5</w:t>
            </w:r>
          </w:p>
        </w:tc>
        <w:tc>
          <w:tcPr>
            <w:tcW w:w="345" w:type="pct"/>
            <w:shd w:val="clear" w:color="auto" w:fill="92D050"/>
            <w:noWrap/>
          </w:tcPr>
          <w:p w14:paraId="72E7FD7A" w14:textId="77777777" w:rsidR="00DC1B57" w:rsidRPr="00FE4491" w:rsidRDefault="00DC1B57" w:rsidP="003040CD">
            <w:pPr>
              <w:pStyle w:val="TableTextEntries"/>
              <w:jc w:val="center"/>
            </w:pPr>
            <w:r>
              <w:t>5</w:t>
            </w:r>
          </w:p>
        </w:tc>
        <w:tc>
          <w:tcPr>
            <w:tcW w:w="343" w:type="pct"/>
            <w:shd w:val="clear" w:color="auto" w:fill="F79646" w:themeFill="accent6"/>
            <w:noWrap/>
          </w:tcPr>
          <w:p w14:paraId="48F4187F" w14:textId="77777777" w:rsidR="00DC1B57" w:rsidRPr="00FE4491" w:rsidRDefault="00DC1B57" w:rsidP="003040CD">
            <w:pPr>
              <w:pStyle w:val="TableTextEntries"/>
              <w:jc w:val="center"/>
            </w:pPr>
            <w:r>
              <w:t>I</w:t>
            </w:r>
          </w:p>
        </w:tc>
      </w:tr>
      <w:tr w:rsidR="00DC1B57" w:rsidRPr="009D53C4" w14:paraId="65C0D48F" w14:textId="77777777" w:rsidTr="003040CD">
        <w:trPr>
          <w:tblHeader w:val="0"/>
        </w:trPr>
        <w:tc>
          <w:tcPr>
            <w:tcW w:w="961" w:type="pct"/>
            <w:vMerge/>
          </w:tcPr>
          <w:p w14:paraId="173E157A" w14:textId="77777777" w:rsidR="00DC1B57" w:rsidRPr="00FE4491" w:rsidRDefault="00DC1B57" w:rsidP="003040CD">
            <w:pPr>
              <w:pStyle w:val="TableTextEntries"/>
            </w:pPr>
          </w:p>
        </w:tc>
        <w:tc>
          <w:tcPr>
            <w:tcW w:w="521" w:type="pct"/>
            <w:vMerge/>
          </w:tcPr>
          <w:p w14:paraId="43CAA962" w14:textId="77777777" w:rsidR="00DC1B57" w:rsidRPr="00FE4491" w:rsidRDefault="00DC1B57" w:rsidP="003040CD">
            <w:pPr>
              <w:pStyle w:val="TableTextEntries"/>
            </w:pPr>
          </w:p>
        </w:tc>
        <w:tc>
          <w:tcPr>
            <w:tcW w:w="869" w:type="pct"/>
          </w:tcPr>
          <w:p w14:paraId="50D0FA0E" w14:textId="77777777" w:rsidR="00DC1B57" w:rsidRPr="00FE4491" w:rsidRDefault="00DC1B57" w:rsidP="003040CD">
            <w:pPr>
              <w:pStyle w:val="TableTextEntries"/>
            </w:pPr>
            <w:r>
              <w:t>2011</w:t>
            </w:r>
          </w:p>
        </w:tc>
        <w:tc>
          <w:tcPr>
            <w:tcW w:w="397" w:type="pct"/>
            <w:gridSpan w:val="2"/>
            <w:shd w:val="clear" w:color="auto" w:fill="92D050"/>
            <w:noWrap/>
          </w:tcPr>
          <w:p w14:paraId="7C15C2AC" w14:textId="77777777" w:rsidR="00DC1B57" w:rsidRPr="00FE4491" w:rsidRDefault="00DC1B57" w:rsidP="003040CD">
            <w:pPr>
              <w:pStyle w:val="TableTextEntries"/>
              <w:jc w:val="center"/>
            </w:pPr>
            <w:r>
              <w:t>6</w:t>
            </w:r>
          </w:p>
        </w:tc>
        <w:tc>
          <w:tcPr>
            <w:tcW w:w="345" w:type="pct"/>
            <w:shd w:val="clear" w:color="auto" w:fill="92D050"/>
            <w:noWrap/>
          </w:tcPr>
          <w:p w14:paraId="69DA4DA6" w14:textId="77777777" w:rsidR="00DC1B57" w:rsidRPr="00FE4491" w:rsidRDefault="00DC1B57" w:rsidP="003040CD">
            <w:pPr>
              <w:pStyle w:val="TableTextEntries"/>
              <w:jc w:val="center"/>
            </w:pPr>
            <w:r>
              <w:t>5</w:t>
            </w:r>
          </w:p>
        </w:tc>
        <w:tc>
          <w:tcPr>
            <w:tcW w:w="345" w:type="pct"/>
            <w:shd w:val="clear" w:color="auto" w:fill="92D050"/>
            <w:noWrap/>
          </w:tcPr>
          <w:p w14:paraId="76E1BB3C" w14:textId="77777777" w:rsidR="00DC1B57" w:rsidRPr="00FE4491" w:rsidRDefault="00DC1B57" w:rsidP="003040CD">
            <w:pPr>
              <w:pStyle w:val="TableTextEntries"/>
              <w:jc w:val="center"/>
            </w:pPr>
            <w:r>
              <w:t>6</w:t>
            </w:r>
          </w:p>
        </w:tc>
        <w:tc>
          <w:tcPr>
            <w:tcW w:w="364" w:type="pct"/>
            <w:shd w:val="clear" w:color="auto" w:fill="92D050"/>
            <w:noWrap/>
          </w:tcPr>
          <w:p w14:paraId="4CD8D625" w14:textId="77777777" w:rsidR="00DC1B57" w:rsidRPr="00FE4491" w:rsidRDefault="00DC1B57" w:rsidP="003040CD">
            <w:pPr>
              <w:pStyle w:val="TableTextEntries"/>
              <w:jc w:val="center"/>
            </w:pPr>
            <w:r>
              <w:t>5</w:t>
            </w:r>
          </w:p>
        </w:tc>
        <w:tc>
          <w:tcPr>
            <w:tcW w:w="318" w:type="pct"/>
            <w:shd w:val="clear" w:color="auto" w:fill="92D050"/>
            <w:noWrap/>
          </w:tcPr>
          <w:p w14:paraId="359C3244" w14:textId="77777777" w:rsidR="00DC1B57" w:rsidRPr="00FE4491" w:rsidRDefault="00DC1B57" w:rsidP="003040CD">
            <w:pPr>
              <w:pStyle w:val="TableTextEntries"/>
              <w:jc w:val="center"/>
            </w:pPr>
            <w:r>
              <w:t>5</w:t>
            </w:r>
          </w:p>
        </w:tc>
        <w:tc>
          <w:tcPr>
            <w:tcW w:w="345" w:type="pct"/>
            <w:shd w:val="clear" w:color="auto" w:fill="92D050"/>
            <w:noWrap/>
          </w:tcPr>
          <w:p w14:paraId="444138F7" w14:textId="77777777" w:rsidR="00DC1B57" w:rsidRPr="00FE4491" w:rsidRDefault="00DC1B57" w:rsidP="003040CD">
            <w:pPr>
              <w:pStyle w:val="TableTextEntries"/>
              <w:jc w:val="center"/>
            </w:pPr>
            <w:r>
              <w:t>5</w:t>
            </w:r>
          </w:p>
        </w:tc>
        <w:tc>
          <w:tcPr>
            <w:tcW w:w="343" w:type="pct"/>
            <w:shd w:val="clear" w:color="auto" w:fill="F79646" w:themeFill="accent6"/>
            <w:noWrap/>
          </w:tcPr>
          <w:p w14:paraId="1533228A" w14:textId="77777777" w:rsidR="00DC1B57" w:rsidRPr="00FE4491" w:rsidRDefault="00DC1B57" w:rsidP="003040CD">
            <w:pPr>
              <w:pStyle w:val="TableTextEntries"/>
              <w:jc w:val="center"/>
            </w:pPr>
            <w:r>
              <w:t>I</w:t>
            </w:r>
          </w:p>
        </w:tc>
      </w:tr>
      <w:tr w:rsidR="00DC1B57" w:rsidRPr="009D53C4" w14:paraId="328883EA"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31A75648" w14:textId="3A16CA76" w:rsidR="00DC1B57" w:rsidRPr="00FE4491" w:rsidRDefault="00DC1B57" w:rsidP="003040CD">
            <w:pPr>
              <w:pStyle w:val="TableTextEntries"/>
            </w:pPr>
            <w:r w:rsidRPr="00610543">
              <w:t>BRAC</w:t>
            </w:r>
            <w:r w:rsidR="006D7E94">
              <w:t xml:space="preserve"> and </w:t>
            </w:r>
            <w:r w:rsidR="00FC22AA">
              <w:t xml:space="preserve">UNICEF </w:t>
            </w:r>
            <w:r w:rsidRPr="00610543">
              <w:t xml:space="preserve"> maternal, neonatal and child health</w:t>
            </w:r>
          </w:p>
        </w:tc>
        <w:tc>
          <w:tcPr>
            <w:tcW w:w="521" w:type="pct"/>
            <w:vMerge w:val="restart"/>
          </w:tcPr>
          <w:p w14:paraId="7BA5C3F2" w14:textId="5B089EA8" w:rsidR="00DC1B57" w:rsidRDefault="00DC1B57" w:rsidP="003040CD">
            <w:pPr>
              <w:pStyle w:val="TableTextEntries"/>
            </w:pPr>
            <w:r>
              <w:t>$23</w:t>
            </w:r>
            <w:r w:rsidR="00F54E7F">
              <w:t>.</w:t>
            </w:r>
            <w:r>
              <w:t>6</w:t>
            </w:r>
            <w:r w:rsidR="006E277B">
              <w:t xml:space="preserve"> </w:t>
            </w:r>
            <w:r>
              <w:t>m</w:t>
            </w:r>
          </w:p>
          <w:p w14:paraId="215B192C" w14:textId="4E7FBBD4" w:rsidR="00DC1B57" w:rsidRPr="00FE4491" w:rsidRDefault="00DC1B57" w:rsidP="003040CD">
            <w:pPr>
              <w:pStyle w:val="TableTextEntries"/>
            </w:pPr>
            <w:r>
              <w:t xml:space="preserve">5 </w:t>
            </w:r>
            <w:r w:rsidR="006D7E94">
              <w:t>y</w:t>
            </w:r>
            <w:r>
              <w:t>ears</w:t>
            </w:r>
          </w:p>
        </w:tc>
        <w:tc>
          <w:tcPr>
            <w:tcW w:w="869" w:type="pct"/>
          </w:tcPr>
          <w:p w14:paraId="3EE16302" w14:textId="77777777" w:rsidR="00DC1B57" w:rsidRPr="00FE4491" w:rsidRDefault="00DC1B57" w:rsidP="003040CD">
            <w:pPr>
              <w:pStyle w:val="TableTextEntries"/>
            </w:pPr>
            <w:r>
              <w:t>2012</w:t>
            </w:r>
          </w:p>
        </w:tc>
        <w:tc>
          <w:tcPr>
            <w:tcW w:w="397" w:type="pct"/>
            <w:gridSpan w:val="2"/>
            <w:shd w:val="clear" w:color="auto" w:fill="92D050"/>
            <w:noWrap/>
          </w:tcPr>
          <w:p w14:paraId="67A01C24" w14:textId="77777777" w:rsidR="00DC1B57" w:rsidRPr="00FE4491" w:rsidRDefault="00DC1B57" w:rsidP="003040CD">
            <w:pPr>
              <w:pStyle w:val="TableTextEntries"/>
              <w:jc w:val="center"/>
            </w:pPr>
            <w:r>
              <w:t>6</w:t>
            </w:r>
          </w:p>
        </w:tc>
        <w:tc>
          <w:tcPr>
            <w:tcW w:w="345" w:type="pct"/>
            <w:shd w:val="clear" w:color="auto" w:fill="92D050"/>
            <w:noWrap/>
          </w:tcPr>
          <w:p w14:paraId="046477CF" w14:textId="77777777" w:rsidR="00DC1B57" w:rsidRPr="00FE4491" w:rsidRDefault="00DC1B57" w:rsidP="003040CD">
            <w:pPr>
              <w:pStyle w:val="TableTextEntries"/>
              <w:jc w:val="center"/>
            </w:pPr>
            <w:r>
              <w:t>5</w:t>
            </w:r>
          </w:p>
        </w:tc>
        <w:tc>
          <w:tcPr>
            <w:tcW w:w="345" w:type="pct"/>
            <w:shd w:val="clear" w:color="auto" w:fill="92D050"/>
            <w:noWrap/>
          </w:tcPr>
          <w:p w14:paraId="1D54F4CD" w14:textId="77777777" w:rsidR="00DC1B57" w:rsidRPr="00FE4491" w:rsidRDefault="00DC1B57" w:rsidP="003040CD">
            <w:pPr>
              <w:pStyle w:val="TableTextEntries"/>
              <w:jc w:val="center"/>
            </w:pPr>
            <w:r>
              <w:t>5</w:t>
            </w:r>
          </w:p>
        </w:tc>
        <w:tc>
          <w:tcPr>
            <w:tcW w:w="364" w:type="pct"/>
            <w:shd w:val="clear" w:color="auto" w:fill="92D050"/>
            <w:noWrap/>
          </w:tcPr>
          <w:p w14:paraId="5F402394" w14:textId="77777777" w:rsidR="00DC1B57" w:rsidRPr="00FE4491" w:rsidRDefault="00DC1B57" w:rsidP="003040CD">
            <w:pPr>
              <w:pStyle w:val="TableTextEntries"/>
              <w:jc w:val="center"/>
            </w:pPr>
            <w:r>
              <w:t>5</w:t>
            </w:r>
          </w:p>
        </w:tc>
        <w:tc>
          <w:tcPr>
            <w:tcW w:w="318" w:type="pct"/>
            <w:shd w:val="clear" w:color="auto" w:fill="FFFF00"/>
            <w:noWrap/>
          </w:tcPr>
          <w:p w14:paraId="3AA1CD11" w14:textId="77777777" w:rsidR="00DC1B57" w:rsidRPr="00FE4491" w:rsidRDefault="00DC1B57" w:rsidP="003040CD">
            <w:pPr>
              <w:pStyle w:val="TableTextEntries"/>
              <w:jc w:val="center"/>
            </w:pPr>
            <w:r>
              <w:t>4</w:t>
            </w:r>
          </w:p>
        </w:tc>
        <w:tc>
          <w:tcPr>
            <w:tcW w:w="345" w:type="pct"/>
            <w:shd w:val="clear" w:color="auto" w:fill="92D050"/>
            <w:noWrap/>
          </w:tcPr>
          <w:p w14:paraId="6C44D905" w14:textId="77777777" w:rsidR="00DC1B57" w:rsidRPr="00FE4491" w:rsidRDefault="00DC1B57" w:rsidP="003040CD">
            <w:pPr>
              <w:pStyle w:val="TableTextEntries"/>
              <w:jc w:val="center"/>
            </w:pPr>
            <w:r>
              <w:t>5</w:t>
            </w:r>
          </w:p>
        </w:tc>
        <w:tc>
          <w:tcPr>
            <w:tcW w:w="343" w:type="pct"/>
            <w:shd w:val="clear" w:color="auto" w:fill="F79646" w:themeFill="accent6"/>
            <w:noWrap/>
          </w:tcPr>
          <w:p w14:paraId="28467879" w14:textId="77777777" w:rsidR="00DC1B57" w:rsidRPr="00FE4491" w:rsidRDefault="00DC1B57" w:rsidP="003040CD">
            <w:pPr>
              <w:pStyle w:val="TableTextEntries"/>
              <w:jc w:val="center"/>
            </w:pPr>
            <w:r>
              <w:t>I</w:t>
            </w:r>
          </w:p>
        </w:tc>
      </w:tr>
      <w:tr w:rsidR="00DC1B57" w:rsidRPr="009D53C4" w14:paraId="0B4F3C94" w14:textId="77777777" w:rsidTr="003040CD">
        <w:trPr>
          <w:tblHeader w:val="0"/>
        </w:trPr>
        <w:tc>
          <w:tcPr>
            <w:tcW w:w="961" w:type="pct"/>
            <w:vMerge/>
          </w:tcPr>
          <w:p w14:paraId="3A396633" w14:textId="77777777" w:rsidR="00DC1B57" w:rsidRPr="00FE4491" w:rsidRDefault="00DC1B57" w:rsidP="003040CD">
            <w:pPr>
              <w:pStyle w:val="TableTextEntries"/>
            </w:pPr>
          </w:p>
        </w:tc>
        <w:tc>
          <w:tcPr>
            <w:tcW w:w="521" w:type="pct"/>
            <w:vMerge/>
          </w:tcPr>
          <w:p w14:paraId="4712833A" w14:textId="77777777" w:rsidR="00DC1B57" w:rsidRPr="00FE4491" w:rsidRDefault="00DC1B57" w:rsidP="003040CD">
            <w:pPr>
              <w:pStyle w:val="TableTextEntries"/>
            </w:pPr>
          </w:p>
        </w:tc>
        <w:tc>
          <w:tcPr>
            <w:tcW w:w="869" w:type="pct"/>
          </w:tcPr>
          <w:p w14:paraId="2C411399" w14:textId="77777777" w:rsidR="00DC1B57" w:rsidRPr="00FE4491" w:rsidRDefault="00DC1B57" w:rsidP="003040CD">
            <w:pPr>
              <w:pStyle w:val="TableTextEntries"/>
            </w:pPr>
            <w:r>
              <w:t>2011</w:t>
            </w:r>
          </w:p>
        </w:tc>
        <w:tc>
          <w:tcPr>
            <w:tcW w:w="397" w:type="pct"/>
            <w:gridSpan w:val="2"/>
            <w:shd w:val="clear" w:color="auto" w:fill="92D050"/>
            <w:noWrap/>
          </w:tcPr>
          <w:p w14:paraId="5799B204" w14:textId="77777777" w:rsidR="00DC1B57" w:rsidRPr="00FE4491" w:rsidRDefault="00DC1B57" w:rsidP="003040CD">
            <w:pPr>
              <w:pStyle w:val="TableTextEntries"/>
              <w:jc w:val="center"/>
            </w:pPr>
            <w:r>
              <w:t>6</w:t>
            </w:r>
          </w:p>
        </w:tc>
        <w:tc>
          <w:tcPr>
            <w:tcW w:w="345" w:type="pct"/>
            <w:shd w:val="clear" w:color="auto" w:fill="92D050"/>
            <w:noWrap/>
          </w:tcPr>
          <w:p w14:paraId="3E4F30B3" w14:textId="77777777" w:rsidR="00DC1B57" w:rsidRPr="00FE4491" w:rsidRDefault="00DC1B57" w:rsidP="003040CD">
            <w:pPr>
              <w:pStyle w:val="TableTextEntries"/>
              <w:jc w:val="center"/>
            </w:pPr>
            <w:r>
              <w:t>5</w:t>
            </w:r>
          </w:p>
        </w:tc>
        <w:tc>
          <w:tcPr>
            <w:tcW w:w="345" w:type="pct"/>
            <w:shd w:val="clear" w:color="auto" w:fill="FFFF00"/>
            <w:noWrap/>
          </w:tcPr>
          <w:p w14:paraId="7F0C166B" w14:textId="77777777" w:rsidR="00DC1B57" w:rsidRPr="00FE4491" w:rsidRDefault="00DC1B57" w:rsidP="003040CD">
            <w:pPr>
              <w:pStyle w:val="TableTextEntries"/>
              <w:jc w:val="center"/>
            </w:pPr>
            <w:r>
              <w:t>4</w:t>
            </w:r>
          </w:p>
        </w:tc>
        <w:tc>
          <w:tcPr>
            <w:tcW w:w="364" w:type="pct"/>
            <w:shd w:val="clear" w:color="auto" w:fill="92D050"/>
            <w:noWrap/>
          </w:tcPr>
          <w:p w14:paraId="0DC50D72" w14:textId="77777777" w:rsidR="00DC1B57" w:rsidRPr="00FE4491" w:rsidRDefault="00DC1B57" w:rsidP="003040CD">
            <w:pPr>
              <w:pStyle w:val="TableTextEntries"/>
              <w:jc w:val="center"/>
            </w:pPr>
            <w:r>
              <w:t>5</w:t>
            </w:r>
          </w:p>
        </w:tc>
        <w:tc>
          <w:tcPr>
            <w:tcW w:w="318" w:type="pct"/>
            <w:shd w:val="clear" w:color="auto" w:fill="FFFF00"/>
            <w:noWrap/>
          </w:tcPr>
          <w:p w14:paraId="5BA18A95" w14:textId="77777777" w:rsidR="00DC1B57" w:rsidRPr="00FE4491" w:rsidRDefault="00DC1B57" w:rsidP="003040CD">
            <w:pPr>
              <w:pStyle w:val="TableTextEntries"/>
              <w:jc w:val="center"/>
            </w:pPr>
            <w:r>
              <w:t>4</w:t>
            </w:r>
          </w:p>
        </w:tc>
        <w:tc>
          <w:tcPr>
            <w:tcW w:w="345" w:type="pct"/>
            <w:shd w:val="clear" w:color="auto" w:fill="92D050"/>
            <w:noWrap/>
          </w:tcPr>
          <w:p w14:paraId="5F4E4A7F" w14:textId="77777777" w:rsidR="00DC1B57" w:rsidRPr="00FE4491" w:rsidRDefault="00DC1B57" w:rsidP="003040CD">
            <w:pPr>
              <w:pStyle w:val="TableTextEntries"/>
              <w:jc w:val="center"/>
            </w:pPr>
            <w:r>
              <w:t>5</w:t>
            </w:r>
          </w:p>
        </w:tc>
        <w:tc>
          <w:tcPr>
            <w:tcW w:w="343" w:type="pct"/>
            <w:shd w:val="clear" w:color="auto" w:fill="F79646" w:themeFill="accent6"/>
            <w:noWrap/>
          </w:tcPr>
          <w:p w14:paraId="598CD835" w14:textId="77777777" w:rsidR="00DC1B57" w:rsidRPr="00FE4491" w:rsidRDefault="00DC1B57" w:rsidP="003040CD">
            <w:pPr>
              <w:pStyle w:val="TableTextEntries"/>
              <w:jc w:val="center"/>
            </w:pPr>
            <w:r>
              <w:t>I</w:t>
            </w:r>
          </w:p>
        </w:tc>
      </w:tr>
      <w:tr w:rsidR="00DC1B57" w:rsidRPr="009D53C4" w14:paraId="67D916AE"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vMerge w:val="restart"/>
          </w:tcPr>
          <w:p w14:paraId="79D3ACA4" w14:textId="77777777" w:rsidR="00DC1B57" w:rsidRPr="00FE4491" w:rsidRDefault="00DC1B57" w:rsidP="003040CD">
            <w:pPr>
              <w:pStyle w:val="TableTextEntries"/>
            </w:pPr>
            <w:r w:rsidRPr="00610543">
              <w:t>UNICEF maternal, neonatal and child survival</w:t>
            </w:r>
          </w:p>
        </w:tc>
        <w:tc>
          <w:tcPr>
            <w:tcW w:w="521" w:type="pct"/>
            <w:vMerge w:val="restart"/>
          </w:tcPr>
          <w:p w14:paraId="4892F63B" w14:textId="0F12F204" w:rsidR="00DC1B57" w:rsidRPr="00FE4491" w:rsidRDefault="00DC1B57" w:rsidP="003040CD">
            <w:pPr>
              <w:pStyle w:val="TableTextEntries"/>
            </w:pPr>
            <w:r>
              <w:t xml:space="preserve">$20m   5 </w:t>
            </w:r>
            <w:r w:rsidR="006D7E94">
              <w:t>y</w:t>
            </w:r>
            <w:r>
              <w:t>ears</w:t>
            </w:r>
          </w:p>
        </w:tc>
        <w:tc>
          <w:tcPr>
            <w:tcW w:w="869" w:type="pct"/>
          </w:tcPr>
          <w:p w14:paraId="48FD0994" w14:textId="77777777" w:rsidR="00DC1B57" w:rsidRPr="00FE4491" w:rsidRDefault="00DC1B57" w:rsidP="003040CD">
            <w:pPr>
              <w:pStyle w:val="TableTextEntries"/>
            </w:pPr>
            <w:r>
              <w:t>2012</w:t>
            </w:r>
          </w:p>
        </w:tc>
        <w:tc>
          <w:tcPr>
            <w:tcW w:w="397" w:type="pct"/>
            <w:gridSpan w:val="2"/>
            <w:shd w:val="clear" w:color="auto" w:fill="92D050"/>
            <w:noWrap/>
          </w:tcPr>
          <w:p w14:paraId="2E654BEF" w14:textId="77777777" w:rsidR="00DC1B57" w:rsidRPr="00FE4491" w:rsidRDefault="00DC1B57" w:rsidP="003040CD">
            <w:pPr>
              <w:pStyle w:val="TableTextEntries"/>
              <w:jc w:val="center"/>
            </w:pPr>
            <w:r>
              <w:t>6</w:t>
            </w:r>
          </w:p>
        </w:tc>
        <w:tc>
          <w:tcPr>
            <w:tcW w:w="345" w:type="pct"/>
            <w:shd w:val="clear" w:color="auto" w:fill="92D050"/>
            <w:noWrap/>
          </w:tcPr>
          <w:p w14:paraId="7F1EC924" w14:textId="77777777" w:rsidR="00DC1B57" w:rsidRPr="00FE4491" w:rsidRDefault="00DC1B57" w:rsidP="003040CD">
            <w:pPr>
              <w:pStyle w:val="TableTextEntries"/>
              <w:jc w:val="center"/>
            </w:pPr>
            <w:r>
              <w:t>5</w:t>
            </w:r>
          </w:p>
        </w:tc>
        <w:tc>
          <w:tcPr>
            <w:tcW w:w="345" w:type="pct"/>
            <w:shd w:val="clear" w:color="auto" w:fill="92D050"/>
            <w:noWrap/>
          </w:tcPr>
          <w:p w14:paraId="5B17688E" w14:textId="77777777" w:rsidR="00DC1B57" w:rsidRPr="00FE4491" w:rsidRDefault="00DC1B57" w:rsidP="003040CD">
            <w:pPr>
              <w:pStyle w:val="TableTextEntries"/>
              <w:jc w:val="center"/>
            </w:pPr>
            <w:r>
              <w:t>5</w:t>
            </w:r>
          </w:p>
        </w:tc>
        <w:tc>
          <w:tcPr>
            <w:tcW w:w="364" w:type="pct"/>
            <w:shd w:val="clear" w:color="auto" w:fill="92D050"/>
            <w:noWrap/>
          </w:tcPr>
          <w:p w14:paraId="2C1300CE" w14:textId="77777777" w:rsidR="00DC1B57" w:rsidRPr="00FE4491" w:rsidRDefault="00DC1B57" w:rsidP="003040CD">
            <w:pPr>
              <w:pStyle w:val="TableTextEntries"/>
              <w:jc w:val="center"/>
            </w:pPr>
            <w:r>
              <w:t>5</w:t>
            </w:r>
          </w:p>
        </w:tc>
        <w:tc>
          <w:tcPr>
            <w:tcW w:w="318" w:type="pct"/>
            <w:shd w:val="clear" w:color="auto" w:fill="FFFF00"/>
            <w:noWrap/>
          </w:tcPr>
          <w:p w14:paraId="7012A3EB" w14:textId="77777777" w:rsidR="00DC1B57" w:rsidRPr="00FE4491" w:rsidRDefault="00DC1B57" w:rsidP="003040CD">
            <w:pPr>
              <w:pStyle w:val="TableTextEntries"/>
              <w:jc w:val="center"/>
            </w:pPr>
            <w:r>
              <w:t>4</w:t>
            </w:r>
          </w:p>
        </w:tc>
        <w:tc>
          <w:tcPr>
            <w:tcW w:w="345" w:type="pct"/>
            <w:shd w:val="clear" w:color="auto" w:fill="92D050"/>
            <w:noWrap/>
          </w:tcPr>
          <w:p w14:paraId="16275A58" w14:textId="77777777" w:rsidR="00DC1B57" w:rsidRPr="00FE4491" w:rsidRDefault="00DC1B57" w:rsidP="003040CD">
            <w:pPr>
              <w:pStyle w:val="TableTextEntries"/>
              <w:jc w:val="center"/>
            </w:pPr>
            <w:r>
              <w:t>5</w:t>
            </w:r>
          </w:p>
        </w:tc>
        <w:tc>
          <w:tcPr>
            <w:tcW w:w="343" w:type="pct"/>
            <w:shd w:val="clear" w:color="auto" w:fill="F79646" w:themeFill="accent6"/>
            <w:noWrap/>
          </w:tcPr>
          <w:p w14:paraId="7EC1B210" w14:textId="77777777" w:rsidR="00DC1B57" w:rsidRPr="00FE4491" w:rsidRDefault="00DC1B57" w:rsidP="003040CD">
            <w:pPr>
              <w:pStyle w:val="TableTextEntries"/>
              <w:jc w:val="center"/>
            </w:pPr>
            <w:r>
              <w:t>I</w:t>
            </w:r>
          </w:p>
        </w:tc>
      </w:tr>
      <w:tr w:rsidR="00DC1B57" w:rsidRPr="009D53C4" w14:paraId="26053C85" w14:textId="77777777" w:rsidTr="003040CD">
        <w:trPr>
          <w:tblHeader w:val="0"/>
        </w:trPr>
        <w:tc>
          <w:tcPr>
            <w:tcW w:w="961" w:type="pct"/>
            <w:vMerge/>
          </w:tcPr>
          <w:p w14:paraId="0E480F9E" w14:textId="77777777" w:rsidR="00DC1B57" w:rsidRPr="00FE4491" w:rsidRDefault="00DC1B57" w:rsidP="003040CD">
            <w:pPr>
              <w:pStyle w:val="TableTextEntries"/>
            </w:pPr>
          </w:p>
        </w:tc>
        <w:tc>
          <w:tcPr>
            <w:tcW w:w="521" w:type="pct"/>
            <w:vMerge/>
          </w:tcPr>
          <w:p w14:paraId="7D8BE448" w14:textId="77777777" w:rsidR="00DC1B57" w:rsidRPr="00FE4491" w:rsidRDefault="00DC1B57" w:rsidP="003040CD">
            <w:pPr>
              <w:pStyle w:val="TableTextEntries"/>
            </w:pPr>
          </w:p>
        </w:tc>
        <w:tc>
          <w:tcPr>
            <w:tcW w:w="869" w:type="pct"/>
          </w:tcPr>
          <w:p w14:paraId="7AC18DB9" w14:textId="77777777" w:rsidR="00DC1B57" w:rsidRPr="00FE4491" w:rsidRDefault="00DC1B57" w:rsidP="003040CD">
            <w:pPr>
              <w:pStyle w:val="TableTextEntries"/>
            </w:pPr>
            <w:r>
              <w:t>2011</w:t>
            </w:r>
          </w:p>
        </w:tc>
        <w:tc>
          <w:tcPr>
            <w:tcW w:w="397" w:type="pct"/>
            <w:gridSpan w:val="2"/>
            <w:shd w:val="clear" w:color="auto" w:fill="92D050"/>
            <w:noWrap/>
          </w:tcPr>
          <w:p w14:paraId="6E66DDE0" w14:textId="77777777" w:rsidR="00DC1B57" w:rsidRPr="00FE4491" w:rsidRDefault="00DC1B57" w:rsidP="003040CD">
            <w:pPr>
              <w:pStyle w:val="TableTextEntries"/>
              <w:jc w:val="center"/>
            </w:pPr>
            <w:r>
              <w:t>6</w:t>
            </w:r>
          </w:p>
        </w:tc>
        <w:tc>
          <w:tcPr>
            <w:tcW w:w="345" w:type="pct"/>
            <w:shd w:val="clear" w:color="auto" w:fill="92D050"/>
            <w:noWrap/>
          </w:tcPr>
          <w:p w14:paraId="7B5ADB53" w14:textId="77777777" w:rsidR="00DC1B57" w:rsidRPr="00FE4491" w:rsidRDefault="00DC1B57" w:rsidP="003040CD">
            <w:pPr>
              <w:pStyle w:val="TableTextEntries"/>
              <w:jc w:val="center"/>
            </w:pPr>
            <w:r>
              <w:t>5</w:t>
            </w:r>
          </w:p>
        </w:tc>
        <w:tc>
          <w:tcPr>
            <w:tcW w:w="345" w:type="pct"/>
            <w:shd w:val="clear" w:color="auto" w:fill="92D050"/>
            <w:noWrap/>
          </w:tcPr>
          <w:p w14:paraId="679CF038" w14:textId="77777777" w:rsidR="00DC1B57" w:rsidRPr="00FE4491" w:rsidRDefault="00DC1B57" w:rsidP="003040CD">
            <w:pPr>
              <w:pStyle w:val="TableTextEntries"/>
              <w:jc w:val="center"/>
            </w:pPr>
            <w:r>
              <w:t>5</w:t>
            </w:r>
          </w:p>
        </w:tc>
        <w:tc>
          <w:tcPr>
            <w:tcW w:w="364" w:type="pct"/>
            <w:shd w:val="clear" w:color="auto" w:fill="92D050"/>
            <w:noWrap/>
          </w:tcPr>
          <w:p w14:paraId="0AB871EF" w14:textId="77777777" w:rsidR="00DC1B57" w:rsidRPr="00FE4491" w:rsidRDefault="00DC1B57" w:rsidP="003040CD">
            <w:pPr>
              <w:pStyle w:val="TableTextEntries"/>
              <w:jc w:val="center"/>
            </w:pPr>
            <w:r>
              <w:t>5</w:t>
            </w:r>
          </w:p>
        </w:tc>
        <w:tc>
          <w:tcPr>
            <w:tcW w:w="318" w:type="pct"/>
            <w:shd w:val="clear" w:color="auto" w:fill="FFFF00"/>
            <w:noWrap/>
          </w:tcPr>
          <w:p w14:paraId="60F78C47" w14:textId="77777777" w:rsidR="00DC1B57" w:rsidRPr="00FE4491" w:rsidRDefault="00DC1B57" w:rsidP="003040CD">
            <w:pPr>
              <w:pStyle w:val="TableTextEntries"/>
              <w:jc w:val="center"/>
            </w:pPr>
            <w:r>
              <w:t>4</w:t>
            </w:r>
          </w:p>
        </w:tc>
        <w:tc>
          <w:tcPr>
            <w:tcW w:w="345" w:type="pct"/>
            <w:shd w:val="clear" w:color="auto" w:fill="92D050"/>
            <w:noWrap/>
          </w:tcPr>
          <w:p w14:paraId="13CD7150" w14:textId="77777777" w:rsidR="00DC1B57" w:rsidRPr="00FE4491" w:rsidRDefault="00DC1B57" w:rsidP="003040CD">
            <w:pPr>
              <w:pStyle w:val="TableTextEntries"/>
              <w:jc w:val="center"/>
            </w:pPr>
            <w:r>
              <w:t>5</w:t>
            </w:r>
          </w:p>
        </w:tc>
        <w:tc>
          <w:tcPr>
            <w:tcW w:w="343" w:type="pct"/>
            <w:shd w:val="clear" w:color="auto" w:fill="F79646" w:themeFill="accent6"/>
            <w:noWrap/>
          </w:tcPr>
          <w:p w14:paraId="4B80C4A8" w14:textId="77777777" w:rsidR="00DC1B57" w:rsidRPr="00FE4491" w:rsidRDefault="00DC1B57" w:rsidP="003040CD">
            <w:pPr>
              <w:pStyle w:val="TableTextEntries"/>
              <w:jc w:val="center"/>
            </w:pPr>
            <w:r>
              <w:t>I</w:t>
            </w:r>
          </w:p>
        </w:tc>
      </w:tr>
      <w:tr w:rsidR="00DC1B57" w:rsidRPr="009D53C4" w14:paraId="50667FEB"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tcPr>
          <w:p w14:paraId="31EF8BD7" w14:textId="6688AB17" w:rsidR="00DC1B57" w:rsidRPr="00FE4491" w:rsidRDefault="00FC22AA" w:rsidP="003040CD">
            <w:pPr>
              <w:pStyle w:val="TableTextEntries"/>
            </w:pPr>
            <w:r w:rsidRPr="00610543">
              <w:t xml:space="preserve">BRAC </w:t>
            </w:r>
            <w:r w:rsidR="00DC1B57" w:rsidRPr="00610543">
              <w:t xml:space="preserve">Strategic Partnership Arrangement </w:t>
            </w:r>
          </w:p>
        </w:tc>
        <w:tc>
          <w:tcPr>
            <w:tcW w:w="521" w:type="pct"/>
          </w:tcPr>
          <w:p w14:paraId="4DD4828F" w14:textId="1A8ED104" w:rsidR="00DC1B57" w:rsidRPr="00FE4491" w:rsidRDefault="00DC1B57" w:rsidP="003040CD">
            <w:pPr>
              <w:pStyle w:val="TableTextEntries"/>
            </w:pPr>
            <w:r>
              <w:t>$180</w:t>
            </w:r>
            <w:r w:rsidR="006E277B">
              <w:t xml:space="preserve"> </w:t>
            </w:r>
            <w:r>
              <w:t xml:space="preserve">m  4 </w:t>
            </w:r>
            <w:r w:rsidR="006D7E94">
              <w:t>y</w:t>
            </w:r>
            <w:r>
              <w:t>ears</w:t>
            </w:r>
          </w:p>
        </w:tc>
        <w:tc>
          <w:tcPr>
            <w:tcW w:w="869" w:type="pct"/>
          </w:tcPr>
          <w:p w14:paraId="6CA17E6A" w14:textId="77777777" w:rsidR="00DC1B57" w:rsidRPr="00FE4491" w:rsidRDefault="00DC1B57" w:rsidP="003040CD">
            <w:pPr>
              <w:pStyle w:val="TableTextEntries"/>
            </w:pPr>
            <w:r>
              <w:t>2012</w:t>
            </w:r>
          </w:p>
        </w:tc>
        <w:tc>
          <w:tcPr>
            <w:tcW w:w="397" w:type="pct"/>
            <w:gridSpan w:val="2"/>
            <w:shd w:val="clear" w:color="auto" w:fill="92D050"/>
            <w:noWrap/>
          </w:tcPr>
          <w:p w14:paraId="0A7B99E1" w14:textId="77777777" w:rsidR="00DC1B57" w:rsidRPr="00FE4491" w:rsidRDefault="00DC1B57" w:rsidP="003040CD">
            <w:pPr>
              <w:pStyle w:val="TableTextEntries"/>
              <w:jc w:val="center"/>
            </w:pPr>
            <w:r>
              <w:t>5</w:t>
            </w:r>
          </w:p>
        </w:tc>
        <w:tc>
          <w:tcPr>
            <w:tcW w:w="345" w:type="pct"/>
            <w:shd w:val="clear" w:color="auto" w:fill="92D050"/>
            <w:noWrap/>
          </w:tcPr>
          <w:p w14:paraId="42CAF978" w14:textId="77777777" w:rsidR="00DC1B57" w:rsidRPr="00FE4491" w:rsidRDefault="00DC1B57" w:rsidP="003040CD">
            <w:pPr>
              <w:pStyle w:val="TableTextEntries"/>
              <w:jc w:val="center"/>
            </w:pPr>
            <w:r>
              <w:t>5</w:t>
            </w:r>
          </w:p>
        </w:tc>
        <w:tc>
          <w:tcPr>
            <w:tcW w:w="345" w:type="pct"/>
            <w:shd w:val="clear" w:color="auto" w:fill="92D050"/>
            <w:noWrap/>
          </w:tcPr>
          <w:p w14:paraId="7FD15B4A" w14:textId="77777777" w:rsidR="00DC1B57" w:rsidRPr="00FE4491" w:rsidRDefault="00DC1B57" w:rsidP="003040CD">
            <w:pPr>
              <w:pStyle w:val="TableTextEntries"/>
              <w:jc w:val="center"/>
            </w:pPr>
            <w:r>
              <w:t>5</w:t>
            </w:r>
          </w:p>
        </w:tc>
        <w:tc>
          <w:tcPr>
            <w:tcW w:w="364" w:type="pct"/>
            <w:shd w:val="clear" w:color="auto" w:fill="FFFF00"/>
            <w:noWrap/>
          </w:tcPr>
          <w:p w14:paraId="1DA818E6" w14:textId="77777777" w:rsidR="00DC1B57" w:rsidRPr="00FE4491" w:rsidRDefault="00DC1B57" w:rsidP="003040CD">
            <w:pPr>
              <w:pStyle w:val="TableTextEntries"/>
              <w:jc w:val="center"/>
            </w:pPr>
            <w:r>
              <w:t>4</w:t>
            </w:r>
          </w:p>
        </w:tc>
        <w:tc>
          <w:tcPr>
            <w:tcW w:w="318" w:type="pct"/>
            <w:shd w:val="clear" w:color="auto" w:fill="FFFF00"/>
            <w:noWrap/>
          </w:tcPr>
          <w:p w14:paraId="54D00280" w14:textId="77777777" w:rsidR="00DC1B57" w:rsidRPr="00FE4491" w:rsidRDefault="00DC1B57" w:rsidP="003040CD">
            <w:pPr>
              <w:pStyle w:val="TableTextEntries"/>
              <w:jc w:val="center"/>
            </w:pPr>
            <w:r>
              <w:t>4</w:t>
            </w:r>
          </w:p>
        </w:tc>
        <w:tc>
          <w:tcPr>
            <w:tcW w:w="345" w:type="pct"/>
            <w:shd w:val="clear" w:color="auto" w:fill="92D050"/>
            <w:noWrap/>
          </w:tcPr>
          <w:p w14:paraId="4AFCC543" w14:textId="77777777" w:rsidR="00DC1B57" w:rsidRPr="00FE4491" w:rsidRDefault="00DC1B57" w:rsidP="003040CD">
            <w:pPr>
              <w:pStyle w:val="TableTextEntries"/>
              <w:jc w:val="center"/>
            </w:pPr>
            <w:r>
              <w:t>5</w:t>
            </w:r>
          </w:p>
        </w:tc>
        <w:tc>
          <w:tcPr>
            <w:tcW w:w="343" w:type="pct"/>
            <w:shd w:val="clear" w:color="auto" w:fill="F79646" w:themeFill="accent6"/>
            <w:noWrap/>
          </w:tcPr>
          <w:p w14:paraId="5E28703B" w14:textId="77777777" w:rsidR="00DC1B57" w:rsidRPr="00FE4491" w:rsidRDefault="00DC1B57" w:rsidP="003040CD">
            <w:pPr>
              <w:pStyle w:val="TableTextEntries"/>
              <w:jc w:val="center"/>
            </w:pPr>
            <w:r>
              <w:t>I</w:t>
            </w:r>
          </w:p>
        </w:tc>
      </w:tr>
      <w:tr w:rsidR="00DC1B57" w:rsidRPr="009D53C4" w14:paraId="3613DF3B" w14:textId="77777777" w:rsidTr="003040CD">
        <w:trPr>
          <w:tblHeader w:val="0"/>
        </w:trPr>
        <w:tc>
          <w:tcPr>
            <w:tcW w:w="961" w:type="pct"/>
          </w:tcPr>
          <w:p w14:paraId="07463736" w14:textId="5C2ABCEA" w:rsidR="00DC1B57" w:rsidRPr="00FE4491" w:rsidRDefault="00DC1B57" w:rsidP="003040CD">
            <w:pPr>
              <w:pStyle w:val="TableTextEntries"/>
            </w:pPr>
            <w:r w:rsidRPr="00610543">
              <w:t xml:space="preserve">Bangladesh </w:t>
            </w:r>
            <w:r w:rsidR="00FC22AA">
              <w:t xml:space="preserve">primary </w:t>
            </w:r>
            <w:r w:rsidRPr="00610543">
              <w:t>education sector program</w:t>
            </w:r>
          </w:p>
        </w:tc>
        <w:tc>
          <w:tcPr>
            <w:tcW w:w="521" w:type="pct"/>
          </w:tcPr>
          <w:p w14:paraId="2BC0C81E" w14:textId="33C2B1A4" w:rsidR="00DC1B57" w:rsidRPr="00FE4491" w:rsidRDefault="00DC1B57" w:rsidP="003040CD">
            <w:pPr>
              <w:pStyle w:val="TableTextEntries"/>
            </w:pPr>
            <w:r>
              <w:t>$48</w:t>
            </w:r>
            <w:r w:rsidR="00F54E7F">
              <w:t>.</w:t>
            </w:r>
            <w:r>
              <w:t xml:space="preserve">8m   4 </w:t>
            </w:r>
            <w:r w:rsidR="006D7E94">
              <w:t>y</w:t>
            </w:r>
            <w:r>
              <w:t>ears</w:t>
            </w:r>
          </w:p>
        </w:tc>
        <w:tc>
          <w:tcPr>
            <w:tcW w:w="869" w:type="pct"/>
          </w:tcPr>
          <w:p w14:paraId="1DC9F4E7" w14:textId="77777777" w:rsidR="00DC1B57" w:rsidRPr="00FE4491" w:rsidRDefault="00DC1B57" w:rsidP="003040CD">
            <w:pPr>
              <w:pStyle w:val="TableTextEntries"/>
            </w:pPr>
            <w:r>
              <w:t>2012</w:t>
            </w:r>
          </w:p>
        </w:tc>
        <w:tc>
          <w:tcPr>
            <w:tcW w:w="397" w:type="pct"/>
            <w:gridSpan w:val="2"/>
            <w:shd w:val="clear" w:color="auto" w:fill="92D050"/>
            <w:noWrap/>
          </w:tcPr>
          <w:p w14:paraId="67C4F8C3" w14:textId="77777777" w:rsidR="00DC1B57" w:rsidRPr="00FE4491" w:rsidRDefault="00DC1B57" w:rsidP="003040CD">
            <w:pPr>
              <w:pStyle w:val="TableTextEntries"/>
              <w:jc w:val="center"/>
            </w:pPr>
            <w:r>
              <w:t>5</w:t>
            </w:r>
          </w:p>
        </w:tc>
        <w:tc>
          <w:tcPr>
            <w:tcW w:w="345" w:type="pct"/>
            <w:shd w:val="clear" w:color="auto" w:fill="FFFF00"/>
            <w:noWrap/>
          </w:tcPr>
          <w:p w14:paraId="0A884F8C" w14:textId="77777777" w:rsidR="00DC1B57" w:rsidRPr="00FE4491" w:rsidRDefault="00DC1B57" w:rsidP="003040CD">
            <w:pPr>
              <w:pStyle w:val="TableTextEntries"/>
              <w:jc w:val="center"/>
            </w:pPr>
            <w:r>
              <w:t>4</w:t>
            </w:r>
          </w:p>
        </w:tc>
        <w:tc>
          <w:tcPr>
            <w:tcW w:w="345" w:type="pct"/>
            <w:shd w:val="clear" w:color="auto" w:fill="FFFF00"/>
            <w:noWrap/>
          </w:tcPr>
          <w:p w14:paraId="2A606742" w14:textId="77777777" w:rsidR="00DC1B57" w:rsidRPr="00FE4491" w:rsidRDefault="00DC1B57" w:rsidP="003040CD">
            <w:pPr>
              <w:pStyle w:val="TableTextEntries"/>
              <w:jc w:val="center"/>
            </w:pPr>
            <w:r>
              <w:t>4</w:t>
            </w:r>
          </w:p>
        </w:tc>
        <w:tc>
          <w:tcPr>
            <w:tcW w:w="364" w:type="pct"/>
            <w:shd w:val="clear" w:color="auto" w:fill="92D050"/>
            <w:noWrap/>
          </w:tcPr>
          <w:p w14:paraId="4F6607B2" w14:textId="77777777" w:rsidR="00DC1B57" w:rsidRPr="00FE4491" w:rsidRDefault="00DC1B57" w:rsidP="003040CD">
            <w:pPr>
              <w:pStyle w:val="TableTextEntries"/>
              <w:jc w:val="center"/>
            </w:pPr>
            <w:r>
              <w:t>5</w:t>
            </w:r>
          </w:p>
        </w:tc>
        <w:tc>
          <w:tcPr>
            <w:tcW w:w="318" w:type="pct"/>
            <w:shd w:val="clear" w:color="auto" w:fill="FFFF00"/>
            <w:noWrap/>
          </w:tcPr>
          <w:p w14:paraId="184224C3" w14:textId="202F59AF" w:rsidR="00DC1B57" w:rsidRPr="009B1872" w:rsidRDefault="00773B73" w:rsidP="003040CD">
            <w:pPr>
              <w:pStyle w:val="TableTextEntries"/>
              <w:jc w:val="center"/>
              <w:rPr>
                <w:highlight w:val="yellow"/>
              </w:rPr>
            </w:pPr>
            <w:r w:rsidRPr="009B1872">
              <w:rPr>
                <w:highlight w:val="yellow"/>
              </w:rPr>
              <w:t>4</w:t>
            </w:r>
          </w:p>
        </w:tc>
        <w:tc>
          <w:tcPr>
            <w:tcW w:w="345" w:type="pct"/>
            <w:shd w:val="clear" w:color="auto" w:fill="FFFF00"/>
            <w:noWrap/>
          </w:tcPr>
          <w:p w14:paraId="3C89124D" w14:textId="77777777" w:rsidR="00DC1B57" w:rsidRPr="009B1872" w:rsidRDefault="00DC1B57" w:rsidP="003040CD">
            <w:pPr>
              <w:pStyle w:val="TableTextEntries"/>
              <w:jc w:val="center"/>
              <w:rPr>
                <w:highlight w:val="yellow"/>
              </w:rPr>
            </w:pPr>
            <w:r w:rsidRPr="009B1872">
              <w:rPr>
                <w:highlight w:val="yellow"/>
              </w:rPr>
              <w:t>4</w:t>
            </w:r>
          </w:p>
        </w:tc>
        <w:tc>
          <w:tcPr>
            <w:tcW w:w="343" w:type="pct"/>
            <w:shd w:val="clear" w:color="auto" w:fill="F79646" w:themeFill="accent6"/>
            <w:noWrap/>
          </w:tcPr>
          <w:p w14:paraId="718FD60F" w14:textId="77777777" w:rsidR="00DC1B57" w:rsidRPr="00FE4491" w:rsidRDefault="00DC1B57" w:rsidP="003040CD">
            <w:pPr>
              <w:pStyle w:val="TableTextEntries"/>
              <w:jc w:val="center"/>
            </w:pPr>
            <w:r>
              <w:t>I</w:t>
            </w:r>
          </w:p>
        </w:tc>
      </w:tr>
      <w:tr w:rsidR="00DC1B57" w:rsidRPr="009D53C4" w14:paraId="356D03DB" w14:textId="77777777" w:rsidTr="003040CD">
        <w:trPr>
          <w:cnfStyle w:val="000000010000" w:firstRow="0" w:lastRow="0" w:firstColumn="0" w:lastColumn="0" w:oddVBand="0" w:evenVBand="0" w:oddHBand="0" w:evenHBand="1" w:firstRowFirstColumn="0" w:firstRowLastColumn="0" w:lastRowFirstColumn="0" w:lastRowLastColumn="0"/>
          <w:tblHeader w:val="0"/>
        </w:trPr>
        <w:tc>
          <w:tcPr>
            <w:tcW w:w="961" w:type="pct"/>
          </w:tcPr>
          <w:p w14:paraId="3367B5EC" w14:textId="6E9E4AED" w:rsidR="00DC1B57" w:rsidRPr="00FE4491" w:rsidRDefault="00DC1B57" w:rsidP="003040CD">
            <w:pPr>
              <w:pStyle w:val="TableTextEntries"/>
            </w:pPr>
            <w:r w:rsidRPr="00610543">
              <w:t>Bangladesh health sector program</w:t>
            </w:r>
          </w:p>
        </w:tc>
        <w:tc>
          <w:tcPr>
            <w:tcW w:w="521" w:type="pct"/>
          </w:tcPr>
          <w:p w14:paraId="2CBAF042" w14:textId="0B244F73" w:rsidR="00DC1B57" w:rsidRPr="00FE4491" w:rsidRDefault="00DC1B57" w:rsidP="003040CD">
            <w:pPr>
              <w:pStyle w:val="TableTextEntries"/>
            </w:pPr>
            <w:r>
              <w:t>$35</w:t>
            </w:r>
            <w:r w:rsidR="00F54E7F">
              <w:t>.</w:t>
            </w:r>
            <w:r>
              <w:t>5</w:t>
            </w:r>
            <w:r w:rsidR="006E277B">
              <w:t xml:space="preserve"> </w:t>
            </w:r>
            <w:r>
              <w:t xml:space="preserve">m 4 </w:t>
            </w:r>
            <w:r w:rsidR="006D7E94">
              <w:t>y</w:t>
            </w:r>
            <w:r>
              <w:t>ears</w:t>
            </w:r>
          </w:p>
        </w:tc>
        <w:tc>
          <w:tcPr>
            <w:tcW w:w="869" w:type="pct"/>
          </w:tcPr>
          <w:p w14:paraId="1A9FDF6F" w14:textId="77777777" w:rsidR="00DC1B57" w:rsidRPr="00FE4491" w:rsidRDefault="00DC1B57" w:rsidP="003040CD">
            <w:pPr>
              <w:pStyle w:val="TableTextEntries"/>
            </w:pPr>
            <w:r>
              <w:t>2012</w:t>
            </w:r>
          </w:p>
        </w:tc>
        <w:tc>
          <w:tcPr>
            <w:tcW w:w="397" w:type="pct"/>
            <w:gridSpan w:val="2"/>
            <w:shd w:val="clear" w:color="auto" w:fill="92D050"/>
            <w:noWrap/>
          </w:tcPr>
          <w:p w14:paraId="024B556F" w14:textId="77777777" w:rsidR="00DC1B57" w:rsidRPr="00FE4491" w:rsidRDefault="00DC1B57" w:rsidP="003040CD">
            <w:pPr>
              <w:pStyle w:val="TableTextEntries"/>
              <w:jc w:val="center"/>
            </w:pPr>
            <w:r>
              <w:t>5</w:t>
            </w:r>
          </w:p>
        </w:tc>
        <w:tc>
          <w:tcPr>
            <w:tcW w:w="345" w:type="pct"/>
            <w:shd w:val="clear" w:color="auto" w:fill="FFFF00"/>
            <w:noWrap/>
          </w:tcPr>
          <w:p w14:paraId="1F1927F7" w14:textId="77777777" w:rsidR="00DC1B57" w:rsidRPr="00FE4491" w:rsidRDefault="00DC1B57" w:rsidP="003040CD">
            <w:pPr>
              <w:pStyle w:val="TableTextEntries"/>
              <w:jc w:val="center"/>
            </w:pPr>
            <w:r>
              <w:t>4</w:t>
            </w:r>
          </w:p>
        </w:tc>
        <w:tc>
          <w:tcPr>
            <w:tcW w:w="345" w:type="pct"/>
            <w:shd w:val="clear" w:color="auto" w:fill="FFFF00"/>
            <w:noWrap/>
          </w:tcPr>
          <w:p w14:paraId="231F01C1" w14:textId="77777777" w:rsidR="00DC1B57" w:rsidRPr="00FE4491" w:rsidRDefault="00DC1B57" w:rsidP="003040CD">
            <w:pPr>
              <w:pStyle w:val="TableTextEntries"/>
              <w:jc w:val="center"/>
            </w:pPr>
            <w:r>
              <w:t>4</w:t>
            </w:r>
          </w:p>
        </w:tc>
        <w:tc>
          <w:tcPr>
            <w:tcW w:w="364" w:type="pct"/>
            <w:shd w:val="clear" w:color="auto" w:fill="FFFF00"/>
            <w:noWrap/>
          </w:tcPr>
          <w:p w14:paraId="77931D7B" w14:textId="77777777" w:rsidR="00DC1B57" w:rsidRPr="00FE4491" w:rsidRDefault="00DC1B57" w:rsidP="003040CD">
            <w:pPr>
              <w:pStyle w:val="TableTextEntries"/>
              <w:jc w:val="center"/>
            </w:pPr>
            <w:r>
              <w:t>4</w:t>
            </w:r>
          </w:p>
        </w:tc>
        <w:tc>
          <w:tcPr>
            <w:tcW w:w="318" w:type="pct"/>
            <w:shd w:val="clear" w:color="auto" w:fill="FFFF00"/>
            <w:noWrap/>
          </w:tcPr>
          <w:p w14:paraId="61DEE5C0" w14:textId="77777777" w:rsidR="00DC1B57" w:rsidRPr="00FE4491" w:rsidRDefault="00DC1B57" w:rsidP="003040CD">
            <w:pPr>
              <w:pStyle w:val="TableTextEntries"/>
              <w:jc w:val="center"/>
            </w:pPr>
            <w:r>
              <w:t>4</w:t>
            </w:r>
          </w:p>
        </w:tc>
        <w:tc>
          <w:tcPr>
            <w:tcW w:w="345" w:type="pct"/>
            <w:shd w:val="clear" w:color="auto" w:fill="92D050"/>
            <w:noWrap/>
          </w:tcPr>
          <w:p w14:paraId="3F20F082" w14:textId="77777777" w:rsidR="00DC1B57" w:rsidRPr="00FE4491" w:rsidRDefault="00DC1B57" w:rsidP="003040CD">
            <w:pPr>
              <w:pStyle w:val="TableTextEntries"/>
              <w:jc w:val="center"/>
            </w:pPr>
            <w:r>
              <w:t>5</w:t>
            </w:r>
          </w:p>
        </w:tc>
        <w:tc>
          <w:tcPr>
            <w:tcW w:w="343" w:type="pct"/>
            <w:shd w:val="clear" w:color="auto" w:fill="F79646" w:themeFill="accent6"/>
            <w:noWrap/>
          </w:tcPr>
          <w:p w14:paraId="6DB78B6F" w14:textId="77777777" w:rsidR="00DC1B57" w:rsidRPr="00FE4491" w:rsidRDefault="00DC1B57" w:rsidP="003040CD">
            <w:pPr>
              <w:pStyle w:val="TableTextEntries"/>
              <w:jc w:val="center"/>
            </w:pPr>
            <w:r>
              <w:t>I</w:t>
            </w:r>
          </w:p>
        </w:tc>
      </w:tr>
      <w:tr w:rsidR="00DC1B57" w:rsidRPr="009D53C4" w14:paraId="601E3D4E" w14:textId="77777777" w:rsidTr="003040CD">
        <w:trPr>
          <w:tblHeader w:val="0"/>
        </w:trPr>
        <w:tc>
          <w:tcPr>
            <w:tcW w:w="961" w:type="pct"/>
          </w:tcPr>
          <w:p w14:paraId="3239BD01" w14:textId="3026B56A" w:rsidR="00DC1B57" w:rsidRPr="00FE4491" w:rsidRDefault="00EC3BF5" w:rsidP="003040CD">
            <w:pPr>
              <w:pStyle w:val="TableTextEntries"/>
            </w:pPr>
            <w:r>
              <w:t xml:space="preserve">Support to </w:t>
            </w:r>
            <w:r w:rsidR="00DC1B57" w:rsidRPr="00610543">
              <w:t>W</w:t>
            </w:r>
            <w:r w:rsidR="006E277B">
              <w:t>orld Food Programme</w:t>
            </w:r>
            <w:r w:rsidR="006D7E94">
              <w:t>—</w:t>
            </w:r>
            <w:r>
              <w:t>integrated hunger and under nutrition</w:t>
            </w:r>
          </w:p>
        </w:tc>
        <w:tc>
          <w:tcPr>
            <w:tcW w:w="521" w:type="pct"/>
          </w:tcPr>
          <w:p w14:paraId="6C149E09" w14:textId="1E9BE582" w:rsidR="00DC1B57" w:rsidRPr="00FE4491" w:rsidRDefault="00DC1B57" w:rsidP="003040CD">
            <w:pPr>
              <w:pStyle w:val="TableTextEntries"/>
            </w:pPr>
            <w:r w:rsidRPr="006D7E94">
              <w:t>$5</w:t>
            </w:r>
            <w:r w:rsidR="006E277B">
              <w:t xml:space="preserve"> </w:t>
            </w:r>
            <w:r w:rsidRPr="006D7E94">
              <w:t>m</w:t>
            </w:r>
            <w:r w:rsidR="006D7E94">
              <w:br/>
            </w:r>
            <w:r>
              <w:t xml:space="preserve">3 </w:t>
            </w:r>
            <w:r w:rsidR="006D7E94">
              <w:t>y</w:t>
            </w:r>
            <w:r>
              <w:t>ears</w:t>
            </w:r>
          </w:p>
        </w:tc>
        <w:tc>
          <w:tcPr>
            <w:tcW w:w="869" w:type="pct"/>
          </w:tcPr>
          <w:p w14:paraId="6DFFB4D4" w14:textId="77777777" w:rsidR="00DC1B57" w:rsidRPr="00FE4491" w:rsidRDefault="00DC1B57" w:rsidP="003040CD">
            <w:pPr>
              <w:pStyle w:val="TableTextEntries"/>
            </w:pPr>
            <w:r>
              <w:t>2012</w:t>
            </w:r>
          </w:p>
        </w:tc>
        <w:tc>
          <w:tcPr>
            <w:tcW w:w="397" w:type="pct"/>
            <w:gridSpan w:val="2"/>
            <w:tcBorders>
              <w:top w:val="nil"/>
              <w:bottom w:val="nil"/>
            </w:tcBorders>
            <w:shd w:val="clear" w:color="auto" w:fill="FFFF00"/>
            <w:noWrap/>
          </w:tcPr>
          <w:p w14:paraId="05C92912" w14:textId="77777777" w:rsidR="00DC1B57" w:rsidRPr="00FE4491" w:rsidRDefault="00DC1B57" w:rsidP="003040CD">
            <w:pPr>
              <w:pStyle w:val="TableTextEntries"/>
              <w:jc w:val="center"/>
            </w:pPr>
            <w:r>
              <w:t>4</w:t>
            </w:r>
          </w:p>
        </w:tc>
        <w:tc>
          <w:tcPr>
            <w:tcW w:w="345" w:type="pct"/>
            <w:tcBorders>
              <w:top w:val="nil"/>
              <w:bottom w:val="nil"/>
            </w:tcBorders>
            <w:shd w:val="clear" w:color="auto" w:fill="FFFF00"/>
            <w:noWrap/>
          </w:tcPr>
          <w:p w14:paraId="11395B5A" w14:textId="77777777" w:rsidR="00DC1B57" w:rsidRPr="00FE4491" w:rsidRDefault="00DC1B57" w:rsidP="003040CD">
            <w:pPr>
              <w:pStyle w:val="TableTextEntries"/>
              <w:jc w:val="center"/>
            </w:pPr>
            <w:r>
              <w:t>4</w:t>
            </w:r>
          </w:p>
        </w:tc>
        <w:tc>
          <w:tcPr>
            <w:tcW w:w="345" w:type="pct"/>
            <w:tcBorders>
              <w:top w:val="nil"/>
              <w:bottom w:val="nil"/>
            </w:tcBorders>
            <w:shd w:val="clear" w:color="auto" w:fill="FF0000"/>
            <w:noWrap/>
          </w:tcPr>
          <w:p w14:paraId="60724DEE" w14:textId="77777777" w:rsidR="00DC1B57" w:rsidRPr="00FE4491" w:rsidRDefault="00DC1B57" w:rsidP="003040CD">
            <w:pPr>
              <w:pStyle w:val="TableTextEntries"/>
              <w:jc w:val="center"/>
            </w:pPr>
            <w:r>
              <w:t>2</w:t>
            </w:r>
          </w:p>
        </w:tc>
        <w:tc>
          <w:tcPr>
            <w:tcW w:w="364" w:type="pct"/>
            <w:tcBorders>
              <w:top w:val="nil"/>
              <w:bottom w:val="nil"/>
            </w:tcBorders>
            <w:shd w:val="clear" w:color="auto" w:fill="FF0000"/>
            <w:noWrap/>
          </w:tcPr>
          <w:p w14:paraId="1C24932E" w14:textId="77777777" w:rsidR="00DC1B57" w:rsidRPr="00FE4491" w:rsidRDefault="00DC1B57" w:rsidP="003040CD">
            <w:pPr>
              <w:pStyle w:val="TableTextEntries"/>
              <w:jc w:val="center"/>
            </w:pPr>
            <w:r>
              <w:t>2</w:t>
            </w:r>
          </w:p>
        </w:tc>
        <w:tc>
          <w:tcPr>
            <w:tcW w:w="318" w:type="pct"/>
            <w:tcBorders>
              <w:top w:val="nil"/>
              <w:bottom w:val="nil"/>
            </w:tcBorders>
            <w:shd w:val="clear" w:color="auto" w:fill="F79646" w:themeFill="accent6"/>
            <w:noWrap/>
          </w:tcPr>
          <w:p w14:paraId="422F1EE2" w14:textId="77777777" w:rsidR="00DC1B57" w:rsidRPr="00FE4491" w:rsidRDefault="00DC1B57" w:rsidP="003040CD">
            <w:pPr>
              <w:pStyle w:val="TableTextEntries"/>
              <w:jc w:val="center"/>
            </w:pPr>
            <w:r>
              <w:t>3</w:t>
            </w:r>
          </w:p>
        </w:tc>
        <w:tc>
          <w:tcPr>
            <w:tcW w:w="345" w:type="pct"/>
            <w:tcBorders>
              <w:top w:val="nil"/>
              <w:bottom w:val="nil"/>
            </w:tcBorders>
            <w:shd w:val="clear" w:color="auto" w:fill="FFFF00"/>
            <w:noWrap/>
          </w:tcPr>
          <w:p w14:paraId="24C08F68" w14:textId="77777777" w:rsidR="00DC1B57" w:rsidRPr="00FE4491" w:rsidRDefault="00DC1B57" w:rsidP="003040CD">
            <w:pPr>
              <w:pStyle w:val="TableTextEntries"/>
              <w:jc w:val="center"/>
            </w:pPr>
            <w:r>
              <w:t>4</w:t>
            </w:r>
          </w:p>
        </w:tc>
        <w:tc>
          <w:tcPr>
            <w:tcW w:w="343" w:type="pct"/>
            <w:tcBorders>
              <w:top w:val="nil"/>
              <w:bottom w:val="nil"/>
            </w:tcBorders>
            <w:shd w:val="clear" w:color="auto" w:fill="F79646" w:themeFill="accent6"/>
            <w:noWrap/>
          </w:tcPr>
          <w:p w14:paraId="0A4A5151" w14:textId="77777777" w:rsidR="00DC1B57" w:rsidRPr="00FE4491" w:rsidRDefault="00DC1B57" w:rsidP="003040CD">
            <w:pPr>
              <w:pStyle w:val="TableTextEntries"/>
              <w:jc w:val="center"/>
            </w:pPr>
            <w:r>
              <w:t>I</w:t>
            </w:r>
          </w:p>
        </w:tc>
      </w:tr>
    </w:tbl>
    <w:p w14:paraId="0322D1F9" w14:textId="77777777" w:rsidR="00DC1B57" w:rsidRDefault="00DC1B57" w:rsidP="00DC1B57"/>
    <w:p w14:paraId="3F1030B1" w14:textId="77777777" w:rsidR="00DC1B57" w:rsidRDefault="00DC1B57" w:rsidP="00DC1B57">
      <w:pPr>
        <w:pStyle w:val="BodyText"/>
      </w:pPr>
    </w:p>
    <w:p w14:paraId="6B28BF34" w14:textId="77777777" w:rsidR="00DC1B57" w:rsidRPr="00DC1B57" w:rsidRDefault="00DC1B57" w:rsidP="00DC1B57">
      <w:pPr>
        <w:pStyle w:val="BodyText"/>
      </w:pPr>
    </w:p>
    <w:p w14:paraId="22335E5E" w14:textId="77777777" w:rsidR="00FE4491" w:rsidRDefault="00FE4491" w:rsidP="00FE4491">
      <w:pPr>
        <w:pStyle w:val="Note"/>
      </w:pPr>
      <w:r>
        <w:lastRenderedPageBreak/>
        <w:t>Definitions of rating scale:</w:t>
      </w:r>
      <w:r>
        <w:tab/>
      </w:r>
    </w:p>
    <w:p w14:paraId="22335E5F" w14:textId="77777777" w:rsidR="00FE4491" w:rsidRDefault="00FE4491" w:rsidP="00FE4491">
      <w:pPr>
        <w:pStyle w:val="Note"/>
      </w:pPr>
      <w:r>
        <w:t>Satisfactory (4, 5 and 6)</w:t>
      </w:r>
    </w:p>
    <w:p w14:paraId="22335E60" w14:textId="77777777" w:rsidR="00FE4491" w:rsidRDefault="00FE4491" w:rsidP="00FE4491">
      <w:pPr>
        <w:pStyle w:val="Note"/>
      </w:pPr>
      <w:r w:rsidRPr="00FE4491">
        <w:rPr>
          <w:color w:val="92D050"/>
        </w:rPr>
        <w:sym w:font="Webdings" w:char="F067"/>
      </w:r>
      <w:r>
        <w:t xml:space="preserve"> = 6 = Very high quality</w:t>
      </w:r>
    </w:p>
    <w:p w14:paraId="22335E61" w14:textId="77777777" w:rsidR="00FE4491" w:rsidRDefault="00FE4491" w:rsidP="00FE4491">
      <w:pPr>
        <w:pStyle w:val="Note"/>
      </w:pPr>
      <w:r w:rsidRPr="00FE4491">
        <w:rPr>
          <w:color w:val="92D050"/>
        </w:rPr>
        <w:sym w:font="Webdings" w:char="F067"/>
      </w:r>
      <w:r>
        <w:t xml:space="preserve"> = 5 = Good quality</w:t>
      </w:r>
    </w:p>
    <w:p w14:paraId="22335E62" w14:textId="77777777" w:rsidR="00FE4491" w:rsidRDefault="00FE4491" w:rsidP="00FE4491">
      <w:pPr>
        <w:pStyle w:val="Note"/>
      </w:pPr>
      <w:r w:rsidRPr="000774FD">
        <w:rPr>
          <w:color w:val="FFFF00"/>
        </w:rPr>
        <w:sym w:font="Webdings" w:char="F067"/>
      </w:r>
      <w:r>
        <w:t xml:space="preserve"> = 4 = Adequate quality, needs some work</w:t>
      </w:r>
    </w:p>
    <w:p w14:paraId="22335E63" w14:textId="77777777" w:rsidR="00FE4491" w:rsidRDefault="00FE4491" w:rsidP="00FE4491">
      <w:pPr>
        <w:pStyle w:val="Note"/>
      </w:pPr>
      <w:r>
        <w:t>Less than satisfactory (1, 2 and 3)</w:t>
      </w:r>
    </w:p>
    <w:p w14:paraId="22335E64" w14:textId="77777777" w:rsidR="00FE4491" w:rsidRDefault="00FE4491" w:rsidP="00FE4491">
      <w:pPr>
        <w:pStyle w:val="Note"/>
      </w:pPr>
      <w:r w:rsidRPr="00FD710F">
        <w:rPr>
          <w:color w:val="F79646"/>
        </w:rPr>
        <w:sym w:font="Webdings" w:char="F067"/>
      </w:r>
      <w:r>
        <w:t xml:space="preserve"> = 3 = Less than adequate quality; needs significant work</w:t>
      </w:r>
    </w:p>
    <w:p w14:paraId="22335E65" w14:textId="77777777" w:rsidR="00FE4491" w:rsidRDefault="00FE4491" w:rsidP="00FE4491">
      <w:pPr>
        <w:pStyle w:val="Note"/>
      </w:pPr>
      <w:r w:rsidRPr="000774FD">
        <w:rPr>
          <w:color w:val="FF0000"/>
        </w:rPr>
        <w:sym w:font="Webdings" w:char="F067"/>
      </w:r>
      <w:r>
        <w:t xml:space="preserve"> = 2 = Poor quality; needs major work to improve</w:t>
      </w:r>
    </w:p>
    <w:p w14:paraId="22335E66" w14:textId="77777777" w:rsidR="00FE4491" w:rsidRDefault="00FE4491" w:rsidP="00FE4491">
      <w:pPr>
        <w:pStyle w:val="Note"/>
      </w:pPr>
      <w:r w:rsidRPr="000774FD">
        <w:rPr>
          <w:color w:val="FF0000"/>
        </w:rPr>
        <w:sym w:font="Webdings" w:char="F067"/>
      </w:r>
      <w:r>
        <w:t xml:space="preserve"> = 1 = Very poor quality; needs major overhaul</w:t>
      </w:r>
    </w:p>
    <w:p w14:paraId="22335E67" w14:textId="77777777" w:rsidR="00FE4491" w:rsidRDefault="00FE4491" w:rsidP="00FE4491">
      <w:pPr>
        <w:pStyle w:val="Note"/>
      </w:pPr>
    </w:p>
    <w:p w14:paraId="22335E68" w14:textId="77777777" w:rsidR="00FE4491" w:rsidRDefault="00FE4491" w:rsidP="00FE4491">
      <w:pPr>
        <w:pStyle w:val="Note"/>
      </w:pPr>
      <w:r>
        <w:t>Risk Management scale:</w:t>
      </w:r>
    </w:p>
    <w:p w14:paraId="22335E69" w14:textId="0D526C84" w:rsidR="00FE4491" w:rsidRDefault="00FE4491" w:rsidP="00FE4491">
      <w:pPr>
        <w:pStyle w:val="Note"/>
      </w:pPr>
      <w:r w:rsidRPr="00FE4491">
        <w:rPr>
          <w:color w:val="92D050"/>
        </w:rPr>
        <w:sym w:font="Webdings" w:char="F067"/>
      </w:r>
      <w:r>
        <w:t xml:space="preserve">   Mature (M)</w:t>
      </w:r>
      <w:r w:rsidR="00F54E7F">
        <w:t xml:space="preserve">. </w:t>
      </w:r>
      <w:r>
        <w:t>Indicates the initiative manager conducts risk discussions on at least a monthly basis with all stakeholders and updates the risk registry quarterly</w:t>
      </w:r>
      <w:r w:rsidR="00F54E7F">
        <w:t xml:space="preserve">. </w:t>
      </w:r>
    </w:p>
    <w:p w14:paraId="22335E6A" w14:textId="642C1370" w:rsidR="00FE4491" w:rsidRDefault="00FE4491" w:rsidP="00FE4491">
      <w:pPr>
        <w:pStyle w:val="Note"/>
      </w:pPr>
      <w:r w:rsidRPr="00FD710F">
        <w:rPr>
          <w:color w:val="F79646"/>
        </w:rPr>
        <w:sym w:font="Webdings" w:char="F067"/>
      </w:r>
      <w:r>
        <w:t xml:space="preserve">  Intermediate (I)</w:t>
      </w:r>
      <w:r w:rsidR="00F54E7F">
        <w:t xml:space="preserve">. </w:t>
      </w:r>
      <w:r>
        <w:t>Indicates the initiative manager conducts ad-hoc risk discussion and updates the risk register occasionally</w:t>
      </w:r>
      <w:r w:rsidR="00F54E7F">
        <w:t xml:space="preserve">. </w:t>
      </w:r>
    </w:p>
    <w:p w14:paraId="22335E6B" w14:textId="3C80E474" w:rsidR="00FE4491" w:rsidRDefault="00FE4491" w:rsidP="00FE4491">
      <w:pPr>
        <w:pStyle w:val="Note"/>
      </w:pPr>
      <w:r w:rsidRPr="000774FD">
        <w:rPr>
          <w:color w:val="FF0000"/>
        </w:rPr>
        <w:sym w:font="Webdings" w:char="F067"/>
      </w:r>
      <w:r>
        <w:t xml:space="preserve">  </w:t>
      </w:r>
      <w:proofErr w:type="gramStart"/>
      <w:r>
        <w:t>Basic (B)</w:t>
      </w:r>
      <w:r w:rsidR="00F54E7F">
        <w:t>.</w:t>
      </w:r>
      <w:proofErr w:type="gramEnd"/>
      <w:r w:rsidR="00F54E7F">
        <w:t xml:space="preserve"> </w:t>
      </w:r>
      <w:r>
        <w:t>Indicates there are limited or few risk discussions and the risk register has not been updated in the past 12 months</w:t>
      </w:r>
      <w:r w:rsidR="00F54E7F">
        <w:t xml:space="preserve">. </w:t>
      </w:r>
    </w:p>
    <w:p w14:paraId="0EF5D873" w14:textId="77777777" w:rsidR="00610543" w:rsidRPr="00610543" w:rsidRDefault="00610543" w:rsidP="00610543"/>
    <w:p w14:paraId="22335E6C" w14:textId="77777777" w:rsidR="00071B95" w:rsidRDefault="00071B95" w:rsidP="00071B95"/>
    <w:p w14:paraId="22335E6D" w14:textId="77777777" w:rsidR="00071B95" w:rsidRDefault="00071B95" w:rsidP="00071B95">
      <w:pPr>
        <w:sectPr w:rsidR="00071B95" w:rsidSect="003D6095">
          <w:headerReference w:type="default" r:id="rId17"/>
          <w:footerReference w:type="default" r:id="rId18"/>
          <w:headerReference w:type="first" r:id="rId19"/>
          <w:footerReference w:type="first" r:id="rId20"/>
          <w:pgSz w:w="11906" w:h="16838" w:code="9"/>
          <w:pgMar w:top="2268" w:right="1701" w:bottom="907" w:left="1871" w:header="709" w:footer="454" w:gutter="0"/>
          <w:cols w:space="708"/>
          <w:docGrid w:linePitch="360"/>
        </w:sectPr>
      </w:pPr>
    </w:p>
    <w:p w14:paraId="0AC85CAB" w14:textId="77777777" w:rsidR="00792F95" w:rsidRPr="003040CD" w:rsidRDefault="00792F95" w:rsidP="003040CD">
      <w:pPr>
        <w:pStyle w:val="Heading1"/>
      </w:pPr>
      <w:r w:rsidRPr="003040CD">
        <w:lastRenderedPageBreak/>
        <w:t>Annex C</w:t>
      </w:r>
    </w:p>
    <w:p w14:paraId="4397BF99" w14:textId="702DEE66" w:rsidR="00792F95" w:rsidRPr="003040CD" w:rsidRDefault="00792F95" w:rsidP="003040CD">
      <w:pPr>
        <w:pStyle w:val="Heading2"/>
      </w:pPr>
      <w:r w:rsidRPr="003040CD">
        <w:t xml:space="preserve">Evaluation and </w:t>
      </w:r>
      <w:r w:rsidR="001B0A28" w:rsidRPr="003040CD">
        <w:t>r</w:t>
      </w:r>
      <w:r w:rsidRPr="003040CD">
        <w:t xml:space="preserve">eview </w:t>
      </w:r>
      <w:r w:rsidR="001B0A28" w:rsidRPr="003040CD">
        <w:t>p</w:t>
      </w:r>
      <w:r w:rsidRPr="003040CD">
        <w:t xml:space="preserve">ipeline </w:t>
      </w:r>
      <w:r w:rsidR="001B0A28" w:rsidRPr="003040CD">
        <w:t>p</w:t>
      </w:r>
      <w:r w:rsidRPr="003040CD">
        <w:t>lanning</w:t>
      </w:r>
    </w:p>
    <w:p w14:paraId="6094F100" w14:textId="2D1FB332" w:rsidR="00792F95" w:rsidRPr="00071B95" w:rsidRDefault="00792F95" w:rsidP="00792F95">
      <w:pPr>
        <w:pStyle w:val="Caption"/>
      </w:pPr>
      <w:r w:rsidRPr="00071B95">
        <w:t xml:space="preserve">List of </w:t>
      </w:r>
      <w:r w:rsidR="001B0A28">
        <w:t>e</w:t>
      </w:r>
      <w:r w:rsidRPr="00071B95">
        <w:t>valuations completed</w:t>
      </w:r>
      <w:r w:rsidRPr="00071B95">
        <w:rPr>
          <w:vertAlign w:val="superscript"/>
        </w:rPr>
        <w:footnoteReference w:id="35"/>
      </w:r>
      <w:r w:rsidRPr="00071B95">
        <w:t xml:space="preserve"> in the reporting period </w:t>
      </w:r>
    </w:p>
    <w:tbl>
      <w:tblPr>
        <w:tblStyle w:val="APPR"/>
        <w:tblW w:w="5000" w:type="pct"/>
        <w:tblLook w:val="04A0" w:firstRow="1" w:lastRow="0" w:firstColumn="1" w:lastColumn="0" w:noHBand="0" w:noVBand="1"/>
      </w:tblPr>
      <w:tblGrid>
        <w:gridCol w:w="2053"/>
        <w:gridCol w:w="2071"/>
        <w:gridCol w:w="2175"/>
        <w:gridCol w:w="2078"/>
        <w:gridCol w:w="2058"/>
        <w:gridCol w:w="1871"/>
        <w:gridCol w:w="1631"/>
      </w:tblGrid>
      <w:tr w:rsidR="00792F95" w:rsidRPr="00071B95" w14:paraId="53251A9B" w14:textId="77777777" w:rsidTr="003040CD">
        <w:trPr>
          <w:cnfStyle w:val="100000000000" w:firstRow="1" w:lastRow="0" w:firstColumn="0" w:lastColumn="0" w:oddVBand="0" w:evenVBand="0" w:oddHBand="0" w:evenHBand="0" w:firstRowFirstColumn="0" w:firstRowLastColumn="0" w:lastRowFirstColumn="0" w:lastRowLastColumn="0"/>
          <w:cantSplit/>
        </w:trPr>
        <w:tc>
          <w:tcPr>
            <w:tcW w:w="2003" w:type="dxa"/>
          </w:tcPr>
          <w:p w14:paraId="4CEE8197" w14:textId="55F0990A" w:rsidR="00792F95" w:rsidRPr="003040CD" w:rsidRDefault="00792F95" w:rsidP="003040CD">
            <w:pPr>
              <w:pStyle w:val="TableTextColumnHeading"/>
              <w:rPr>
                <w:b/>
              </w:rPr>
            </w:pPr>
            <w:r w:rsidRPr="003040CD">
              <w:rPr>
                <w:b/>
              </w:rPr>
              <w:t xml:space="preserve">Name of </w:t>
            </w:r>
            <w:r w:rsidR="001B0A28" w:rsidRPr="003040CD">
              <w:rPr>
                <w:b/>
              </w:rPr>
              <w:t>i</w:t>
            </w:r>
            <w:r w:rsidRPr="003040CD">
              <w:rPr>
                <w:b/>
              </w:rPr>
              <w:t>nitiative</w:t>
            </w:r>
          </w:p>
        </w:tc>
        <w:tc>
          <w:tcPr>
            <w:tcW w:w="2035" w:type="dxa"/>
          </w:tcPr>
          <w:p w14:paraId="74EE499B" w14:textId="77777777" w:rsidR="00792F95" w:rsidRPr="003040CD" w:rsidRDefault="00792F95" w:rsidP="003040CD">
            <w:pPr>
              <w:pStyle w:val="TableTextColumnHeading"/>
              <w:rPr>
                <w:b/>
              </w:rPr>
            </w:pPr>
            <w:proofErr w:type="spellStart"/>
            <w:r w:rsidRPr="003040CD">
              <w:rPr>
                <w:b/>
              </w:rPr>
              <w:t>Aidworks</w:t>
            </w:r>
            <w:proofErr w:type="spellEnd"/>
            <w:r w:rsidRPr="003040CD">
              <w:rPr>
                <w:b/>
              </w:rPr>
              <w:t xml:space="preserve"> number</w:t>
            </w:r>
          </w:p>
        </w:tc>
        <w:tc>
          <w:tcPr>
            <w:tcW w:w="2138" w:type="dxa"/>
          </w:tcPr>
          <w:p w14:paraId="748AB1A5" w14:textId="77777777" w:rsidR="00792F95" w:rsidRPr="003040CD" w:rsidRDefault="00792F95" w:rsidP="003040CD">
            <w:pPr>
              <w:pStyle w:val="TableTextColumnHeading"/>
              <w:rPr>
                <w:b/>
              </w:rPr>
            </w:pPr>
            <w:r w:rsidRPr="003040CD">
              <w:rPr>
                <w:b/>
              </w:rPr>
              <w:t>Type of evaluation</w:t>
            </w:r>
            <w:r w:rsidRPr="003040CD">
              <w:rPr>
                <w:b/>
              </w:rPr>
              <w:footnoteReference w:id="36"/>
            </w:r>
          </w:p>
        </w:tc>
        <w:tc>
          <w:tcPr>
            <w:tcW w:w="2041" w:type="dxa"/>
          </w:tcPr>
          <w:p w14:paraId="07CE0E57" w14:textId="0A2BEB07" w:rsidR="00792F95" w:rsidRPr="003040CD" w:rsidRDefault="00792F95" w:rsidP="003040CD">
            <w:pPr>
              <w:pStyle w:val="TableTextColumnHeading"/>
              <w:rPr>
                <w:b/>
              </w:rPr>
            </w:pPr>
            <w:r w:rsidRPr="003040CD">
              <w:rPr>
                <w:b/>
              </w:rPr>
              <w:t xml:space="preserve">Date </w:t>
            </w:r>
            <w:r w:rsidR="001B0A28" w:rsidRPr="003040CD">
              <w:rPr>
                <w:b/>
              </w:rPr>
              <w:t>e</w:t>
            </w:r>
            <w:r w:rsidRPr="003040CD">
              <w:rPr>
                <w:b/>
              </w:rPr>
              <w:t>valuation report received</w:t>
            </w:r>
          </w:p>
        </w:tc>
        <w:tc>
          <w:tcPr>
            <w:tcW w:w="2022" w:type="dxa"/>
          </w:tcPr>
          <w:p w14:paraId="0708DBC7" w14:textId="3A0217E8" w:rsidR="00792F95" w:rsidRPr="003040CD" w:rsidRDefault="00792F95" w:rsidP="003040CD">
            <w:pPr>
              <w:pStyle w:val="TableTextColumnHeading"/>
              <w:rPr>
                <w:b/>
              </w:rPr>
            </w:pPr>
            <w:r w:rsidRPr="003040CD">
              <w:rPr>
                <w:b/>
              </w:rPr>
              <w:t xml:space="preserve">Date </w:t>
            </w:r>
            <w:r w:rsidR="001B0A28" w:rsidRPr="003040CD">
              <w:rPr>
                <w:b/>
              </w:rPr>
              <w:t>e</w:t>
            </w:r>
            <w:r w:rsidRPr="003040CD">
              <w:rPr>
                <w:b/>
              </w:rPr>
              <w:t xml:space="preserve">valuation report </w:t>
            </w:r>
            <w:r w:rsidR="001B0A28" w:rsidRPr="003040CD">
              <w:rPr>
                <w:b/>
              </w:rPr>
              <w:t>u</w:t>
            </w:r>
            <w:r w:rsidRPr="003040CD">
              <w:rPr>
                <w:b/>
              </w:rPr>
              <w:t xml:space="preserve">ploaded into </w:t>
            </w:r>
            <w:proofErr w:type="spellStart"/>
            <w:r w:rsidRPr="003040CD">
              <w:rPr>
                <w:b/>
              </w:rPr>
              <w:t>Aidworks</w:t>
            </w:r>
            <w:proofErr w:type="spellEnd"/>
          </w:p>
        </w:tc>
        <w:tc>
          <w:tcPr>
            <w:tcW w:w="1835" w:type="dxa"/>
          </w:tcPr>
          <w:p w14:paraId="79E40F4C" w14:textId="7D5C02A2" w:rsidR="00792F95" w:rsidRPr="003040CD" w:rsidRDefault="00792F95" w:rsidP="003040CD">
            <w:pPr>
              <w:pStyle w:val="TableTextColumnHeading"/>
              <w:rPr>
                <w:b/>
              </w:rPr>
            </w:pPr>
            <w:r w:rsidRPr="003040CD">
              <w:rPr>
                <w:b/>
              </w:rPr>
              <w:t xml:space="preserve">Date </w:t>
            </w:r>
            <w:r w:rsidR="001B0A28" w:rsidRPr="003040CD">
              <w:rPr>
                <w:b/>
              </w:rPr>
              <w:t>m</w:t>
            </w:r>
            <w:r w:rsidRPr="003040CD">
              <w:rPr>
                <w:b/>
              </w:rPr>
              <w:t xml:space="preserve">anagement response uploaded into </w:t>
            </w:r>
            <w:proofErr w:type="spellStart"/>
            <w:r w:rsidRPr="003040CD">
              <w:rPr>
                <w:b/>
              </w:rPr>
              <w:t>Aidworks</w:t>
            </w:r>
            <w:proofErr w:type="spellEnd"/>
          </w:p>
        </w:tc>
        <w:tc>
          <w:tcPr>
            <w:tcW w:w="1582" w:type="dxa"/>
          </w:tcPr>
          <w:p w14:paraId="149AF2B4" w14:textId="77777777" w:rsidR="00792F95" w:rsidRPr="003040CD" w:rsidRDefault="00792F95" w:rsidP="003040CD">
            <w:pPr>
              <w:pStyle w:val="TableTextColumnHeading"/>
              <w:rPr>
                <w:b/>
              </w:rPr>
            </w:pPr>
            <w:r w:rsidRPr="003040CD">
              <w:rPr>
                <w:b/>
              </w:rPr>
              <w:t>Published on website</w:t>
            </w:r>
          </w:p>
          <w:p w14:paraId="3D2BC4AE" w14:textId="49AB2B8E" w:rsidR="00FC39AC" w:rsidRPr="003040CD" w:rsidRDefault="00FC39AC" w:rsidP="003040CD">
            <w:pPr>
              <w:pStyle w:val="TableTextColumnHeading"/>
              <w:rPr>
                <w:b/>
              </w:rPr>
            </w:pPr>
            <w:r w:rsidRPr="003040CD">
              <w:rPr>
                <w:b/>
              </w:rPr>
              <w:t>Yes/no</w:t>
            </w:r>
          </w:p>
        </w:tc>
      </w:tr>
      <w:tr w:rsidR="006F139D" w:rsidRPr="00071B95" w14:paraId="6D9752FC" w14:textId="77777777" w:rsidTr="003040CD">
        <w:trPr>
          <w:cantSplit/>
          <w:tblHeader w:val="0"/>
        </w:trPr>
        <w:tc>
          <w:tcPr>
            <w:tcW w:w="2003" w:type="dxa"/>
          </w:tcPr>
          <w:p w14:paraId="517A8C84" w14:textId="47C71254" w:rsidR="006F139D" w:rsidRPr="003040CD" w:rsidRDefault="006F139D" w:rsidP="003040CD">
            <w:pPr>
              <w:pStyle w:val="TableTextEntries"/>
            </w:pPr>
            <w:r w:rsidRPr="003040CD">
              <w:t xml:space="preserve">BRAC Strategic Partnership Arrangement </w:t>
            </w:r>
          </w:p>
        </w:tc>
        <w:tc>
          <w:tcPr>
            <w:tcW w:w="2035" w:type="dxa"/>
          </w:tcPr>
          <w:p w14:paraId="656D867B" w14:textId="4A1E9A4A" w:rsidR="006F139D" w:rsidRPr="003040CD" w:rsidRDefault="006F139D" w:rsidP="003040CD">
            <w:pPr>
              <w:pStyle w:val="TableTextEntries"/>
            </w:pPr>
            <w:r w:rsidRPr="003040CD">
              <w:t>INJ579</w:t>
            </w:r>
          </w:p>
        </w:tc>
        <w:tc>
          <w:tcPr>
            <w:tcW w:w="2138" w:type="dxa"/>
          </w:tcPr>
          <w:p w14:paraId="35CD176B" w14:textId="34881058" w:rsidR="006F139D" w:rsidRPr="003040CD" w:rsidRDefault="006F139D" w:rsidP="003040CD">
            <w:pPr>
              <w:pStyle w:val="TableTextEntries"/>
            </w:pPr>
            <w:r w:rsidRPr="003040CD">
              <w:t xml:space="preserve">Joint annual review </w:t>
            </w:r>
          </w:p>
        </w:tc>
        <w:tc>
          <w:tcPr>
            <w:tcW w:w="2041" w:type="dxa"/>
          </w:tcPr>
          <w:p w14:paraId="18082B95" w14:textId="7CE5B6AB" w:rsidR="006F139D" w:rsidRPr="003040CD" w:rsidRDefault="006F139D" w:rsidP="003040CD">
            <w:pPr>
              <w:pStyle w:val="TableTextEntries"/>
            </w:pPr>
            <w:r w:rsidRPr="003040CD">
              <w:t>September 2012</w:t>
            </w:r>
          </w:p>
        </w:tc>
        <w:tc>
          <w:tcPr>
            <w:tcW w:w="2022" w:type="dxa"/>
          </w:tcPr>
          <w:p w14:paraId="0C7CA017" w14:textId="4B8E5B2D" w:rsidR="006F139D" w:rsidRPr="003040CD" w:rsidRDefault="006F139D" w:rsidP="003040CD">
            <w:pPr>
              <w:pStyle w:val="TableTextEntries"/>
            </w:pPr>
            <w:r w:rsidRPr="003040CD">
              <w:t>26th May 2013</w:t>
            </w:r>
          </w:p>
        </w:tc>
        <w:tc>
          <w:tcPr>
            <w:tcW w:w="1835" w:type="dxa"/>
          </w:tcPr>
          <w:p w14:paraId="2416453C" w14:textId="2F74A418" w:rsidR="006F139D" w:rsidRPr="003040CD" w:rsidRDefault="006F139D" w:rsidP="003040CD">
            <w:pPr>
              <w:pStyle w:val="TableTextEntries"/>
            </w:pPr>
            <w:r w:rsidRPr="003040CD">
              <w:t>Not Applicable</w:t>
            </w:r>
          </w:p>
        </w:tc>
        <w:tc>
          <w:tcPr>
            <w:tcW w:w="1582" w:type="dxa"/>
          </w:tcPr>
          <w:p w14:paraId="056ACF17" w14:textId="19C4E26D" w:rsidR="006F139D" w:rsidRPr="003040CD" w:rsidRDefault="00277BFD" w:rsidP="003040CD">
            <w:pPr>
              <w:pStyle w:val="TableTextEntries"/>
            </w:pPr>
            <w:r w:rsidRPr="003040CD">
              <w:t>No</w:t>
            </w:r>
          </w:p>
        </w:tc>
      </w:tr>
      <w:tr w:rsidR="006F139D" w:rsidRPr="00071B95" w14:paraId="37BAD8AC" w14:textId="77777777" w:rsidTr="003040CD">
        <w:trPr>
          <w:cnfStyle w:val="000000010000" w:firstRow="0" w:lastRow="0" w:firstColumn="0" w:lastColumn="0" w:oddVBand="0" w:evenVBand="0" w:oddHBand="0" w:evenHBand="1" w:firstRowFirstColumn="0" w:firstRowLastColumn="0" w:lastRowFirstColumn="0" w:lastRowLastColumn="0"/>
          <w:cantSplit/>
          <w:tblHeader w:val="0"/>
        </w:trPr>
        <w:tc>
          <w:tcPr>
            <w:tcW w:w="2003" w:type="dxa"/>
          </w:tcPr>
          <w:p w14:paraId="61577F23" w14:textId="4330B119" w:rsidR="006F139D" w:rsidRPr="003040CD" w:rsidRDefault="006F139D" w:rsidP="003040CD">
            <w:pPr>
              <w:pStyle w:val="TableTextEntries"/>
            </w:pPr>
            <w:r w:rsidRPr="003040CD">
              <w:t>BRAC Strategic Partnership Arrangement</w:t>
            </w:r>
          </w:p>
        </w:tc>
        <w:tc>
          <w:tcPr>
            <w:tcW w:w="2035" w:type="dxa"/>
          </w:tcPr>
          <w:p w14:paraId="74B549A3" w14:textId="623BDDDB" w:rsidR="006F139D" w:rsidRPr="003040CD" w:rsidRDefault="006F139D" w:rsidP="003040CD">
            <w:pPr>
              <w:pStyle w:val="TableTextEntries"/>
            </w:pPr>
            <w:r w:rsidRPr="003040CD">
              <w:t>INJ579</w:t>
            </w:r>
          </w:p>
        </w:tc>
        <w:tc>
          <w:tcPr>
            <w:tcW w:w="2138" w:type="dxa"/>
          </w:tcPr>
          <w:p w14:paraId="69D6EFF1" w14:textId="77CDF6CB" w:rsidR="006F139D" w:rsidRPr="003040CD" w:rsidRDefault="006F139D" w:rsidP="003040CD">
            <w:pPr>
              <w:pStyle w:val="TableTextEntries"/>
            </w:pPr>
            <w:r w:rsidRPr="003040CD">
              <w:t>Joint finance and procurement review</w:t>
            </w:r>
          </w:p>
        </w:tc>
        <w:tc>
          <w:tcPr>
            <w:tcW w:w="2041" w:type="dxa"/>
          </w:tcPr>
          <w:p w14:paraId="75BFE8F5" w14:textId="7A39D4E8" w:rsidR="006F139D" w:rsidRPr="003040CD" w:rsidRDefault="006F139D" w:rsidP="003040CD">
            <w:pPr>
              <w:pStyle w:val="TableTextEntries"/>
            </w:pPr>
            <w:r w:rsidRPr="003040CD">
              <w:t>March 2013</w:t>
            </w:r>
          </w:p>
        </w:tc>
        <w:tc>
          <w:tcPr>
            <w:tcW w:w="2022" w:type="dxa"/>
          </w:tcPr>
          <w:p w14:paraId="5E58FB3C" w14:textId="557C080D" w:rsidR="006F139D" w:rsidRPr="003040CD" w:rsidRDefault="006F139D" w:rsidP="003040CD">
            <w:pPr>
              <w:pStyle w:val="TableTextEntries"/>
            </w:pPr>
            <w:r w:rsidRPr="003040CD">
              <w:t>Report will be finalised June 2013</w:t>
            </w:r>
          </w:p>
        </w:tc>
        <w:tc>
          <w:tcPr>
            <w:tcW w:w="1835" w:type="dxa"/>
          </w:tcPr>
          <w:p w14:paraId="16AB0CEF" w14:textId="185ADF8B" w:rsidR="006F139D" w:rsidRPr="003040CD" w:rsidRDefault="006F139D" w:rsidP="003040CD">
            <w:pPr>
              <w:pStyle w:val="TableTextEntries"/>
            </w:pPr>
            <w:r w:rsidRPr="003040CD">
              <w:t>Not Applicable</w:t>
            </w:r>
          </w:p>
        </w:tc>
        <w:tc>
          <w:tcPr>
            <w:tcW w:w="1582" w:type="dxa"/>
          </w:tcPr>
          <w:p w14:paraId="3B1BE206" w14:textId="312F40E5" w:rsidR="006F139D" w:rsidRPr="003040CD" w:rsidRDefault="00277BFD" w:rsidP="003040CD">
            <w:pPr>
              <w:pStyle w:val="TableTextEntries"/>
            </w:pPr>
            <w:r w:rsidRPr="003040CD">
              <w:t>No</w:t>
            </w:r>
          </w:p>
        </w:tc>
      </w:tr>
      <w:tr w:rsidR="006F139D" w:rsidRPr="00071B95" w14:paraId="08394FD4" w14:textId="77777777" w:rsidTr="003040CD">
        <w:trPr>
          <w:cantSplit/>
          <w:tblHeader w:val="0"/>
        </w:trPr>
        <w:tc>
          <w:tcPr>
            <w:tcW w:w="2003" w:type="dxa"/>
          </w:tcPr>
          <w:p w14:paraId="00242785" w14:textId="1F6D2DC7" w:rsidR="006F139D" w:rsidRPr="003040CD" w:rsidRDefault="006F139D" w:rsidP="003040CD">
            <w:pPr>
              <w:pStyle w:val="TableTextEntries"/>
            </w:pPr>
            <w:r w:rsidRPr="003040CD">
              <w:t>Primary Education Development Program (III)</w:t>
            </w:r>
          </w:p>
        </w:tc>
        <w:tc>
          <w:tcPr>
            <w:tcW w:w="2035" w:type="dxa"/>
          </w:tcPr>
          <w:p w14:paraId="060CCBF9" w14:textId="3A81E67D" w:rsidR="006F139D" w:rsidRPr="003040CD" w:rsidRDefault="006F139D" w:rsidP="003040CD">
            <w:pPr>
              <w:pStyle w:val="TableTextEntries"/>
            </w:pPr>
            <w:r w:rsidRPr="003040CD">
              <w:t>INJ957</w:t>
            </w:r>
          </w:p>
        </w:tc>
        <w:tc>
          <w:tcPr>
            <w:tcW w:w="2138" w:type="dxa"/>
          </w:tcPr>
          <w:p w14:paraId="33F9BAD8" w14:textId="09A40FA5" w:rsidR="006F139D" w:rsidRPr="003040CD" w:rsidRDefault="006F139D" w:rsidP="003040CD">
            <w:pPr>
              <w:pStyle w:val="TableTextEntries"/>
            </w:pPr>
            <w:r w:rsidRPr="003040CD">
              <w:t>Joint annual review</w:t>
            </w:r>
          </w:p>
        </w:tc>
        <w:tc>
          <w:tcPr>
            <w:tcW w:w="2041" w:type="dxa"/>
          </w:tcPr>
          <w:p w14:paraId="0E81B8D7" w14:textId="75F8F206" w:rsidR="006F139D" w:rsidRPr="003040CD" w:rsidRDefault="006F139D" w:rsidP="003040CD">
            <w:pPr>
              <w:pStyle w:val="TableTextEntries"/>
            </w:pPr>
            <w:r w:rsidRPr="003040CD">
              <w:t>May 2012</w:t>
            </w:r>
          </w:p>
        </w:tc>
        <w:tc>
          <w:tcPr>
            <w:tcW w:w="2022" w:type="dxa"/>
          </w:tcPr>
          <w:p w14:paraId="219CBE87" w14:textId="74D370B4" w:rsidR="006F139D" w:rsidRPr="003040CD" w:rsidRDefault="006F139D" w:rsidP="003040CD">
            <w:pPr>
              <w:pStyle w:val="TableTextEntries"/>
            </w:pPr>
            <w:r w:rsidRPr="003040CD">
              <w:t>26th May 2013</w:t>
            </w:r>
          </w:p>
        </w:tc>
        <w:tc>
          <w:tcPr>
            <w:tcW w:w="1835" w:type="dxa"/>
          </w:tcPr>
          <w:p w14:paraId="1545F588" w14:textId="0A012621" w:rsidR="006F139D" w:rsidRPr="003040CD" w:rsidRDefault="006F139D" w:rsidP="003040CD">
            <w:pPr>
              <w:pStyle w:val="TableTextEntries"/>
            </w:pPr>
            <w:r w:rsidRPr="003040CD">
              <w:t>Not Applicable</w:t>
            </w:r>
          </w:p>
        </w:tc>
        <w:tc>
          <w:tcPr>
            <w:tcW w:w="1582" w:type="dxa"/>
          </w:tcPr>
          <w:p w14:paraId="37E9323E" w14:textId="7CD96E19" w:rsidR="006F139D" w:rsidRPr="003040CD" w:rsidRDefault="00277BFD" w:rsidP="003040CD">
            <w:pPr>
              <w:pStyle w:val="TableTextEntries"/>
            </w:pPr>
            <w:r w:rsidRPr="003040CD">
              <w:t>No</w:t>
            </w:r>
          </w:p>
        </w:tc>
      </w:tr>
      <w:tr w:rsidR="006F139D" w:rsidRPr="00071B95" w14:paraId="51F96BB6" w14:textId="77777777" w:rsidTr="003040CD">
        <w:trPr>
          <w:cnfStyle w:val="000000010000" w:firstRow="0" w:lastRow="0" w:firstColumn="0" w:lastColumn="0" w:oddVBand="0" w:evenVBand="0" w:oddHBand="0" w:evenHBand="1" w:firstRowFirstColumn="0" w:firstRowLastColumn="0" w:lastRowFirstColumn="0" w:lastRowLastColumn="0"/>
          <w:cantSplit/>
          <w:tblHeader w:val="0"/>
        </w:trPr>
        <w:tc>
          <w:tcPr>
            <w:tcW w:w="2003" w:type="dxa"/>
          </w:tcPr>
          <w:p w14:paraId="15100686" w14:textId="371D740B" w:rsidR="006F139D" w:rsidRPr="003040CD" w:rsidRDefault="006F139D" w:rsidP="003040CD">
            <w:pPr>
              <w:pStyle w:val="TableTextEntries"/>
            </w:pPr>
            <w:r w:rsidRPr="003040CD">
              <w:t>Primary Education Development Program (III)</w:t>
            </w:r>
          </w:p>
        </w:tc>
        <w:tc>
          <w:tcPr>
            <w:tcW w:w="2035" w:type="dxa"/>
          </w:tcPr>
          <w:p w14:paraId="22D70285" w14:textId="0862AC49" w:rsidR="006F139D" w:rsidRPr="003040CD" w:rsidRDefault="006F139D" w:rsidP="003040CD">
            <w:pPr>
              <w:pStyle w:val="TableTextEntries"/>
            </w:pPr>
            <w:r w:rsidRPr="003040CD">
              <w:t>INJ957</w:t>
            </w:r>
          </w:p>
        </w:tc>
        <w:tc>
          <w:tcPr>
            <w:tcW w:w="2138" w:type="dxa"/>
          </w:tcPr>
          <w:p w14:paraId="2D8878DE" w14:textId="5E3CC3FA" w:rsidR="006F139D" w:rsidRPr="003040CD" w:rsidRDefault="006F139D" w:rsidP="003040CD">
            <w:pPr>
              <w:pStyle w:val="TableTextEntries"/>
            </w:pPr>
            <w:r w:rsidRPr="003040CD">
              <w:t>Joint annual review</w:t>
            </w:r>
          </w:p>
        </w:tc>
        <w:tc>
          <w:tcPr>
            <w:tcW w:w="2041" w:type="dxa"/>
          </w:tcPr>
          <w:p w14:paraId="6B7AAC88" w14:textId="77777777" w:rsidR="006E277B" w:rsidRPr="003040CD" w:rsidRDefault="006F139D" w:rsidP="003040CD">
            <w:pPr>
              <w:pStyle w:val="TableTextEntries"/>
            </w:pPr>
            <w:r w:rsidRPr="003040CD">
              <w:t xml:space="preserve">May 2013 </w:t>
            </w:r>
          </w:p>
          <w:p w14:paraId="67919A3D" w14:textId="580A5E66" w:rsidR="006F139D" w:rsidRPr="003040CD" w:rsidRDefault="006F139D" w:rsidP="003040CD">
            <w:pPr>
              <w:pStyle w:val="TableTextEntries"/>
            </w:pPr>
            <w:r w:rsidRPr="003040CD">
              <w:t>(t</w:t>
            </w:r>
            <w:r w:rsidR="006E277B" w:rsidRPr="003040CD">
              <w:t>o be confirmed</w:t>
            </w:r>
            <w:r w:rsidRPr="003040CD">
              <w:t>)</w:t>
            </w:r>
          </w:p>
        </w:tc>
        <w:tc>
          <w:tcPr>
            <w:tcW w:w="2022" w:type="dxa"/>
          </w:tcPr>
          <w:p w14:paraId="57D6FBD6" w14:textId="4AD36E06" w:rsidR="006F139D" w:rsidRPr="003040CD" w:rsidRDefault="00277BFD" w:rsidP="003040CD">
            <w:pPr>
              <w:pStyle w:val="TableTextEntries"/>
            </w:pPr>
            <w:r w:rsidRPr="003040CD">
              <w:t xml:space="preserve">Report will be finalised </w:t>
            </w:r>
            <w:r w:rsidR="006F139D" w:rsidRPr="003040CD">
              <w:t>June 2013</w:t>
            </w:r>
          </w:p>
        </w:tc>
        <w:tc>
          <w:tcPr>
            <w:tcW w:w="1835" w:type="dxa"/>
          </w:tcPr>
          <w:p w14:paraId="6D882D3C" w14:textId="1D61E940" w:rsidR="006F139D" w:rsidRPr="003040CD" w:rsidRDefault="006F139D" w:rsidP="003040CD">
            <w:pPr>
              <w:pStyle w:val="TableTextEntries"/>
            </w:pPr>
            <w:r w:rsidRPr="003040CD">
              <w:t>Not Applicable</w:t>
            </w:r>
          </w:p>
        </w:tc>
        <w:tc>
          <w:tcPr>
            <w:tcW w:w="1582" w:type="dxa"/>
          </w:tcPr>
          <w:p w14:paraId="1C3C579A" w14:textId="3C61BE47" w:rsidR="006F139D" w:rsidRPr="003040CD" w:rsidRDefault="00277BFD" w:rsidP="003040CD">
            <w:pPr>
              <w:pStyle w:val="TableTextEntries"/>
            </w:pPr>
            <w:r w:rsidRPr="003040CD">
              <w:t>No</w:t>
            </w:r>
          </w:p>
        </w:tc>
      </w:tr>
      <w:tr w:rsidR="006F139D" w:rsidRPr="00071B95" w14:paraId="39702CA3" w14:textId="77777777" w:rsidTr="003040CD">
        <w:trPr>
          <w:cantSplit/>
          <w:tblHeader w:val="0"/>
        </w:trPr>
        <w:tc>
          <w:tcPr>
            <w:tcW w:w="2003" w:type="dxa"/>
          </w:tcPr>
          <w:p w14:paraId="19B824FA" w14:textId="2BF8E500" w:rsidR="006F139D" w:rsidRPr="003040CD" w:rsidRDefault="006F139D" w:rsidP="003040CD">
            <w:pPr>
              <w:pStyle w:val="TableTextEntries"/>
            </w:pPr>
            <w:r w:rsidRPr="003040CD">
              <w:t>Health Population and Nutrition Sector Development Program</w:t>
            </w:r>
          </w:p>
        </w:tc>
        <w:tc>
          <w:tcPr>
            <w:tcW w:w="2035" w:type="dxa"/>
          </w:tcPr>
          <w:p w14:paraId="486F3DB2" w14:textId="06780749" w:rsidR="006F139D" w:rsidRPr="003040CD" w:rsidRDefault="006F139D" w:rsidP="003040CD">
            <w:pPr>
              <w:pStyle w:val="TableTextEntries"/>
            </w:pPr>
            <w:r w:rsidRPr="003040CD">
              <w:t>INJ959</w:t>
            </w:r>
          </w:p>
        </w:tc>
        <w:tc>
          <w:tcPr>
            <w:tcW w:w="2138" w:type="dxa"/>
          </w:tcPr>
          <w:p w14:paraId="6E9EBC50" w14:textId="11EFCD68" w:rsidR="006F139D" w:rsidRPr="003040CD" w:rsidRDefault="006F139D" w:rsidP="003040CD">
            <w:pPr>
              <w:pStyle w:val="TableTextEntries"/>
            </w:pPr>
            <w:r w:rsidRPr="003040CD">
              <w:t>Joint annual review</w:t>
            </w:r>
          </w:p>
        </w:tc>
        <w:tc>
          <w:tcPr>
            <w:tcW w:w="2041" w:type="dxa"/>
          </w:tcPr>
          <w:p w14:paraId="5AAB436B" w14:textId="5CE59B04" w:rsidR="006F139D" w:rsidRPr="003040CD" w:rsidRDefault="006F139D" w:rsidP="003040CD">
            <w:pPr>
              <w:pStyle w:val="TableTextEntries"/>
            </w:pPr>
            <w:r w:rsidRPr="003040CD">
              <w:t>September 2012</w:t>
            </w:r>
          </w:p>
        </w:tc>
        <w:tc>
          <w:tcPr>
            <w:tcW w:w="2022" w:type="dxa"/>
          </w:tcPr>
          <w:p w14:paraId="77465189" w14:textId="2F4C9CFF" w:rsidR="006F139D" w:rsidRPr="003040CD" w:rsidRDefault="006F139D" w:rsidP="003040CD">
            <w:pPr>
              <w:pStyle w:val="TableTextEntries"/>
            </w:pPr>
            <w:r w:rsidRPr="003040CD">
              <w:t>26th May 2013</w:t>
            </w:r>
          </w:p>
        </w:tc>
        <w:tc>
          <w:tcPr>
            <w:tcW w:w="1835" w:type="dxa"/>
          </w:tcPr>
          <w:p w14:paraId="5FB2E3A9" w14:textId="73D4BC39" w:rsidR="006F139D" w:rsidRPr="003040CD" w:rsidRDefault="006F139D" w:rsidP="003040CD">
            <w:pPr>
              <w:pStyle w:val="TableTextEntries"/>
            </w:pPr>
            <w:r w:rsidRPr="003040CD">
              <w:t>Not Applicable</w:t>
            </w:r>
          </w:p>
        </w:tc>
        <w:tc>
          <w:tcPr>
            <w:tcW w:w="1582" w:type="dxa"/>
          </w:tcPr>
          <w:p w14:paraId="6CD4C400" w14:textId="0CCD73C0" w:rsidR="006F139D" w:rsidRPr="003040CD" w:rsidRDefault="00277BFD" w:rsidP="003040CD">
            <w:pPr>
              <w:pStyle w:val="TableTextEntries"/>
            </w:pPr>
            <w:r w:rsidRPr="003040CD">
              <w:t>No</w:t>
            </w:r>
          </w:p>
        </w:tc>
      </w:tr>
      <w:tr w:rsidR="006F139D" w:rsidRPr="00071B95" w14:paraId="52B6F135" w14:textId="77777777" w:rsidTr="003040CD">
        <w:trPr>
          <w:cnfStyle w:val="000000010000" w:firstRow="0" w:lastRow="0" w:firstColumn="0" w:lastColumn="0" w:oddVBand="0" w:evenVBand="0" w:oddHBand="0" w:evenHBand="1" w:firstRowFirstColumn="0" w:firstRowLastColumn="0" w:lastRowFirstColumn="0" w:lastRowLastColumn="0"/>
          <w:cantSplit/>
          <w:tblHeader w:val="0"/>
        </w:trPr>
        <w:tc>
          <w:tcPr>
            <w:tcW w:w="2003" w:type="dxa"/>
          </w:tcPr>
          <w:p w14:paraId="161705D2" w14:textId="338C7DFF" w:rsidR="006F139D" w:rsidRPr="003040CD" w:rsidRDefault="006F139D" w:rsidP="003040CD">
            <w:pPr>
              <w:pStyle w:val="TableTextEntries"/>
            </w:pPr>
            <w:r w:rsidRPr="003040CD">
              <w:t>Comprehensive Disaster Management Program</w:t>
            </w:r>
            <w:r w:rsidR="006E277B" w:rsidRPr="003040CD">
              <w:t>me</w:t>
            </w:r>
          </w:p>
        </w:tc>
        <w:tc>
          <w:tcPr>
            <w:tcW w:w="2035" w:type="dxa"/>
          </w:tcPr>
          <w:p w14:paraId="0C46F9C5" w14:textId="4DC4821D" w:rsidR="006F139D" w:rsidRPr="003040CD" w:rsidRDefault="006F139D" w:rsidP="003040CD">
            <w:pPr>
              <w:pStyle w:val="TableTextEntries"/>
            </w:pPr>
            <w:r w:rsidRPr="003040CD">
              <w:t>INJ178</w:t>
            </w:r>
          </w:p>
        </w:tc>
        <w:tc>
          <w:tcPr>
            <w:tcW w:w="2138" w:type="dxa"/>
          </w:tcPr>
          <w:p w14:paraId="19E8C20D" w14:textId="3F78EF5F" w:rsidR="006F139D" w:rsidRPr="003040CD" w:rsidRDefault="006F139D" w:rsidP="003040CD">
            <w:pPr>
              <w:pStyle w:val="TableTextEntries"/>
            </w:pPr>
            <w:r w:rsidRPr="003040CD">
              <w:t>Joint mid-term review</w:t>
            </w:r>
          </w:p>
        </w:tc>
        <w:tc>
          <w:tcPr>
            <w:tcW w:w="2041" w:type="dxa"/>
          </w:tcPr>
          <w:p w14:paraId="11692B24" w14:textId="6A6164CC" w:rsidR="006F139D" w:rsidRPr="003040CD" w:rsidRDefault="006F139D" w:rsidP="003040CD">
            <w:pPr>
              <w:pStyle w:val="TableTextEntries"/>
            </w:pPr>
            <w:r w:rsidRPr="003040CD">
              <w:t>July 2012</w:t>
            </w:r>
          </w:p>
        </w:tc>
        <w:tc>
          <w:tcPr>
            <w:tcW w:w="2022" w:type="dxa"/>
          </w:tcPr>
          <w:p w14:paraId="0AA8C352" w14:textId="6A1C165C" w:rsidR="006F139D" w:rsidRPr="003040CD" w:rsidRDefault="006F139D" w:rsidP="003040CD">
            <w:pPr>
              <w:pStyle w:val="TableTextEntries"/>
            </w:pPr>
            <w:r w:rsidRPr="003040CD">
              <w:t>26th May 2013</w:t>
            </w:r>
          </w:p>
        </w:tc>
        <w:tc>
          <w:tcPr>
            <w:tcW w:w="1835" w:type="dxa"/>
          </w:tcPr>
          <w:p w14:paraId="0759DFF5" w14:textId="6575A6E1" w:rsidR="006F139D" w:rsidRPr="003040CD" w:rsidRDefault="006F139D" w:rsidP="003040CD">
            <w:pPr>
              <w:pStyle w:val="TableTextEntries"/>
            </w:pPr>
            <w:r w:rsidRPr="003040CD">
              <w:t>Not Applicable</w:t>
            </w:r>
          </w:p>
        </w:tc>
        <w:tc>
          <w:tcPr>
            <w:tcW w:w="1582" w:type="dxa"/>
          </w:tcPr>
          <w:p w14:paraId="1DF17234" w14:textId="40DE4AF1" w:rsidR="006F139D" w:rsidRPr="003040CD" w:rsidRDefault="00277BFD" w:rsidP="003040CD">
            <w:pPr>
              <w:pStyle w:val="TableTextEntries"/>
            </w:pPr>
            <w:r w:rsidRPr="003040CD">
              <w:t>No</w:t>
            </w:r>
          </w:p>
        </w:tc>
      </w:tr>
      <w:tr w:rsidR="006F139D" w:rsidRPr="00071B95" w14:paraId="7F54127C" w14:textId="77777777" w:rsidTr="003040CD">
        <w:trPr>
          <w:cantSplit/>
          <w:tblHeader w:val="0"/>
        </w:trPr>
        <w:tc>
          <w:tcPr>
            <w:tcW w:w="2003" w:type="dxa"/>
          </w:tcPr>
          <w:p w14:paraId="49638206" w14:textId="59AF573E" w:rsidR="006F139D" w:rsidRPr="003040CD" w:rsidRDefault="006F139D" w:rsidP="003040CD">
            <w:pPr>
              <w:pStyle w:val="TableTextEntries"/>
            </w:pPr>
            <w:r w:rsidRPr="003040CD">
              <w:t>Chars Livelihoods Programme</w:t>
            </w:r>
          </w:p>
        </w:tc>
        <w:tc>
          <w:tcPr>
            <w:tcW w:w="2035" w:type="dxa"/>
          </w:tcPr>
          <w:p w14:paraId="098001AA" w14:textId="57B9DC24" w:rsidR="006F139D" w:rsidRPr="003040CD" w:rsidRDefault="006F139D" w:rsidP="003040CD">
            <w:pPr>
              <w:pStyle w:val="TableTextEntries"/>
            </w:pPr>
            <w:r w:rsidRPr="003040CD">
              <w:t>INJ103</w:t>
            </w:r>
          </w:p>
        </w:tc>
        <w:tc>
          <w:tcPr>
            <w:tcW w:w="2138" w:type="dxa"/>
          </w:tcPr>
          <w:p w14:paraId="0ECC964D" w14:textId="4D176BC2" w:rsidR="006F139D" w:rsidRPr="003040CD" w:rsidRDefault="006F139D" w:rsidP="003040CD">
            <w:pPr>
              <w:pStyle w:val="TableTextEntries"/>
            </w:pPr>
            <w:r w:rsidRPr="003040CD">
              <w:t>Partner-led mid-term review</w:t>
            </w:r>
          </w:p>
        </w:tc>
        <w:tc>
          <w:tcPr>
            <w:tcW w:w="2041" w:type="dxa"/>
          </w:tcPr>
          <w:p w14:paraId="59AEBCA5" w14:textId="103F2620" w:rsidR="006F139D" w:rsidRPr="003040CD" w:rsidRDefault="006F139D" w:rsidP="003040CD">
            <w:pPr>
              <w:pStyle w:val="TableTextEntries"/>
            </w:pPr>
            <w:r w:rsidRPr="003040CD">
              <w:t>March 2013</w:t>
            </w:r>
          </w:p>
        </w:tc>
        <w:tc>
          <w:tcPr>
            <w:tcW w:w="2022" w:type="dxa"/>
          </w:tcPr>
          <w:p w14:paraId="1F87FA62" w14:textId="238E00E4" w:rsidR="006F139D" w:rsidRPr="003040CD" w:rsidRDefault="00277BFD" w:rsidP="003040CD">
            <w:pPr>
              <w:pStyle w:val="TableTextEntries"/>
            </w:pPr>
            <w:r w:rsidRPr="003040CD">
              <w:t>December 2012</w:t>
            </w:r>
          </w:p>
        </w:tc>
        <w:tc>
          <w:tcPr>
            <w:tcW w:w="1835" w:type="dxa"/>
          </w:tcPr>
          <w:p w14:paraId="3E9D3F6B" w14:textId="44361A4A" w:rsidR="006F139D" w:rsidRPr="003040CD" w:rsidRDefault="006F139D" w:rsidP="003040CD">
            <w:pPr>
              <w:pStyle w:val="TableTextEntries"/>
            </w:pPr>
            <w:r w:rsidRPr="003040CD">
              <w:t>Not Applicable</w:t>
            </w:r>
          </w:p>
        </w:tc>
        <w:tc>
          <w:tcPr>
            <w:tcW w:w="1582" w:type="dxa"/>
          </w:tcPr>
          <w:p w14:paraId="3196C017" w14:textId="2AEDD040" w:rsidR="006F139D" w:rsidRPr="003040CD" w:rsidRDefault="00277BFD" w:rsidP="003040CD">
            <w:pPr>
              <w:pStyle w:val="TableTextEntries"/>
            </w:pPr>
            <w:r w:rsidRPr="003040CD">
              <w:t>No</w:t>
            </w:r>
          </w:p>
        </w:tc>
      </w:tr>
    </w:tbl>
    <w:p w14:paraId="22335E93" w14:textId="14623C37" w:rsidR="00071B95" w:rsidRPr="003040CD" w:rsidRDefault="00071B95" w:rsidP="003040CD">
      <w:pPr>
        <w:pStyle w:val="Caption"/>
      </w:pPr>
      <w:r w:rsidRPr="003040CD">
        <w:lastRenderedPageBreak/>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071B95" w:rsidRPr="003040CD" w14:paraId="22335E99" w14:textId="77777777" w:rsidTr="003D6095">
        <w:tc>
          <w:tcPr>
            <w:tcW w:w="2601" w:type="dxa"/>
          </w:tcPr>
          <w:p w14:paraId="22335E94" w14:textId="168DDC07" w:rsidR="00071B95" w:rsidRPr="003040CD" w:rsidRDefault="00071B95" w:rsidP="003040CD">
            <w:pPr>
              <w:pStyle w:val="TableTextColumnHeading"/>
            </w:pPr>
            <w:r w:rsidRPr="003040CD">
              <w:t xml:space="preserve">Name of </w:t>
            </w:r>
            <w:r w:rsidR="001B0A28" w:rsidRPr="003040CD">
              <w:t>i</w:t>
            </w:r>
            <w:r w:rsidRPr="003040CD">
              <w:t>nitiative</w:t>
            </w:r>
          </w:p>
        </w:tc>
        <w:tc>
          <w:tcPr>
            <w:tcW w:w="2530" w:type="dxa"/>
          </w:tcPr>
          <w:p w14:paraId="22335E95" w14:textId="77777777" w:rsidR="00071B95" w:rsidRPr="003040CD" w:rsidRDefault="00071B95" w:rsidP="003040CD">
            <w:pPr>
              <w:pStyle w:val="TableTextColumnHeading"/>
            </w:pPr>
            <w:proofErr w:type="spellStart"/>
            <w:r w:rsidRPr="003040CD">
              <w:t>Aidworks</w:t>
            </w:r>
            <w:proofErr w:type="spellEnd"/>
            <w:r w:rsidRPr="003040CD">
              <w:t xml:space="preserve"> number</w:t>
            </w:r>
          </w:p>
        </w:tc>
        <w:tc>
          <w:tcPr>
            <w:tcW w:w="2612" w:type="dxa"/>
          </w:tcPr>
          <w:p w14:paraId="22335E96" w14:textId="77777777" w:rsidR="00071B95" w:rsidRPr="003040CD" w:rsidRDefault="00071B95" w:rsidP="003040CD">
            <w:pPr>
              <w:pStyle w:val="TableTextColumnHeading"/>
            </w:pPr>
            <w:r w:rsidRPr="003040CD">
              <w:t>Type of evaluation</w:t>
            </w:r>
          </w:p>
        </w:tc>
        <w:tc>
          <w:tcPr>
            <w:tcW w:w="2612" w:type="dxa"/>
          </w:tcPr>
          <w:p w14:paraId="22335E97" w14:textId="77777777" w:rsidR="00071B95" w:rsidRPr="003040CD" w:rsidRDefault="00071B95" w:rsidP="003040CD">
            <w:pPr>
              <w:pStyle w:val="TableTextColumnHeading"/>
            </w:pPr>
            <w:r w:rsidRPr="003040CD">
              <w:t>Purpose of evaluation</w:t>
            </w:r>
            <w:r w:rsidRPr="003040CD">
              <w:footnoteReference w:id="37"/>
            </w:r>
          </w:p>
        </w:tc>
        <w:tc>
          <w:tcPr>
            <w:tcW w:w="2617" w:type="dxa"/>
          </w:tcPr>
          <w:p w14:paraId="22335E98" w14:textId="77777777" w:rsidR="00071B95" w:rsidRPr="003040CD" w:rsidRDefault="00071B95" w:rsidP="003040CD">
            <w:pPr>
              <w:pStyle w:val="TableTextColumnHeading"/>
            </w:pPr>
            <w:r w:rsidRPr="003040CD">
              <w:t>Expected completion date</w:t>
            </w:r>
          </w:p>
        </w:tc>
      </w:tr>
      <w:tr w:rsidR="00071B95" w:rsidRPr="003040CD" w14:paraId="22335E9F" w14:textId="77777777" w:rsidTr="003D6095">
        <w:tc>
          <w:tcPr>
            <w:tcW w:w="2601" w:type="dxa"/>
          </w:tcPr>
          <w:p w14:paraId="22335E9A" w14:textId="53D8FEE0" w:rsidR="00071B95" w:rsidRPr="003040CD" w:rsidRDefault="002D220E" w:rsidP="003040CD">
            <w:pPr>
              <w:pStyle w:val="TableTextEntries"/>
            </w:pPr>
            <w:r w:rsidRPr="003040CD">
              <w:t>BRAC Strategic Partnership Arrangement</w:t>
            </w:r>
          </w:p>
        </w:tc>
        <w:tc>
          <w:tcPr>
            <w:tcW w:w="2530" w:type="dxa"/>
          </w:tcPr>
          <w:p w14:paraId="22335E9B" w14:textId="46B6AD78" w:rsidR="00071B95" w:rsidRPr="003040CD" w:rsidRDefault="002D220E" w:rsidP="003040CD">
            <w:pPr>
              <w:pStyle w:val="TableTextEntries"/>
            </w:pPr>
            <w:r w:rsidRPr="003040CD">
              <w:t>INJ579</w:t>
            </w:r>
          </w:p>
        </w:tc>
        <w:tc>
          <w:tcPr>
            <w:tcW w:w="2612" w:type="dxa"/>
          </w:tcPr>
          <w:p w14:paraId="22335E9C" w14:textId="6929A31E" w:rsidR="00071B95" w:rsidRPr="003040CD" w:rsidRDefault="002D220E" w:rsidP="003040CD">
            <w:pPr>
              <w:pStyle w:val="TableTextEntries"/>
            </w:pPr>
            <w:r w:rsidRPr="003040CD">
              <w:t>Joint annual review</w:t>
            </w:r>
          </w:p>
        </w:tc>
        <w:tc>
          <w:tcPr>
            <w:tcW w:w="2612" w:type="dxa"/>
          </w:tcPr>
          <w:p w14:paraId="22335E9D" w14:textId="1EB45D66" w:rsidR="00071B95" w:rsidRPr="003040CD" w:rsidRDefault="002D220E" w:rsidP="003040CD">
            <w:pPr>
              <w:pStyle w:val="TableTextEntries"/>
            </w:pPr>
            <w:r w:rsidRPr="003040CD">
              <w:t>To verify program outcomes</w:t>
            </w:r>
          </w:p>
        </w:tc>
        <w:tc>
          <w:tcPr>
            <w:tcW w:w="2617" w:type="dxa"/>
          </w:tcPr>
          <w:p w14:paraId="22335E9E" w14:textId="086FD69E" w:rsidR="00071B95" w:rsidRPr="003040CD" w:rsidRDefault="002D220E" w:rsidP="003040CD">
            <w:pPr>
              <w:pStyle w:val="TableTextEntries"/>
            </w:pPr>
            <w:r w:rsidRPr="003040CD">
              <w:t>April 2014</w:t>
            </w:r>
          </w:p>
        </w:tc>
      </w:tr>
      <w:tr w:rsidR="004C6550" w:rsidRPr="003040CD" w14:paraId="532EE67C" w14:textId="77777777" w:rsidTr="003D6095">
        <w:tc>
          <w:tcPr>
            <w:tcW w:w="2601" w:type="dxa"/>
          </w:tcPr>
          <w:p w14:paraId="2BCC49C6" w14:textId="2E7901EE" w:rsidR="004C6550" w:rsidRPr="003040CD" w:rsidRDefault="005B76CF" w:rsidP="003040CD">
            <w:pPr>
              <w:pStyle w:val="TableTextEntries"/>
            </w:pPr>
            <w:r w:rsidRPr="003040CD">
              <w:t xml:space="preserve">Health Population </w:t>
            </w:r>
            <w:r w:rsidR="00FC39AC" w:rsidRPr="003040CD">
              <w:t xml:space="preserve">and </w:t>
            </w:r>
            <w:r w:rsidRPr="003040CD">
              <w:t>Nutrition Sector Development Program</w:t>
            </w:r>
          </w:p>
        </w:tc>
        <w:tc>
          <w:tcPr>
            <w:tcW w:w="2530" w:type="dxa"/>
          </w:tcPr>
          <w:p w14:paraId="5736FE2E" w14:textId="6EA91A9E" w:rsidR="004C6550" w:rsidRPr="003040CD" w:rsidRDefault="005B76CF" w:rsidP="003040CD">
            <w:pPr>
              <w:pStyle w:val="TableTextEntries"/>
            </w:pPr>
            <w:r w:rsidRPr="003040CD">
              <w:t>INJ959</w:t>
            </w:r>
          </w:p>
        </w:tc>
        <w:tc>
          <w:tcPr>
            <w:tcW w:w="2612" w:type="dxa"/>
          </w:tcPr>
          <w:p w14:paraId="73C20EF6" w14:textId="0F0FE4A7" w:rsidR="004C6550" w:rsidRPr="003040CD" w:rsidRDefault="005B76CF" w:rsidP="003040CD">
            <w:pPr>
              <w:pStyle w:val="TableTextEntries"/>
            </w:pPr>
            <w:r w:rsidRPr="003040CD">
              <w:t>Joint mid-term review</w:t>
            </w:r>
          </w:p>
        </w:tc>
        <w:tc>
          <w:tcPr>
            <w:tcW w:w="2612" w:type="dxa"/>
          </w:tcPr>
          <w:p w14:paraId="76C4F4EA" w14:textId="28692F90" w:rsidR="004C6550" w:rsidRPr="003040CD" w:rsidRDefault="005B76CF" w:rsidP="003040CD">
            <w:pPr>
              <w:pStyle w:val="TableTextEntries"/>
            </w:pPr>
            <w:r w:rsidRPr="003040CD">
              <w:t>To verify program outcomes, improve existing program</w:t>
            </w:r>
          </w:p>
        </w:tc>
        <w:tc>
          <w:tcPr>
            <w:tcW w:w="2617" w:type="dxa"/>
          </w:tcPr>
          <w:p w14:paraId="7CF4B774" w14:textId="665279CE" w:rsidR="004C6550" w:rsidRPr="003040CD" w:rsidRDefault="005B76CF" w:rsidP="003040CD">
            <w:pPr>
              <w:pStyle w:val="TableTextEntries"/>
            </w:pPr>
            <w:r w:rsidRPr="003040CD">
              <w:t>January 2014</w:t>
            </w:r>
          </w:p>
        </w:tc>
      </w:tr>
      <w:tr w:rsidR="004C6550" w:rsidRPr="003040CD" w14:paraId="6E3FFB96" w14:textId="77777777" w:rsidTr="003D6095">
        <w:tc>
          <w:tcPr>
            <w:tcW w:w="2601" w:type="dxa"/>
          </w:tcPr>
          <w:p w14:paraId="494CFAF0" w14:textId="12B31250" w:rsidR="004C6550" w:rsidRPr="003040CD" w:rsidRDefault="005B76CF" w:rsidP="003040CD">
            <w:pPr>
              <w:pStyle w:val="TableTextEntries"/>
            </w:pPr>
            <w:r w:rsidRPr="003040CD">
              <w:t>H</w:t>
            </w:r>
            <w:r w:rsidR="0010765A" w:rsidRPr="003040CD">
              <w:t>ygiene Sanitation and Water</w:t>
            </w:r>
            <w:r w:rsidR="00FC39AC" w:rsidRPr="003040CD">
              <w:t xml:space="preserve"> Project</w:t>
            </w:r>
          </w:p>
        </w:tc>
        <w:tc>
          <w:tcPr>
            <w:tcW w:w="2530" w:type="dxa"/>
          </w:tcPr>
          <w:p w14:paraId="2943A580" w14:textId="51A83C8C" w:rsidR="004C6550" w:rsidRPr="003040CD" w:rsidRDefault="005B76CF" w:rsidP="003040CD">
            <w:pPr>
              <w:pStyle w:val="TableTextEntries"/>
            </w:pPr>
            <w:r w:rsidRPr="003040CD">
              <w:t>INJ037</w:t>
            </w:r>
          </w:p>
        </w:tc>
        <w:tc>
          <w:tcPr>
            <w:tcW w:w="2612" w:type="dxa"/>
          </w:tcPr>
          <w:p w14:paraId="2330F0F3" w14:textId="1EAF99B3" w:rsidR="004C6550" w:rsidRPr="003040CD" w:rsidRDefault="005B76CF" w:rsidP="003040CD">
            <w:pPr>
              <w:pStyle w:val="TableTextEntries"/>
            </w:pPr>
            <w:r w:rsidRPr="003040CD">
              <w:t>Independent completion report</w:t>
            </w:r>
          </w:p>
        </w:tc>
        <w:tc>
          <w:tcPr>
            <w:tcW w:w="2612" w:type="dxa"/>
          </w:tcPr>
          <w:p w14:paraId="27985EC3" w14:textId="447AA4E9" w:rsidR="004C6550" w:rsidRPr="003040CD" w:rsidRDefault="005B76CF" w:rsidP="003040CD">
            <w:pPr>
              <w:pStyle w:val="TableTextEntries"/>
            </w:pPr>
            <w:r w:rsidRPr="003040CD">
              <w:t>To verify program outcomes</w:t>
            </w:r>
          </w:p>
        </w:tc>
        <w:tc>
          <w:tcPr>
            <w:tcW w:w="2617" w:type="dxa"/>
          </w:tcPr>
          <w:p w14:paraId="1B78396E" w14:textId="30155C88" w:rsidR="004C6550" w:rsidRPr="003040CD" w:rsidRDefault="005B76CF" w:rsidP="003040CD">
            <w:pPr>
              <w:pStyle w:val="TableTextEntries"/>
            </w:pPr>
            <w:r w:rsidRPr="003040CD">
              <w:t>October 2013</w:t>
            </w:r>
          </w:p>
        </w:tc>
      </w:tr>
      <w:tr w:rsidR="004C6550" w:rsidRPr="003040CD" w14:paraId="34AAC611" w14:textId="77777777" w:rsidTr="003D6095">
        <w:tc>
          <w:tcPr>
            <w:tcW w:w="2601" w:type="dxa"/>
          </w:tcPr>
          <w:p w14:paraId="1DF0E6AA" w14:textId="61A72E5B" w:rsidR="004C6550" w:rsidRPr="003040CD" w:rsidRDefault="005B76CF" w:rsidP="003040CD">
            <w:pPr>
              <w:pStyle w:val="TableTextEntries"/>
            </w:pPr>
            <w:r w:rsidRPr="003040CD">
              <w:t>Early Recovery Facility</w:t>
            </w:r>
            <w:r w:rsidR="00FC39AC" w:rsidRPr="003040CD">
              <w:t xml:space="preserve">—disaster </w:t>
            </w:r>
            <w:r w:rsidR="00105E41" w:rsidRPr="003040CD">
              <w:t xml:space="preserve">preparedness and </w:t>
            </w:r>
            <w:r w:rsidR="00FC39AC" w:rsidRPr="003040CD">
              <w:t>recovery</w:t>
            </w:r>
          </w:p>
        </w:tc>
        <w:tc>
          <w:tcPr>
            <w:tcW w:w="2530" w:type="dxa"/>
          </w:tcPr>
          <w:p w14:paraId="3DCDD8C1" w14:textId="0C48E855" w:rsidR="004C6550" w:rsidRPr="003040CD" w:rsidRDefault="005B76CF" w:rsidP="003040CD">
            <w:pPr>
              <w:pStyle w:val="TableTextEntries"/>
            </w:pPr>
            <w:r w:rsidRPr="003040CD">
              <w:t>INK107</w:t>
            </w:r>
          </w:p>
        </w:tc>
        <w:tc>
          <w:tcPr>
            <w:tcW w:w="2612" w:type="dxa"/>
          </w:tcPr>
          <w:p w14:paraId="1D014B84" w14:textId="3C69CA1F" w:rsidR="004C6550" w:rsidRPr="003040CD" w:rsidRDefault="005B76CF" w:rsidP="003040CD">
            <w:pPr>
              <w:pStyle w:val="TableTextEntries"/>
            </w:pPr>
            <w:r w:rsidRPr="003040CD">
              <w:t>Mid-term review</w:t>
            </w:r>
          </w:p>
        </w:tc>
        <w:tc>
          <w:tcPr>
            <w:tcW w:w="2612" w:type="dxa"/>
          </w:tcPr>
          <w:p w14:paraId="55BAD3E7" w14:textId="408C1569" w:rsidR="004C6550" w:rsidRPr="003040CD" w:rsidRDefault="005B76CF" w:rsidP="003040CD">
            <w:pPr>
              <w:pStyle w:val="TableTextEntries"/>
            </w:pPr>
            <w:r w:rsidRPr="003040CD">
              <w:t>To verify program outcomes, improve existing program</w:t>
            </w:r>
          </w:p>
        </w:tc>
        <w:tc>
          <w:tcPr>
            <w:tcW w:w="2617" w:type="dxa"/>
          </w:tcPr>
          <w:p w14:paraId="7B6033A9" w14:textId="591E2659" w:rsidR="004C6550" w:rsidRPr="003040CD" w:rsidRDefault="005B76CF" w:rsidP="003040CD">
            <w:pPr>
              <w:pStyle w:val="TableTextEntries"/>
            </w:pPr>
            <w:r w:rsidRPr="003040CD">
              <w:t>March 2014</w:t>
            </w:r>
          </w:p>
        </w:tc>
      </w:tr>
      <w:tr w:rsidR="00071B95" w:rsidRPr="003040CD" w14:paraId="22335EA5" w14:textId="77777777" w:rsidTr="003D6095">
        <w:tc>
          <w:tcPr>
            <w:tcW w:w="2601" w:type="dxa"/>
          </w:tcPr>
          <w:p w14:paraId="22335EA0" w14:textId="45B4078F" w:rsidR="00071B95" w:rsidRPr="003040CD" w:rsidRDefault="004C6550" w:rsidP="003040CD">
            <w:pPr>
              <w:pStyle w:val="TableTextEntries"/>
            </w:pPr>
            <w:r w:rsidRPr="003040CD">
              <w:t>Primary Education Development Program (III)</w:t>
            </w:r>
          </w:p>
        </w:tc>
        <w:tc>
          <w:tcPr>
            <w:tcW w:w="2530" w:type="dxa"/>
          </w:tcPr>
          <w:p w14:paraId="22335EA1" w14:textId="6847B2E8" w:rsidR="00071B95" w:rsidRPr="003040CD" w:rsidRDefault="004C6550" w:rsidP="003040CD">
            <w:pPr>
              <w:pStyle w:val="TableTextEntries"/>
            </w:pPr>
            <w:r w:rsidRPr="003040CD">
              <w:t>INJ957</w:t>
            </w:r>
          </w:p>
        </w:tc>
        <w:tc>
          <w:tcPr>
            <w:tcW w:w="2612" w:type="dxa"/>
          </w:tcPr>
          <w:p w14:paraId="22335EA2" w14:textId="21A74AD2" w:rsidR="00071B95" w:rsidRPr="003040CD" w:rsidRDefault="004C6550" w:rsidP="003040CD">
            <w:pPr>
              <w:pStyle w:val="TableTextEntries"/>
            </w:pPr>
            <w:r w:rsidRPr="003040CD">
              <w:t>Joint mid-term review</w:t>
            </w:r>
          </w:p>
        </w:tc>
        <w:tc>
          <w:tcPr>
            <w:tcW w:w="2612" w:type="dxa"/>
          </w:tcPr>
          <w:p w14:paraId="22335EA3" w14:textId="04454639" w:rsidR="00071B95" w:rsidRPr="003040CD" w:rsidRDefault="006B3E63" w:rsidP="003040CD">
            <w:pPr>
              <w:pStyle w:val="TableTextEntries"/>
            </w:pPr>
            <w:r w:rsidRPr="003040CD">
              <w:t>To verify program outcomes, improve existing program</w:t>
            </w:r>
          </w:p>
        </w:tc>
        <w:tc>
          <w:tcPr>
            <w:tcW w:w="2617" w:type="dxa"/>
          </w:tcPr>
          <w:p w14:paraId="22335EA4" w14:textId="721219C8" w:rsidR="00071B95" w:rsidRPr="003040CD" w:rsidRDefault="006B3E63" w:rsidP="003040CD">
            <w:pPr>
              <w:pStyle w:val="TableTextEntries"/>
            </w:pPr>
            <w:r w:rsidRPr="003040CD">
              <w:t>May 2014</w:t>
            </w:r>
          </w:p>
        </w:tc>
      </w:tr>
      <w:tr w:rsidR="00B16E19" w:rsidRPr="003040CD" w14:paraId="36461B77" w14:textId="77777777" w:rsidTr="003D6095">
        <w:tc>
          <w:tcPr>
            <w:tcW w:w="2601" w:type="dxa"/>
          </w:tcPr>
          <w:p w14:paraId="4BD01C45" w14:textId="3312F321" w:rsidR="00B16E19" w:rsidRPr="003040CD" w:rsidRDefault="00B16E19" w:rsidP="003040CD">
            <w:pPr>
              <w:pStyle w:val="TableTextEntries"/>
            </w:pPr>
            <w:r w:rsidRPr="003040CD">
              <w:t xml:space="preserve">Climate Change </w:t>
            </w:r>
            <w:r w:rsidR="006B3E63" w:rsidRPr="003040CD">
              <w:t>Resilience Fund</w:t>
            </w:r>
          </w:p>
        </w:tc>
        <w:tc>
          <w:tcPr>
            <w:tcW w:w="2530" w:type="dxa"/>
          </w:tcPr>
          <w:p w14:paraId="09D96D9E" w14:textId="0873F267" w:rsidR="00B16E19" w:rsidRPr="003040CD" w:rsidRDefault="006B3E63" w:rsidP="003040CD">
            <w:pPr>
              <w:pStyle w:val="TableTextEntries"/>
            </w:pPr>
            <w:r w:rsidRPr="003040CD">
              <w:t>INJ178</w:t>
            </w:r>
          </w:p>
        </w:tc>
        <w:tc>
          <w:tcPr>
            <w:tcW w:w="2612" w:type="dxa"/>
          </w:tcPr>
          <w:p w14:paraId="754F051C" w14:textId="57A6974D" w:rsidR="00B16E19" w:rsidRPr="003040CD" w:rsidRDefault="006B3E63" w:rsidP="003040CD">
            <w:pPr>
              <w:pStyle w:val="TableTextEntries"/>
            </w:pPr>
            <w:r w:rsidRPr="003040CD">
              <w:t>Joint mid-term review</w:t>
            </w:r>
          </w:p>
        </w:tc>
        <w:tc>
          <w:tcPr>
            <w:tcW w:w="2612" w:type="dxa"/>
          </w:tcPr>
          <w:p w14:paraId="738404A5" w14:textId="76C450C2" w:rsidR="00B16E19" w:rsidRPr="003040CD" w:rsidRDefault="006B3E63" w:rsidP="003040CD">
            <w:pPr>
              <w:pStyle w:val="TableTextEntries"/>
            </w:pPr>
            <w:r w:rsidRPr="003040CD">
              <w:t>To verify program outcomes, improve existing program</w:t>
            </w:r>
          </w:p>
        </w:tc>
        <w:tc>
          <w:tcPr>
            <w:tcW w:w="2617" w:type="dxa"/>
          </w:tcPr>
          <w:p w14:paraId="2AB3295A" w14:textId="56C22BAB" w:rsidR="00B16E19" w:rsidRPr="003040CD" w:rsidRDefault="006B3E63" w:rsidP="003040CD">
            <w:pPr>
              <w:pStyle w:val="TableTextEntries"/>
            </w:pPr>
            <w:r w:rsidRPr="003040CD">
              <w:t>October 2013</w:t>
            </w:r>
          </w:p>
        </w:tc>
      </w:tr>
      <w:tr w:rsidR="006B3E63" w:rsidRPr="003040CD" w14:paraId="11F9E014" w14:textId="77777777" w:rsidTr="003D6095">
        <w:tc>
          <w:tcPr>
            <w:tcW w:w="2601" w:type="dxa"/>
          </w:tcPr>
          <w:p w14:paraId="7260F744" w14:textId="6A8CD298" w:rsidR="006B3E63" w:rsidRPr="003040CD" w:rsidRDefault="00EC3BF5" w:rsidP="003040CD">
            <w:pPr>
              <w:pStyle w:val="TableTextEntries"/>
            </w:pPr>
            <w:r w:rsidRPr="003040CD">
              <w:t xml:space="preserve">Support to </w:t>
            </w:r>
            <w:r w:rsidR="006B3E63" w:rsidRPr="003040CD">
              <w:t>W</w:t>
            </w:r>
            <w:r w:rsidR="00595EE8" w:rsidRPr="003040CD">
              <w:t>orld Food Programme—i</w:t>
            </w:r>
            <w:r w:rsidRPr="003040CD">
              <w:t>ntegrated hunger and under nutrition</w:t>
            </w:r>
          </w:p>
        </w:tc>
        <w:tc>
          <w:tcPr>
            <w:tcW w:w="2530" w:type="dxa"/>
          </w:tcPr>
          <w:p w14:paraId="0CFAE251" w14:textId="5277DCAC" w:rsidR="006B3E63" w:rsidRPr="003040CD" w:rsidRDefault="006B3E63" w:rsidP="003040CD">
            <w:pPr>
              <w:pStyle w:val="TableTextEntries"/>
            </w:pPr>
            <w:r w:rsidRPr="003040CD">
              <w:t>INJ346</w:t>
            </w:r>
          </w:p>
        </w:tc>
        <w:tc>
          <w:tcPr>
            <w:tcW w:w="2612" w:type="dxa"/>
          </w:tcPr>
          <w:p w14:paraId="0FC90596" w14:textId="79061599" w:rsidR="006B3E63" w:rsidRPr="003040CD" w:rsidRDefault="006B3E63" w:rsidP="003040CD">
            <w:pPr>
              <w:pStyle w:val="TableTextEntries"/>
            </w:pPr>
            <w:r w:rsidRPr="003040CD">
              <w:t>Partner</w:t>
            </w:r>
            <w:r w:rsidR="00FC39AC" w:rsidRPr="003040CD">
              <w:t>-</w:t>
            </w:r>
            <w:r w:rsidRPr="003040CD">
              <w:t xml:space="preserve">led review </w:t>
            </w:r>
          </w:p>
        </w:tc>
        <w:tc>
          <w:tcPr>
            <w:tcW w:w="2612" w:type="dxa"/>
          </w:tcPr>
          <w:p w14:paraId="2DE7FBE6" w14:textId="514686FF" w:rsidR="006B3E63" w:rsidRPr="003040CD" w:rsidRDefault="006B3E63" w:rsidP="003040CD">
            <w:pPr>
              <w:pStyle w:val="TableTextEntries"/>
            </w:pPr>
            <w:r w:rsidRPr="003040CD">
              <w:t>To verify program outcomes</w:t>
            </w:r>
          </w:p>
        </w:tc>
        <w:tc>
          <w:tcPr>
            <w:tcW w:w="2617" w:type="dxa"/>
          </w:tcPr>
          <w:p w14:paraId="37B76712" w14:textId="15B2EEFF" w:rsidR="006B3E63" w:rsidRPr="003040CD" w:rsidRDefault="00C5015E" w:rsidP="003040CD">
            <w:pPr>
              <w:pStyle w:val="TableTextEntries"/>
            </w:pPr>
            <w:r w:rsidRPr="003040CD">
              <w:t>September 2013</w:t>
            </w:r>
          </w:p>
        </w:tc>
      </w:tr>
    </w:tbl>
    <w:p w14:paraId="22335EAC" w14:textId="77777777" w:rsidR="00071B95" w:rsidRDefault="00071B95" w:rsidP="00071B95">
      <w:pPr>
        <w:rPr>
          <w:b/>
        </w:rPr>
      </w:pPr>
    </w:p>
    <w:p w14:paraId="22335EAD" w14:textId="77777777" w:rsidR="00F77E6A" w:rsidRDefault="00F77E6A" w:rsidP="00071B95">
      <w:pPr>
        <w:rPr>
          <w:b/>
        </w:rPr>
      </w:pPr>
    </w:p>
    <w:p w14:paraId="22335EDB" w14:textId="77777777" w:rsidR="00F77E6A" w:rsidRPr="00071B95" w:rsidRDefault="00F77E6A" w:rsidP="00DF35EE">
      <w:pPr>
        <w:pStyle w:val="Heading1"/>
        <w:rPr>
          <w:b/>
        </w:rPr>
      </w:pPr>
    </w:p>
    <w:sectPr w:rsidR="00F77E6A" w:rsidRPr="00071B95" w:rsidSect="003D6095">
      <w:headerReference w:type="default" r:id="rId21"/>
      <w:footerReference w:type="default" r:id="rId22"/>
      <w:headerReference w:type="first" r:id="rId23"/>
      <w:footerReference w:type="first" r:id="rId24"/>
      <w:pgSz w:w="16840" w:h="11907" w:orient="landscape" w:code="9"/>
      <w:pgMar w:top="1871" w:right="2268"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B582" w14:textId="77777777" w:rsidR="00BD6D7E" w:rsidRDefault="00BD6D7E" w:rsidP="0050529F">
      <w:r>
        <w:separator/>
      </w:r>
    </w:p>
    <w:p w14:paraId="30953D8E" w14:textId="77777777" w:rsidR="00BD6D7E" w:rsidRDefault="00BD6D7E"/>
    <w:p w14:paraId="686737D7" w14:textId="77777777" w:rsidR="00BD6D7E" w:rsidRDefault="00BD6D7E"/>
  </w:endnote>
  <w:endnote w:type="continuationSeparator" w:id="0">
    <w:p w14:paraId="64FCE092" w14:textId="77777777" w:rsidR="00BD6D7E" w:rsidRDefault="00BD6D7E" w:rsidP="0050529F">
      <w:r>
        <w:continuationSeparator/>
      </w:r>
    </w:p>
    <w:p w14:paraId="54402571" w14:textId="77777777" w:rsidR="00BD6D7E" w:rsidRDefault="00BD6D7E"/>
    <w:p w14:paraId="3BE9492D" w14:textId="77777777" w:rsidR="00BD6D7E" w:rsidRDefault="00BD6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2" w14:textId="15261BD6" w:rsidR="00BD6D7E" w:rsidRPr="003D6095" w:rsidRDefault="00BD6D7E" w:rsidP="003D609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5584" behindDoc="1" locked="0" layoutInCell="1" allowOverlap="1" wp14:anchorId="6D4E5F60" wp14:editId="72ADD511">
              <wp:simplePos x="0" y="0"/>
              <wp:positionH relativeFrom="column">
                <wp:posOffset>0</wp:posOffset>
              </wp:positionH>
              <wp:positionV relativeFrom="paragraph">
                <wp:posOffset>8498840</wp:posOffset>
              </wp:positionV>
              <wp:extent cx="7379970" cy="2181860"/>
              <wp:effectExtent l="0" t="2540" r="1905" b="0"/>
              <wp:wrapNone/>
              <wp:docPr id="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ia5gAwAAGw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IqomuYAMA&#10;ABs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4560" behindDoc="1" locked="0" layoutInCell="1" allowOverlap="1" wp14:anchorId="11D3DC4C" wp14:editId="07B7117A">
              <wp:simplePos x="0" y="0"/>
              <wp:positionH relativeFrom="column">
                <wp:posOffset>0</wp:posOffset>
              </wp:positionH>
              <wp:positionV relativeFrom="paragraph">
                <wp:posOffset>8498840</wp:posOffset>
              </wp:positionV>
              <wp:extent cx="7379970" cy="2181860"/>
              <wp:effectExtent l="0" t="2540" r="1905" b="0"/>
              <wp:wrapNone/>
              <wp:docPr id="1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3NAJ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l0V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U7c0&#10;A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4" w14:textId="4F2DFFDD" w:rsidR="00BD6D7E" w:rsidRPr="003D6095" w:rsidRDefault="00BD6D7E" w:rsidP="003D609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2512" behindDoc="1" locked="0" layoutInCell="1" allowOverlap="1" wp14:anchorId="4B4177D4" wp14:editId="299EE9BE">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1488" behindDoc="1" locked="0" layoutInCell="1" allowOverlap="1" wp14:anchorId="5079DCD0" wp14:editId="6E18F9A4">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2655" w14:textId="048CF113" w:rsidR="00BD6D7E" w:rsidRPr="003D6095" w:rsidRDefault="00BD6D7E" w:rsidP="003D6095">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8656" behindDoc="1" locked="0" layoutInCell="1" allowOverlap="1" wp14:anchorId="66167C74" wp14:editId="07B1679A">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7632" behindDoc="1" locked="0" layoutInCell="1" allowOverlap="1" wp14:anchorId="3BE04348" wp14:editId="2581EDCF">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7529A" w14:textId="3F670532" w:rsidR="00BD6D7E" w:rsidRPr="003D6095" w:rsidRDefault="00BD6D7E" w:rsidP="003D6095">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20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6848" behindDoc="1" locked="0" layoutInCell="1" allowOverlap="1" wp14:anchorId="02797975" wp14:editId="09353122">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5824" behindDoc="1" locked="0" layoutInCell="1" allowOverlap="1" wp14:anchorId="58AA9E99" wp14:editId="24933BBA">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7" w14:textId="086808E6" w:rsidR="00BD6D7E" w:rsidRPr="00D85F62" w:rsidRDefault="00BD6D7E" w:rsidP="00D85F62">
    <w:pPr>
      <w:tabs>
        <w:tab w:val="left" w:pos="0"/>
        <w:tab w:val="left" w:pos="4155"/>
        <w:tab w:val="right" w:pos="7938"/>
        <w:tab w:val="right" w:pos="13467"/>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Bangladesh</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22</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3056" behindDoc="1" locked="0" layoutInCell="1" allowOverlap="1" wp14:anchorId="0BE628AC" wp14:editId="17B317EB">
              <wp:simplePos x="0" y="0"/>
              <wp:positionH relativeFrom="column">
                <wp:posOffset>0</wp:posOffset>
              </wp:positionH>
              <wp:positionV relativeFrom="paragraph">
                <wp:posOffset>8498840</wp:posOffset>
              </wp:positionV>
              <wp:extent cx="7379970" cy="2181860"/>
              <wp:effectExtent l="0" t="2540" r="1905" b="0"/>
              <wp:wrapNone/>
              <wp:docPr id="27" name="Rectangle 2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IHY6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5B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Igdj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2032" behindDoc="1" locked="0" layoutInCell="1" allowOverlap="1" wp14:anchorId="4CA94625" wp14:editId="14F4E6FD">
              <wp:simplePos x="0" y="0"/>
              <wp:positionH relativeFrom="column">
                <wp:posOffset>0</wp:posOffset>
              </wp:positionH>
              <wp:positionV relativeFrom="paragraph">
                <wp:posOffset>8498840</wp:posOffset>
              </wp:positionV>
              <wp:extent cx="7379970" cy="2181860"/>
              <wp:effectExtent l="0" t="2540" r="1905" b="0"/>
              <wp:wrapNone/>
              <wp:docPr id="28" name="Rectangle 2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AusAID web address graphic" style="position:absolute;margin-left:0;margin-top:669.2pt;width:581.1pt;height:17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NY/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go1j+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30B0" w14:textId="12A48A13" w:rsidR="00BD6D7E" w:rsidRPr="003D6095" w:rsidRDefault="00BD6D7E" w:rsidP="003D6095">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77A35">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2992" behindDoc="1" locked="0" layoutInCell="1" allowOverlap="1" wp14:anchorId="3FBD00E0" wp14:editId="50D77089">
              <wp:simplePos x="0" y="0"/>
              <wp:positionH relativeFrom="column">
                <wp:posOffset>0</wp:posOffset>
              </wp:positionH>
              <wp:positionV relativeFrom="paragraph">
                <wp:posOffset>8498840</wp:posOffset>
              </wp:positionV>
              <wp:extent cx="7379970" cy="2181860"/>
              <wp:effectExtent l="0" t="2540" r="1905" b="0"/>
              <wp:wrapNone/>
              <wp:docPr id="3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DVhp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4NW&#10;G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1968" behindDoc="1" locked="0" layoutInCell="1" allowOverlap="1" wp14:anchorId="74050578" wp14:editId="7FAFB44A">
              <wp:simplePos x="0" y="0"/>
              <wp:positionH relativeFrom="column">
                <wp:posOffset>0</wp:posOffset>
              </wp:positionH>
              <wp:positionV relativeFrom="paragraph">
                <wp:posOffset>8498840</wp:posOffset>
              </wp:positionV>
              <wp:extent cx="7379970" cy="2181860"/>
              <wp:effectExtent l="0" t="2540" r="1905" b="0"/>
              <wp:wrapNone/>
              <wp:docPr id="3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p079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tMJ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u2nT&#10;v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9" w14:textId="41DBD61C" w:rsidR="00BD6D7E" w:rsidRPr="003D6095" w:rsidRDefault="00BD6D7E" w:rsidP="003D6095">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Annual Aid Program Performance Report 2012−13 Bangladesh</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9920" behindDoc="1" locked="0" layoutInCell="1" allowOverlap="1" wp14:anchorId="295D2463" wp14:editId="7549C0A7">
              <wp:simplePos x="0" y="0"/>
              <wp:positionH relativeFrom="column">
                <wp:posOffset>0</wp:posOffset>
              </wp:positionH>
              <wp:positionV relativeFrom="paragraph">
                <wp:posOffset>8498840</wp:posOffset>
              </wp:positionV>
              <wp:extent cx="7379970" cy="2181860"/>
              <wp:effectExtent l="0" t="2540" r="1905" b="0"/>
              <wp:wrapNone/>
              <wp:docPr id="2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nj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LCe&#10;M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8896" behindDoc="1" locked="0" layoutInCell="1" allowOverlap="1" wp14:anchorId="2970CCF1" wp14:editId="67730035">
              <wp:simplePos x="0" y="0"/>
              <wp:positionH relativeFrom="column">
                <wp:posOffset>0</wp:posOffset>
              </wp:positionH>
              <wp:positionV relativeFrom="paragraph">
                <wp:posOffset>8498840</wp:posOffset>
              </wp:positionV>
              <wp:extent cx="7379970" cy="2181860"/>
              <wp:effectExtent l="0" t="2540" r="1905" b="0"/>
              <wp:wrapNone/>
              <wp:docPr id="2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AlpR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a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ACW&#10;l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04A48" w14:textId="77777777" w:rsidR="00BD6D7E" w:rsidRDefault="00BD6D7E" w:rsidP="0050529F">
      <w:r>
        <w:separator/>
      </w:r>
    </w:p>
    <w:p w14:paraId="1ECE6567" w14:textId="77777777" w:rsidR="00BD6D7E" w:rsidRDefault="00BD6D7E"/>
    <w:p w14:paraId="6F14F190" w14:textId="77777777" w:rsidR="00BD6D7E" w:rsidRDefault="00BD6D7E"/>
  </w:footnote>
  <w:footnote w:type="continuationSeparator" w:id="0">
    <w:p w14:paraId="1365C988" w14:textId="77777777" w:rsidR="00BD6D7E" w:rsidRDefault="00BD6D7E" w:rsidP="0050529F">
      <w:r>
        <w:continuationSeparator/>
      </w:r>
    </w:p>
    <w:p w14:paraId="42F1171C" w14:textId="77777777" w:rsidR="00BD6D7E" w:rsidRDefault="00BD6D7E"/>
    <w:p w14:paraId="3610698F" w14:textId="77777777" w:rsidR="00BD6D7E" w:rsidRDefault="00BD6D7E"/>
  </w:footnote>
  <w:footnote w:id="1">
    <w:p w14:paraId="36E940B4" w14:textId="17F04AC3" w:rsidR="00BD6D7E" w:rsidRDefault="00BD6D7E">
      <w:pPr>
        <w:pStyle w:val="FootnoteText"/>
      </w:pPr>
      <w:r>
        <w:rPr>
          <w:rStyle w:val="FootnoteReference"/>
        </w:rPr>
        <w:footnoteRef/>
      </w:r>
      <w:r>
        <w:t xml:space="preserve"> Progress was measured using a performance assessment framework which includes indicators of success under each Strategy objective.</w:t>
      </w:r>
    </w:p>
  </w:footnote>
  <w:footnote w:id="2">
    <w:p w14:paraId="058C93ED" w14:textId="093A8457" w:rsidR="00BD6D7E" w:rsidRDefault="00BD6D7E">
      <w:pPr>
        <w:pStyle w:val="FootnoteText"/>
      </w:pPr>
      <w:r>
        <w:rPr>
          <w:rStyle w:val="FootnoteReference"/>
        </w:rPr>
        <w:footnoteRef/>
      </w:r>
      <w:r>
        <w:t xml:space="preserve"> </w:t>
      </w:r>
      <w:r w:rsidRPr="007E2EA2">
        <w:t>Data retrieved April 2013 from the World Bank World Development Indicators online</w:t>
      </w:r>
      <w:r>
        <w:t>.</w:t>
      </w:r>
    </w:p>
  </w:footnote>
  <w:footnote w:id="3">
    <w:p w14:paraId="0590E93B" w14:textId="0DA860E4" w:rsidR="00BD6D7E" w:rsidRDefault="00BD6D7E">
      <w:pPr>
        <w:pStyle w:val="FootnoteText"/>
      </w:pPr>
      <w:r>
        <w:rPr>
          <w:rStyle w:val="FootnoteReference"/>
        </w:rPr>
        <w:footnoteRef/>
      </w:r>
      <w:r>
        <w:t xml:space="preserve"> </w:t>
      </w:r>
      <w:proofErr w:type="gramStart"/>
      <w:r>
        <w:t>F</w:t>
      </w:r>
      <w:r w:rsidRPr="00277530">
        <w:t>rom 6.7 per cent in 2011 to 6.3 per cent</w:t>
      </w:r>
      <w:r>
        <w:t xml:space="preserve"> in 2012.</w:t>
      </w:r>
      <w:proofErr w:type="gramEnd"/>
    </w:p>
  </w:footnote>
  <w:footnote w:id="4">
    <w:p w14:paraId="7E928712" w14:textId="0E6367C6" w:rsidR="00BD6D7E" w:rsidRDefault="00BD6D7E">
      <w:pPr>
        <w:pStyle w:val="FootnoteText"/>
      </w:pPr>
      <w:r>
        <w:rPr>
          <w:rStyle w:val="FootnoteReference"/>
        </w:rPr>
        <w:footnoteRef/>
      </w:r>
      <w:r>
        <w:t xml:space="preserve"> </w:t>
      </w:r>
      <w:r w:rsidRPr="00915BBC">
        <w:t>International Monetary Fund</w:t>
      </w:r>
      <w:r>
        <w:t xml:space="preserve"> (IMF)</w:t>
      </w:r>
      <w:r w:rsidRPr="00915BBC">
        <w:t xml:space="preserve"> (2013)</w:t>
      </w:r>
      <w:r>
        <w:t>,</w:t>
      </w:r>
      <w:r w:rsidRPr="00915BBC">
        <w:t xml:space="preserve"> IMF Country Report No. 13/61. </w:t>
      </w:r>
      <w:r w:rsidRPr="008F2B7A">
        <w:rPr>
          <w:i/>
        </w:rPr>
        <w:t xml:space="preserve">Bangladesh: First Review </w:t>
      </w:r>
      <w:proofErr w:type="gramStart"/>
      <w:r w:rsidRPr="008F2B7A">
        <w:rPr>
          <w:i/>
        </w:rPr>
        <w:t>Under</w:t>
      </w:r>
      <w:proofErr w:type="gramEnd"/>
      <w:r w:rsidRPr="008F2B7A">
        <w:rPr>
          <w:i/>
        </w:rPr>
        <w:t xml:space="preserve"> the Three-Year Arrangement Under the Extended Credit Facility</w:t>
      </w:r>
      <w:r>
        <w:t>.</w:t>
      </w:r>
      <w:r w:rsidRPr="00915BBC">
        <w:t xml:space="preserve"> </w:t>
      </w:r>
      <w:r>
        <w:t xml:space="preserve"> </w:t>
      </w:r>
    </w:p>
  </w:footnote>
  <w:footnote w:id="5">
    <w:p w14:paraId="7DDA2B6F" w14:textId="38395B0F" w:rsidR="00BD6D7E" w:rsidRDefault="00BD6D7E">
      <w:pPr>
        <w:pStyle w:val="FootnoteText"/>
      </w:pPr>
      <w:r>
        <w:rPr>
          <w:rStyle w:val="FootnoteReference"/>
        </w:rPr>
        <w:footnoteRef/>
      </w:r>
      <w:r>
        <w:t xml:space="preserve"> </w:t>
      </w:r>
      <w:proofErr w:type="gramStart"/>
      <w:r w:rsidRPr="00263253">
        <w:t>Ministry of Finance (2012).</w:t>
      </w:r>
      <w:proofErr w:type="gramEnd"/>
      <w:r w:rsidRPr="00263253">
        <w:t xml:space="preserve"> </w:t>
      </w:r>
      <w:proofErr w:type="gramStart"/>
      <w:r w:rsidRPr="008F2B7A">
        <w:rPr>
          <w:i/>
        </w:rPr>
        <w:t>Bangladesh Economic Review 2011</w:t>
      </w:r>
      <w:r>
        <w:t xml:space="preserve">; </w:t>
      </w:r>
      <w:r w:rsidRPr="00263253">
        <w:t>World Bank (2010)</w:t>
      </w:r>
      <w:r>
        <w:t>,</w:t>
      </w:r>
      <w:r w:rsidRPr="00263253">
        <w:t xml:space="preserve"> </w:t>
      </w:r>
      <w:r w:rsidRPr="008F2B7A">
        <w:rPr>
          <w:i/>
        </w:rPr>
        <w:t xml:space="preserve">Bangladesh </w:t>
      </w:r>
      <w:r w:rsidRPr="008F2B7A">
        <w:rPr>
          <w:bCs/>
          <w:i/>
        </w:rPr>
        <w:t>Country Assistance Strategy</w:t>
      </w:r>
      <w:r w:rsidRPr="008F2B7A">
        <w:rPr>
          <w:i/>
        </w:rPr>
        <w:t xml:space="preserve"> 2011-</w:t>
      </w:r>
      <w:r w:rsidRPr="008F2B7A">
        <w:rPr>
          <w:bCs/>
          <w:i/>
        </w:rPr>
        <w:t>201</w:t>
      </w:r>
      <w:r>
        <w:rPr>
          <w:bCs/>
          <w:i/>
        </w:rPr>
        <w:t>4</w:t>
      </w:r>
      <w:r>
        <w:rPr>
          <w:rStyle w:val="st1"/>
          <w:rFonts w:ascii="Arial" w:hAnsi="Arial" w:cs="Arial"/>
          <w:color w:val="444444"/>
        </w:rPr>
        <w:t>'.</w:t>
      </w:r>
      <w:proofErr w:type="gramEnd"/>
    </w:p>
  </w:footnote>
  <w:footnote w:id="6">
    <w:p w14:paraId="34BA59DA" w14:textId="5E9D0179" w:rsidR="00BD6D7E" w:rsidRDefault="00BD6D7E">
      <w:pPr>
        <w:pStyle w:val="FootnoteText"/>
      </w:pPr>
      <w:r>
        <w:rPr>
          <w:rStyle w:val="FootnoteReference"/>
        </w:rPr>
        <w:footnoteRef/>
      </w:r>
      <w:r>
        <w:t xml:space="preserve"> </w:t>
      </w:r>
      <w:r>
        <w:rPr>
          <w:lang w:val="en"/>
        </w:rPr>
        <w:t>The caretaker system was installed in 1996 and used until 2011</w:t>
      </w:r>
      <w:r w:rsidRPr="00F86BB9">
        <w:rPr>
          <w:lang w:val="en"/>
        </w:rPr>
        <w:t xml:space="preserve"> </w:t>
      </w:r>
      <w:r>
        <w:rPr>
          <w:lang w:val="en"/>
        </w:rPr>
        <w:t>(when it was abolished) as a mechanism to have a non-partisan caretaker government in place in the lead-up to elections and assist the Election Commission to ensure polls are held within 90 days of the dissolution of Parliament.</w:t>
      </w:r>
    </w:p>
  </w:footnote>
  <w:footnote w:id="7">
    <w:p w14:paraId="3A552BDD" w14:textId="6CE32D6C" w:rsidR="00BD6D7E" w:rsidRDefault="00BD6D7E">
      <w:pPr>
        <w:pStyle w:val="FootnoteText"/>
      </w:pPr>
      <w:r>
        <w:rPr>
          <w:rStyle w:val="FootnoteReference"/>
        </w:rPr>
        <w:footnoteRef/>
      </w:r>
      <w:r>
        <w:t xml:space="preserve"> Local newspaper reports, March 2013.</w:t>
      </w:r>
    </w:p>
  </w:footnote>
  <w:footnote w:id="8">
    <w:p w14:paraId="3EC254E2" w14:textId="364B59DD" w:rsidR="00BD6D7E" w:rsidRDefault="00BD6D7E" w:rsidP="00FC7948">
      <w:pPr>
        <w:pStyle w:val="FootnoteText"/>
      </w:pPr>
      <w:r>
        <w:rPr>
          <w:rStyle w:val="FootnoteReference"/>
        </w:rPr>
        <w:footnoteRef/>
      </w:r>
      <w:r>
        <w:t xml:space="preserve"> Based on </w:t>
      </w:r>
      <w:r w:rsidRPr="008F2B7A">
        <w:rPr>
          <w:lang w:val="en"/>
        </w:rPr>
        <w:t>the</w:t>
      </w:r>
      <w:r>
        <w:t xml:space="preserve"> latest available data, Australia is approximately the fifth largest bilateral aid donor to Bangladesh. Our aid represents around 2.4 per cent of total overseas development assistance (ODA) to Bangladesh, and ODA constitutes approximately 1.3 per cent of gross domestic product.  </w:t>
      </w:r>
    </w:p>
  </w:footnote>
  <w:footnote w:id="9">
    <w:p w14:paraId="714194F7" w14:textId="1675DAD6" w:rsidR="00BD6D7E" w:rsidRDefault="00BD6D7E">
      <w:pPr>
        <w:pStyle w:val="FootnoteText"/>
      </w:pPr>
      <w:r>
        <w:rPr>
          <w:rStyle w:val="FootnoteReference"/>
        </w:rPr>
        <w:footnoteRef/>
      </w:r>
      <w:r>
        <w:t xml:space="preserve"> </w:t>
      </w:r>
      <w:proofErr w:type="gramStart"/>
      <w:r>
        <w:t>Bangladesh Program’s performance assessment framework.</w:t>
      </w:r>
      <w:proofErr w:type="gramEnd"/>
    </w:p>
  </w:footnote>
  <w:footnote w:id="10">
    <w:p w14:paraId="3932C8CA" w14:textId="601F1687" w:rsidR="00BD6D7E" w:rsidRDefault="00BD6D7E">
      <w:pPr>
        <w:pStyle w:val="FootnoteText"/>
      </w:pPr>
      <w:r>
        <w:rPr>
          <w:rStyle w:val="FootnoteReference"/>
        </w:rPr>
        <w:footnoteRef/>
      </w:r>
      <w:r>
        <w:t xml:space="preserve"> </w:t>
      </w:r>
      <w:r w:rsidRPr="00207E0F">
        <w:t>According to the assessment only 25</w:t>
      </w:r>
      <w:r>
        <w:t xml:space="preserve"> per cent</w:t>
      </w:r>
      <w:r w:rsidRPr="00207E0F">
        <w:t xml:space="preserve"> of </w:t>
      </w:r>
      <w:r>
        <w:t>G</w:t>
      </w:r>
      <w:r w:rsidRPr="00207E0F">
        <w:t>rade 5 students achieved expected grade-wise competencies in Bangla.</w:t>
      </w:r>
    </w:p>
  </w:footnote>
  <w:footnote w:id="11">
    <w:p w14:paraId="2DAE0327" w14:textId="5C4A4E81" w:rsidR="00BD6D7E" w:rsidRDefault="00BD6D7E">
      <w:pPr>
        <w:pStyle w:val="FootnoteText"/>
      </w:pPr>
      <w:r>
        <w:rPr>
          <w:rStyle w:val="FootnoteReference"/>
        </w:rPr>
        <w:footnoteRef/>
      </w:r>
      <w:r>
        <w:t xml:space="preserve"> Examples of indicators include: percentage of schools with </w:t>
      </w:r>
      <w:r w:rsidRPr="00464560">
        <w:t>separate toilets for girls and boys</w:t>
      </w:r>
      <w:r>
        <w:t xml:space="preserve">; and </w:t>
      </w:r>
      <w:r w:rsidRPr="00464560">
        <w:t>percentage of schools in disadvantaged districts managing School Level Improvement Programs</w:t>
      </w:r>
      <w:r>
        <w:t xml:space="preserve">.  </w:t>
      </w:r>
    </w:p>
  </w:footnote>
  <w:footnote w:id="12">
    <w:p w14:paraId="524FD9B9" w14:textId="3E31B42C" w:rsidR="00BD6D7E" w:rsidRDefault="00BD6D7E">
      <w:pPr>
        <w:pStyle w:val="FootnoteText"/>
      </w:pPr>
      <w:r>
        <w:rPr>
          <w:rStyle w:val="FootnoteReference"/>
        </w:rPr>
        <w:footnoteRef/>
      </w:r>
      <w:r>
        <w:t xml:space="preserve"> </w:t>
      </w:r>
      <w:proofErr w:type="spellStart"/>
      <w:r>
        <w:t>Icddr</w:t>
      </w:r>
      <w:proofErr w:type="gramStart"/>
      <w:r>
        <w:t>,b</w:t>
      </w:r>
      <w:proofErr w:type="spellEnd"/>
      <w:proofErr w:type="gramEnd"/>
      <w:r>
        <w:t xml:space="preserve"> undertakes regular high-quality research into health challenges, including on </w:t>
      </w:r>
      <w:r w:rsidRPr="004A7D5C">
        <w:t xml:space="preserve">child health, infectious diseases </w:t>
      </w:r>
      <w:r>
        <w:t>and</w:t>
      </w:r>
      <w:r w:rsidRPr="004A7D5C">
        <w:t xml:space="preserve"> vaccine sciences, reproductive health, nutrition, </w:t>
      </w:r>
      <w:r>
        <w:t>and</w:t>
      </w:r>
      <w:r w:rsidRPr="004A7D5C">
        <w:t xml:space="preserve"> safe water</w:t>
      </w:r>
      <w:r>
        <w:t xml:space="preserve">. However there is, as yet, little evidence of this research informing health policy reform. </w:t>
      </w:r>
    </w:p>
  </w:footnote>
  <w:footnote w:id="13">
    <w:p w14:paraId="450EAC3D" w14:textId="13D9BE4D" w:rsidR="00BD6D7E" w:rsidRDefault="00BD6D7E">
      <w:pPr>
        <w:pStyle w:val="FootnoteText"/>
      </w:pPr>
      <w:r>
        <w:rPr>
          <w:rStyle w:val="FootnoteReference"/>
        </w:rPr>
        <w:footnoteRef/>
      </w:r>
      <w:r>
        <w:t xml:space="preserve"> </w:t>
      </w:r>
      <w:proofErr w:type="gramStart"/>
      <w:r>
        <w:t xml:space="preserve">BRAC (2013), Strategic Partnership Arrangement Results </w:t>
      </w:r>
      <w:r w:rsidRPr="004A7D5C">
        <w:t>Framework</w:t>
      </w:r>
      <w:r>
        <w:t>.</w:t>
      </w:r>
      <w:proofErr w:type="gramEnd"/>
    </w:p>
  </w:footnote>
  <w:footnote w:id="14">
    <w:p w14:paraId="3DED2F01" w14:textId="7DC9E10D" w:rsidR="00BD6D7E" w:rsidRDefault="00BD6D7E">
      <w:pPr>
        <w:pStyle w:val="FootnoteText"/>
      </w:pPr>
      <w:r>
        <w:rPr>
          <w:rStyle w:val="FootnoteReference"/>
        </w:rPr>
        <w:footnoteRef/>
      </w:r>
      <w:r>
        <w:t xml:space="preserve"> Ibid.</w:t>
      </w:r>
    </w:p>
  </w:footnote>
  <w:footnote w:id="15">
    <w:p w14:paraId="5C36E05B" w14:textId="5D028939" w:rsidR="00BD6D7E" w:rsidRDefault="00BD6D7E">
      <w:pPr>
        <w:pStyle w:val="FootnoteText"/>
      </w:pPr>
      <w:r>
        <w:rPr>
          <w:rStyle w:val="FootnoteReference"/>
        </w:rPr>
        <w:footnoteRef/>
      </w:r>
      <w:r>
        <w:t xml:space="preserve"> Ibid.</w:t>
      </w:r>
    </w:p>
  </w:footnote>
  <w:footnote w:id="16">
    <w:p w14:paraId="5F0A3643" w14:textId="5DFD8ECF" w:rsidR="00BD6D7E" w:rsidRDefault="00BD6D7E">
      <w:pPr>
        <w:pStyle w:val="FootnoteText"/>
      </w:pPr>
      <w:r>
        <w:rPr>
          <w:rStyle w:val="FootnoteReference"/>
        </w:rPr>
        <w:footnoteRef/>
      </w:r>
      <w:r>
        <w:t xml:space="preserve"> </w:t>
      </w:r>
      <w:r w:rsidRPr="008F2B7A">
        <w:t>Hygiene, Sanitation and Water</w:t>
      </w:r>
      <w:r>
        <w:t xml:space="preserve"> project annual report 2012</w:t>
      </w:r>
    </w:p>
  </w:footnote>
  <w:footnote w:id="17">
    <w:p w14:paraId="5D5DBF16" w14:textId="71699F9B" w:rsidR="00BD6D7E" w:rsidRDefault="00BD6D7E">
      <w:pPr>
        <w:pStyle w:val="FootnoteText"/>
      </w:pPr>
      <w:r>
        <w:rPr>
          <w:rStyle w:val="FootnoteReference"/>
        </w:rPr>
        <w:footnoteRef/>
      </w:r>
      <w:r>
        <w:t xml:space="preserve"> </w:t>
      </w:r>
      <w:proofErr w:type="spellStart"/>
      <w:r>
        <w:t>Iccdr</w:t>
      </w:r>
      <w:proofErr w:type="gramStart"/>
      <w:r>
        <w:t>,b</w:t>
      </w:r>
      <w:proofErr w:type="spellEnd"/>
      <w:proofErr w:type="gramEnd"/>
      <w:r>
        <w:t xml:space="preserve"> (2012), annual report.</w:t>
      </w:r>
    </w:p>
  </w:footnote>
  <w:footnote w:id="18">
    <w:p w14:paraId="0BB497DD" w14:textId="77AD5F92" w:rsidR="00BD6D7E" w:rsidRDefault="00BD6D7E">
      <w:pPr>
        <w:pStyle w:val="FootnoteText"/>
      </w:pPr>
      <w:r>
        <w:rPr>
          <w:rStyle w:val="FootnoteReference"/>
        </w:rPr>
        <w:footnoteRef/>
      </w:r>
      <w:r>
        <w:t xml:space="preserve"> Support from Australia helped broker resolution to challenges involved in deploying technical assistance to support the Government of Bangladesh’s health program.  </w:t>
      </w:r>
    </w:p>
  </w:footnote>
  <w:footnote w:id="19">
    <w:p w14:paraId="08D7F03B" w14:textId="513856E7" w:rsidR="00BD6D7E" w:rsidRDefault="00BD6D7E">
      <w:pPr>
        <w:pStyle w:val="FootnoteText"/>
      </w:pPr>
      <w:r w:rsidRPr="00D85F62">
        <w:rPr>
          <w:rStyle w:val="FootnoteReference"/>
        </w:rPr>
        <w:footnoteRef/>
      </w:r>
      <w:r>
        <w:t xml:space="preserve"> The Alumni Tracer study was undertaken by Coffey International Development.  </w:t>
      </w:r>
    </w:p>
  </w:footnote>
  <w:footnote w:id="20">
    <w:p w14:paraId="0652584C" w14:textId="7C1CF8DD" w:rsidR="00BD6D7E" w:rsidRPr="001B0808" w:rsidRDefault="00BD6D7E" w:rsidP="00772D51">
      <w:pPr>
        <w:pStyle w:val="FootnoteText"/>
      </w:pPr>
      <w:r w:rsidRPr="00D85F62">
        <w:rPr>
          <w:rStyle w:val="FootnoteReference"/>
        </w:rPr>
        <w:footnoteRef/>
      </w:r>
      <w:r w:rsidRPr="001B0808">
        <w:t xml:space="preserve"> </w:t>
      </w:r>
      <w:proofErr w:type="gramStart"/>
      <w:r w:rsidRPr="001B0808">
        <w:t xml:space="preserve">Sixth Five </w:t>
      </w:r>
      <w:r w:rsidRPr="008F2B7A">
        <w:t>Year Plan</w:t>
      </w:r>
      <w:r w:rsidRPr="001B0808">
        <w:t xml:space="preserve"> of </w:t>
      </w:r>
      <w:r w:rsidRPr="008F2B7A">
        <w:t>Bangladesh</w:t>
      </w:r>
      <w:r w:rsidRPr="001B0808">
        <w:t xml:space="preserve"> 2011</w:t>
      </w:r>
      <w:r>
        <w:t>–</w:t>
      </w:r>
      <w:r w:rsidRPr="001B0808">
        <w:t>2015</w:t>
      </w:r>
      <w:r>
        <w:t>.</w:t>
      </w:r>
      <w:proofErr w:type="gramEnd"/>
    </w:p>
  </w:footnote>
  <w:footnote w:id="21">
    <w:p w14:paraId="6ADF9D0A" w14:textId="7DE9A7D5" w:rsidR="00BD6D7E" w:rsidRDefault="00BD6D7E">
      <w:pPr>
        <w:pStyle w:val="FootnoteText"/>
      </w:pPr>
      <w:r w:rsidRPr="00D85F62">
        <w:rPr>
          <w:rStyle w:val="FootnoteReference"/>
        </w:rPr>
        <w:footnoteRef/>
      </w:r>
      <w:r>
        <w:t xml:space="preserve"> </w:t>
      </w:r>
      <w:proofErr w:type="gramStart"/>
      <w:r>
        <w:t>World Bank 2008.</w:t>
      </w:r>
      <w:proofErr w:type="gramEnd"/>
    </w:p>
  </w:footnote>
  <w:footnote w:id="22">
    <w:p w14:paraId="2F2F3441" w14:textId="7E84245A" w:rsidR="00BD6D7E" w:rsidRDefault="00BD6D7E" w:rsidP="006C2B9C">
      <w:pPr>
        <w:pStyle w:val="FootnoteText"/>
      </w:pPr>
      <w:r w:rsidRPr="00D85F62">
        <w:rPr>
          <w:rStyle w:val="FootnoteReference"/>
        </w:rPr>
        <w:footnoteRef/>
      </w:r>
      <w:r w:rsidRPr="00D85F62">
        <w:rPr>
          <w:rStyle w:val="FootnoteReference"/>
        </w:rPr>
        <w:t xml:space="preserve"> </w:t>
      </w:r>
      <w:r w:rsidRPr="00D85F62">
        <w:t>A workshop on the National Social Protection Strategy was held in Dhaka on 22 September 2012, chaired by the Cabinet Secretary.</w:t>
      </w:r>
    </w:p>
  </w:footnote>
  <w:footnote w:id="23">
    <w:p w14:paraId="550AD4A2" w14:textId="19C2C468" w:rsidR="00BD6D7E" w:rsidRDefault="00BD6D7E" w:rsidP="003D193D">
      <w:pPr>
        <w:pStyle w:val="FootnoteText"/>
      </w:pPr>
      <w:r w:rsidRPr="00D85F62">
        <w:rPr>
          <w:rStyle w:val="FootnoteReference"/>
        </w:rPr>
        <w:footnoteRef/>
      </w:r>
      <w:r w:rsidRPr="001B0808">
        <w:t xml:space="preserve"> </w:t>
      </w:r>
      <w:r w:rsidRPr="00D85F62">
        <w:t>Data retrieved (April 2013) from the International Disaster Database, maintained by WHO Collaborating Centre for Research on the Epidemiology of Disasters (CRED).</w:t>
      </w:r>
      <w:r>
        <w:t xml:space="preserve"> </w:t>
      </w:r>
    </w:p>
  </w:footnote>
  <w:footnote w:id="24">
    <w:p w14:paraId="66A2930E" w14:textId="631963D7" w:rsidR="00BD6D7E" w:rsidRDefault="00BD6D7E" w:rsidP="00586AF8">
      <w:pPr>
        <w:pStyle w:val="FootnoteText"/>
      </w:pPr>
      <w:r>
        <w:rPr>
          <w:rStyle w:val="FootnoteReference"/>
        </w:rPr>
        <w:footnoteRef/>
      </w:r>
      <w:r>
        <w:t xml:space="preserve"> Funding for programming under this objective became active from late in the reporting period. This funding will support community-based organisations to help citizens demand and access </w:t>
      </w:r>
      <w:r w:rsidRPr="00F2576A">
        <w:t>services</w:t>
      </w:r>
      <w:r>
        <w:t xml:space="preserve"> as well as deepen the Australian Government’s understanding of the development issues involved.</w:t>
      </w:r>
    </w:p>
  </w:footnote>
  <w:footnote w:id="25">
    <w:p w14:paraId="0A269A64" w14:textId="6B11D945" w:rsidR="00BD6D7E" w:rsidRDefault="00BD6D7E">
      <w:pPr>
        <w:pStyle w:val="FootnoteText"/>
      </w:pPr>
      <w:r w:rsidRPr="005324A6">
        <w:footnoteRef/>
      </w:r>
      <w:r>
        <w:t xml:space="preserve"> </w:t>
      </w:r>
      <w:proofErr w:type="gramStart"/>
      <w:r>
        <w:t>Progress report on BRAC’s Community Empowerment Programme, half yearly report 2013.</w:t>
      </w:r>
      <w:proofErr w:type="gramEnd"/>
      <w:r>
        <w:t xml:space="preserve"> Also, </w:t>
      </w:r>
      <w:r w:rsidRPr="008F2B7A">
        <w:t>The Asia Foundation, In Asia: Weekly analysis from the region,</w:t>
      </w:r>
      <w:r>
        <w:t xml:space="preserve"> ‘</w:t>
      </w:r>
      <w:hyperlink w:anchor="2" w:history="1">
        <w:r w:rsidRPr="005324A6">
          <w:t xml:space="preserve">Bangladeshis Join V-Day’s One Billion Rising to End Violence </w:t>
        </w:r>
        <w:proofErr w:type="gramStart"/>
        <w:r w:rsidRPr="005324A6">
          <w:t>Against</w:t>
        </w:r>
        <w:proofErr w:type="gramEnd"/>
        <w:r w:rsidRPr="005324A6">
          <w:t xml:space="preserve"> Women</w:t>
        </w:r>
      </w:hyperlink>
      <w:r>
        <w:t xml:space="preserve">’, March 2013.  </w:t>
      </w:r>
    </w:p>
  </w:footnote>
  <w:footnote w:id="26">
    <w:p w14:paraId="3F4C4DC2" w14:textId="748721F3" w:rsidR="00BD6D7E" w:rsidRDefault="00BD6D7E">
      <w:pPr>
        <w:pStyle w:val="FootnoteText"/>
      </w:pPr>
      <w:r w:rsidRPr="00D85F62">
        <w:rPr>
          <w:rStyle w:val="FootnoteReference"/>
        </w:rPr>
        <w:footnoteRef/>
      </w:r>
      <w:r>
        <w:t xml:space="preserve"> </w:t>
      </w:r>
      <w:proofErr w:type="spellStart"/>
      <w:r>
        <w:t>Dalits</w:t>
      </w:r>
      <w:proofErr w:type="spellEnd"/>
      <w:r>
        <w:t xml:space="preserve"> are </w:t>
      </w:r>
      <w:r w:rsidRPr="00632316">
        <w:t xml:space="preserve">people </w:t>
      </w:r>
      <w:r>
        <w:t>of</w:t>
      </w:r>
      <w:r w:rsidRPr="00632316">
        <w:t xml:space="preserve"> low</w:t>
      </w:r>
      <w:r>
        <w:t xml:space="preserve"> status in the Hindu caste hierarchy.</w:t>
      </w:r>
    </w:p>
  </w:footnote>
  <w:footnote w:id="27">
    <w:p w14:paraId="2BAF7958" w14:textId="0E60C8A4" w:rsidR="00BD6D7E" w:rsidRDefault="00BD6D7E" w:rsidP="00772D51">
      <w:pPr>
        <w:pStyle w:val="FootnoteText"/>
      </w:pPr>
      <w:r w:rsidRPr="00D85F62">
        <w:rPr>
          <w:rStyle w:val="FootnoteReference"/>
        </w:rPr>
        <w:footnoteRef/>
      </w:r>
      <w:r w:rsidRPr="00D85F62">
        <w:rPr>
          <w:rStyle w:val="FootnoteReference"/>
        </w:rPr>
        <w:t xml:space="preserve"> </w:t>
      </w:r>
      <w:r>
        <w:t>UN Development Fund (2010), Human Development Report. New York: UNDP.</w:t>
      </w:r>
    </w:p>
  </w:footnote>
  <w:footnote w:id="28">
    <w:p w14:paraId="377124D7" w14:textId="229A41B2" w:rsidR="00BD6D7E" w:rsidRDefault="00BD6D7E">
      <w:pPr>
        <w:pStyle w:val="FootnoteText"/>
      </w:pPr>
      <w:r w:rsidRPr="00D85F62">
        <w:rPr>
          <w:rStyle w:val="FootnoteReference"/>
        </w:rPr>
        <w:footnoteRef/>
      </w:r>
      <w:r>
        <w:t xml:space="preserve"> </w:t>
      </w:r>
      <w:proofErr w:type="spellStart"/>
      <w:proofErr w:type="gramStart"/>
      <w:r>
        <w:t>AusAID’s</w:t>
      </w:r>
      <w:proofErr w:type="spellEnd"/>
      <w:r>
        <w:t xml:space="preserve"> gender stocktake in Bangladesh, 2012.</w:t>
      </w:r>
      <w:proofErr w:type="gramEnd"/>
    </w:p>
  </w:footnote>
  <w:footnote w:id="29">
    <w:p w14:paraId="10C4BEDC" w14:textId="23842FBD" w:rsidR="00BD6D7E" w:rsidRDefault="00BD6D7E">
      <w:pPr>
        <w:pStyle w:val="FootnoteText"/>
      </w:pPr>
      <w:r w:rsidRPr="00D85F62">
        <w:rPr>
          <w:rStyle w:val="FootnoteReference"/>
        </w:rPr>
        <w:footnoteRef/>
      </w:r>
      <w:r>
        <w:t xml:space="preserve"> The Acid Survivors Foundation is a small NGO set up in 1999 to support the needs of victims of acid attacks.</w:t>
      </w:r>
    </w:p>
  </w:footnote>
  <w:footnote w:id="30">
    <w:p w14:paraId="3CF79DBB" w14:textId="31FE00F7" w:rsidR="00BD6D7E" w:rsidRDefault="00BD6D7E" w:rsidP="00271BB7">
      <w:pPr>
        <w:pStyle w:val="FootnoteText"/>
      </w:pPr>
      <w:r w:rsidRPr="00D85F62">
        <w:rPr>
          <w:rStyle w:val="FootnoteReference"/>
        </w:rPr>
        <w:footnoteRef/>
      </w:r>
      <w:r w:rsidRPr="00271BB7">
        <w:t xml:space="preserve"> Annual Program Implementation Report (December 2012)</w:t>
      </w:r>
      <w:r>
        <w:t>,</w:t>
      </w:r>
      <w:r w:rsidRPr="00271BB7">
        <w:t xml:space="preserve"> Health, Population and Nutrition Sector Development Program</w:t>
      </w:r>
      <w:r>
        <w:t>.</w:t>
      </w:r>
      <w:r w:rsidRPr="00271BB7">
        <w:t xml:space="preserve"> </w:t>
      </w:r>
      <w:r>
        <w:t xml:space="preserve"> </w:t>
      </w:r>
    </w:p>
  </w:footnote>
  <w:footnote w:id="31">
    <w:p w14:paraId="6D85266C" w14:textId="7877BED9" w:rsidR="00BD6D7E" w:rsidRDefault="00BD6D7E" w:rsidP="001F694D">
      <w:pPr>
        <w:pStyle w:val="FootnoteText"/>
      </w:pPr>
      <w:r w:rsidRPr="00D85F62">
        <w:rPr>
          <w:rStyle w:val="FootnoteReference"/>
        </w:rPr>
        <w:footnoteRef/>
      </w:r>
      <w:r>
        <w:t xml:space="preserve"> </w:t>
      </w:r>
      <w:r w:rsidRPr="006029D1">
        <w:t xml:space="preserve">BRAC’s State of Governance report concludes there is </w:t>
      </w:r>
      <w:r>
        <w:t>scope for a more mature relationship between civil society and Government. A</w:t>
      </w:r>
      <w:r w:rsidRPr="00D16A9E">
        <w:t xml:space="preserve">nalysis </w:t>
      </w:r>
      <w:r>
        <w:t>indicates</w:t>
      </w:r>
      <w:r w:rsidRPr="00546256">
        <w:t xml:space="preserve"> that </w:t>
      </w:r>
      <w:r>
        <w:t>NGOs</w:t>
      </w:r>
      <w:r w:rsidRPr="00546256">
        <w:t xml:space="preserve"> in </w:t>
      </w:r>
      <w:r>
        <w:t>B</w:t>
      </w:r>
      <w:r w:rsidRPr="00546256">
        <w:t>angladesh can bring policy change</w:t>
      </w:r>
      <w:r>
        <w:t>,</w:t>
      </w:r>
      <w:r w:rsidRPr="00546256">
        <w:t xml:space="preserve"> but </w:t>
      </w:r>
      <w:r>
        <w:t>that</w:t>
      </w:r>
      <w:r w:rsidRPr="00546256">
        <w:t xml:space="preserve"> success of NGOs in policy change is conditioned by </w:t>
      </w:r>
      <w:r>
        <w:t xml:space="preserve">subject matter and political </w:t>
      </w:r>
      <w:r w:rsidRPr="00546256">
        <w:t>circumstances.</w:t>
      </w:r>
    </w:p>
    <w:p w14:paraId="287B92F3" w14:textId="353280D4" w:rsidR="00BD6D7E" w:rsidRDefault="00BD6D7E">
      <w:pPr>
        <w:pStyle w:val="FootnoteText"/>
      </w:pPr>
    </w:p>
  </w:footnote>
  <w:footnote w:id="32">
    <w:p w14:paraId="5550E15C" w14:textId="16668EB7" w:rsidR="00BD6D7E" w:rsidRPr="00F67835" w:rsidRDefault="00BD6D7E" w:rsidP="008F2B7A">
      <w:pPr>
        <w:pStyle w:val="FootnoteText"/>
      </w:pPr>
      <w:r w:rsidRPr="00D85F62">
        <w:rPr>
          <w:rStyle w:val="FootnoteReference"/>
        </w:rPr>
        <w:footnoteRef/>
      </w:r>
      <w:r>
        <w:t xml:space="preserve"> </w:t>
      </w:r>
      <w:r w:rsidRPr="005029C6">
        <w:t>Further, i</w:t>
      </w:r>
      <w:r w:rsidRPr="00F67835">
        <w:t xml:space="preserve">n 2013, a new position </w:t>
      </w:r>
      <w:r>
        <w:t xml:space="preserve">was created </w:t>
      </w:r>
      <w:r w:rsidRPr="00F67835">
        <w:t xml:space="preserve">in the Development Cooperation Section at the Australian High Commission in Dhaka to monitor program performance and quality. </w:t>
      </w:r>
    </w:p>
    <w:p w14:paraId="036437CB" w14:textId="0F5BF19E" w:rsidR="00BD6D7E" w:rsidRDefault="00BD6D7E">
      <w:pPr>
        <w:pStyle w:val="FootnoteText"/>
      </w:pPr>
    </w:p>
  </w:footnote>
  <w:footnote w:id="33">
    <w:p w14:paraId="74C4DCFA" w14:textId="6F5C0EA5" w:rsidR="00BD6D7E" w:rsidRDefault="00BD6D7E">
      <w:pPr>
        <w:pStyle w:val="FootnoteText"/>
      </w:pPr>
      <w:r w:rsidRPr="00D85F62">
        <w:rPr>
          <w:rStyle w:val="FootnoteReference"/>
        </w:rPr>
        <w:footnoteRef/>
      </w:r>
      <w:r>
        <w:t xml:space="preserve"> The South Asia Regional Platform, expected to begin from late 2013, will provide technical expertise to support programs across South Asia.</w:t>
      </w:r>
    </w:p>
  </w:footnote>
  <w:footnote w:id="34">
    <w:p w14:paraId="54C6E71A" w14:textId="71ADD248" w:rsidR="00E5604A" w:rsidRDefault="00E5604A">
      <w:pPr>
        <w:pStyle w:val="FootnoteText"/>
      </w:pPr>
      <w:r>
        <w:rPr>
          <w:rStyle w:val="FootnoteReference"/>
        </w:rPr>
        <w:footnoteRef/>
      </w:r>
      <w:r>
        <w:t xml:space="preserve"> </w:t>
      </w:r>
      <w:r w:rsidRPr="00E5604A">
        <w:t>Prior to 2012-13</w:t>
      </w:r>
      <w:r>
        <w:t xml:space="preserve">, </w:t>
      </w:r>
      <w:r w:rsidRPr="00E5604A">
        <w:t xml:space="preserve"> Aid Program Performance Reports were called Annual Program Performance Reports</w:t>
      </w:r>
    </w:p>
  </w:footnote>
  <w:footnote w:id="35">
    <w:p w14:paraId="3C05439A" w14:textId="77AEB755" w:rsidR="00BD6D7E" w:rsidRPr="00071B95" w:rsidRDefault="00BD6D7E" w:rsidP="00792F95">
      <w:pPr>
        <w:pStyle w:val="FootnoteText"/>
      </w:pPr>
      <w:r w:rsidRPr="00D85F62">
        <w:rPr>
          <w:rStyle w:val="FootnoteReference"/>
        </w:rPr>
        <w:footnoteRef/>
      </w:r>
      <w:r w:rsidRPr="00071B95">
        <w:t xml:space="preserve"> </w:t>
      </w:r>
      <w:r>
        <w:t>C</w:t>
      </w:r>
      <w:r w:rsidRPr="00071B95">
        <w:t>ompleted means the final version of the report has been received</w:t>
      </w:r>
      <w:r>
        <w:t xml:space="preserve">.  </w:t>
      </w:r>
    </w:p>
  </w:footnote>
  <w:footnote w:id="36">
    <w:p w14:paraId="30FF3846" w14:textId="2D41F07F" w:rsidR="00BD6D7E" w:rsidRPr="00071B95" w:rsidRDefault="00BD6D7E" w:rsidP="00792F95">
      <w:pPr>
        <w:pStyle w:val="FootnoteText"/>
      </w:pPr>
      <w:r w:rsidRPr="00D85F62">
        <w:rPr>
          <w:rStyle w:val="FootnoteReference"/>
        </w:rPr>
        <w:footnoteRef/>
      </w:r>
      <w:r w:rsidRPr="00071B95">
        <w:t xml:space="preserve"> </w:t>
      </w:r>
      <w:r>
        <w:t>For example, m</w:t>
      </w:r>
      <w:r w:rsidRPr="00071B95">
        <w:t xml:space="preserve">id-term review, </w:t>
      </w:r>
      <w:r>
        <w:t>c</w:t>
      </w:r>
      <w:r w:rsidRPr="00071B95">
        <w:t>ompletion report, partner-led evaluation, joint evaluation</w:t>
      </w:r>
      <w:r>
        <w:t>.</w:t>
      </w:r>
    </w:p>
  </w:footnote>
  <w:footnote w:id="37">
    <w:p w14:paraId="22335F1A" w14:textId="37AE8356" w:rsidR="00BD6D7E" w:rsidRPr="00551C11" w:rsidRDefault="00BD6D7E" w:rsidP="00071B95">
      <w:pPr>
        <w:pStyle w:val="FootnoteText"/>
      </w:pPr>
      <w:r w:rsidRPr="00D85F62">
        <w:rPr>
          <w:rStyle w:val="FootnoteReference"/>
        </w:rPr>
        <w:footnoteRef/>
      </w:r>
      <w:r w:rsidRPr="00D85F62">
        <w:rPr>
          <w:rStyle w:val="FootnoteReference"/>
        </w:rPr>
        <w:t xml:space="preserve"> </w:t>
      </w:r>
      <w:proofErr w:type="gramStart"/>
      <w:r>
        <w:t>For example, t</w:t>
      </w:r>
      <w:r w:rsidRPr="00071B95">
        <w:t>o inform a future phase of program, to improve existing program;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0" w14:textId="57BE7912" w:rsidR="00BD6D7E" w:rsidRDefault="00BD6D7E">
    <w:pPr>
      <w:pStyle w:val="Header"/>
    </w:pPr>
    <w:r>
      <w:rPr>
        <w:noProof/>
      </w:rPr>
      <w:drawing>
        <wp:anchor distT="0" distB="0" distL="114300" distR="114300" simplePos="0" relativeHeight="251709440" behindDoc="0" locked="0" layoutInCell="1" allowOverlap="1" wp14:anchorId="41378BA5" wp14:editId="74FB6A0D">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22335EF1" w14:textId="77777777" w:rsidR="00BD6D7E" w:rsidRDefault="00BD6D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E7C5" w14:textId="5F7A64EE" w:rsidR="00BD6D7E" w:rsidRDefault="00BD6D7E">
    <w:pPr>
      <w:pStyle w:val="Header"/>
    </w:pPr>
    <w:r>
      <w:rPr>
        <w:noProof/>
      </w:rPr>
      <w:drawing>
        <wp:anchor distT="0" distB="0" distL="114300" distR="114300" simplePos="0" relativeHeight="251707392" behindDoc="0" locked="0" layoutInCell="1" allowOverlap="1" wp14:anchorId="757EDBAB" wp14:editId="00F0D77D">
          <wp:simplePos x="0" y="0"/>
          <wp:positionH relativeFrom="page">
            <wp:align>left</wp:align>
          </wp:positionH>
          <wp:positionV relativeFrom="page">
            <wp:align>top</wp:align>
          </wp:positionV>
          <wp:extent cx="7560000" cy="1890000"/>
          <wp:effectExtent l="0" t="0" r="317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4E2A" w14:textId="7CB7AB0C" w:rsidR="00BD6D7E" w:rsidRDefault="00BD6D7E">
    <w:pPr>
      <w:pStyle w:val="Header"/>
    </w:pPr>
  </w:p>
  <w:p w14:paraId="645F6F42" w14:textId="77777777" w:rsidR="00BD6D7E" w:rsidRDefault="00BD6D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5" w14:textId="77777777" w:rsidR="00BD6D7E" w:rsidRDefault="00BD6D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5349C" w14:textId="77777777" w:rsidR="00BD6D7E" w:rsidRDefault="00BD6D7E">
    <w:pPr>
      <w:pStyle w:val="Header"/>
    </w:pPr>
  </w:p>
  <w:p w14:paraId="1BF009AF" w14:textId="23EE0D7C" w:rsidR="00BD6D7E" w:rsidRDefault="00BD6D7E">
    <w:r>
      <w:rPr>
        <w:noProof/>
      </w:rPr>
      <w:drawing>
        <wp:anchor distT="0" distB="0" distL="114300" distR="114300" simplePos="0" relativeHeight="251723776" behindDoc="0" locked="0" layoutInCell="1" allowOverlap="1" wp14:anchorId="7E8823B0" wp14:editId="46244B3A">
          <wp:simplePos x="0" y="0"/>
          <wp:positionH relativeFrom="page">
            <wp:align>left</wp:align>
          </wp:positionH>
          <wp:positionV relativeFrom="page">
            <wp:align>top</wp:align>
          </wp:positionV>
          <wp:extent cx="7560000" cy="1440000"/>
          <wp:effectExtent l="0" t="0" r="3175" b="825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6" w14:textId="696FFDC9" w:rsidR="00BD6D7E" w:rsidRDefault="00BD6D7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E0209" w14:textId="08A7925F" w:rsidR="00BD6D7E" w:rsidRDefault="00BD6D7E">
    <w:pPr>
      <w:pStyle w:val="Header"/>
    </w:pPr>
  </w:p>
  <w:p w14:paraId="14F0EEFC" w14:textId="77777777" w:rsidR="00BD6D7E" w:rsidRDefault="00BD6D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5EF8" w14:textId="77777777" w:rsidR="00BD6D7E" w:rsidRDefault="00BD6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FC2F3D"/>
    <w:multiLevelType w:val="hybridMultilevel"/>
    <w:tmpl w:val="C1BCE58E"/>
    <w:lvl w:ilvl="0" w:tplc="2D6CD334">
      <w:start w:val="1"/>
      <w:numFmt w:val="lowerLetter"/>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072757"/>
    <w:multiLevelType w:val="hybridMultilevel"/>
    <w:tmpl w:val="7D60662A"/>
    <w:lvl w:ilvl="0" w:tplc="B2EA6F9C">
      <w:start w:val="1"/>
      <w:numFmt w:val="lowerLetter"/>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400ED5B8"/>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188182C"/>
    <w:multiLevelType w:val="hybridMultilevel"/>
    <w:tmpl w:val="FBFED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4AA27AA"/>
    <w:multiLevelType w:val="hybridMultilevel"/>
    <w:tmpl w:val="B2F61A22"/>
    <w:lvl w:ilvl="0" w:tplc="0C09000F">
      <w:start w:val="1"/>
      <w:numFmt w:val="decimal"/>
      <w:lvlText w:val="%1."/>
      <w:lvlJc w:val="left"/>
      <w:pPr>
        <w:ind w:left="360" w:hanging="360"/>
      </w:pPr>
      <w:rPr>
        <w:rFonts w:hint="default"/>
      </w:rPr>
    </w:lvl>
    <w:lvl w:ilvl="1" w:tplc="AA8C511E">
      <w:start w:val="1"/>
      <w:numFmt w:val="lowerLetter"/>
      <w:lvlText w:val="%2."/>
      <w:lvlJc w:val="left"/>
      <w:pPr>
        <w:ind w:left="1080" w:hanging="360"/>
      </w:pPr>
      <w:rPr>
        <w:b w:val="0"/>
      </w:rPr>
    </w:lvl>
    <w:lvl w:ilvl="2" w:tplc="FAF66CF6">
      <w:start w:val="1"/>
      <w:numFmt w:val="lowerRoman"/>
      <w:lvlText w:val="%3."/>
      <w:lvlJc w:val="right"/>
      <w:pPr>
        <w:ind w:left="1800" w:hanging="180"/>
      </w:pPr>
      <w:rPr>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420A1B"/>
    <w:multiLevelType w:val="hybridMultilevel"/>
    <w:tmpl w:val="CA70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8159C1"/>
    <w:multiLevelType w:val="hybridMultilevel"/>
    <w:tmpl w:val="1324B612"/>
    <w:lvl w:ilvl="0" w:tplc="0C090017">
      <w:start w:val="1"/>
      <w:numFmt w:val="lowerLetter"/>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C96EF3"/>
    <w:multiLevelType w:val="hybridMultilevel"/>
    <w:tmpl w:val="4224C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8A5214"/>
    <w:multiLevelType w:val="hybridMultilevel"/>
    <w:tmpl w:val="2A185A58"/>
    <w:lvl w:ilvl="0" w:tplc="771E46E6">
      <w:start w:val="1"/>
      <w:numFmt w:val="decimal"/>
      <w:pStyle w:val="TableListNumber"/>
      <w:lvlText w:val="%1."/>
      <w:lvlJc w:val="left"/>
      <w:pPr>
        <w:tabs>
          <w:tab w:val="num" w:pos="227"/>
        </w:tabs>
        <w:ind w:left="227" w:hanging="227"/>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BE95491"/>
    <w:multiLevelType w:val="hybridMultilevel"/>
    <w:tmpl w:val="175226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643671"/>
    <w:multiLevelType w:val="hybridMultilevel"/>
    <w:tmpl w:val="E88287B8"/>
    <w:lvl w:ilvl="0" w:tplc="FF5C17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A741FFE"/>
    <w:multiLevelType w:val="hybridMultilevel"/>
    <w:tmpl w:val="01DE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6CAC4E8F"/>
    <w:multiLevelType w:val="hybridMultilevel"/>
    <w:tmpl w:val="4EBA9E46"/>
    <w:lvl w:ilvl="0" w:tplc="9384A608">
      <w:start w:val="1"/>
      <w:numFmt w:val="lowerLetter"/>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A706E4"/>
    <w:multiLevelType w:val="hybridMultilevel"/>
    <w:tmpl w:val="1122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9B7CF8"/>
    <w:multiLevelType w:val="hybridMultilevel"/>
    <w:tmpl w:val="642A28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69F11A5"/>
    <w:multiLevelType w:val="hybridMultilevel"/>
    <w:tmpl w:val="0C4628D4"/>
    <w:lvl w:ilvl="0" w:tplc="CEA05DCA">
      <w:start w:val="1"/>
      <w:numFmt w:val="lowerLetter"/>
      <w:lvlText w:val="%1)"/>
      <w:lvlJc w:val="left"/>
      <w:pPr>
        <w:ind w:left="720" w:hanging="360"/>
      </w:pPr>
      <w:rPr>
        <w:rFonts w:hint="default"/>
        <w:b w:val="0"/>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3E673F"/>
    <w:multiLevelType w:val="hybridMultilevel"/>
    <w:tmpl w:val="347A8718"/>
    <w:lvl w:ilvl="0" w:tplc="F9EEE16E">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BD90649"/>
    <w:multiLevelType w:val="hybridMultilevel"/>
    <w:tmpl w:val="90C0AE0E"/>
    <w:lvl w:ilvl="0" w:tplc="04090003">
      <w:start w:val="1"/>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6"/>
  </w:num>
  <w:num w:numId="4">
    <w:abstractNumId w:val="19"/>
  </w:num>
  <w:num w:numId="5">
    <w:abstractNumId w:val="5"/>
  </w:num>
  <w:num w:numId="6">
    <w:abstractNumId w:val="17"/>
  </w:num>
  <w:num w:numId="7">
    <w:abstractNumId w:val="15"/>
  </w:num>
  <w:num w:numId="8">
    <w:abstractNumId w:val="12"/>
  </w:num>
  <w:num w:numId="9">
    <w:abstractNumId w:val="23"/>
  </w:num>
  <w:num w:numId="10">
    <w:abstractNumId w:val="4"/>
  </w:num>
  <w:num w:numId="11">
    <w:abstractNumId w:val="16"/>
  </w:num>
  <w:num w:numId="12">
    <w:abstractNumId w:val="27"/>
  </w:num>
  <w:num w:numId="13">
    <w:abstractNumId w:val="7"/>
  </w:num>
  <w:num w:numId="14">
    <w:abstractNumId w:val="31"/>
  </w:num>
  <w:num w:numId="15">
    <w:abstractNumId w:val="34"/>
  </w:num>
  <w:num w:numId="16">
    <w:abstractNumId w:val="10"/>
  </w:num>
  <w:num w:numId="17">
    <w:abstractNumId w:val="0"/>
  </w:num>
  <w:num w:numId="18">
    <w:abstractNumId w:val="1"/>
  </w:num>
  <w:num w:numId="19">
    <w:abstractNumId w:val="11"/>
  </w:num>
  <w:num w:numId="20">
    <w:abstractNumId w:val="14"/>
  </w:num>
  <w:num w:numId="21">
    <w:abstractNumId w:val="21"/>
  </w:num>
  <w:num w:numId="22">
    <w:abstractNumId w:val="33"/>
  </w:num>
  <w:num w:numId="23">
    <w:abstractNumId w:val="2"/>
  </w:num>
  <w:num w:numId="24">
    <w:abstractNumId w:val="30"/>
  </w:num>
  <w:num w:numId="25">
    <w:abstractNumId w:val="26"/>
  </w:num>
  <w:num w:numId="26">
    <w:abstractNumId w:val="28"/>
  </w:num>
  <w:num w:numId="27">
    <w:abstractNumId w:val="3"/>
  </w:num>
  <w:num w:numId="28">
    <w:abstractNumId w:val="28"/>
  </w:num>
  <w:num w:numId="29">
    <w:abstractNumId w:val="18"/>
  </w:num>
  <w:num w:numId="30">
    <w:abstractNumId w:val="1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0"/>
  </w:num>
  <w:num w:numId="34">
    <w:abstractNumId w:val="24"/>
  </w:num>
  <w:num w:numId="35">
    <w:abstractNumId w:val="8"/>
  </w:num>
  <w:num w:numId="36">
    <w:abstractNumId w:val="32"/>
  </w:num>
  <w:num w:numId="37">
    <w:abstractNumId w:val="32"/>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3107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143D9"/>
    <w:rsid w:val="00020121"/>
    <w:rsid w:val="00021A9E"/>
    <w:rsid w:val="00030111"/>
    <w:rsid w:val="00031100"/>
    <w:rsid w:val="0003193E"/>
    <w:rsid w:val="00034CFD"/>
    <w:rsid w:val="000364F9"/>
    <w:rsid w:val="0003722E"/>
    <w:rsid w:val="000412ED"/>
    <w:rsid w:val="000477A0"/>
    <w:rsid w:val="00051F2B"/>
    <w:rsid w:val="00055B9C"/>
    <w:rsid w:val="0005696A"/>
    <w:rsid w:val="00060FCC"/>
    <w:rsid w:val="00071B95"/>
    <w:rsid w:val="000745E2"/>
    <w:rsid w:val="000755CB"/>
    <w:rsid w:val="000774FD"/>
    <w:rsid w:val="00080C59"/>
    <w:rsid w:val="0008132E"/>
    <w:rsid w:val="00084129"/>
    <w:rsid w:val="0009043A"/>
    <w:rsid w:val="0009396B"/>
    <w:rsid w:val="00095B6C"/>
    <w:rsid w:val="000979A0"/>
    <w:rsid w:val="000A0805"/>
    <w:rsid w:val="000A1618"/>
    <w:rsid w:val="000A16EB"/>
    <w:rsid w:val="000A35D5"/>
    <w:rsid w:val="000A6D39"/>
    <w:rsid w:val="000B2363"/>
    <w:rsid w:val="000B3121"/>
    <w:rsid w:val="000B34BC"/>
    <w:rsid w:val="000C07E0"/>
    <w:rsid w:val="000C2334"/>
    <w:rsid w:val="000C29BF"/>
    <w:rsid w:val="000C6080"/>
    <w:rsid w:val="000C60A8"/>
    <w:rsid w:val="000D65CB"/>
    <w:rsid w:val="000D7247"/>
    <w:rsid w:val="000E20B8"/>
    <w:rsid w:val="000E7297"/>
    <w:rsid w:val="000F1EC2"/>
    <w:rsid w:val="00100AA2"/>
    <w:rsid w:val="00105A41"/>
    <w:rsid w:val="00105E41"/>
    <w:rsid w:val="0010765A"/>
    <w:rsid w:val="00112E97"/>
    <w:rsid w:val="00112FC8"/>
    <w:rsid w:val="001137F9"/>
    <w:rsid w:val="00115F30"/>
    <w:rsid w:val="00120FC7"/>
    <w:rsid w:val="0012416E"/>
    <w:rsid w:val="00130359"/>
    <w:rsid w:val="001366B4"/>
    <w:rsid w:val="00137597"/>
    <w:rsid w:val="0013772A"/>
    <w:rsid w:val="00141A30"/>
    <w:rsid w:val="0014411B"/>
    <w:rsid w:val="001505C1"/>
    <w:rsid w:val="00154FD3"/>
    <w:rsid w:val="00156AF3"/>
    <w:rsid w:val="00157C10"/>
    <w:rsid w:val="0016105C"/>
    <w:rsid w:val="001612CE"/>
    <w:rsid w:val="0016544D"/>
    <w:rsid w:val="00173C6E"/>
    <w:rsid w:val="00180302"/>
    <w:rsid w:val="00180B19"/>
    <w:rsid w:val="00181882"/>
    <w:rsid w:val="0018196F"/>
    <w:rsid w:val="001829BB"/>
    <w:rsid w:val="00192498"/>
    <w:rsid w:val="00194806"/>
    <w:rsid w:val="00197DE4"/>
    <w:rsid w:val="001A09A2"/>
    <w:rsid w:val="001A7F83"/>
    <w:rsid w:val="001B0808"/>
    <w:rsid w:val="001B0907"/>
    <w:rsid w:val="001B0A28"/>
    <w:rsid w:val="001B1A0C"/>
    <w:rsid w:val="001B2FF4"/>
    <w:rsid w:val="001C1EA0"/>
    <w:rsid w:val="001C4BF4"/>
    <w:rsid w:val="001C507E"/>
    <w:rsid w:val="001C5C9C"/>
    <w:rsid w:val="001C5F69"/>
    <w:rsid w:val="001C700E"/>
    <w:rsid w:val="001C7117"/>
    <w:rsid w:val="001C7490"/>
    <w:rsid w:val="001D20FC"/>
    <w:rsid w:val="001D210A"/>
    <w:rsid w:val="001D4357"/>
    <w:rsid w:val="001D5E73"/>
    <w:rsid w:val="001E1F68"/>
    <w:rsid w:val="001E4AD2"/>
    <w:rsid w:val="001F356B"/>
    <w:rsid w:val="001F3A27"/>
    <w:rsid w:val="001F694D"/>
    <w:rsid w:val="001F6EBF"/>
    <w:rsid w:val="001F7480"/>
    <w:rsid w:val="00204FE5"/>
    <w:rsid w:val="00205802"/>
    <w:rsid w:val="00207E0F"/>
    <w:rsid w:val="0021085B"/>
    <w:rsid w:val="002115BD"/>
    <w:rsid w:val="00213671"/>
    <w:rsid w:val="002136FD"/>
    <w:rsid w:val="0021480B"/>
    <w:rsid w:val="0021712A"/>
    <w:rsid w:val="002203E4"/>
    <w:rsid w:val="00221AFA"/>
    <w:rsid w:val="00222F76"/>
    <w:rsid w:val="002267BE"/>
    <w:rsid w:val="00231D45"/>
    <w:rsid w:val="00232B2B"/>
    <w:rsid w:val="00236809"/>
    <w:rsid w:val="00237C4B"/>
    <w:rsid w:val="00245A22"/>
    <w:rsid w:val="00246E5F"/>
    <w:rsid w:val="00247B5E"/>
    <w:rsid w:val="002557AB"/>
    <w:rsid w:val="00261486"/>
    <w:rsid w:val="00263253"/>
    <w:rsid w:val="00271170"/>
    <w:rsid w:val="00271BB7"/>
    <w:rsid w:val="00272BB6"/>
    <w:rsid w:val="00274495"/>
    <w:rsid w:val="00274A3F"/>
    <w:rsid w:val="00277530"/>
    <w:rsid w:val="00277BFD"/>
    <w:rsid w:val="00283C03"/>
    <w:rsid w:val="002849B4"/>
    <w:rsid w:val="00287E9C"/>
    <w:rsid w:val="00295EAC"/>
    <w:rsid w:val="002960CD"/>
    <w:rsid w:val="002A0054"/>
    <w:rsid w:val="002A1935"/>
    <w:rsid w:val="002A22F7"/>
    <w:rsid w:val="002A6412"/>
    <w:rsid w:val="002B10A0"/>
    <w:rsid w:val="002B433A"/>
    <w:rsid w:val="002B4DD2"/>
    <w:rsid w:val="002B79D4"/>
    <w:rsid w:val="002C08B3"/>
    <w:rsid w:val="002C4B35"/>
    <w:rsid w:val="002D220E"/>
    <w:rsid w:val="002D6914"/>
    <w:rsid w:val="002E05C4"/>
    <w:rsid w:val="002E09A8"/>
    <w:rsid w:val="002E139D"/>
    <w:rsid w:val="002E3839"/>
    <w:rsid w:val="002E3F9B"/>
    <w:rsid w:val="002F2D9A"/>
    <w:rsid w:val="002F479A"/>
    <w:rsid w:val="002F5A14"/>
    <w:rsid w:val="00303038"/>
    <w:rsid w:val="00303091"/>
    <w:rsid w:val="003040CD"/>
    <w:rsid w:val="00306469"/>
    <w:rsid w:val="00310426"/>
    <w:rsid w:val="00313AAD"/>
    <w:rsid w:val="00315D13"/>
    <w:rsid w:val="003223F8"/>
    <w:rsid w:val="00324216"/>
    <w:rsid w:val="0032486D"/>
    <w:rsid w:val="003260C0"/>
    <w:rsid w:val="00326B5A"/>
    <w:rsid w:val="00327136"/>
    <w:rsid w:val="003327F8"/>
    <w:rsid w:val="00332908"/>
    <w:rsid w:val="00333F24"/>
    <w:rsid w:val="003351FB"/>
    <w:rsid w:val="0033610D"/>
    <w:rsid w:val="00341177"/>
    <w:rsid w:val="00345B8E"/>
    <w:rsid w:val="003467A0"/>
    <w:rsid w:val="003477E0"/>
    <w:rsid w:val="00351ACA"/>
    <w:rsid w:val="00352AE5"/>
    <w:rsid w:val="00357AF7"/>
    <w:rsid w:val="00357C42"/>
    <w:rsid w:val="00360662"/>
    <w:rsid w:val="0036072C"/>
    <w:rsid w:val="003619B2"/>
    <w:rsid w:val="00364043"/>
    <w:rsid w:val="003642F1"/>
    <w:rsid w:val="00366121"/>
    <w:rsid w:val="003701E8"/>
    <w:rsid w:val="00371F47"/>
    <w:rsid w:val="00372E1B"/>
    <w:rsid w:val="00383294"/>
    <w:rsid w:val="003930B1"/>
    <w:rsid w:val="00395CFA"/>
    <w:rsid w:val="003A1A01"/>
    <w:rsid w:val="003A2D7B"/>
    <w:rsid w:val="003A442E"/>
    <w:rsid w:val="003A74BF"/>
    <w:rsid w:val="003B3A4B"/>
    <w:rsid w:val="003B3FB2"/>
    <w:rsid w:val="003B417F"/>
    <w:rsid w:val="003B4220"/>
    <w:rsid w:val="003B61F8"/>
    <w:rsid w:val="003C33D1"/>
    <w:rsid w:val="003C6689"/>
    <w:rsid w:val="003C6B11"/>
    <w:rsid w:val="003C7721"/>
    <w:rsid w:val="003D081D"/>
    <w:rsid w:val="003D158E"/>
    <w:rsid w:val="003D193D"/>
    <w:rsid w:val="003D4B5A"/>
    <w:rsid w:val="003D5E4F"/>
    <w:rsid w:val="003D6095"/>
    <w:rsid w:val="003E192A"/>
    <w:rsid w:val="003E21EA"/>
    <w:rsid w:val="003E4982"/>
    <w:rsid w:val="003E5822"/>
    <w:rsid w:val="003E71CE"/>
    <w:rsid w:val="003F3668"/>
    <w:rsid w:val="00400D0B"/>
    <w:rsid w:val="00401E88"/>
    <w:rsid w:val="00410AF1"/>
    <w:rsid w:val="00413539"/>
    <w:rsid w:val="00415A92"/>
    <w:rsid w:val="004168FA"/>
    <w:rsid w:val="004228CD"/>
    <w:rsid w:val="0042438A"/>
    <w:rsid w:val="00426354"/>
    <w:rsid w:val="00430927"/>
    <w:rsid w:val="0043372D"/>
    <w:rsid w:val="00435A85"/>
    <w:rsid w:val="004361B6"/>
    <w:rsid w:val="0044011A"/>
    <w:rsid w:val="004417C1"/>
    <w:rsid w:val="00443639"/>
    <w:rsid w:val="00443A23"/>
    <w:rsid w:val="00445A3B"/>
    <w:rsid w:val="0044688D"/>
    <w:rsid w:val="0045279E"/>
    <w:rsid w:val="00455D47"/>
    <w:rsid w:val="00464560"/>
    <w:rsid w:val="00473C50"/>
    <w:rsid w:val="00475554"/>
    <w:rsid w:val="0048226D"/>
    <w:rsid w:val="004827F2"/>
    <w:rsid w:val="00483835"/>
    <w:rsid w:val="004839DB"/>
    <w:rsid w:val="00483F7D"/>
    <w:rsid w:val="004960EC"/>
    <w:rsid w:val="00496698"/>
    <w:rsid w:val="004A02E1"/>
    <w:rsid w:val="004A0540"/>
    <w:rsid w:val="004A0763"/>
    <w:rsid w:val="004A7400"/>
    <w:rsid w:val="004A7D5C"/>
    <w:rsid w:val="004B3234"/>
    <w:rsid w:val="004C2E04"/>
    <w:rsid w:val="004C3743"/>
    <w:rsid w:val="004C3CDF"/>
    <w:rsid w:val="004C4A3E"/>
    <w:rsid w:val="004C5591"/>
    <w:rsid w:val="004C58C5"/>
    <w:rsid w:val="004C6550"/>
    <w:rsid w:val="004C660D"/>
    <w:rsid w:val="004D0E17"/>
    <w:rsid w:val="004D1529"/>
    <w:rsid w:val="004D19CE"/>
    <w:rsid w:val="004D3D1E"/>
    <w:rsid w:val="004D4522"/>
    <w:rsid w:val="004D4533"/>
    <w:rsid w:val="004D6097"/>
    <w:rsid w:val="004D7310"/>
    <w:rsid w:val="004D7A23"/>
    <w:rsid w:val="004E06F9"/>
    <w:rsid w:val="004E3FA7"/>
    <w:rsid w:val="004E5BA4"/>
    <w:rsid w:val="004E6400"/>
    <w:rsid w:val="004E6E33"/>
    <w:rsid w:val="004F1DAC"/>
    <w:rsid w:val="004F3991"/>
    <w:rsid w:val="004F521E"/>
    <w:rsid w:val="004F7F0D"/>
    <w:rsid w:val="005029C6"/>
    <w:rsid w:val="00503974"/>
    <w:rsid w:val="0050529F"/>
    <w:rsid w:val="005065AC"/>
    <w:rsid w:val="005138BA"/>
    <w:rsid w:val="00513DEF"/>
    <w:rsid w:val="00514625"/>
    <w:rsid w:val="00514B5E"/>
    <w:rsid w:val="0052286C"/>
    <w:rsid w:val="00522AB9"/>
    <w:rsid w:val="005265B9"/>
    <w:rsid w:val="005324A6"/>
    <w:rsid w:val="00532504"/>
    <w:rsid w:val="00533533"/>
    <w:rsid w:val="00535C9E"/>
    <w:rsid w:val="00535E24"/>
    <w:rsid w:val="005405C5"/>
    <w:rsid w:val="00541038"/>
    <w:rsid w:val="005427F7"/>
    <w:rsid w:val="005440F6"/>
    <w:rsid w:val="0054557A"/>
    <w:rsid w:val="00546256"/>
    <w:rsid w:val="00546DD6"/>
    <w:rsid w:val="0055771D"/>
    <w:rsid w:val="00557EB4"/>
    <w:rsid w:val="00562401"/>
    <w:rsid w:val="00562644"/>
    <w:rsid w:val="00564834"/>
    <w:rsid w:val="00564BC0"/>
    <w:rsid w:val="00567FCF"/>
    <w:rsid w:val="00570AC5"/>
    <w:rsid w:val="005712FD"/>
    <w:rsid w:val="00573B54"/>
    <w:rsid w:val="00573C1C"/>
    <w:rsid w:val="00575295"/>
    <w:rsid w:val="005845CB"/>
    <w:rsid w:val="0058498A"/>
    <w:rsid w:val="00586350"/>
    <w:rsid w:val="00586AF8"/>
    <w:rsid w:val="00590936"/>
    <w:rsid w:val="00595EE8"/>
    <w:rsid w:val="005A18C5"/>
    <w:rsid w:val="005A6DB0"/>
    <w:rsid w:val="005B0B7F"/>
    <w:rsid w:val="005B3110"/>
    <w:rsid w:val="005B76CF"/>
    <w:rsid w:val="005B7C71"/>
    <w:rsid w:val="005C01D6"/>
    <w:rsid w:val="005C4A6B"/>
    <w:rsid w:val="005C6EDF"/>
    <w:rsid w:val="005D2A59"/>
    <w:rsid w:val="005D79FE"/>
    <w:rsid w:val="005E1A29"/>
    <w:rsid w:val="005E792E"/>
    <w:rsid w:val="005F0C00"/>
    <w:rsid w:val="005F1142"/>
    <w:rsid w:val="005F33F2"/>
    <w:rsid w:val="005F4571"/>
    <w:rsid w:val="005F71B7"/>
    <w:rsid w:val="0060291F"/>
    <w:rsid w:val="006029D1"/>
    <w:rsid w:val="00603BCB"/>
    <w:rsid w:val="00610543"/>
    <w:rsid w:val="00611153"/>
    <w:rsid w:val="0061288A"/>
    <w:rsid w:val="006138BF"/>
    <w:rsid w:val="006160D1"/>
    <w:rsid w:val="00617F30"/>
    <w:rsid w:val="006201A9"/>
    <w:rsid w:val="00632316"/>
    <w:rsid w:val="00633C4C"/>
    <w:rsid w:val="00641181"/>
    <w:rsid w:val="006415C8"/>
    <w:rsid w:val="00642E50"/>
    <w:rsid w:val="00646049"/>
    <w:rsid w:val="0064732B"/>
    <w:rsid w:val="0065239B"/>
    <w:rsid w:val="0065332E"/>
    <w:rsid w:val="006560F0"/>
    <w:rsid w:val="00657108"/>
    <w:rsid w:val="00663909"/>
    <w:rsid w:val="006671BC"/>
    <w:rsid w:val="006674A1"/>
    <w:rsid w:val="00670B2E"/>
    <w:rsid w:val="00677134"/>
    <w:rsid w:val="00677A35"/>
    <w:rsid w:val="00677CDE"/>
    <w:rsid w:val="00680679"/>
    <w:rsid w:val="00683FFB"/>
    <w:rsid w:val="00684F97"/>
    <w:rsid w:val="00695279"/>
    <w:rsid w:val="006B3E63"/>
    <w:rsid w:val="006B3E89"/>
    <w:rsid w:val="006B58B8"/>
    <w:rsid w:val="006C1585"/>
    <w:rsid w:val="006C2B9C"/>
    <w:rsid w:val="006C5441"/>
    <w:rsid w:val="006C6409"/>
    <w:rsid w:val="006C6800"/>
    <w:rsid w:val="006C7CAA"/>
    <w:rsid w:val="006D034F"/>
    <w:rsid w:val="006D2E37"/>
    <w:rsid w:val="006D39EE"/>
    <w:rsid w:val="006D5358"/>
    <w:rsid w:val="006D7E94"/>
    <w:rsid w:val="006E14E7"/>
    <w:rsid w:val="006E277B"/>
    <w:rsid w:val="006E5B19"/>
    <w:rsid w:val="006E7E9F"/>
    <w:rsid w:val="006E7FA8"/>
    <w:rsid w:val="006F09CB"/>
    <w:rsid w:val="006F139D"/>
    <w:rsid w:val="006F19AD"/>
    <w:rsid w:val="006F30EA"/>
    <w:rsid w:val="006F3B28"/>
    <w:rsid w:val="006F4623"/>
    <w:rsid w:val="006F4B40"/>
    <w:rsid w:val="006F4C0D"/>
    <w:rsid w:val="006F5B6C"/>
    <w:rsid w:val="00701FEA"/>
    <w:rsid w:val="0070302E"/>
    <w:rsid w:val="00705151"/>
    <w:rsid w:val="00706DE1"/>
    <w:rsid w:val="007110C9"/>
    <w:rsid w:val="007124AB"/>
    <w:rsid w:val="00714BA3"/>
    <w:rsid w:val="007203D3"/>
    <w:rsid w:val="00721098"/>
    <w:rsid w:val="0073005F"/>
    <w:rsid w:val="007324C1"/>
    <w:rsid w:val="007438EB"/>
    <w:rsid w:val="00750E77"/>
    <w:rsid w:val="00754DE2"/>
    <w:rsid w:val="00761EA6"/>
    <w:rsid w:val="00764441"/>
    <w:rsid w:val="00766BCF"/>
    <w:rsid w:val="00767F39"/>
    <w:rsid w:val="007726E1"/>
    <w:rsid w:val="00772D51"/>
    <w:rsid w:val="00773B73"/>
    <w:rsid w:val="0077411C"/>
    <w:rsid w:val="0077427C"/>
    <w:rsid w:val="00774CB5"/>
    <w:rsid w:val="00774F4B"/>
    <w:rsid w:val="0077672E"/>
    <w:rsid w:val="00782012"/>
    <w:rsid w:val="00783DE2"/>
    <w:rsid w:val="00790FCC"/>
    <w:rsid w:val="00791668"/>
    <w:rsid w:val="0079256F"/>
    <w:rsid w:val="00792F95"/>
    <w:rsid w:val="007A3C6A"/>
    <w:rsid w:val="007A5821"/>
    <w:rsid w:val="007A5D06"/>
    <w:rsid w:val="007A5E99"/>
    <w:rsid w:val="007A66C2"/>
    <w:rsid w:val="007B1226"/>
    <w:rsid w:val="007B1845"/>
    <w:rsid w:val="007B51E2"/>
    <w:rsid w:val="007C3622"/>
    <w:rsid w:val="007D13F6"/>
    <w:rsid w:val="007E2A95"/>
    <w:rsid w:val="007E2EA2"/>
    <w:rsid w:val="007E5DE8"/>
    <w:rsid w:val="007F2841"/>
    <w:rsid w:val="007F54E1"/>
    <w:rsid w:val="00802A66"/>
    <w:rsid w:val="0080668E"/>
    <w:rsid w:val="008066C6"/>
    <w:rsid w:val="008071F6"/>
    <w:rsid w:val="008072F2"/>
    <w:rsid w:val="0080796A"/>
    <w:rsid w:val="00811E93"/>
    <w:rsid w:val="00812B70"/>
    <w:rsid w:val="00816C18"/>
    <w:rsid w:val="00821541"/>
    <w:rsid w:val="00830647"/>
    <w:rsid w:val="00830E80"/>
    <w:rsid w:val="008369B4"/>
    <w:rsid w:val="00846467"/>
    <w:rsid w:val="008634F1"/>
    <w:rsid w:val="008657ED"/>
    <w:rsid w:val="00867D47"/>
    <w:rsid w:val="00867E61"/>
    <w:rsid w:val="008810FA"/>
    <w:rsid w:val="00884878"/>
    <w:rsid w:val="00885B9C"/>
    <w:rsid w:val="00887352"/>
    <w:rsid w:val="00887D24"/>
    <w:rsid w:val="008966F9"/>
    <w:rsid w:val="00896927"/>
    <w:rsid w:val="00897E16"/>
    <w:rsid w:val="008A023B"/>
    <w:rsid w:val="008A0DF9"/>
    <w:rsid w:val="008A144E"/>
    <w:rsid w:val="008A34F6"/>
    <w:rsid w:val="008A4F55"/>
    <w:rsid w:val="008B0CA2"/>
    <w:rsid w:val="008B28ED"/>
    <w:rsid w:val="008B2B2B"/>
    <w:rsid w:val="008B5F65"/>
    <w:rsid w:val="008C0487"/>
    <w:rsid w:val="008C6A1F"/>
    <w:rsid w:val="008C6B25"/>
    <w:rsid w:val="008C7062"/>
    <w:rsid w:val="008D27EF"/>
    <w:rsid w:val="008D2DC8"/>
    <w:rsid w:val="008D34F9"/>
    <w:rsid w:val="008D6148"/>
    <w:rsid w:val="008D745E"/>
    <w:rsid w:val="008E694A"/>
    <w:rsid w:val="008F06F2"/>
    <w:rsid w:val="008F1967"/>
    <w:rsid w:val="008F2B7A"/>
    <w:rsid w:val="008F4C4B"/>
    <w:rsid w:val="008F5D80"/>
    <w:rsid w:val="00907305"/>
    <w:rsid w:val="00907719"/>
    <w:rsid w:val="0091055C"/>
    <w:rsid w:val="009147DC"/>
    <w:rsid w:val="00915BBC"/>
    <w:rsid w:val="00921E7A"/>
    <w:rsid w:val="00923154"/>
    <w:rsid w:val="00923D3D"/>
    <w:rsid w:val="00924CCB"/>
    <w:rsid w:val="0092520A"/>
    <w:rsid w:val="00927EC3"/>
    <w:rsid w:val="00932FAD"/>
    <w:rsid w:val="00934648"/>
    <w:rsid w:val="00934733"/>
    <w:rsid w:val="009360BE"/>
    <w:rsid w:val="00940581"/>
    <w:rsid w:val="00950350"/>
    <w:rsid w:val="00951562"/>
    <w:rsid w:val="00954193"/>
    <w:rsid w:val="00954780"/>
    <w:rsid w:val="00954EF3"/>
    <w:rsid w:val="00957BFB"/>
    <w:rsid w:val="00966598"/>
    <w:rsid w:val="009668EF"/>
    <w:rsid w:val="0097265D"/>
    <w:rsid w:val="009729A9"/>
    <w:rsid w:val="00980236"/>
    <w:rsid w:val="0098030D"/>
    <w:rsid w:val="00981E62"/>
    <w:rsid w:val="0098521C"/>
    <w:rsid w:val="00994FA3"/>
    <w:rsid w:val="009A14B9"/>
    <w:rsid w:val="009A1E07"/>
    <w:rsid w:val="009A28D2"/>
    <w:rsid w:val="009A4D39"/>
    <w:rsid w:val="009A5F9D"/>
    <w:rsid w:val="009A6693"/>
    <w:rsid w:val="009B1872"/>
    <w:rsid w:val="009B5190"/>
    <w:rsid w:val="009B654F"/>
    <w:rsid w:val="009C00DC"/>
    <w:rsid w:val="009C16DF"/>
    <w:rsid w:val="009C4804"/>
    <w:rsid w:val="009C59E3"/>
    <w:rsid w:val="009D3524"/>
    <w:rsid w:val="009E6780"/>
    <w:rsid w:val="009E773D"/>
    <w:rsid w:val="009F1BCB"/>
    <w:rsid w:val="009F3A37"/>
    <w:rsid w:val="009F49C0"/>
    <w:rsid w:val="009F4D99"/>
    <w:rsid w:val="009F50F0"/>
    <w:rsid w:val="00A03911"/>
    <w:rsid w:val="00A048A7"/>
    <w:rsid w:val="00A05140"/>
    <w:rsid w:val="00A10DE1"/>
    <w:rsid w:val="00A14D3F"/>
    <w:rsid w:val="00A22538"/>
    <w:rsid w:val="00A22FC7"/>
    <w:rsid w:val="00A26ECC"/>
    <w:rsid w:val="00A30B73"/>
    <w:rsid w:val="00A34039"/>
    <w:rsid w:val="00A3552E"/>
    <w:rsid w:val="00A417FA"/>
    <w:rsid w:val="00A42760"/>
    <w:rsid w:val="00A443C7"/>
    <w:rsid w:val="00A5331C"/>
    <w:rsid w:val="00A5551F"/>
    <w:rsid w:val="00A65CAA"/>
    <w:rsid w:val="00A70552"/>
    <w:rsid w:val="00A71F8E"/>
    <w:rsid w:val="00A727A4"/>
    <w:rsid w:val="00A766FD"/>
    <w:rsid w:val="00A8142B"/>
    <w:rsid w:val="00A820E7"/>
    <w:rsid w:val="00A91E60"/>
    <w:rsid w:val="00A94EC5"/>
    <w:rsid w:val="00AA00EF"/>
    <w:rsid w:val="00AA1B76"/>
    <w:rsid w:val="00AA2452"/>
    <w:rsid w:val="00AA331D"/>
    <w:rsid w:val="00AA4F9F"/>
    <w:rsid w:val="00AB0A7E"/>
    <w:rsid w:val="00AB27A8"/>
    <w:rsid w:val="00AB3900"/>
    <w:rsid w:val="00AB61C6"/>
    <w:rsid w:val="00AB7215"/>
    <w:rsid w:val="00AC042F"/>
    <w:rsid w:val="00AC11DF"/>
    <w:rsid w:val="00AC4602"/>
    <w:rsid w:val="00AC56C2"/>
    <w:rsid w:val="00AC5E19"/>
    <w:rsid w:val="00AD4CF8"/>
    <w:rsid w:val="00AE2E10"/>
    <w:rsid w:val="00AE5974"/>
    <w:rsid w:val="00AE5C52"/>
    <w:rsid w:val="00AE669D"/>
    <w:rsid w:val="00AE7593"/>
    <w:rsid w:val="00AE75B5"/>
    <w:rsid w:val="00AF045F"/>
    <w:rsid w:val="00AF0FA2"/>
    <w:rsid w:val="00AF0FDD"/>
    <w:rsid w:val="00AF6FC9"/>
    <w:rsid w:val="00AF7A7B"/>
    <w:rsid w:val="00B00457"/>
    <w:rsid w:val="00B03164"/>
    <w:rsid w:val="00B073D2"/>
    <w:rsid w:val="00B16E19"/>
    <w:rsid w:val="00B17A9D"/>
    <w:rsid w:val="00B21C2F"/>
    <w:rsid w:val="00B22E69"/>
    <w:rsid w:val="00B25187"/>
    <w:rsid w:val="00B2764E"/>
    <w:rsid w:val="00B30E77"/>
    <w:rsid w:val="00B33F27"/>
    <w:rsid w:val="00B34C47"/>
    <w:rsid w:val="00B34FC8"/>
    <w:rsid w:val="00B414CB"/>
    <w:rsid w:val="00B456CC"/>
    <w:rsid w:val="00B45C50"/>
    <w:rsid w:val="00B478EF"/>
    <w:rsid w:val="00B51BAD"/>
    <w:rsid w:val="00B55C82"/>
    <w:rsid w:val="00B56551"/>
    <w:rsid w:val="00B56994"/>
    <w:rsid w:val="00B57AE9"/>
    <w:rsid w:val="00B61923"/>
    <w:rsid w:val="00B62CC1"/>
    <w:rsid w:val="00B638BD"/>
    <w:rsid w:val="00B65AC0"/>
    <w:rsid w:val="00B65AF1"/>
    <w:rsid w:val="00B65EB5"/>
    <w:rsid w:val="00B71074"/>
    <w:rsid w:val="00B72539"/>
    <w:rsid w:val="00B72558"/>
    <w:rsid w:val="00B72CEC"/>
    <w:rsid w:val="00B74D93"/>
    <w:rsid w:val="00B80707"/>
    <w:rsid w:val="00B82789"/>
    <w:rsid w:val="00B832EC"/>
    <w:rsid w:val="00B846A7"/>
    <w:rsid w:val="00B863D7"/>
    <w:rsid w:val="00B87675"/>
    <w:rsid w:val="00B87A56"/>
    <w:rsid w:val="00B90A52"/>
    <w:rsid w:val="00B92E4C"/>
    <w:rsid w:val="00B93C6F"/>
    <w:rsid w:val="00B941F1"/>
    <w:rsid w:val="00B95043"/>
    <w:rsid w:val="00BA0DBC"/>
    <w:rsid w:val="00BA3026"/>
    <w:rsid w:val="00BA3EFF"/>
    <w:rsid w:val="00BA4972"/>
    <w:rsid w:val="00BA5BFC"/>
    <w:rsid w:val="00BA5FE7"/>
    <w:rsid w:val="00BA775A"/>
    <w:rsid w:val="00BB1940"/>
    <w:rsid w:val="00BB1C24"/>
    <w:rsid w:val="00BC15FF"/>
    <w:rsid w:val="00BC31E4"/>
    <w:rsid w:val="00BC581E"/>
    <w:rsid w:val="00BC6774"/>
    <w:rsid w:val="00BC6EEF"/>
    <w:rsid w:val="00BC7980"/>
    <w:rsid w:val="00BD0B4F"/>
    <w:rsid w:val="00BD4D43"/>
    <w:rsid w:val="00BD6D7E"/>
    <w:rsid w:val="00BE0D5C"/>
    <w:rsid w:val="00BE139D"/>
    <w:rsid w:val="00BE65E4"/>
    <w:rsid w:val="00BE7D14"/>
    <w:rsid w:val="00BF0AA7"/>
    <w:rsid w:val="00BF1A62"/>
    <w:rsid w:val="00BF1EDF"/>
    <w:rsid w:val="00BF2F97"/>
    <w:rsid w:val="00BF4F07"/>
    <w:rsid w:val="00BF68DC"/>
    <w:rsid w:val="00C00765"/>
    <w:rsid w:val="00C06287"/>
    <w:rsid w:val="00C1385F"/>
    <w:rsid w:val="00C1489B"/>
    <w:rsid w:val="00C15BF1"/>
    <w:rsid w:val="00C163E2"/>
    <w:rsid w:val="00C20D5E"/>
    <w:rsid w:val="00C23583"/>
    <w:rsid w:val="00C24761"/>
    <w:rsid w:val="00C27C03"/>
    <w:rsid w:val="00C33392"/>
    <w:rsid w:val="00C3346D"/>
    <w:rsid w:val="00C36C67"/>
    <w:rsid w:val="00C4066A"/>
    <w:rsid w:val="00C40D0E"/>
    <w:rsid w:val="00C469FC"/>
    <w:rsid w:val="00C5015E"/>
    <w:rsid w:val="00C505D7"/>
    <w:rsid w:val="00C56BAB"/>
    <w:rsid w:val="00C60D92"/>
    <w:rsid w:val="00C6176F"/>
    <w:rsid w:val="00C626F8"/>
    <w:rsid w:val="00C63B66"/>
    <w:rsid w:val="00C65930"/>
    <w:rsid w:val="00C721BD"/>
    <w:rsid w:val="00C75AB0"/>
    <w:rsid w:val="00C81463"/>
    <w:rsid w:val="00C82AA4"/>
    <w:rsid w:val="00C8305C"/>
    <w:rsid w:val="00C83AF8"/>
    <w:rsid w:val="00C85863"/>
    <w:rsid w:val="00C901FB"/>
    <w:rsid w:val="00C95691"/>
    <w:rsid w:val="00CA0B7A"/>
    <w:rsid w:val="00CA1ECD"/>
    <w:rsid w:val="00CA4539"/>
    <w:rsid w:val="00CA4BF4"/>
    <w:rsid w:val="00CA4C7F"/>
    <w:rsid w:val="00CA61C1"/>
    <w:rsid w:val="00CB0CAB"/>
    <w:rsid w:val="00CB15EF"/>
    <w:rsid w:val="00CB5166"/>
    <w:rsid w:val="00CC01BD"/>
    <w:rsid w:val="00CC3998"/>
    <w:rsid w:val="00CC6626"/>
    <w:rsid w:val="00CD0FA4"/>
    <w:rsid w:val="00CD4158"/>
    <w:rsid w:val="00CE096F"/>
    <w:rsid w:val="00CE50CB"/>
    <w:rsid w:val="00CF1B9E"/>
    <w:rsid w:val="00CF1F53"/>
    <w:rsid w:val="00CF2FF7"/>
    <w:rsid w:val="00CF3202"/>
    <w:rsid w:val="00CF36AD"/>
    <w:rsid w:val="00CF5974"/>
    <w:rsid w:val="00CF5FD7"/>
    <w:rsid w:val="00D01DD8"/>
    <w:rsid w:val="00D0608D"/>
    <w:rsid w:val="00D06E87"/>
    <w:rsid w:val="00D06EFC"/>
    <w:rsid w:val="00D10281"/>
    <w:rsid w:val="00D1197E"/>
    <w:rsid w:val="00D1619E"/>
    <w:rsid w:val="00D164F7"/>
    <w:rsid w:val="00D16A9E"/>
    <w:rsid w:val="00D20A73"/>
    <w:rsid w:val="00D24451"/>
    <w:rsid w:val="00D33DA7"/>
    <w:rsid w:val="00D352F5"/>
    <w:rsid w:val="00D3797D"/>
    <w:rsid w:val="00D46591"/>
    <w:rsid w:val="00D472D8"/>
    <w:rsid w:val="00D51135"/>
    <w:rsid w:val="00D56FF4"/>
    <w:rsid w:val="00D57952"/>
    <w:rsid w:val="00D61009"/>
    <w:rsid w:val="00D74036"/>
    <w:rsid w:val="00D75D34"/>
    <w:rsid w:val="00D80031"/>
    <w:rsid w:val="00D808EE"/>
    <w:rsid w:val="00D81C3C"/>
    <w:rsid w:val="00D83F53"/>
    <w:rsid w:val="00D857AD"/>
    <w:rsid w:val="00D85F62"/>
    <w:rsid w:val="00D90C46"/>
    <w:rsid w:val="00D93663"/>
    <w:rsid w:val="00D93CCF"/>
    <w:rsid w:val="00D94097"/>
    <w:rsid w:val="00D9519F"/>
    <w:rsid w:val="00D976A0"/>
    <w:rsid w:val="00DA177E"/>
    <w:rsid w:val="00DA509A"/>
    <w:rsid w:val="00DA7D72"/>
    <w:rsid w:val="00DA7DA7"/>
    <w:rsid w:val="00DB0C58"/>
    <w:rsid w:val="00DB0CB2"/>
    <w:rsid w:val="00DB2687"/>
    <w:rsid w:val="00DB2907"/>
    <w:rsid w:val="00DC1B57"/>
    <w:rsid w:val="00DC47A3"/>
    <w:rsid w:val="00DC4F7C"/>
    <w:rsid w:val="00DD0A3B"/>
    <w:rsid w:val="00DD1587"/>
    <w:rsid w:val="00DD3F8F"/>
    <w:rsid w:val="00DE4D0F"/>
    <w:rsid w:val="00DE55E6"/>
    <w:rsid w:val="00DE5C47"/>
    <w:rsid w:val="00DF35EE"/>
    <w:rsid w:val="00DF744A"/>
    <w:rsid w:val="00DF7DC5"/>
    <w:rsid w:val="00E04482"/>
    <w:rsid w:val="00E068D4"/>
    <w:rsid w:val="00E07968"/>
    <w:rsid w:val="00E15EC9"/>
    <w:rsid w:val="00E2267F"/>
    <w:rsid w:val="00E22ED5"/>
    <w:rsid w:val="00E24B5D"/>
    <w:rsid w:val="00E267B9"/>
    <w:rsid w:val="00E27C9F"/>
    <w:rsid w:val="00E33935"/>
    <w:rsid w:val="00E36B36"/>
    <w:rsid w:val="00E42396"/>
    <w:rsid w:val="00E53105"/>
    <w:rsid w:val="00E5604A"/>
    <w:rsid w:val="00E56811"/>
    <w:rsid w:val="00E6139F"/>
    <w:rsid w:val="00E61E1E"/>
    <w:rsid w:val="00E62387"/>
    <w:rsid w:val="00E62FF7"/>
    <w:rsid w:val="00E6468B"/>
    <w:rsid w:val="00E64B3B"/>
    <w:rsid w:val="00E71A05"/>
    <w:rsid w:val="00E755AA"/>
    <w:rsid w:val="00E76E92"/>
    <w:rsid w:val="00E77B6B"/>
    <w:rsid w:val="00E8091B"/>
    <w:rsid w:val="00E84CD6"/>
    <w:rsid w:val="00E86275"/>
    <w:rsid w:val="00E86651"/>
    <w:rsid w:val="00E90B9D"/>
    <w:rsid w:val="00E91B01"/>
    <w:rsid w:val="00E923F1"/>
    <w:rsid w:val="00E95F10"/>
    <w:rsid w:val="00EA4103"/>
    <w:rsid w:val="00EA7CE9"/>
    <w:rsid w:val="00EB170B"/>
    <w:rsid w:val="00EB3D8A"/>
    <w:rsid w:val="00EB4AF9"/>
    <w:rsid w:val="00EB711D"/>
    <w:rsid w:val="00EB7DDE"/>
    <w:rsid w:val="00EC22A0"/>
    <w:rsid w:val="00EC3BF5"/>
    <w:rsid w:val="00EC4F51"/>
    <w:rsid w:val="00EC518B"/>
    <w:rsid w:val="00EC5AEF"/>
    <w:rsid w:val="00ED2536"/>
    <w:rsid w:val="00ED2756"/>
    <w:rsid w:val="00EE0E84"/>
    <w:rsid w:val="00EE308D"/>
    <w:rsid w:val="00EE3A5F"/>
    <w:rsid w:val="00EE44C9"/>
    <w:rsid w:val="00EE579B"/>
    <w:rsid w:val="00EE5C4E"/>
    <w:rsid w:val="00EF2769"/>
    <w:rsid w:val="00EF42CC"/>
    <w:rsid w:val="00EF4DF3"/>
    <w:rsid w:val="00EF5ECB"/>
    <w:rsid w:val="00EF5F27"/>
    <w:rsid w:val="00F0799D"/>
    <w:rsid w:val="00F1514F"/>
    <w:rsid w:val="00F209D8"/>
    <w:rsid w:val="00F27ED1"/>
    <w:rsid w:val="00F31A27"/>
    <w:rsid w:val="00F3351B"/>
    <w:rsid w:val="00F34C68"/>
    <w:rsid w:val="00F3644B"/>
    <w:rsid w:val="00F43D00"/>
    <w:rsid w:val="00F46297"/>
    <w:rsid w:val="00F5172B"/>
    <w:rsid w:val="00F53655"/>
    <w:rsid w:val="00F54E7F"/>
    <w:rsid w:val="00F6071E"/>
    <w:rsid w:val="00F64A6E"/>
    <w:rsid w:val="00F65284"/>
    <w:rsid w:val="00F65F5C"/>
    <w:rsid w:val="00F660EB"/>
    <w:rsid w:val="00F67835"/>
    <w:rsid w:val="00F711FF"/>
    <w:rsid w:val="00F71512"/>
    <w:rsid w:val="00F74AED"/>
    <w:rsid w:val="00F74FA5"/>
    <w:rsid w:val="00F75026"/>
    <w:rsid w:val="00F76051"/>
    <w:rsid w:val="00F7606F"/>
    <w:rsid w:val="00F77E6A"/>
    <w:rsid w:val="00F81D93"/>
    <w:rsid w:val="00F821FC"/>
    <w:rsid w:val="00F8306F"/>
    <w:rsid w:val="00F86BB9"/>
    <w:rsid w:val="00F86C62"/>
    <w:rsid w:val="00F8724A"/>
    <w:rsid w:val="00F93164"/>
    <w:rsid w:val="00F93EBE"/>
    <w:rsid w:val="00F940A3"/>
    <w:rsid w:val="00F9413F"/>
    <w:rsid w:val="00F94D21"/>
    <w:rsid w:val="00F978F3"/>
    <w:rsid w:val="00FA11D0"/>
    <w:rsid w:val="00FA251B"/>
    <w:rsid w:val="00FA406D"/>
    <w:rsid w:val="00FA4570"/>
    <w:rsid w:val="00FA715D"/>
    <w:rsid w:val="00FB0D81"/>
    <w:rsid w:val="00FB2BC3"/>
    <w:rsid w:val="00FB6A9F"/>
    <w:rsid w:val="00FC0B61"/>
    <w:rsid w:val="00FC11F6"/>
    <w:rsid w:val="00FC19A6"/>
    <w:rsid w:val="00FC22AA"/>
    <w:rsid w:val="00FC3783"/>
    <w:rsid w:val="00FC39AC"/>
    <w:rsid w:val="00FC3C87"/>
    <w:rsid w:val="00FC4CAF"/>
    <w:rsid w:val="00FC7948"/>
    <w:rsid w:val="00FD0188"/>
    <w:rsid w:val="00FD0510"/>
    <w:rsid w:val="00FD0B32"/>
    <w:rsid w:val="00FD66A0"/>
    <w:rsid w:val="00FD708B"/>
    <w:rsid w:val="00FE1536"/>
    <w:rsid w:val="00FE25EE"/>
    <w:rsid w:val="00FE2A42"/>
    <w:rsid w:val="00FE2E3C"/>
    <w:rsid w:val="00FE4491"/>
    <w:rsid w:val="00FF2D07"/>
    <w:rsid w:val="00FF3387"/>
    <w:rsid w:val="00FF392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colormenu v:ext="edit" fillcolor="none"/>
    </o:shapedefaults>
    <o:shapelayout v:ext="edit">
      <o:idmap v:ext="edit" data="1"/>
    </o:shapelayout>
  </w:shapeDefaults>
  <w:decimalSymbol w:val="."/>
  <w:listSeparator w:val=","/>
  <w14:docId w14:val="2233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62"/>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4011A"/>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4011A"/>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D6095"/>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E91B0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E91B0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3040C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4011A"/>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44011A"/>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011A"/>
    <w:pPr>
      <w:numPr>
        <w:numId w:val="3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3040C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D85F62"/>
    <w:pPr>
      <w:spacing w:after="0"/>
      <w:contextualSpacing/>
    </w:pPr>
    <w:rPr>
      <w:sz w:val="16"/>
      <w:szCs w:val="20"/>
    </w:rPr>
  </w:style>
  <w:style w:type="character" w:customStyle="1" w:styleId="FootnoteTextChar">
    <w:name w:val="Footnote Text Char"/>
    <w:basedOn w:val="DefaultParagraphFont"/>
    <w:link w:val="FootnoteText"/>
    <w:uiPriority w:val="99"/>
    <w:rsid w:val="00D85F62"/>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APPRHeading2">
    <w:name w:val="APPR Heading 2"/>
    <w:basedOn w:val="Normal"/>
    <w:next w:val="BodyText"/>
    <w:qFormat/>
    <w:rsid w:val="00B87A56"/>
    <w:pPr>
      <w:keepNext/>
      <w:spacing w:before="360" w:after="120"/>
      <w:ind w:right="-567"/>
      <w:outlineLvl w:val="1"/>
    </w:pPr>
    <w:rPr>
      <w:rFonts w:ascii="Arial" w:eastAsia="Times New Roman" w:hAnsi="Arial" w:cs="Arial"/>
      <w:b/>
      <w:color w:val="AD495D"/>
      <w:kern w:val="28"/>
      <w:sz w:val="24"/>
      <w:szCs w:val="28"/>
    </w:rPr>
  </w:style>
  <w:style w:type="character" w:customStyle="1" w:styleId="st1">
    <w:name w:val="st1"/>
    <w:basedOn w:val="DefaultParagraphFont"/>
    <w:rsid w:val="004C6550"/>
  </w:style>
  <w:style w:type="character" w:customStyle="1" w:styleId="scayt-misspell">
    <w:name w:val="scayt-misspell"/>
    <w:basedOn w:val="DefaultParagraphFont"/>
    <w:rsid w:val="00FD66A0"/>
  </w:style>
  <w:style w:type="paragraph" w:customStyle="1" w:styleId="Default">
    <w:name w:val="Default"/>
    <w:rsid w:val="006C2B9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B0808"/>
    <w:rPr>
      <w:b/>
      <w:bCs/>
      <w:i w:val="0"/>
      <w:iCs w:val="0"/>
    </w:rPr>
  </w:style>
  <w:style w:type="paragraph" w:styleId="PlainText">
    <w:name w:val="Plain Text"/>
    <w:basedOn w:val="Normal"/>
    <w:link w:val="PlainTextChar"/>
    <w:uiPriority w:val="99"/>
    <w:unhideWhenUsed/>
    <w:rsid w:val="0054625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46256"/>
    <w:rPr>
      <w:rFonts w:ascii="Calibri" w:hAnsi="Calibr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62"/>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4011A"/>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4011A"/>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D6095"/>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E91B0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E91B0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3040CD"/>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4011A"/>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44011A"/>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44011A"/>
    <w:pPr>
      <w:numPr>
        <w:numId w:val="3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rsid w:val="002A1935"/>
    <w:rPr>
      <w:rFonts w:ascii="Times New Roman" w:eastAsia="Times New Roman" w:hAnsi="Times New Roman" w:cs="Times New Roman"/>
      <w:sz w:val="20"/>
      <w:szCs w:val="20"/>
    </w:rPr>
  </w:style>
  <w:style w:type="character" w:styleId="EndnoteReference">
    <w:name w:val="endnote reference"/>
    <w:uiPriority w:val="99"/>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3040CD"/>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D85F62"/>
    <w:pPr>
      <w:spacing w:after="0"/>
      <w:contextualSpacing/>
    </w:pPr>
    <w:rPr>
      <w:sz w:val="16"/>
      <w:szCs w:val="20"/>
    </w:rPr>
  </w:style>
  <w:style w:type="character" w:customStyle="1" w:styleId="FootnoteTextChar">
    <w:name w:val="Footnote Text Char"/>
    <w:basedOn w:val="DefaultParagraphFont"/>
    <w:link w:val="FootnoteText"/>
    <w:uiPriority w:val="99"/>
    <w:rsid w:val="00D85F62"/>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APPRHeading2">
    <w:name w:val="APPR Heading 2"/>
    <w:basedOn w:val="Normal"/>
    <w:next w:val="BodyText"/>
    <w:qFormat/>
    <w:rsid w:val="00B87A56"/>
    <w:pPr>
      <w:keepNext/>
      <w:spacing w:before="360" w:after="120"/>
      <w:ind w:right="-567"/>
      <w:outlineLvl w:val="1"/>
    </w:pPr>
    <w:rPr>
      <w:rFonts w:ascii="Arial" w:eastAsia="Times New Roman" w:hAnsi="Arial" w:cs="Arial"/>
      <w:b/>
      <w:color w:val="AD495D"/>
      <w:kern w:val="28"/>
      <w:sz w:val="24"/>
      <w:szCs w:val="28"/>
    </w:rPr>
  </w:style>
  <w:style w:type="character" w:customStyle="1" w:styleId="st1">
    <w:name w:val="st1"/>
    <w:basedOn w:val="DefaultParagraphFont"/>
    <w:rsid w:val="004C6550"/>
  </w:style>
  <w:style w:type="character" w:customStyle="1" w:styleId="scayt-misspell">
    <w:name w:val="scayt-misspell"/>
    <w:basedOn w:val="DefaultParagraphFont"/>
    <w:rsid w:val="00FD66A0"/>
  </w:style>
  <w:style w:type="paragraph" w:customStyle="1" w:styleId="Default">
    <w:name w:val="Default"/>
    <w:rsid w:val="006C2B9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B0808"/>
    <w:rPr>
      <w:b/>
      <w:bCs/>
      <w:i w:val="0"/>
      <w:iCs w:val="0"/>
    </w:rPr>
  </w:style>
  <w:style w:type="paragraph" w:styleId="PlainText">
    <w:name w:val="Plain Text"/>
    <w:basedOn w:val="Normal"/>
    <w:link w:val="PlainTextChar"/>
    <w:uiPriority w:val="99"/>
    <w:unhideWhenUsed/>
    <w:rsid w:val="0054625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46256"/>
    <w:rPr>
      <w:rFonts w:ascii="Calibr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6299">
      <w:bodyDiv w:val="1"/>
      <w:marLeft w:val="0"/>
      <w:marRight w:val="0"/>
      <w:marTop w:val="0"/>
      <w:marBottom w:val="0"/>
      <w:divBdr>
        <w:top w:val="none" w:sz="0" w:space="0" w:color="auto"/>
        <w:left w:val="none" w:sz="0" w:space="0" w:color="auto"/>
        <w:bottom w:val="none" w:sz="0" w:space="0" w:color="auto"/>
        <w:right w:val="none" w:sz="0" w:space="0" w:color="auto"/>
      </w:divBdr>
    </w:div>
    <w:div w:id="72969720">
      <w:bodyDiv w:val="1"/>
      <w:marLeft w:val="0"/>
      <w:marRight w:val="0"/>
      <w:marTop w:val="0"/>
      <w:marBottom w:val="0"/>
      <w:divBdr>
        <w:top w:val="none" w:sz="0" w:space="0" w:color="auto"/>
        <w:left w:val="none" w:sz="0" w:space="0" w:color="auto"/>
        <w:bottom w:val="none" w:sz="0" w:space="0" w:color="auto"/>
        <w:right w:val="none" w:sz="0" w:space="0" w:color="auto"/>
      </w:divBdr>
    </w:div>
    <w:div w:id="95492395">
      <w:bodyDiv w:val="1"/>
      <w:marLeft w:val="0"/>
      <w:marRight w:val="0"/>
      <w:marTop w:val="0"/>
      <w:marBottom w:val="0"/>
      <w:divBdr>
        <w:top w:val="none" w:sz="0" w:space="0" w:color="auto"/>
        <w:left w:val="none" w:sz="0" w:space="0" w:color="auto"/>
        <w:bottom w:val="none" w:sz="0" w:space="0" w:color="auto"/>
        <w:right w:val="none" w:sz="0" w:space="0" w:color="auto"/>
      </w:divBdr>
    </w:div>
    <w:div w:id="103690804">
      <w:bodyDiv w:val="1"/>
      <w:marLeft w:val="0"/>
      <w:marRight w:val="0"/>
      <w:marTop w:val="0"/>
      <w:marBottom w:val="0"/>
      <w:divBdr>
        <w:top w:val="none" w:sz="0" w:space="0" w:color="auto"/>
        <w:left w:val="none" w:sz="0" w:space="0" w:color="auto"/>
        <w:bottom w:val="none" w:sz="0" w:space="0" w:color="auto"/>
        <w:right w:val="none" w:sz="0" w:space="0" w:color="auto"/>
      </w:divBdr>
    </w:div>
    <w:div w:id="152332569">
      <w:bodyDiv w:val="1"/>
      <w:marLeft w:val="0"/>
      <w:marRight w:val="0"/>
      <w:marTop w:val="0"/>
      <w:marBottom w:val="0"/>
      <w:divBdr>
        <w:top w:val="none" w:sz="0" w:space="0" w:color="auto"/>
        <w:left w:val="none" w:sz="0" w:space="0" w:color="auto"/>
        <w:bottom w:val="none" w:sz="0" w:space="0" w:color="auto"/>
        <w:right w:val="none" w:sz="0" w:space="0" w:color="auto"/>
      </w:divBdr>
    </w:div>
    <w:div w:id="226963110">
      <w:bodyDiv w:val="1"/>
      <w:marLeft w:val="0"/>
      <w:marRight w:val="0"/>
      <w:marTop w:val="0"/>
      <w:marBottom w:val="0"/>
      <w:divBdr>
        <w:top w:val="none" w:sz="0" w:space="0" w:color="auto"/>
        <w:left w:val="none" w:sz="0" w:space="0" w:color="auto"/>
        <w:bottom w:val="none" w:sz="0" w:space="0" w:color="auto"/>
        <w:right w:val="none" w:sz="0" w:space="0" w:color="auto"/>
      </w:divBdr>
    </w:div>
    <w:div w:id="293756086">
      <w:bodyDiv w:val="1"/>
      <w:marLeft w:val="0"/>
      <w:marRight w:val="0"/>
      <w:marTop w:val="0"/>
      <w:marBottom w:val="0"/>
      <w:divBdr>
        <w:top w:val="none" w:sz="0" w:space="0" w:color="auto"/>
        <w:left w:val="none" w:sz="0" w:space="0" w:color="auto"/>
        <w:bottom w:val="none" w:sz="0" w:space="0" w:color="auto"/>
        <w:right w:val="none" w:sz="0" w:space="0" w:color="auto"/>
      </w:divBdr>
    </w:div>
    <w:div w:id="329215817">
      <w:bodyDiv w:val="1"/>
      <w:marLeft w:val="0"/>
      <w:marRight w:val="0"/>
      <w:marTop w:val="0"/>
      <w:marBottom w:val="0"/>
      <w:divBdr>
        <w:top w:val="none" w:sz="0" w:space="0" w:color="auto"/>
        <w:left w:val="none" w:sz="0" w:space="0" w:color="auto"/>
        <w:bottom w:val="none" w:sz="0" w:space="0" w:color="auto"/>
        <w:right w:val="none" w:sz="0" w:space="0" w:color="auto"/>
      </w:divBdr>
    </w:div>
    <w:div w:id="406463242">
      <w:bodyDiv w:val="1"/>
      <w:marLeft w:val="0"/>
      <w:marRight w:val="0"/>
      <w:marTop w:val="0"/>
      <w:marBottom w:val="0"/>
      <w:divBdr>
        <w:top w:val="none" w:sz="0" w:space="0" w:color="auto"/>
        <w:left w:val="none" w:sz="0" w:space="0" w:color="auto"/>
        <w:bottom w:val="none" w:sz="0" w:space="0" w:color="auto"/>
        <w:right w:val="none" w:sz="0" w:space="0" w:color="auto"/>
      </w:divBdr>
    </w:div>
    <w:div w:id="440346345">
      <w:bodyDiv w:val="1"/>
      <w:marLeft w:val="0"/>
      <w:marRight w:val="0"/>
      <w:marTop w:val="0"/>
      <w:marBottom w:val="0"/>
      <w:divBdr>
        <w:top w:val="none" w:sz="0" w:space="0" w:color="auto"/>
        <w:left w:val="none" w:sz="0" w:space="0" w:color="auto"/>
        <w:bottom w:val="none" w:sz="0" w:space="0" w:color="auto"/>
        <w:right w:val="none" w:sz="0" w:space="0" w:color="auto"/>
      </w:divBdr>
    </w:div>
    <w:div w:id="594752592">
      <w:bodyDiv w:val="1"/>
      <w:marLeft w:val="0"/>
      <w:marRight w:val="0"/>
      <w:marTop w:val="0"/>
      <w:marBottom w:val="0"/>
      <w:divBdr>
        <w:top w:val="none" w:sz="0" w:space="0" w:color="auto"/>
        <w:left w:val="none" w:sz="0" w:space="0" w:color="auto"/>
        <w:bottom w:val="none" w:sz="0" w:space="0" w:color="auto"/>
        <w:right w:val="none" w:sz="0" w:space="0" w:color="auto"/>
      </w:divBdr>
    </w:div>
    <w:div w:id="675156723">
      <w:bodyDiv w:val="1"/>
      <w:marLeft w:val="0"/>
      <w:marRight w:val="0"/>
      <w:marTop w:val="0"/>
      <w:marBottom w:val="0"/>
      <w:divBdr>
        <w:top w:val="none" w:sz="0" w:space="0" w:color="auto"/>
        <w:left w:val="none" w:sz="0" w:space="0" w:color="auto"/>
        <w:bottom w:val="none" w:sz="0" w:space="0" w:color="auto"/>
        <w:right w:val="none" w:sz="0" w:space="0" w:color="auto"/>
      </w:divBdr>
    </w:div>
    <w:div w:id="680933297">
      <w:bodyDiv w:val="1"/>
      <w:marLeft w:val="0"/>
      <w:marRight w:val="0"/>
      <w:marTop w:val="0"/>
      <w:marBottom w:val="0"/>
      <w:divBdr>
        <w:top w:val="none" w:sz="0" w:space="0" w:color="auto"/>
        <w:left w:val="none" w:sz="0" w:space="0" w:color="auto"/>
        <w:bottom w:val="none" w:sz="0" w:space="0" w:color="auto"/>
        <w:right w:val="none" w:sz="0" w:space="0" w:color="auto"/>
      </w:divBdr>
    </w:div>
    <w:div w:id="799571353">
      <w:bodyDiv w:val="1"/>
      <w:marLeft w:val="0"/>
      <w:marRight w:val="0"/>
      <w:marTop w:val="0"/>
      <w:marBottom w:val="0"/>
      <w:divBdr>
        <w:top w:val="none" w:sz="0" w:space="0" w:color="auto"/>
        <w:left w:val="none" w:sz="0" w:space="0" w:color="auto"/>
        <w:bottom w:val="none" w:sz="0" w:space="0" w:color="auto"/>
        <w:right w:val="none" w:sz="0" w:space="0" w:color="auto"/>
      </w:divBdr>
    </w:div>
    <w:div w:id="832988213">
      <w:bodyDiv w:val="1"/>
      <w:marLeft w:val="0"/>
      <w:marRight w:val="0"/>
      <w:marTop w:val="0"/>
      <w:marBottom w:val="0"/>
      <w:divBdr>
        <w:top w:val="none" w:sz="0" w:space="0" w:color="auto"/>
        <w:left w:val="none" w:sz="0" w:space="0" w:color="auto"/>
        <w:bottom w:val="none" w:sz="0" w:space="0" w:color="auto"/>
        <w:right w:val="none" w:sz="0" w:space="0" w:color="auto"/>
      </w:divBdr>
    </w:div>
    <w:div w:id="846672723">
      <w:bodyDiv w:val="1"/>
      <w:marLeft w:val="0"/>
      <w:marRight w:val="0"/>
      <w:marTop w:val="0"/>
      <w:marBottom w:val="0"/>
      <w:divBdr>
        <w:top w:val="none" w:sz="0" w:space="0" w:color="auto"/>
        <w:left w:val="none" w:sz="0" w:space="0" w:color="auto"/>
        <w:bottom w:val="none" w:sz="0" w:space="0" w:color="auto"/>
        <w:right w:val="none" w:sz="0" w:space="0" w:color="auto"/>
      </w:divBdr>
    </w:div>
    <w:div w:id="1003556946">
      <w:bodyDiv w:val="1"/>
      <w:marLeft w:val="0"/>
      <w:marRight w:val="0"/>
      <w:marTop w:val="0"/>
      <w:marBottom w:val="0"/>
      <w:divBdr>
        <w:top w:val="none" w:sz="0" w:space="0" w:color="auto"/>
        <w:left w:val="none" w:sz="0" w:space="0" w:color="auto"/>
        <w:bottom w:val="none" w:sz="0" w:space="0" w:color="auto"/>
        <w:right w:val="none" w:sz="0" w:space="0" w:color="auto"/>
      </w:divBdr>
    </w:div>
    <w:div w:id="1045064988">
      <w:bodyDiv w:val="1"/>
      <w:marLeft w:val="0"/>
      <w:marRight w:val="0"/>
      <w:marTop w:val="0"/>
      <w:marBottom w:val="0"/>
      <w:divBdr>
        <w:top w:val="none" w:sz="0" w:space="0" w:color="auto"/>
        <w:left w:val="none" w:sz="0" w:space="0" w:color="auto"/>
        <w:bottom w:val="none" w:sz="0" w:space="0" w:color="auto"/>
        <w:right w:val="none" w:sz="0" w:space="0" w:color="auto"/>
      </w:divBdr>
    </w:div>
    <w:div w:id="1050809365">
      <w:bodyDiv w:val="1"/>
      <w:marLeft w:val="0"/>
      <w:marRight w:val="0"/>
      <w:marTop w:val="0"/>
      <w:marBottom w:val="0"/>
      <w:divBdr>
        <w:top w:val="none" w:sz="0" w:space="0" w:color="auto"/>
        <w:left w:val="none" w:sz="0" w:space="0" w:color="auto"/>
        <w:bottom w:val="none" w:sz="0" w:space="0" w:color="auto"/>
        <w:right w:val="none" w:sz="0" w:space="0" w:color="auto"/>
      </w:divBdr>
    </w:div>
    <w:div w:id="1054164181">
      <w:bodyDiv w:val="1"/>
      <w:marLeft w:val="0"/>
      <w:marRight w:val="0"/>
      <w:marTop w:val="0"/>
      <w:marBottom w:val="0"/>
      <w:divBdr>
        <w:top w:val="none" w:sz="0" w:space="0" w:color="auto"/>
        <w:left w:val="none" w:sz="0" w:space="0" w:color="auto"/>
        <w:bottom w:val="none" w:sz="0" w:space="0" w:color="auto"/>
        <w:right w:val="none" w:sz="0" w:space="0" w:color="auto"/>
      </w:divBdr>
    </w:div>
    <w:div w:id="1056854922">
      <w:bodyDiv w:val="1"/>
      <w:marLeft w:val="0"/>
      <w:marRight w:val="0"/>
      <w:marTop w:val="0"/>
      <w:marBottom w:val="0"/>
      <w:divBdr>
        <w:top w:val="none" w:sz="0" w:space="0" w:color="auto"/>
        <w:left w:val="none" w:sz="0" w:space="0" w:color="auto"/>
        <w:bottom w:val="none" w:sz="0" w:space="0" w:color="auto"/>
        <w:right w:val="none" w:sz="0" w:space="0" w:color="auto"/>
      </w:divBdr>
    </w:div>
    <w:div w:id="1135174790">
      <w:bodyDiv w:val="1"/>
      <w:marLeft w:val="0"/>
      <w:marRight w:val="0"/>
      <w:marTop w:val="0"/>
      <w:marBottom w:val="0"/>
      <w:divBdr>
        <w:top w:val="none" w:sz="0" w:space="0" w:color="auto"/>
        <w:left w:val="none" w:sz="0" w:space="0" w:color="auto"/>
        <w:bottom w:val="none" w:sz="0" w:space="0" w:color="auto"/>
        <w:right w:val="none" w:sz="0" w:space="0" w:color="auto"/>
      </w:divBdr>
    </w:div>
    <w:div w:id="1167013540">
      <w:bodyDiv w:val="1"/>
      <w:marLeft w:val="0"/>
      <w:marRight w:val="0"/>
      <w:marTop w:val="0"/>
      <w:marBottom w:val="0"/>
      <w:divBdr>
        <w:top w:val="none" w:sz="0" w:space="0" w:color="auto"/>
        <w:left w:val="none" w:sz="0" w:space="0" w:color="auto"/>
        <w:bottom w:val="none" w:sz="0" w:space="0" w:color="auto"/>
        <w:right w:val="none" w:sz="0" w:space="0" w:color="auto"/>
      </w:divBdr>
    </w:div>
    <w:div w:id="1244727816">
      <w:bodyDiv w:val="1"/>
      <w:marLeft w:val="0"/>
      <w:marRight w:val="0"/>
      <w:marTop w:val="0"/>
      <w:marBottom w:val="0"/>
      <w:divBdr>
        <w:top w:val="none" w:sz="0" w:space="0" w:color="auto"/>
        <w:left w:val="none" w:sz="0" w:space="0" w:color="auto"/>
        <w:bottom w:val="none" w:sz="0" w:space="0" w:color="auto"/>
        <w:right w:val="none" w:sz="0" w:space="0" w:color="auto"/>
      </w:divBdr>
    </w:div>
    <w:div w:id="1274822621">
      <w:bodyDiv w:val="1"/>
      <w:marLeft w:val="0"/>
      <w:marRight w:val="0"/>
      <w:marTop w:val="0"/>
      <w:marBottom w:val="0"/>
      <w:divBdr>
        <w:top w:val="none" w:sz="0" w:space="0" w:color="auto"/>
        <w:left w:val="none" w:sz="0" w:space="0" w:color="auto"/>
        <w:bottom w:val="none" w:sz="0" w:space="0" w:color="auto"/>
        <w:right w:val="none" w:sz="0" w:space="0" w:color="auto"/>
      </w:divBdr>
    </w:div>
    <w:div w:id="1301349960">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46783042">
      <w:bodyDiv w:val="1"/>
      <w:marLeft w:val="0"/>
      <w:marRight w:val="0"/>
      <w:marTop w:val="0"/>
      <w:marBottom w:val="0"/>
      <w:divBdr>
        <w:top w:val="none" w:sz="0" w:space="0" w:color="auto"/>
        <w:left w:val="none" w:sz="0" w:space="0" w:color="auto"/>
        <w:bottom w:val="none" w:sz="0" w:space="0" w:color="auto"/>
        <w:right w:val="none" w:sz="0" w:space="0" w:color="auto"/>
      </w:divBdr>
    </w:div>
    <w:div w:id="1459228213">
      <w:bodyDiv w:val="1"/>
      <w:marLeft w:val="0"/>
      <w:marRight w:val="0"/>
      <w:marTop w:val="0"/>
      <w:marBottom w:val="0"/>
      <w:divBdr>
        <w:top w:val="none" w:sz="0" w:space="0" w:color="auto"/>
        <w:left w:val="none" w:sz="0" w:space="0" w:color="auto"/>
        <w:bottom w:val="none" w:sz="0" w:space="0" w:color="auto"/>
        <w:right w:val="none" w:sz="0" w:space="0" w:color="auto"/>
      </w:divBdr>
    </w:div>
    <w:div w:id="1469283329">
      <w:bodyDiv w:val="1"/>
      <w:marLeft w:val="0"/>
      <w:marRight w:val="0"/>
      <w:marTop w:val="0"/>
      <w:marBottom w:val="0"/>
      <w:divBdr>
        <w:top w:val="none" w:sz="0" w:space="0" w:color="auto"/>
        <w:left w:val="none" w:sz="0" w:space="0" w:color="auto"/>
        <w:bottom w:val="none" w:sz="0" w:space="0" w:color="auto"/>
        <w:right w:val="none" w:sz="0" w:space="0" w:color="auto"/>
      </w:divBdr>
    </w:div>
    <w:div w:id="1504513669">
      <w:bodyDiv w:val="1"/>
      <w:marLeft w:val="0"/>
      <w:marRight w:val="0"/>
      <w:marTop w:val="0"/>
      <w:marBottom w:val="0"/>
      <w:divBdr>
        <w:top w:val="none" w:sz="0" w:space="0" w:color="auto"/>
        <w:left w:val="none" w:sz="0" w:space="0" w:color="auto"/>
        <w:bottom w:val="none" w:sz="0" w:space="0" w:color="auto"/>
        <w:right w:val="none" w:sz="0" w:space="0" w:color="auto"/>
      </w:divBdr>
    </w:div>
    <w:div w:id="1597252943">
      <w:bodyDiv w:val="1"/>
      <w:marLeft w:val="0"/>
      <w:marRight w:val="0"/>
      <w:marTop w:val="0"/>
      <w:marBottom w:val="0"/>
      <w:divBdr>
        <w:top w:val="none" w:sz="0" w:space="0" w:color="auto"/>
        <w:left w:val="none" w:sz="0" w:space="0" w:color="auto"/>
        <w:bottom w:val="none" w:sz="0" w:space="0" w:color="auto"/>
        <w:right w:val="none" w:sz="0" w:space="0" w:color="auto"/>
      </w:divBdr>
    </w:div>
    <w:div w:id="1606838829">
      <w:bodyDiv w:val="1"/>
      <w:marLeft w:val="0"/>
      <w:marRight w:val="0"/>
      <w:marTop w:val="0"/>
      <w:marBottom w:val="0"/>
      <w:divBdr>
        <w:top w:val="none" w:sz="0" w:space="0" w:color="auto"/>
        <w:left w:val="none" w:sz="0" w:space="0" w:color="auto"/>
        <w:bottom w:val="none" w:sz="0" w:space="0" w:color="auto"/>
        <w:right w:val="none" w:sz="0" w:space="0" w:color="auto"/>
      </w:divBdr>
    </w:div>
    <w:div w:id="1673339672">
      <w:bodyDiv w:val="1"/>
      <w:marLeft w:val="0"/>
      <w:marRight w:val="0"/>
      <w:marTop w:val="0"/>
      <w:marBottom w:val="0"/>
      <w:divBdr>
        <w:top w:val="none" w:sz="0" w:space="0" w:color="auto"/>
        <w:left w:val="none" w:sz="0" w:space="0" w:color="auto"/>
        <w:bottom w:val="none" w:sz="0" w:space="0" w:color="auto"/>
        <w:right w:val="none" w:sz="0" w:space="0" w:color="auto"/>
      </w:divBdr>
    </w:div>
    <w:div w:id="1700930852">
      <w:bodyDiv w:val="1"/>
      <w:marLeft w:val="0"/>
      <w:marRight w:val="0"/>
      <w:marTop w:val="0"/>
      <w:marBottom w:val="0"/>
      <w:divBdr>
        <w:top w:val="none" w:sz="0" w:space="0" w:color="auto"/>
        <w:left w:val="none" w:sz="0" w:space="0" w:color="auto"/>
        <w:bottom w:val="none" w:sz="0" w:space="0" w:color="auto"/>
        <w:right w:val="none" w:sz="0" w:space="0" w:color="auto"/>
      </w:divBdr>
    </w:div>
    <w:div w:id="1716543852">
      <w:bodyDiv w:val="1"/>
      <w:marLeft w:val="0"/>
      <w:marRight w:val="0"/>
      <w:marTop w:val="0"/>
      <w:marBottom w:val="0"/>
      <w:divBdr>
        <w:top w:val="none" w:sz="0" w:space="0" w:color="auto"/>
        <w:left w:val="none" w:sz="0" w:space="0" w:color="auto"/>
        <w:bottom w:val="none" w:sz="0" w:space="0" w:color="auto"/>
        <w:right w:val="none" w:sz="0" w:space="0" w:color="auto"/>
      </w:divBdr>
    </w:div>
    <w:div w:id="1760056862">
      <w:bodyDiv w:val="1"/>
      <w:marLeft w:val="0"/>
      <w:marRight w:val="0"/>
      <w:marTop w:val="0"/>
      <w:marBottom w:val="0"/>
      <w:divBdr>
        <w:top w:val="none" w:sz="0" w:space="0" w:color="auto"/>
        <w:left w:val="none" w:sz="0" w:space="0" w:color="auto"/>
        <w:bottom w:val="none" w:sz="0" w:space="0" w:color="auto"/>
        <w:right w:val="none" w:sz="0" w:space="0" w:color="auto"/>
      </w:divBdr>
    </w:div>
    <w:div w:id="1800489443">
      <w:bodyDiv w:val="1"/>
      <w:marLeft w:val="0"/>
      <w:marRight w:val="0"/>
      <w:marTop w:val="0"/>
      <w:marBottom w:val="0"/>
      <w:divBdr>
        <w:top w:val="none" w:sz="0" w:space="0" w:color="auto"/>
        <w:left w:val="none" w:sz="0" w:space="0" w:color="auto"/>
        <w:bottom w:val="none" w:sz="0" w:space="0" w:color="auto"/>
        <w:right w:val="none" w:sz="0" w:space="0" w:color="auto"/>
      </w:divBdr>
    </w:div>
    <w:div w:id="1870138843">
      <w:bodyDiv w:val="1"/>
      <w:marLeft w:val="0"/>
      <w:marRight w:val="0"/>
      <w:marTop w:val="0"/>
      <w:marBottom w:val="0"/>
      <w:divBdr>
        <w:top w:val="none" w:sz="0" w:space="0" w:color="auto"/>
        <w:left w:val="none" w:sz="0" w:space="0" w:color="auto"/>
        <w:bottom w:val="none" w:sz="0" w:space="0" w:color="auto"/>
        <w:right w:val="none" w:sz="0" w:space="0" w:color="auto"/>
      </w:divBdr>
    </w:div>
    <w:div w:id="1898936098">
      <w:bodyDiv w:val="1"/>
      <w:marLeft w:val="0"/>
      <w:marRight w:val="0"/>
      <w:marTop w:val="0"/>
      <w:marBottom w:val="0"/>
      <w:divBdr>
        <w:top w:val="none" w:sz="0" w:space="0" w:color="auto"/>
        <w:left w:val="none" w:sz="0" w:space="0" w:color="auto"/>
        <w:bottom w:val="none" w:sz="0" w:space="0" w:color="auto"/>
        <w:right w:val="none" w:sz="0" w:space="0" w:color="auto"/>
      </w:divBdr>
    </w:div>
    <w:div w:id="1927884139">
      <w:bodyDiv w:val="1"/>
      <w:marLeft w:val="0"/>
      <w:marRight w:val="0"/>
      <w:marTop w:val="0"/>
      <w:marBottom w:val="0"/>
      <w:divBdr>
        <w:top w:val="none" w:sz="0" w:space="0" w:color="auto"/>
        <w:left w:val="none" w:sz="0" w:space="0" w:color="auto"/>
        <w:bottom w:val="none" w:sz="0" w:space="0" w:color="auto"/>
        <w:right w:val="none" w:sz="0" w:space="0" w:color="auto"/>
      </w:divBdr>
    </w:div>
    <w:div w:id="1952778467">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53265470">
      <w:bodyDiv w:val="1"/>
      <w:marLeft w:val="0"/>
      <w:marRight w:val="0"/>
      <w:marTop w:val="0"/>
      <w:marBottom w:val="0"/>
      <w:divBdr>
        <w:top w:val="none" w:sz="0" w:space="0" w:color="auto"/>
        <w:left w:val="none" w:sz="0" w:space="0" w:color="auto"/>
        <w:bottom w:val="none" w:sz="0" w:space="0" w:color="auto"/>
        <w:right w:val="none" w:sz="0" w:space="0" w:color="auto"/>
      </w:divBdr>
    </w:div>
    <w:div w:id="20594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4D353-1581-4280-845C-4BE1ABF2C904}"/>
</file>

<file path=customXml/itemProps2.xml><?xml version="1.0" encoding="utf-8"?>
<ds:datastoreItem xmlns:ds="http://schemas.openxmlformats.org/officeDocument/2006/customXml" ds:itemID="{AAA3A0D6-A076-4605-BCD3-8A22E90765D9}"/>
</file>

<file path=customXml/itemProps3.xml><?xml version="1.0" encoding="utf-8"?>
<ds:datastoreItem xmlns:ds="http://schemas.openxmlformats.org/officeDocument/2006/customXml" ds:itemID="{F2DDC251-9EA0-45B0-B0B4-6CD07C64DED9}"/>
</file>

<file path=customXml/itemProps4.xml><?xml version="1.0" encoding="utf-8"?>
<ds:datastoreItem xmlns:ds="http://schemas.openxmlformats.org/officeDocument/2006/customXml" ds:itemID="{E435C598-50F1-4483-9808-BDC3E961170C}"/>
</file>

<file path=docProps/app.xml><?xml version="1.0" encoding="utf-8"?>
<Properties xmlns="http://schemas.openxmlformats.org/officeDocument/2006/extended-properties" xmlns:vt="http://schemas.openxmlformats.org/officeDocument/2006/docPropsVTypes">
  <Template>Normal.dotm</Template>
  <TotalTime>0</TotalTime>
  <Pages>22</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2013-12-05T04:21:00Z</dcterms:created>
  <dcterms:modified xsi:type="dcterms:W3CDTF">2014-01-29T05:40:00Z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314900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