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4BD" w:rsidRPr="00552ABD" w:rsidRDefault="00D6169C" w:rsidP="006166A5">
      <w:pPr>
        <w:pStyle w:val="Heading1"/>
        <w:spacing w:before="0" w:after="120" w:line="240" w:lineRule="auto"/>
        <w:jc w:val="center"/>
        <w:rPr>
          <w:rFonts w:ascii="Franklin Gothic Book" w:hAnsi="Franklin Gothic Book"/>
          <w:color w:val="4BACC6" w:themeColor="accent5"/>
          <w:sz w:val="24"/>
          <w:szCs w:val="22"/>
        </w:rPr>
      </w:pPr>
      <w:bookmarkStart w:id="0" w:name="_GoBack"/>
      <w:bookmarkEnd w:id="0"/>
      <w:r w:rsidRPr="00552ABD">
        <w:rPr>
          <w:rFonts w:ascii="Franklin Gothic Book" w:hAnsi="Franklin Gothic Book"/>
          <w:color w:val="4BACC6" w:themeColor="accent5"/>
          <w:sz w:val="24"/>
          <w:szCs w:val="22"/>
        </w:rPr>
        <w:t xml:space="preserve">AVID </w:t>
      </w:r>
      <w:r w:rsidR="009930B4" w:rsidRPr="00552ABD">
        <w:rPr>
          <w:rFonts w:ascii="Franklin Gothic Book" w:hAnsi="Franklin Gothic Book"/>
          <w:color w:val="4BACC6" w:themeColor="accent5"/>
          <w:sz w:val="24"/>
          <w:szCs w:val="22"/>
        </w:rPr>
        <w:t xml:space="preserve">Country/Regional </w:t>
      </w:r>
      <w:r w:rsidRPr="00552ABD">
        <w:rPr>
          <w:rFonts w:ascii="Franklin Gothic Book" w:hAnsi="Franklin Gothic Book"/>
          <w:color w:val="4BACC6" w:themeColor="accent5"/>
          <w:sz w:val="24"/>
          <w:szCs w:val="22"/>
        </w:rPr>
        <w:t>Strategy</w:t>
      </w:r>
    </w:p>
    <w:p w:rsidR="009930B4" w:rsidRPr="00552ABD" w:rsidRDefault="00E508AC" w:rsidP="006166A5">
      <w:pPr>
        <w:spacing w:after="120" w:line="240" w:lineRule="auto"/>
        <w:jc w:val="center"/>
        <w:rPr>
          <w:rFonts w:ascii="Franklin Gothic Book" w:hAnsi="Franklin Gothic Book"/>
          <w:color w:val="4BACC6" w:themeColor="accent5"/>
          <w:sz w:val="24"/>
        </w:rPr>
      </w:pPr>
      <w:r w:rsidRPr="00552ABD">
        <w:rPr>
          <w:rFonts w:ascii="Franklin Gothic Book" w:eastAsiaTheme="majorEastAsia" w:hAnsi="Franklin Gothic Book" w:cstheme="majorBidi"/>
          <w:b/>
          <w:bCs/>
          <w:color w:val="4BACC6" w:themeColor="accent5"/>
          <w:sz w:val="24"/>
        </w:rPr>
        <w:t>201</w:t>
      </w:r>
      <w:r>
        <w:rPr>
          <w:rFonts w:ascii="Franklin Gothic Book" w:eastAsiaTheme="majorEastAsia" w:hAnsi="Franklin Gothic Book" w:cstheme="majorBidi"/>
          <w:b/>
          <w:bCs/>
          <w:color w:val="4BACC6" w:themeColor="accent5"/>
          <w:sz w:val="24"/>
        </w:rPr>
        <w:t>4</w:t>
      </w:r>
      <w:r w:rsidR="009930B4" w:rsidRPr="00552ABD">
        <w:rPr>
          <w:rFonts w:ascii="Franklin Gothic Book" w:eastAsiaTheme="majorEastAsia" w:hAnsi="Franklin Gothic Book" w:cstheme="majorBidi"/>
          <w:b/>
          <w:bCs/>
          <w:color w:val="4BACC6" w:themeColor="accent5"/>
          <w:sz w:val="24"/>
        </w:rPr>
        <w:t>-</w:t>
      </w:r>
      <w:r w:rsidRPr="00552ABD">
        <w:rPr>
          <w:rFonts w:ascii="Franklin Gothic Book" w:eastAsiaTheme="majorEastAsia" w:hAnsi="Franklin Gothic Book" w:cstheme="majorBidi"/>
          <w:b/>
          <w:bCs/>
          <w:color w:val="4BACC6" w:themeColor="accent5"/>
          <w:sz w:val="24"/>
        </w:rPr>
        <w:t>1</w:t>
      </w:r>
      <w:r>
        <w:rPr>
          <w:rFonts w:ascii="Franklin Gothic Book" w:eastAsiaTheme="majorEastAsia" w:hAnsi="Franklin Gothic Book" w:cstheme="majorBidi"/>
          <w:b/>
          <w:bCs/>
          <w:color w:val="4BACC6" w:themeColor="accent5"/>
          <w:sz w:val="24"/>
        </w:rPr>
        <w:t>5</w:t>
      </w:r>
      <w:r w:rsidRPr="00552ABD">
        <w:rPr>
          <w:rFonts w:ascii="Franklin Gothic Book" w:eastAsiaTheme="majorEastAsia" w:hAnsi="Franklin Gothic Book" w:cstheme="majorBidi"/>
          <w:b/>
          <w:bCs/>
          <w:color w:val="4BACC6" w:themeColor="accent5"/>
          <w:sz w:val="24"/>
        </w:rPr>
        <w:t xml:space="preserve"> </w:t>
      </w:r>
      <w:r w:rsidR="009930B4" w:rsidRPr="00552ABD">
        <w:rPr>
          <w:rFonts w:ascii="Franklin Gothic Book" w:eastAsiaTheme="majorEastAsia" w:hAnsi="Franklin Gothic Book" w:cstheme="majorBidi"/>
          <w:b/>
          <w:bCs/>
          <w:color w:val="4BACC6" w:themeColor="accent5"/>
          <w:sz w:val="24"/>
        </w:rPr>
        <w:t xml:space="preserve">to </w:t>
      </w:r>
      <w:r w:rsidRPr="00552ABD">
        <w:rPr>
          <w:rFonts w:ascii="Franklin Gothic Book" w:eastAsiaTheme="majorEastAsia" w:hAnsi="Franklin Gothic Book" w:cstheme="majorBidi"/>
          <w:b/>
          <w:bCs/>
          <w:color w:val="4BACC6" w:themeColor="accent5"/>
          <w:sz w:val="24"/>
        </w:rPr>
        <w:t>201</w:t>
      </w:r>
      <w:r>
        <w:rPr>
          <w:rFonts w:ascii="Franklin Gothic Book" w:eastAsiaTheme="majorEastAsia" w:hAnsi="Franklin Gothic Book" w:cstheme="majorBidi"/>
          <w:b/>
          <w:bCs/>
          <w:color w:val="4BACC6" w:themeColor="accent5"/>
          <w:sz w:val="24"/>
        </w:rPr>
        <w:t>6</w:t>
      </w:r>
      <w:r w:rsidR="009930B4" w:rsidRPr="00552ABD">
        <w:rPr>
          <w:rFonts w:ascii="Franklin Gothic Book" w:eastAsiaTheme="majorEastAsia" w:hAnsi="Franklin Gothic Book" w:cstheme="majorBidi"/>
          <w:b/>
          <w:bCs/>
          <w:color w:val="4BACC6" w:themeColor="accent5"/>
          <w:sz w:val="24"/>
        </w:rPr>
        <w:t>-</w:t>
      </w:r>
      <w:r w:rsidRPr="00552ABD">
        <w:rPr>
          <w:rFonts w:ascii="Franklin Gothic Book" w:eastAsiaTheme="majorEastAsia" w:hAnsi="Franklin Gothic Book" w:cstheme="majorBidi"/>
          <w:b/>
          <w:bCs/>
          <w:color w:val="4BACC6" w:themeColor="accent5"/>
          <w:sz w:val="24"/>
        </w:rPr>
        <w:t>1</w:t>
      </w:r>
      <w:r>
        <w:rPr>
          <w:rFonts w:ascii="Franklin Gothic Book" w:eastAsiaTheme="majorEastAsia" w:hAnsi="Franklin Gothic Book" w:cstheme="majorBidi"/>
          <w:b/>
          <w:bCs/>
          <w:color w:val="4BACC6" w:themeColor="accent5"/>
          <w:sz w:val="24"/>
        </w:rPr>
        <w:t>7</w:t>
      </w:r>
    </w:p>
    <w:p w:rsidR="00D6169C" w:rsidRPr="00552ABD" w:rsidRDefault="00D6169C" w:rsidP="006166A5">
      <w:pPr>
        <w:pStyle w:val="Heading2"/>
        <w:spacing w:before="360" w:after="120" w:line="240" w:lineRule="auto"/>
        <w:rPr>
          <w:rFonts w:ascii="Franklin Gothic Book" w:hAnsi="Franklin Gothic Book"/>
          <w:color w:val="4BACC6" w:themeColor="accent5"/>
          <w:sz w:val="24"/>
          <w:szCs w:val="22"/>
        </w:rPr>
      </w:pPr>
      <w:r w:rsidRPr="00552ABD">
        <w:rPr>
          <w:rFonts w:ascii="Franklin Gothic Book" w:hAnsi="Franklin Gothic Book"/>
          <w:color w:val="4BACC6" w:themeColor="accent5"/>
          <w:sz w:val="24"/>
          <w:szCs w:val="22"/>
        </w:rPr>
        <w:t>Country:</w:t>
      </w:r>
      <w:r w:rsidR="007704BF">
        <w:rPr>
          <w:rFonts w:ascii="Franklin Gothic Book" w:hAnsi="Franklin Gothic Book"/>
          <w:color w:val="4BACC6" w:themeColor="accent5"/>
          <w:sz w:val="24"/>
          <w:szCs w:val="22"/>
        </w:rPr>
        <w:t xml:space="preserve"> </w:t>
      </w:r>
      <w:r w:rsidR="00AB4801" w:rsidRPr="00552ABD">
        <w:rPr>
          <w:rFonts w:ascii="Franklin Gothic Book" w:hAnsi="Franklin Gothic Book"/>
          <w:color w:val="4BACC6" w:themeColor="accent5"/>
          <w:sz w:val="24"/>
          <w:szCs w:val="22"/>
        </w:rPr>
        <w:t>Vietnam</w:t>
      </w:r>
    </w:p>
    <w:p w:rsidR="0050451C" w:rsidRPr="00552ABD" w:rsidRDefault="00CE1C7C" w:rsidP="006166A5">
      <w:pPr>
        <w:pStyle w:val="Heading2"/>
        <w:spacing w:before="0" w:after="120" w:line="240" w:lineRule="auto"/>
        <w:rPr>
          <w:rFonts w:ascii="Franklin Gothic Book" w:hAnsi="Franklin Gothic Book"/>
          <w:color w:val="4BACC6" w:themeColor="accent5"/>
          <w:sz w:val="24"/>
          <w:szCs w:val="22"/>
        </w:rPr>
      </w:pPr>
      <w:r w:rsidRPr="00552ABD">
        <w:rPr>
          <w:rFonts w:ascii="Franklin Gothic Book" w:hAnsi="Franklin Gothic Book"/>
          <w:color w:val="4BACC6" w:themeColor="accent5"/>
          <w:sz w:val="24"/>
          <w:szCs w:val="22"/>
        </w:rPr>
        <w:t>Effective Date</w:t>
      </w:r>
      <w:r w:rsidR="008101C4" w:rsidRPr="00552ABD">
        <w:rPr>
          <w:rFonts w:ascii="Franklin Gothic Book" w:hAnsi="Franklin Gothic Book"/>
          <w:color w:val="4BACC6" w:themeColor="accent5"/>
          <w:sz w:val="24"/>
          <w:szCs w:val="22"/>
        </w:rPr>
        <w:t>:</w:t>
      </w:r>
      <w:r w:rsidR="007704BF">
        <w:rPr>
          <w:rFonts w:ascii="Franklin Gothic Book" w:hAnsi="Franklin Gothic Book"/>
          <w:color w:val="4BACC6" w:themeColor="accent5"/>
          <w:sz w:val="24"/>
          <w:szCs w:val="22"/>
        </w:rPr>
        <w:t xml:space="preserve"> </w:t>
      </w:r>
      <w:r w:rsidR="00D47D7E" w:rsidRPr="00552ABD">
        <w:rPr>
          <w:rFonts w:ascii="Franklin Gothic Book" w:hAnsi="Franklin Gothic Book"/>
          <w:color w:val="4BACC6" w:themeColor="accent5"/>
          <w:sz w:val="24"/>
          <w:szCs w:val="22"/>
        </w:rPr>
        <w:t xml:space="preserve">1 July </w:t>
      </w:r>
      <w:r w:rsidR="00E508AC" w:rsidRPr="00552ABD">
        <w:rPr>
          <w:rFonts w:ascii="Franklin Gothic Book" w:hAnsi="Franklin Gothic Book"/>
          <w:color w:val="4BACC6" w:themeColor="accent5"/>
          <w:sz w:val="24"/>
          <w:szCs w:val="22"/>
        </w:rPr>
        <w:t>201</w:t>
      </w:r>
      <w:r w:rsidR="00E508AC">
        <w:rPr>
          <w:rFonts w:ascii="Franklin Gothic Book" w:hAnsi="Franklin Gothic Book"/>
          <w:color w:val="4BACC6" w:themeColor="accent5"/>
          <w:sz w:val="24"/>
          <w:szCs w:val="22"/>
        </w:rPr>
        <w:t>4</w:t>
      </w:r>
    </w:p>
    <w:p w:rsidR="0050451C" w:rsidRPr="00552ABD" w:rsidRDefault="0050451C" w:rsidP="006166A5">
      <w:pPr>
        <w:pStyle w:val="Heading2"/>
        <w:spacing w:before="0" w:after="120" w:line="240" w:lineRule="auto"/>
        <w:rPr>
          <w:rFonts w:ascii="Franklin Gothic Book" w:hAnsi="Franklin Gothic Book"/>
          <w:color w:val="4BACC6" w:themeColor="accent5"/>
          <w:sz w:val="24"/>
          <w:szCs w:val="22"/>
        </w:rPr>
      </w:pPr>
      <w:r w:rsidRPr="00552ABD">
        <w:rPr>
          <w:rFonts w:ascii="Franklin Gothic Book" w:hAnsi="Franklin Gothic Book"/>
          <w:color w:val="4BACC6" w:themeColor="accent5"/>
          <w:sz w:val="24"/>
          <w:szCs w:val="22"/>
        </w:rPr>
        <w:t>Last Reviewed/Revised:</w:t>
      </w:r>
      <w:r w:rsidR="00E5626A">
        <w:rPr>
          <w:rFonts w:ascii="Franklin Gothic Book" w:hAnsi="Franklin Gothic Book"/>
          <w:color w:val="4BACC6" w:themeColor="accent5"/>
          <w:sz w:val="24"/>
          <w:szCs w:val="22"/>
        </w:rPr>
        <w:t xml:space="preserve"> </w:t>
      </w:r>
      <w:r w:rsidR="00BD34A1">
        <w:rPr>
          <w:rFonts w:ascii="Franklin Gothic Book" w:hAnsi="Franklin Gothic Book"/>
          <w:color w:val="4BACC6" w:themeColor="accent5"/>
          <w:sz w:val="24"/>
          <w:szCs w:val="22"/>
        </w:rPr>
        <w:t>March</w:t>
      </w:r>
      <w:r w:rsidR="002A08C2">
        <w:rPr>
          <w:rFonts w:ascii="Franklin Gothic Book" w:hAnsi="Franklin Gothic Book"/>
          <w:color w:val="4BACC6" w:themeColor="accent5"/>
          <w:sz w:val="24"/>
          <w:szCs w:val="22"/>
        </w:rPr>
        <w:t xml:space="preserve"> 2014</w:t>
      </w:r>
    </w:p>
    <w:p w:rsidR="0050451C" w:rsidRPr="00552ABD" w:rsidRDefault="009930B4" w:rsidP="00C8720D">
      <w:pPr>
        <w:pStyle w:val="Heading2"/>
        <w:spacing w:before="0" w:after="240" w:line="240" w:lineRule="auto"/>
        <w:rPr>
          <w:rFonts w:ascii="Franklin Gothic Book" w:hAnsi="Franklin Gothic Book"/>
          <w:color w:val="auto"/>
          <w:sz w:val="24"/>
          <w:szCs w:val="22"/>
        </w:rPr>
      </w:pPr>
      <w:r w:rsidRPr="00552ABD">
        <w:rPr>
          <w:rFonts w:ascii="Franklin Gothic Book" w:hAnsi="Franklin Gothic Book"/>
          <w:color w:val="4BACC6" w:themeColor="accent5"/>
          <w:sz w:val="24"/>
          <w:szCs w:val="22"/>
        </w:rPr>
        <w:t xml:space="preserve">Indicative </w:t>
      </w:r>
      <w:r w:rsidR="001A323D" w:rsidRPr="00552ABD">
        <w:rPr>
          <w:rFonts w:ascii="Franklin Gothic Book" w:hAnsi="Franklin Gothic Book"/>
          <w:color w:val="4BACC6" w:themeColor="accent5"/>
          <w:sz w:val="24"/>
          <w:szCs w:val="22"/>
        </w:rPr>
        <w:t xml:space="preserve">New </w:t>
      </w:r>
      <w:r w:rsidR="000B5BC0" w:rsidRPr="00552ABD">
        <w:rPr>
          <w:rFonts w:ascii="Franklin Gothic Book" w:hAnsi="Franklin Gothic Book"/>
          <w:color w:val="4BACC6" w:themeColor="accent5"/>
          <w:sz w:val="24"/>
          <w:szCs w:val="22"/>
        </w:rPr>
        <w:t xml:space="preserve">AVID </w:t>
      </w:r>
      <w:r w:rsidR="008101C4" w:rsidRPr="00552ABD">
        <w:rPr>
          <w:rFonts w:ascii="Franklin Gothic Book" w:hAnsi="Franklin Gothic Book"/>
          <w:color w:val="4BACC6" w:themeColor="accent5"/>
          <w:sz w:val="24"/>
          <w:szCs w:val="22"/>
        </w:rPr>
        <w:t>Volunteer Numbers</w:t>
      </w:r>
    </w:p>
    <w:tbl>
      <w:tblPr>
        <w:tblStyle w:val="TableGrid"/>
        <w:tblW w:w="5333" w:type="dxa"/>
        <w:tblInd w:w="702" w:type="dxa"/>
        <w:tblLook w:val="04A0" w:firstRow="1" w:lastRow="0" w:firstColumn="1" w:lastColumn="0" w:noHBand="0" w:noVBand="1"/>
      </w:tblPr>
      <w:tblGrid>
        <w:gridCol w:w="3107"/>
        <w:gridCol w:w="2226"/>
      </w:tblGrid>
      <w:tr w:rsidR="004B7EA3" w:rsidRPr="00552ABD" w:rsidTr="00A86628">
        <w:trPr>
          <w:trHeight w:val="324"/>
        </w:trPr>
        <w:tc>
          <w:tcPr>
            <w:tcW w:w="3107" w:type="dxa"/>
          </w:tcPr>
          <w:p w:rsidR="004B7EA3" w:rsidRPr="00552ABD" w:rsidRDefault="004B7EA3" w:rsidP="006166A5">
            <w:pPr>
              <w:spacing w:before="60" w:after="60"/>
              <w:jc w:val="center"/>
              <w:rPr>
                <w:rFonts w:ascii="Franklin Gothic Book" w:hAnsi="Franklin Gothic Book"/>
                <w:b/>
              </w:rPr>
            </w:pPr>
            <w:r w:rsidRPr="00552ABD">
              <w:rPr>
                <w:rFonts w:ascii="Franklin Gothic Book" w:hAnsi="Franklin Gothic Book"/>
                <w:b/>
              </w:rPr>
              <w:t>Financial Year</w:t>
            </w:r>
          </w:p>
        </w:tc>
        <w:tc>
          <w:tcPr>
            <w:tcW w:w="2226" w:type="dxa"/>
          </w:tcPr>
          <w:p w:rsidR="004B7EA3" w:rsidRPr="00552ABD" w:rsidRDefault="004B7EA3" w:rsidP="006166A5">
            <w:pPr>
              <w:spacing w:before="60" w:after="60"/>
              <w:jc w:val="center"/>
              <w:rPr>
                <w:rFonts w:ascii="Franklin Gothic Book" w:hAnsi="Franklin Gothic Book"/>
                <w:b/>
              </w:rPr>
            </w:pPr>
            <w:r w:rsidRPr="00552ABD">
              <w:rPr>
                <w:rFonts w:ascii="Franklin Gothic Book" w:hAnsi="Franklin Gothic Book"/>
                <w:b/>
              </w:rPr>
              <w:t>Total AVID</w:t>
            </w:r>
          </w:p>
        </w:tc>
      </w:tr>
      <w:tr w:rsidR="004B7EA3" w:rsidRPr="00552ABD" w:rsidTr="00A86628">
        <w:trPr>
          <w:trHeight w:val="324"/>
        </w:trPr>
        <w:tc>
          <w:tcPr>
            <w:tcW w:w="3107" w:type="dxa"/>
          </w:tcPr>
          <w:p w:rsidR="004B7EA3" w:rsidRPr="00552ABD" w:rsidRDefault="00EC52F5" w:rsidP="0052573B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 w:rsidRPr="00552ABD">
              <w:rPr>
                <w:rFonts w:ascii="Franklin Gothic Book" w:hAnsi="Franklin Gothic Book" w:cs="Calibri"/>
                <w:b/>
                <w:bCs/>
              </w:rPr>
              <w:t>2014-2015</w:t>
            </w:r>
          </w:p>
        </w:tc>
        <w:tc>
          <w:tcPr>
            <w:tcW w:w="2226" w:type="dxa"/>
          </w:tcPr>
          <w:p w:rsidR="004B7EA3" w:rsidRPr="00552ABD" w:rsidRDefault="00174913" w:rsidP="006166A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 w:rsidRPr="00552ABD">
              <w:rPr>
                <w:rFonts w:ascii="Franklin Gothic Book" w:hAnsi="Franklin Gothic Book"/>
              </w:rPr>
              <w:t>64</w:t>
            </w:r>
          </w:p>
        </w:tc>
      </w:tr>
      <w:tr w:rsidR="00EC52F5" w:rsidRPr="00552ABD" w:rsidTr="00A86628">
        <w:trPr>
          <w:trHeight w:val="324"/>
        </w:trPr>
        <w:tc>
          <w:tcPr>
            <w:tcW w:w="3107" w:type="dxa"/>
          </w:tcPr>
          <w:p w:rsidR="00EC52F5" w:rsidRPr="00552ABD" w:rsidRDefault="00174913" w:rsidP="0052573B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 w:rsidRPr="00552ABD">
              <w:rPr>
                <w:rFonts w:ascii="Franklin Gothic Book" w:hAnsi="Franklin Gothic Book"/>
                <w:b/>
              </w:rPr>
              <w:t>2015-2016</w:t>
            </w:r>
          </w:p>
        </w:tc>
        <w:tc>
          <w:tcPr>
            <w:tcW w:w="2226" w:type="dxa"/>
          </w:tcPr>
          <w:p w:rsidR="00EC52F5" w:rsidRPr="00552ABD" w:rsidRDefault="00174913" w:rsidP="006166A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 w:rsidRPr="00552ABD">
              <w:rPr>
                <w:rFonts w:ascii="Franklin Gothic Book" w:hAnsi="Franklin Gothic Book"/>
              </w:rPr>
              <w:t>64</w:t>
            </w:r>
          </w:p>
        </w:tc>
      </w:tr>
      <w:tr w:rsidR="00E508AC" w:rsidRPr="00552ABD" w:rsidTr="00A86628">
        <w:trPr>
          <w:trHeight w:val="324"/>
        </w:trPr>
        <w:tc>
          <w:tcPr>
            <w:tcW w:w="3107" w:type="dxa"/>
          </w:tcPr>
          <w:p w:rsidR="00E508AC" w:rsidRPr="00552ABD" w:rsidRDefault="00E508AC" w:rsidP="0052573B">
            <w:pPr>
              <w:spacing w:before="60" w:after="60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2016-2017</w:t>
            </w:r>
          </w:p>
        </w:tc>
        <w:tc>
          <w:tcPr>
            <w:tcW w:w="2226" w:type="dxa"/>
          </w:tcPr>
          <w:p w:rsidR="00E508AC" w:rsidRPr="00552ABD" w:rsidRDefault="00E508AC" w:rsidP="006166A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64</w:t>
            </w:r>
          </w:p>
        </w:tc>
      </w:tr>
    </w:tbl>
    <w:p w:rsidR="00EC52F5" w:rsidRPr="00552ABD" w:rsidRDefault="00EC52F5" w:rsidP="006166A5">
      <w:pPr>
        <w:spacing w:before="60" w:after="60" w:line="240" w:lineRule="auto"/>
        <w:rPr>
          <w:rFonts w:ascii="Franklin Gothic Book" w:hAnsi="Franklin Gothic Book" w:cs="Arial"/>
        </w:rPr>
      </w:pPr>
    </w:p>
    <w:p w:rsidR="000B5BC0" w:rsidRPr="006166A5" w:rsidRDefault="000B5BC0" w:rsidP="00C8720D">
      <w:pPr>
        <w:pStyle w:val="Heading2"/>
        <w:spacing w:before="0" w:after="240" w:line="240" w:lineRule="auto"/>
        <w:rPr>
          <w:rFonts w:ascii="Franklin Gothic Book" w:hAnsi="Franklin Gothic Book"/>
          <w:color w:val="4BACC6" w:themeColor="accent5"/>
          <w:sz w:val="24"/>
          <w:szCs w:val="24"/>
        </w:rPr>
      </w:pPr>
      <w:r w:rsidRPr="006166A5">
        <w:rPr>
          <w:rFonts w:ascii="Franklin Gothic Book" w:hAnsi="Franklin Gothic Book"/>
          <w:color w:val="4BACC6" w:themeColor="accent5"/>
          <w:sz w:val="24"/>
          <w:szCs w:val="24"/>
        </w:rPr>
        <w:t>Core Partner Allocations</w:t>
      </w:r>
      <w:r w:rsidR="001A323D" w:rsidRPr="006166A5">
        <w:rPr>
          <w:rFonts w:ascii="Franklin Gothic Book" w:hAnsi="Franklin Gothic Book"/>
          <w:color w:val="4BACC6" w:themeColor="accent5"/>
          <w:sz w:val="24"/>
          <w:szCs w:val="24"/>
        </w:rPr>
        <w:t xml:space="preserve"> – New AVID Volunteer Numbers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493"/>
        <w:gridCol w:w="1342"/>
        <w:gridCol w:w="1276"/>
        <w:gridCol w:w="1276"/>
        <w:gridCol w:w="1276"/>
      </w:tblGrid>
      <w:tr w:rsidR="003935C2" w:rsidRPr="00552ABD" w:rsidTr="003935C2">
        <w:trPr>
          <w:trHeight w:val="135"/>
        </w:trPr>
        <w:tc>
          <w:tcPr>
            <w:tcW w:w="1493" w:type="dxa"/>
            <w:vMerge w:val="restart"/>
            <w:vAlign w:val="center"/>
          </w:tcPr>
          <w:p w:rsidR="003935C2" w:rsidRPr="00552ABD" w:rsidRDefault="003935C2" w:rsidP="006166A5">
            <w:pPr>
              <w:spacing w:before="60" w:after="60"/>
              <w:jc w:val="center"/>
              <w:rPr>
                <w:rFonts w:ascii="Franklin Gothic Book" w:hAnsi="Franklin Gothic Book"/>
                <w:b/>
              </w:rPr>
            </w:pPr>
            <w:r w:rsidRPr="00552ABD">
              <w:rPr>
                <w:rFonts w:ascii="Franklin Gothic Book" w:hAnsi="Franklin Gothic Book"/>
                <w:b/>
              </w:rPr>
              <w:t>Financial Year</w:t>
            </w:r>
          </w:p>
        </w:tc>
        <w:tc>
          <w:tcPr>
            <w:tcW w:w="2618" w:type="dxa"/>
            <w:gridSpan w:val="2"/>
          </w:tcPr>
          <w:p w:rsidR="003935C2" w:rsidRPr="00552ABD" w:rsidRDefault="003935C2" w:rsidP="006166A5">
            <w:pPr>
              <w:spacing w:before="60" w:after="60"/>
              <w:jc w:val="center"/>
              <w:rPr>
                <w:rFonts w:ascii="Franklin Gothic Book" w:hAnsi="Franklin Gothic Book"/>
                <w:b/>
              </w:rPr>
            </w:pPr>
            <w:r w:rsidRPr="00552ABD">
              <w:rPr>
                <w:rFonts w:ascii="Franklin Gothic Book" w:hAnsi="Franklin Gothic Book"/>
                <w:b/>
              </w:rPr>
              <w:t>Austraining Int’l</w:t>
            </w:r>
          </w:p>
        </w:tc>
        <w:tc>
          <w:tcPr>
            <w:tcW w:w="1276" w:type="dxa"/>
            <w:vMerge w:val="restart"/>
            <w:vAlign w:val="center"/>
          </w:tcPr>
          <w:p w:rsidR="003935C2" w:rsidRPr="00552ABD" w:rsidRDefault="003935C2" w:rsidP="003935C2">
            <w:pPr>
              <w:spacing w:before="60" w:after="60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AVI</w:t>
            </w:r>
          </w:p>
        </w:tc>
        <w:tc>
          <w:tcPr>
            <w:tcW w:w="1276" w:type="dxa"/>
            <w:vMerge w:val="restart"/>
            <w:vAlign w:val="center"/>
          </w:tcPr>
          <w:p w:rsidR="003935C2" w:rsidRPr="00552ABD" w:rsidRDefault="003935C2" w:rsidP="006166A5">
            <w:pPr>
              <w:spacing w:before="60" w:after="60"/>
              <w:jc w:val="center"/>
              <w:rPr>
                <w:rFonts w:ascii="Franklin Gothic Book" w:hAnsi="Franklin Gothic Book"/>
                <w:b/>
              </w:rPr>
            </w:pPr>
            <w:r w:rsidRPr="00552ABD">
              <w:rPr>
                <w:rFonts w:ascii="Franklin Gothic Book" w:hAnsi="Franklin Gothic Book"/>
                <w:b/>
              </w:rPr>
              <w:t>ARC</w:t>
            </w:r>
          </w:p>
        </w:tc>
      </w:tr>
      <w:tr w:rsidR="003935C2" w:rsidRPr="00552ABD" w:rsidTr="0073176C">
        <w:trPr>
          <w:trHeight w:val="135"/>
        </w:trPr>
        <w:tc>
          <w:tcPr>
            <w:tcW w:w="1493" w:type="dxa"/>
            <w:vMerge/>
          </w:tcPr>
          <w:p w:rsidR="003935C2" w:rsidRPr="00552ABD" w:rsidRDefault="003935C2" w:rsidP="006166A5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1342" w:type="dxa"/>
          </w:tcPr>
          <w:p w:rsidR="003935C2" w:rsidRPr="00552ABD" w:rsidRDefault="003935C2" w:rsidP="006166A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 w:rsidRPr="00552ABD">
              <w:rPr>
                <w:rFonts w:ascii="Franklin Gothic Book" w:hAnsi="Franklin Gothic Book"/>
              </w:rPr>
              <w:t>AVID</w:t>
            </w:r>
          </w:p>
        </w:tc>
        <w:tc>
          <w:tcPr>
            <w:tcW w:w="1276" w:type="dxa"/>
          </w:tcPr>
          <w:p w:rsidR="003935C2" w:rsidRPr="00552ABD" w:rsidRDefault="003935C2" w:rsidP="006166A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 w:rsidRPr="00552ABD">
              <w:rPr>
                <w:rFonts w:ascii="Franklin Gothic Book" w:hAnsi="Franklin Gothic Book"/>
              </w:rPr>
              <w:t>AYAD</w:t>
            </w:r>
          </w:p>
        </w:tc>
        <w:tc>
          <w:tcPr>
            <w:tcW w:w="1276" w:type="dxa"/>
            <w:vMerge/>
          </w:tcPr>
          <w:p w:rsidR="003935C2" w:rsidRPr="00552ABD" w:rsidRDefault="003935C2" w:rsidP="006166A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276" w:type="dxa"/>
            <w:vMerge/>
          </w:tcPr>
          <w:p w:rsidR="003935C2" w:rsidRPr="00552ABD" w:rsidRDefault="003935C2" w:rsidP="006166A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</w:tr>
      <w:tr w:rsidR="00276383" w:rsidRPr="00552ABD" w:rsidTr="0091721B">
        <w:trPr>
          <w:trHeight w:val="135"/>
        </w:trPr>
        <w:tc>
          <w:tcPr>
            <w:tcW w:w="1493" w:type="dxa"/>
          </w:tcPr>
          <w:p w:rsidR="00276383" w:rsidRPr="006166A5" w:rsidRDefault="00276383" w:rsidP="006166A5">
            <w:pPr>
              <w:spacing w:before="60" w:after="60"/>
              <w:rPr>
                <w:rFonts w:ascii="Franklin Gothic Book" w:hAnsi="Franklin Gothic Book"/>
              </w:rPr>
            </w:pPr>
            <w:r w:rsidRPr="006166A5">
              <w:rPr>
                <w:rFonts w:ascii="Franklin Gothic Book" w:hAnsi="Franklin Gothic Book" w:cs="Calibri"/>
                <w:bCs/>
              </w:rPr>
              <w:t>2014-2015</w:t>
            </w:r>
          </w:p>
        </w:tc>
        <w:tc>
          <w:tcPr>
            <w:tcW w:w="2618" w:type="dxa"/>
            <w:gridSpan w:val="2"/>
          </w:tcPr>
          <w:p w:rsidR="00276383" w:rsidRPr="00552ABD" w:rsidRDefault="00276383" w:rsidP="006166A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47</w:t>
            </w:r>
          </w:p>
        </w:tc>
        <w:tc>
          <w:tcPr>
            <w:tcW w:w="1276" w:type="dxa"/>
          </w:tcPr>
          <w:p w:rsidR="00276383" w:rsidRDefault="00276383" w:rsidP="006166A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17</w:t>
            </w:r>
          </w:p>
        </w:tc>
        <w:tc>
          <w:tcPr>
            <w:tcW w:w="1276" w:type="dxa"/>
          </w:tcPr>
          <w:p w:rsidR="00276383" w:rsidRPr="00552ABD" w:rsidRDefault="00276383" w:rsidP="006166A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Nil</w:t>
            </w:r>
          </w:p>
        </w:tc>
      </w:tr>
      <w:tr w:rsidR="00276383" w:rsidRPr="00552ABD" w:rsidTr="0091721B">
        <w:trPr>
          <w:trHeight w:val="135"/>
        </w:trPr>
        <w:tc>
          <w:tcPr>
            <w:tcW w:w="1493" w:type="dxa"/>
          </w:tcPr>
          <w:p w:rsidR="00276383" w:rsidRPr="00552ABD" w:rsidRDefault="00276383" w:rsidP="006166A5">
            <w:pPr>
              <w:spacing w:before="60" w:after="60"/>
              <w:rPr>
                <w:rFonts w:ascii="Franklin Gothic Book" w:hAnsi="Franklin Gothic Book"/>
              </w:rPr>
            </w:pPr>
            <w:r w:rsidRPr="00552ABD">
              <w:rPr>
                <w:rFonts w:ascii="Franklin Gothic Book" w:hAnsi="Franklin Gothic Book"/>
              </w:rPr>
              <w:t>2015-2016</w:t>
            </w:r>
          </w:p>
        </w:tc>
        <w:tc>
          <w:tcPr>
            <w:tcW w:w="2618" w:type="dxa"/>
            <w:gridSpan w:val="2"/>
          </w:tcPr>
          <w:p w:rsidR="00276383" w:rsidRPr="00552ABD" w:rsidRDefault="00276383" w:rsidP="006166A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47</w:t>
            </w:r>
          </w:p>
        </w:tc>
        <w:tc>
          <w:tcPr>
            <w:tcW w:w="1276" w:type="dxa"/>
          </w:tcPr>
          <w:p w:rsidR="00276383" w:rsidRDefault="00276383" w:rsidP="006166A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17</w:t>
            </w:r>
          </w:p>
        </w:tc>
        <w:tc>
          <w:tcPr>
            <w:tcW w:w="1276" w:type="dxa"/>
          </w:tcPr>
          <w:p w:rsidR="00276383" w:rsidRPr="00552ABD" w:rsidRDefault="00276383" w:rsidP="006166A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Nil</w:t>
            </w:r>
          </w:p>
        </w:tc>
      </w:tr>
      <w:tr w:rsidR="00E508AC" w:rsidRPr="00552ABD" w:rsidTr="0091721B">
        <w:trPr>
          <w:trHeight w:val="135"/>
        </w:trPr>
        <w:tc>
          <w:tcPr>
            <w:tcW w:w="1493" w:type="dxa"/>
          </w:tcPr>
          <w:p w:rsidR="00E508AC" w:rsidRPr="00552ABD" w:rsidRDefault="00E508AC" w:rsidP="006166A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2016-2017</w:t>
            </w:r>
          </w:p>
        </w:tc>
        <w:tc>
          <w:tcPr>
            <w:tcW w:w="2618" w:type="dxa"/>
            <w:gridSpan w:val="2"/>
          </w:tcPr>
          <w:p w:rsidR="00E508AC" w:rsidRDefault="00E508AC" w:rsidP="006166A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47</w:t>
            </w:r>
          </w:p>
        </w:tc>
        <w:tc>
          <w:tcPr>
            <w:tcW w:w="1276" w:type="dxa"/>
          </w:tcPr>
          <w:p w:rsidR="00E508AC" w:rsidRDefault="00E508AC" w:rsidP="006166A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17 </w:t>
            </w:r>
          </w:p>
        </w:tc>
        <w:tc>
          <w:tcPr>
            <w:tcW w:w="1276" w:type="dxa"/>
          </w:tcPr>
          <w:p w:rsidR="00E508AC" w:rsidRDefault="00E508AC" w:rsidP="00E508AC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      Nil</w:t>
            </w:r>
          </w:p>
        </w:tc>
      </w:tr>
    </w:tbl>
    <w:p w:rsidR="00D6169C" w:rsidRPr="00552ABD" w:rsidRDefault="00D6169C" w:rsidP="006166A5">
      <w:pPr>
        <w:pStyle w:val="Heading2"/>
        <w:spacing w:before="360" w:after="120" w:line="240" w:lineRule="auto"/>
        <w:rPr>
          <w:rFonts w:ascii="Franklin Gothic Book" w:hAnsi="Franklin Gothic Book"/>
          <w:color w:val="4BACC6" w:themeColor="accent5"/>
          <w:sz w:val="24"/>
          <w:szCs w:val="22"/>
        </w:rPr>
      </w:pPr>
      <w:r w:rsidRPr="00552ABD">
        <w:rPr>
          <w:rFonts w:ascii="Franklin Gothic Book" w:hAnsi="Franklin Gothic Book"/>
          <w:color w:val="4BACC6" w:themeColor="accent5"/>
          <w:sz w:val="24"/>
          <w:szCs w:val="22"/>
        </w:rPr>
        <w:t>Australian Aid Program priorities</w:t>
      </w:r>
    </w:p>
    <w:p w:rsidR="00C062F2" w:rsidRDefault="0091721B" w:rsidP="00D840A2">
      <w:pPr>
        <w:pStyle w:val="BodyText"/>
        <w:spacing w:after="120"/>
        <w:jc w:val="both"/>
        <w:rPr>
          <w:rFonts w:ascii="Franklin Gothic Book" w:eastAsiaTheme="minorEastAsia" w:hAnsi="Franklin Gothic Book" w:cstheme="minorBidi"/>
          <w:sz w:val="22"/>
          <w:szCs w:val="22"/>
        </w:rPr>
      </w:pPr>
      <w:r>
        <w:rPr>
          <w:rFonts w:ascii="Franklin Gothic Book" w:eastAsiaTheme="minorEastAsia" w:hAnsi="Franklin Gothic Book" w:cstheme="minorBidi"/>
          <w:sz w:val="22"/>
          <w:szCs w:val="22"/>
        </w:rPr>
        <w:t xml:space="preserve">After two decades of strong economic growth and reforms, Vietnam has become a lower middle-income country. More than 35 million people have </w:t>
      </w:r>
      <w:r w:rsidR="006B0723">
        <w:rPr>
          <w:rFonts w:ascii="Franklin Gothic Book" w:eastAsiaTheme="minorEastAsia" w:hAnsi="Franklin Gothic Book" w:cstheme="minorBidi"/>
          <w:sz w:val="22"/>
          <w:szCs w:val="22"/>
        </w:rPr>
        <w:t xml:space="preserve">been </w:t>
      </w:r>
      <w:r>
        <w:rPr>
          <w:rFonts w:ascii="Franklin Gothic Book" w:eastAsiaTheme="minorEastAsia" w:hAnsi="Franklin Gothic Book" w:cstheme="minorBidi"/>
          <w:sz w:val="22"/>
          <w:szCs w:val="22"/>
        </w:rPr>
        <w:t xml:space="preserve">lifted out of poverty since </w:t>
      </w:r>
      <w:r w:rsidR="006B0723">
        <w:rPr>
          <w:rFonts w:ascii="Franklin Gothic Book" w:eastAsiaTheme="minorEastAsia" w:hAnsi="Franklin Gothic Book" w:cstheme="minorBidi"/>
          <w:sz w:val="22"/>
          <w:szCs w:val="22"/>
        </w:rPr>
        <w:t xml:space="preserve">the </w:t>
      </w:r>
      <w:r>
        <w:rPr>
          <w:rFonts w:ascii="Franklin Gothic Book" w:eastAsiaTheme="minorEastAsia" w:hAnsi="Franklin Gothic Book" w:cstheme="minorBidi"/>
          <w:sz w:val="22"/>
          <w:szCs w:val="22"/>
        </w:rPr>
        <w:t xml:space="preserve">1990s. Vietnam has achieved five </w:t>
      </w:r>
      <w:r w:rsidR="006B0723">
        <w:rPr>
          <w:rFonts w:ascii="Franklin Gothic Book" w:eastAsiaTheme="minorEastAsia" w:hAnsi="Franklin Gothic Book" w:cstheme="minorBidi"/>
          <w:sz w:val="22"/>
          <w:szCs w:val="22"/>
        </w:rPr>
        <w:t>Millennium</w:t>
      </w:r>
      <w:r>
        <w:rPr>
          <w:rFonts w:ascii="Franklin Gothic Book" w:eastAsiaTheme="minorEastAsia" w:hAnsi="Franklin Gothic Book" w:cstheme="minorBidi"/>
          <w:sz w:val="22"/>
          <w:szCs w:val="22"/>
        </w:rPr>
        <w:t xml:space="preserve"> Development Goal (MDG) targets and is likely to meet two more in 2015. Despite </w:t>
      </w:r>
      <w:r w:rsidR="006B0723">
        <w:rPr>
          <w:rFonts w:ascii="Franklin Gothic Book" w:eastAsiaTheme="minorEastAsia" w:hAnsi="Franklin Gothic Book" w:cstheme="minorBidi"/>
          <w:sz w:val="22"/>
          <w:szCs w:val="22"/>
        </w:rPr>
        <w:t>this</w:t>
      </w:r>
      <w:r>
        <w:rPr>
          <w:rFonts w:ascii="Franklin Gothic Book" w:eastAsiaTheme="minorEastAsia" w:hAnsi="Franklin Gothic Book" w:cstheme="minorBidi"/>
          <w:sz w:val="22"/>
          <w:szCs w:val="22"/>
        </w:rPr>
        <w:t xml:space="preserve"> achievement, there are growing concerns about the economy’s competitiveness and sustainability. Infrastructure gaps, weak labour skills and inefficiency in government systems contribute to high costs of </w:t>
      </w:r>
      <w:r w:rsidR="006B0723">
        <w:rPr>
          <w:rFonts w:ascii="Franklin Gothic Book" w:eastAsiaTheme="minorEastAsia" w:hAnsi="Franklin Gothic Book" w:cstheme="minorBidi"/>
          <w:sz w:val="22"/>
          <w:szCs w:val="22"/>
        </w:rPr>
        <w:t xml:space="preserve">basic service delivery and </w:t>
      </w:r>
      <w:r>
        <w:rPr>
          <w:rFonts w:ascii="Franklin Gothic Book" w:eastAsiaTheme="minorEastAsia" w:hAnsi="Franklin Gothic Book" w:cstheme="minorBidi"/>
          <w:sz w:val="22"/>
          <w:szCs w:val="22"/>
        </w:rPr>
        <w:t>doing business. Poverty rate</w:t>
      </w:r>
      <w:r w:rsidR="006B0723">
        <w:rPr>
          <w:rFonts w:ascii="Franklin Gothic Book" w:eastAsiaTheme="minorEastAsia" w:hAnsi="Franklin Gothic Book" w:cstheme="minorBidi"/>
          <w:sz w:val="22"/>
          <w:szCs w:val="22"/>
        </w:rPr>
        <w:t>s</w:t>
      </w:r>
      <w:r>
        <w:rPr>
          <w:rFonts w:ascii="Franklin Gothic Book" w:eastAsiaTheme="minorEastAsia" w:hAnsi="Franklin Gothic Book" w:cstheme="minorBidi"/>
          <w:sz w:val="22"/>
          <w:szCs w:val="22"/>
        </w:rPr>
        <w:t xml:space="preserve"> are persistently highest in rural areas, which are disconnected from the main growth</w:t>
      </w:r>
      <w:r w:rsidR="006B0723">
        <w:rPr>
          <w:rFonts w:ascii="Franklin Gothic Book" w:eastAsiaTheme="minorEastAsia" w:hAnsi="Franklin Gothic Book" w:cstheme="minorBidi"/>
          <w:sz w:val="22"/>
          <w:szCs w:val="22"/>
        </w:rPr>
        <w:t xml:space="preserve"> in urban areas</w:t>
      </w:r>
      <w:r w:rsidR="00C062F2" w:rsidRPr="00E5626A">
        <w:rPr>
          <w:rFonts w:ascii="Franklin Gothic Book" w:eastAsiaTheme="minorEastAsia" w:hAnsi="Franklin Gothic Book" w:cstheme="minorBidi"/>
          <w:sz w:val="22"/>
          <w:szCs w:val="22"/>
        </w:rPr>
        <w:t xml:space="preserve">. </w:t>
      </w:r>
      <w:r w:rsidR="00C062F2" w:rsidRPr="00C062F2">
        <w:rPr>
          <w:rFonts w:ascii="Franklin Gothic Book" w:eastAsiaTheme="minorEastAsia" w:hAnsi="Franklin Gothic Book" w:cstheme="minorBidi"/>
          <w:sz w:val="22"/>
          <w:szCs w:val="22"/>
        </w:rPr>
        <w:t>Vietnam still has many tasks ahead in fighting against poverty re</w:t>
      </w:r>
      <w:r w:rsidR="00B001A6">
        <w:rPr>
          <w:rFonts w:ascii="Franklin Gothic Book" w:eastAsiaTheme="minorEastAsia" w:hAnsi="Franklin Gothic Book" w:cstheme="minorBidi"/>
          <w:sz w:val="22"/>
          <w:szCs w:val="22"/>
        </w:rPr>
        <w:t xml:space="preserve">duction </w:t>
      </w:r>
      <w:r w:rsidR="00C062F2" w:rsidRPr="00C062F2">
        <w:rPr>
          <w:rFonts w:ascii="Franklin Gothic Book" w:eastAsiaTheme="minorEastAsia" w:hAnsi="Franklin Gothic Book" w:cstheme="minorBidi"/>
          <w:sz w:val="22"/>
          <w:szCs w:val="22"/>
        </w:rPr>
        <w:t xml:space="preserve">particularly for vulnerable groups such as </w:t>
      </w:r>
      <w:hyperlink r:id="rId9" w:tooltip="Minority group" w:history="1">
        <w:r w:rsidR="00C062F2" w:rsidRPr="00C062F2">
          <w:rPr>
            <w:rFonts w:ascii="Franklin Gothic Book" w:eastAsiaTheme="minorEastAsia" w:hAnsi="Franklin Gothic Book" w:cstheme="minorBidi"/>
            <w:sz w:val="22"/>
            <w:szCs w:val="22"/>
          </w:rPr>
          <w:t>ethnic minorities</w:t>
        </w:r>
      </w:hyperlink>
      <w:r w:rsidR="00C062F2" w:rsidRPr="00C062F2">
        <w:rPr>
          <w:rFonts w:ascii="Franklin Gothic Book" w:eastAsiaTheme="minorEastAsia" w:hAnsi="Franklin Gothic Book" w:cstheme="minorBidi"/>
          <w:sz w:val="22"/>
          <w:szCs w:val="22"/>
        </w:rPr>
        <w:t xml:space="preserve">, women and </w:t>
      </w:r>
      <w:r w:rsidR="006B0723">
        <w:rPr>
          <w:rFonts w:ascii="Franklin Gothic Book" w:eastAsiaTheme="minorEastAsia" w:hAnsi="Franklin Gothic Book" w:cstheme="minorBidi"/>
          <w:sz w:val="22"/>
          <w:szCs w:val="22"/>
        </w:rPr>
        <w:t>people with disability</w:t>
      </w:r>
      <w:r w:rsidR="00C062F2" w:rsidRPr="00C062F2">
        <w:rPr>
          <w:rFonts w:ascii="Franklin Gothic Book" w:eastAsiaTheme="minorEastAsia" w:hAnsi="Franklin Gothic Book" w:cstheme="minorBidi"/>
          <w:sz w:val="22"/>
          <w:szCs w:val="22"/>
        </w:rPr>
        <w:t>.</w:t>
      </w:r>
    </w:p>
    <w:p w:rsidR="00D6276A" w:rsidRPr="00FA521C" w:rsidRDefault="00D6276A" w:rsidP="00D6276A">
      <w:pPr>
        <w:spacing w:before="120" w:after="120"/>
      </w:pPr>
      <w:r w:rsidRPr="00FA521C">
        <w:t xml:space="preserve">AVID will continue to contribute to Australia’s development and public diplomacy goals in Vietnam.  </w:t>
      </w:r>
      <w:r w:rsidR="00E92299">
        <w:t xml:space="preserve">Post has developed a Strategy for its Human Resource Development support in Vietnam.  </w:t>
      </w:r>
      <w:r w:rsidRPr="00FA521C">
        <w:t xml:space="preserve">Australia will transition from one-off volunteer placements in a broad range of organisations in Vietnam, to a more strategic, long-term approach in targeted organisations, aligned strongly with </w:t>
      </w:r>
      <w:r>
        <w:t>Australia’s aid program</w:t>
      </w:r>
      <w:r w:rsidRPr="00FA521C">
        <w:t xml:space="preserve">.  Volunteer placements will continue to be demand-driven, and will be strongly guided and approved by the Australian Government, in line with the needs it identifies through its other investments and engagements.  </w:t>
      </w:r>
      <w:r>
        <w:t xml:space="preserve">Transition to the </w:t>
      </w:r>
      <w:r w:rsidR="00E92299">
        <w:t>S</w:t>
      </w:r>
      <w:r>
        <w:t>trategy approach will be managed carefully in collaboration with AVID implementing partners</w:t>
      </w:r>
      <w:r w:rsidR="00B958FA">
        <w:t xml:space="preserve"> and in consultation with Volunteers Section</w:t>
      </w:r>
      <w:r>
        <w:t xml:space="preserve">.  </w:t>
      </w:r>
    </w:p>
    <w:p w:rsidR="00D840A2" w:rsidRDefault="00B001A6" w:rsidP="00D840A2">
      <w:pPr>
        <w:pStyle w:val="BodyText"/>
        <w:tabs>
          <w:tab w:val="left" w:pos="426"/>
        </w:tabs>
        <w:jc w:val="both"/>
        <w:rPr>
          <w:rFonts w:ascii="Franklin Gothic Book" w:eastAsiaTheme="minorEastAsia" w:hAnsi="Franklin Gothic Book" w:cstheme="minorBidi"/>
          <w:sz w:val="22"/>
          <w:szCs w:val="22"/>
        </w:rPr>
      </w:pPr>
      <w:r>
        <w:rPr>
          <w:rFonts w:ascii="Franklin Gothic Book" w:eastAsiaTheme="minorEastAsia" w:hAnsi="Franklin Gothic Book" w:cstheme="minorBidi"/>
          <w:sz w:val="22"/>
          <w:szCs w:val="22"/>
        </w:rPr>
        <w:t>The three key priorities under the Australia–</w:t>
      </w:r>
      <w:r w:rsidRPr="00B001A6">
        <w:rPr>
          <w:rFonts w:ascii="Franklin Gothic Book" w:eastAsiaTheme="minorEastAsia" w:hAnsi="Franklin Gothic Book" w:cstheme="minorBidi"/>
          <w:sz w:val="22"/>
          <w:szCs w:val="22"/>
        </w:rPr>
        <w:t>Vietnam Joint Aid Program Strategy 2010- 2015</w:t>
      </w:r>
      <w:r>
        <w:rPr>
          <w:rFonts w:ascii="Franklin Gothic Book" w:eastAsiaTheme="minorEastAsia" w:hAnsi="Franklin Gothic Book" w:cstheme="minorBidi"/>
          <w:sz w:val="22"/>
          <w:szCs w:val="22"/>
        </w:rPr>
        <w:t xml:space="preserve"> are: </w:t>
      </w:r>
    </w:p>
    <w:p w:rsidR="00D840A2" w:rsidRDefault="003935C2" w:rsidP="00D840A2">
      <w:pPr>
        <w:pStyle w:val="BodyText"/>
        <w:numPr>
          <w:ilvl w:val="0"/>
          <w:numId w:val="12"/>
        </w:numPr>
        <w:tabs>
          <w:tab w:val="left" w:pos="426"/>
        </w:tabs>
        <w:jc w:val="both"/>
        <w:rPr>
          <w:rFonts w:ascii="Franklin Gothic Book" w:eastAsiaTheme="minorEastAsia" w:hAnsi="Franklin Gothic Book" w:cstheme="minorBidi"/>
          <w:sz w:val="22"/>
          <w:szCs w:val="22"/>
        </w:rPr>
      </w:pPr>
      <w:r>
        <w:rPr>
          <w:rFonts w:ascii="Franklin Gothic Book" w:eastAsiaTheme="minorEastAsia" w:hAnsi="Franklin Gothic Book" w:cstheme="minorBidi"/>
          <w:sz w:val="22"/>
          <w:szCs w:val="22"/>
        </w:rPr>
        <w:t xml:space="preserve">Human </w:t>
      </w:r>
      <w:r w:rsidR="00B001A6">
        <w:rPr>
          <w:rFonts w:ascii="Franklin Gothic Book" w:eastAsiaTheme="minorEastAsia" w:hAnsi="Franklin Gothic Book" w:cstheme="minorBidi"/>
          <w:sz w:val="22"/>
          <w:szCs w:val="22"/>
        </w:rPr>
        <w:t>resource development</w:t>
      </w:r>
    </w:p>
    <w:p w:rsidR="00D840A2" w:rsidRPr="001A3C6B" w:rsidRDefault="003935C2" w:rsidP="00D840A2">
      <w:pPr>
        <w:pStyle w:val="BodyText"/>
        <w:numPr>
          <w:ilvl w:val="0"/>
          <w:numId w:val="12"/>
        </w:numPr>
        <w:tabs>
          <w:tab w:val="left" w:pos="426"/>
        </w:tabs>
        <w:jc w:val="both"/>
        <w:rPr>
          <w:rFonts w:ascii="Franklin Gothic Book" w:eastAsiaTheme="minorEastAsia" w:hAnsi="Franklin Gothic Book" w:cstheme="minorBidi"/>
          <w:sz w:val="22"/>
          <w:szCs w:val="22"/>
        </w:rPr>
      </w:pPr>
      <w:r w:rsidRPr="001A3C6B">
        <w:rPr>
          <w:rFonts w:ascii="Franklin Gothic Book" w:eastAsiaTheme="minorEastAsia" w:hAnsi="Franklin Gothic Book" w:cstheme="minorBidi"/>
          <w:sz w:val="22"/>
          <w:szCs w:val="22"/>
        </w:rPr>
        <w:t xml:space="preserve">Economic </w:t>
      </w:r>
      <w:r w:rsidR="00B001A6" w:rsidRPr="001A3C6B">
        <w:rPr>
          <w:rFonts w:ascii="Franklin Gothic Book" w:eastAsiaTheme="minorEastAsia" w:hAnsi="Franklin Gothic Book" w:cstheme="minorBidi"/>
          <w:sz w:val="22"/>
          <w:szCs w:val="22"/>
        </w:rPr>
        <w:t xml:space="preserve">integration </w:t>
      </w:r>
      <w:r w:rsidR="001A3C6B" w:rsidRPr="001A3C6B">
        <w:rPr>
          <w:rFonts w:ascii="Franklin Gothic Book" w:hAnsi="Franklin Gothic Book"/>
          <w:bCs/>
          <w:sz w:val="22"/>
          <w:szCs w:val="22"/>
        </w:rPr>
        <w:t>(including infrastructure)</w:t>
      </w:r>
    </w:p>
    <w:p w:rsidR="00B001A6" w:rsidRPr="001A3C6B" w:rsidRDefault="003935C2" w:rsidP="003935C2">
      <w:pPr>
        <w:pStyle w:val="BodyText"/>
        <w:numPr>
          <w:ilvl w:val="0"/>
          <w:numId w:val="12"/>
        </w:numPr>
        <w:tabs>
          <w:tab w:val="left" w:pos="426"/>
        </w:tabs>
        <w:spacing w:after="240"/>
        <w:ind w:left="714" w:hanging="357"/>
        <w:jc w:val="both"/>
        <w:rPr>
          <w:rFonts w:ascii="Franklin Gothic Book" w:eastAsiaTheme="minorEastAsia" w:hAnsi="Franklin Gothic Book" w:cstheme="minorBidi"/>
          <w:sz w:val="22"/>
          <w:szCs w:val="22"/>
        </w:rPr>
      </w:pPr>
      <w:r w:rsidRPr="001A3C6B">
        <w:rPr>
          <w:rFonts w:ascii="Franklin Gothic Book" w:eastAsiaTheme="minorEastAsia" w:hAnsi="Franklin Gothic Book" w:cstheme="minorBidi"/>
          <w:sz w:val="22"/>
          <w:szCs w:val="22"/>
        </w:rPr>
        <w:t xml:space="preserve">Environmental </w:t>
      </w:r>
      <w:r w:rsidR="00B001A6" w:rsidRPr="001A3C6B">
        <w:rPr>
          <w:rFonts w:ascii="Franklin Gothic Book" w:eastAsiaTheme="minorEastAsia" w:hAnsi="Franklin Gothic Book" w:cstheme="minorBidi"/>
          <w:sz w:val="22"/>
          <w:szCs w:val="22"/>
        </w:rPr>
        <w:t>sustainability</w:t>
      </w:r>
      <w:r w:rsidR="001A3C6B" w:rsidRPr="001A3C6B">
        <w:rPr>
          <w:rFonts w:ascii="Franklin Gothic Book" w:eastAsiaTheme="minorEastAsia" w:hAnsi="Franklin Gothic Book" w:cstheme="minorBidi"/>
          <w:sz w:val="22"/>
          <w:szCs w:val="22"/>
        </w:rPr>
        <w:t xml:space="preserve"> </w:t>
      </w:r>
      <w:r w:rsidR="001A3C6B" w:rsidRPr="001A3C6B">
        <w:rPr>
          <w:rFonts w:ascii="Franklin Gothic Book" w:hAnsi="Franklin Gothic Book"/>
          <w:bCs/>
          <w:sz w:val="22"/>
          <w:szCs w:val="22"/>
        </w:rPr>
        <w:t>(including climate change and water and sanitation).</w:t>
      </w:r>
    </w:p>
    <w:p w:rsidR="006B0723" w:rsidRPr="001A3C6B" w:rsidRDefault="0091721B" w:rsidP="007704BF">
      <w:pPr>
        <w:pStyle w:val="BodyText"/>
        <w:tabs>
          <w:tab w:val="left" w:pos="426"/>
        </w:tabs>
        <w:spacing w:after="240"/>
        <w:jc w:val="both"/>
        <w:rPr>
          <w:rFonts w:ascii="Franklin Gothic Book" w:eastAsiaTheme="minorEastAsia" w:hAnsi="Franklin Gothic Book" w:cstheme="minorBidi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lastRenderedPageBreak/>
        <w:t xml:space="preserve">DFAT </w:t>
      </w:r>
      <w:r w:rsidR="001A3C6B" w:rsidRPr="001A3C6B">
        <w:rPr>
          <w:rFonts w:ascii="Franklin Gothic Book" w:hAnsi="Franklin Gothic Book"/>
          <w:sz w:val="22"/>
          <w:szCs w:val="22"/>
        </w:rPr>
        <w:t xml:space="preserve">continues to prioritise support for gender equality, disability, human rights, and </w:t>
      </w:r>
      <w:r w:rsidR="007704BF" w:rsidRPr="001A3C6B">
        <w:rPr>
          <w:rFonts w:ascii="Franklin Gothic Book" w:hAnsi="Franklin Gothic Book"/>
          <w:sz w:val="22"/>
          <w:szCs w:val="22"/>
        </w:rPr>
        <w:t>HIV/AIDS</w:t>
      </w:r>
      <w:r w:rsidR="001A3C6B">
        <w:rPr>
          <w:rFonts w:ascii="Franklin Gothic Book" w:hAnsi="Franklin Gothic Book"/>
          <w:sz w:val="22"/>
          <w:szCs w:val="22"/>
        </w:rPr>
        <w:t xml:space="preserve"> in Vietnam.</w:t>
      </w:r>
    </w:p>
    <w:p w:rsidR="00C062F2" w:rsidRPr="00C062F2" w:rsidRDefault="00205899" w:rsidP="00C062F2">
      <w:pPr>
        <w:pStyle w:val="Heading2"/>
        <w:spacing w:before="0" w:after="120" w:line="240" w:lineRule="auto"/>
        <w:rPr>
          <w:rFonts w:ascii="Franklin Gothic Book" w:hAnsi="Franklin Gothic Book"/>
          <w:color w:val="4BACC6" w:themeColor="accent5"/>
          <w:sz w:val="24"/>
          <w:szCs w:val="22"/>
        </w:rPr>
      </w:pPr>
      <w:r w:rsidRPr="00552ABD">
        <w:rPr>
          <w:rFonts w:ascii="Franklin Gothic Book" w:hAnsi="Franklin Gothic Book"/>
          <w:color w:val="4BACC6" w:themeColor="accent5"/>
          <w:sz w:val="24"/>
          <w:szCs w:val="22"/>
        </w:rPr>
        <w:t>AVID Program priorities</w:t>
      </w:r>
    </w:p>
    <w:p w:rsidR="00665406" w:rsidRDefault="00EC52F5" w:rsidP="00D840A2">
      <w:pPr>
        <w:spacing w:after="120" w:line="240" w:lineRule="auto"/>
        <w:jc w:val="both"/>
        <w:rPr>
          <w:rFonts w:ascii="Franklin Gothic Book" w:hAnsi="Franklin Gothic Book"/>
        </w:rPr>
      </w:pPr>
      <w:r w:rsidRPr="00362071">
        <w:rPr>
          <w:rFonts w:ascii="Franklin Gothic Book" w:hAnsi="Franklin Gothic Book"/>
        </w:rPr>
        <w:t>The AVID Program is closely</w:t>
      </w:r>
      <w:r w:rsidR="007B41E7" w:rsidRPr="00362071">
        <w:rPr>
          <w:rFonts w:ascii="Franklin Gothic Book" w:hAnsi="Franklin Gothic Book"/>
        </w:rPr>
        <w:t xml:space="preserve"> aligned with </w:t>
      </w:r>
      <w:r w:rsidR="00B001A6" w:rsidRPr="00362071">
        <w:rPr>
          <w:rFonts w:ascii="Franklin Gothic Book" w:hAnsi="Franklin Gothic Book"/>
        </w:rPr>
        <w:t>the above priorities</w:t>
      </w:r>
      <w:r w:rsidR="00515411" w:rsidRPr="00362071">
        <w:rPr>
          <w:rFonts w:ascii="Franklin Gothic Book" w:hAnsi="Franklin Gothic Book"/>
        </w:rPr>
        <w:t>.  Current volunteer assignments can be divided as follows:</w:t>
      </w:r>
      <w:r w:rsidR="00515411">
        <w:rPr>
          <w:rFonts w:ascii="Franklin Gothic Book" w:hAnsi="Franklin Gothic Book"/>
        </w:rPr>
        <w:t xml:space="preserve"> </w:t>
      </w:r>
    </w:p>
    <w:p w:rsidR="00604322" w:rsidRDefault="00604322" w:rsidP="00604322">
      <w:pPr>
        <w:pStyle w:val="BodyText"/>
        <w:tabs>
          <w:tab w:val="left" w:pos="426"/>
          <w:tab w:val="left" w:pos="4536"/>
        </w:tabs>
        <w:ind w:left="360" w:firstLine="349"/>
        <w:jc w:val="both"/>
        <w:rPr>
          <w:rFonts w:ascii="Franklin Gothic Book" w:eastAsiaTheme="minorEastAsia" w:hAnsi="Franklin Gothic Book" w:cstheme="minorBidi"/>
          <w:sz w:val="22"/>
          <w:szCs w:val="22"/>
        </w:rPr>
      </w:pPr>
      <w:r w:rsidRPr="00604322">
        <w:rPr>
          <w:rFonts w:ascii="Franklin Gothic Book" w:eastAsiaTheme="minorEastAsia" w:hAnsi="Franklin Gothic Book" w:cstheme="minorBidi"/>
          <w:sz w:val="22"/>
          <w:szCs w:val="22"/>
        </w:rPr>
        <w:t>Climate change</w:t>
      </w:r>
      <w:r>
        <w:rPr>
          <w:rFonts w:ascii="Franklin Gothic Book" w:eastAsiaTheme="minorEastAsia" w:hAnsi="Franklin Gothic Book" w:cstheme="minorBidi"/>
          <w:sz w:val="22"/>
          <w:szCs w:val="22"/>
        </w:rPr>
        <w:tab/>
      </w:r>
      <w:r w:rsidR="00362071">
        <w:rPr>
          <w:rFonts w:ascii="Franklin Gothic Book" w:eastAsiaTheme="minorEastAsia" w:hAnsi="Franklin Gothic Book" w:cstheme="minorBidi"/>
          <w:sz w:val="22"/>
          <w:szCs w:val="22"/>
        </w:rPr>
        <w:t>24</w:t>
      </w:r>
      <w:r w:rsidRPr="00604322">
        <w:rPr>
          <w:rFonts w:ascii="Franklin Gothic Book" w:eastAsiaTheme="minorEastAsia" w:hAnsi="Franklin Gothic Book" w:cstheme="minorBidi"/>
          <w:sz w:val="22"/>
          <w:szCs w:val="22"/>
        </w:rPr>
        <w:t>%</w:t>
      </w:r>
    </w:p>
    <w:p w:rsidR="001A3C6B" w:rsidRPr="00604322" w:rsidRDefault="0003342D" w:rsidP="00604322">
      <w:pPr>
        <w:pStyle w:val="BodyText"/>
        <w:tabs>
          <w:tab w:val="left" w:pos="426"/>
          <w:tab w:val="left" w:pos="4536"/>
        </w:tabs>
        <w:ind w:left="360" w:firstLine="349"/>
        <w:jc w:val="both"/>
        <w:rPr>
          <w:rFonts w:ascii="Franklin Gothic Book" w:eastAsiaTheme="minorEastAsia" w:hAnsi="Franklin Gothic Book" w:cstheme="minorBidi"/>
          <w:sz w:val="22"/>
          <w:szCs w:val="22"/>
        </w:rPr>
      </w:pPr>
      <w:r w:rsidRPr="00604322">
        <w:rPr>
          <w:rFonts w:ascii="Franklin Gothic Book" w:eastAsiaTheme="minorEastAsia" w:hAnsi="Franklin Gothic Book" w:cstheme="minorBidi"/>
          <w:sz w:val="22"/>
          <w:szCs w:val="22"/>
        </w:rPr>
        <w:t>Health</w:t>
      </w:r>
      <w:r w:rsidR="00604322">
        <w:rPr>
          <w:rFonts w:ascii="Franklin Gothic Book" w:eastAsiaTheme="minorEastAsia" w:hAnsi="Franklin Gothic Book" w:cstheme="minorBidi"/>
          <w:sz w:val="22"/>
          <w:szCs w:val="22"/>
        </w:rPr>
        <w:tab/>
      </w:r>
      <w:r w:rsidR="00362071">
        <w:rPr>
          <w:rFonts w:ascii="Franklin Gothic Book" w:eastAsiaTheme="minorEastAsia" w:hAnsi="Franklin Gothic Book" w:cstheme="minorBidi"/>
          <w:sz w:val="22"/>
          <w:szCs w:val="22"/>
        </w:rPr>
        <w:t>20</w:t>
      </w:r>
      <w:r w:rsidRPr="00604322">
        <w:rPr>
          <w:rFonts w:ascii="Franklin Gothic Book" w:eastAsiaTheme="minorEastAsia" w:hAnsi="Franklin Gothic Book" w:cstheme="minorBidi"/>
          <w:sz w:val="22"/>
          <w:szCs w:val="22"/>
        </w:rPr>
        <w:t>%</w:t>
      </w:r>
    </w:p>
    <w:p w:rsidR="00604322" w:rsidRDefault="00604322" w:rsidP="00604322">
      <w:pPr>
        <w:pStyle w:val="BodyText"/>
        <w:tabs>
          <w:tab w:val="left" w:pos="426"/>
          <w:tab w:val="left" w:pos="4536"/>
        </w:tabs>
        <w:ind w:left="360" w:firstLine="349"/>
        <w:jc w:val="both"/>
        <w:rPr>
          <w:rFonts w:ascii="Franklin Gothic Book" w:eastAsiaTheme="minorEastAsia" w:hAnsi="Franklin Gothic Book" w:cstheme="minorBidi"/>
          <w:sz w:val="22"/>
          <w:szCs w:val="22"/>
        </w:rPr>
      </w:pPr>
      <w:r w:rsidRPr="00604322">
        <w:rPr>
          <w:rFonts w:ascii="Franklin Gothic Book" w:eastAsiaTheme="minorEastAsia" w:hAnsi="Franklin Gothic Book" w:cstheme="minorBidi"/>
          <w:sz w:val="22"/>
          <w:szCs w:val="22"/>
        </w:rPr>
        <w:t xml:space="preserve">Economic </w:t>
      </w:r>
      <w:r w:rsidR="006B0723">
        <w:rPr>
          <w:rFonts w:ascii="Franklin Gothic Book" w:eastAsiaTheme="minorEastAsia" w:hAnsi="Franklin Gothic Book" w:cstheme="minorBidi"/>
          <w:sz w:val="22"/>
          <w:szCs w:val="22"/>
        </w:rPr>
        <w:t>i</w:t>
      </w:r>
      <w:r w:rsidRPr="00604322">
        <w:rPr>
          <w:rFonts w:ascii="Franklin Gothic Book" w:eastAsiaTheme="minorEastAsia" w:hAnsi="Franklin Gothic Book" w:cstheme="minorBidi"/>
          <w:sz w:val="22"/>
          <w:szCs w:val="22"/>
        </w:rPr>
        <w:t>ntegration</w:t>
      </w:r>
      <w:r>
        <w:rPr>
          <w:rFonts w:ascii="Franklin Gothic Book" w:eastAsiaTheme="minorEastAsia" w:hAnsi="Franklin Gothic Book" w:cstheme="minorBidi"/>
          <w:sz w:val="22"/>
          <w:szCs w:val="22"/>
        </w:rPr>
        <w:tab/>
      </w:r>
      <w:r w:rsidR="00362071">
        <w:rPr>
          <w:rFonts w:ascii="Franklin Gothic Book" w:eastAsiaTheme="minorEastAsia" w:hAnsi="Franklin Gothic Book" w:cstheme="minorBidi"/>
          <w:sz w:val="22"/>
          <w:szCs w:val="22"/>
        </w:rPr>
        <w:t>20</w:t>
      </w:r>
      <w:r w:rsidRPr="00604322">
        <w:rPr>
          <w:rFonts w:ascii="Franklin Gothic Book" w:eastAsiaTheme="minorEastAsia" w:hAnsi="Franklin Gothic Book" w:cstheme="minorBidi"/>
          <w:sz w:val="22"/>
          <w:szCs w:val="22"/>
        </w:rPr>
        <w:t>%</w:t>
      </w:r>
    </w:p>
    <w:p w:rsidR="0091721B" w:rsidRDefault="0091721B" w:rsidP="00604322">
      <w:pPr>
        <w:pStyle w:val="BodyText"/>
        <w:tabs>
          <w:tab w:val="left" w:pos="426"/>
          <w:tab w:val="left" w:pos="4536"/>
        </w:tabs>
        <w:ind w:left="360" w:firstLine="349"/>
        <w:jc w:val="both"/>
        <w:rPr>
          <w:rFonts w:ascii="Franklin Gothic Book" w:eastAsiaTheme="minorEastAsia" w:hAnsi="Franklin Gothic Book" w:cstheme="minorBidi"/>
          <w:sz w:val="22"/>
          <w:szCs w:val="22"/>
        </w:rPr>
      </w:pPr>
      <w:r>
        <w:rPr>
          <w:rFonts w:ascii="Franklin Gothic Book" w:eastAsiaTheme="minorEastAsia" w:hAnsi="Franklin Gothic Book" w:cstheme="minorBidi"/>
          <w:sz w:val="22"/>
          <w:szCs w:val="22"/>
        </w:rPr>
        <w:t>Governance</w:t>
      </w:r>
      <w:r>
        <w:rPr>
          <w:rFonts w:ascii="Franklin Gothic Book" w:eastAsiaTheme="minorEastAsia" w:hAnsi="Franklin Gothic Book" w:cstheme="minorBidi"/>
          <w:sz w:val="22"/>
          <w:szCs w:val="22"/>
        </w:rPr>
        <w:tab/>
        <w:t>18%</w:t>
      </w:r>
    </w:p>
    <w:p w:rsidR="0091721B" w:rsidRPr="00604322" w:rsidRDefault="0091721B" w:rsidP="00604322">
      <w:pPr>
        <w:pStyle w:val="BodyText"/>
        <w:tabs>
          <w:tab w:val="left" w:pos="426"/>
          <w:tab w:val="left" w:pos="4536"/>
        </w:tabs>
        <w:ind w:left="360" w:firstLine="349"/>
        <w:jc w:val="both"/>
        <w:rPr>
          <w:rFonts w:ascii="Franklin Gothic Book" w:eastAsiaTheme="minorEastAsia" w:hAnsi="Franklin Gothic Book" w:cstheme="minorBidi"/>
          <w:sz w:val="22"/>
          <w:szCs w:val="22"/>
        </w:rPr>
      </w:pPr>
      <w:r>
        <w:rPr>
          <w:rFonts w:ascii="Franklin Gothic Book" w:eastAsiaTheme="minorEastAsia" w:hAnsi="Franklin Gothic Book" w:cstheme="minorBidi"/>
          <w:sz w:val="22"/>
          <w:szCs w:val="22"/>
        </w:rPr>
        <w:t>Education</w:t>
      </w:r>
      <w:r>
        <w:rPr>
          <w:rFonts w:ascii="Franklin Gothic Book" w:eastAsiaTheme="minorEastAsia" w:hAnsi="Franklin Gothic Book" w:cstheme="minorBidi"/>
          <w:sz w:val="22"/>
          <w:szCs w:val="22"/>
        </w:rPr>
        <w:tab/>
        <w:t>14%</w:t>
      </w:r>
    </w:p>
    <w:p w:rsidR="00604322" w:rsidRPr="00604322" w:rsidRDefault="00604322" w:rsidP="00604322">
      <w:pPr>
        <w:pStyle w:val="BodyText"/>
        <w:tabs>
          <w:tab w:val="left" w:pos="4536"/>
        </w:tabs>
        <w:spacing w:before="0"/>
        <w:ind w:left="360" w:firstLine="349"/>
        <w:jc w:val="both"/>
        <w:rPr>
          <w:rFonts w:ascii="Franklin Gothic Book" w:eastAsiaTheme="minorEastAsia" w:hAnsi="Franklin Gothic Book" w:cstheme="minorBidi"/>
          <w:sz w:val="22"/>
          <w:szCs w:val="22"/>
        </w:rPr>
      </w:pPr>
      <w:r w:rsidRPr="00604322">
        <w:rPr>
          <w:rFonts w:ascii="Franklin Gothic Book" w:eastAsiaTheme="minorEastAsia" w:hAnsi="Franklin Gothic Book" w:cstheme="minorBidi"/>
          <w:sz w:val="22"/>
          <w:szCs w:val="22"/>
        </w:rPr>
        <w:t>Agricultural research</w:t>
      </w:r>
      <w:r>
        <w:rPr>
          <w:rFonts w:ascii="Franklin Gothic Book" w:eastAsiaTheme="minorEastAsia" w:hAnsi="Franklin Gothic Book" w:cstheme="minorBidi"/>
          <w:sz w:val="22"/>
          <w:szCs w:val="22"/>
        </w:rPr>
        <w:tab/>
      </w:r>
      <w:r w:rsidR="00362071">
        <w:rPr>
          <w:rFonts w:ascii="Franklin Gothic Book" w:eastAsiaTheme="minorEastAsia" w:hAnsi="Franklin Gothic Book" w:cstheme="minorBidi"/>
          <w:sz w:val="22"/>
          <w:szCs w:val="22"/>
        </w:rPr>
        <w:t>3</w:t>
      </w:r>
      <w:r w:rsidRPr="00604322">
        <w:rPr>
          <w:rFonts w:ascii="Franklin Gothic Book" w:eastAsiaTheme="minorEastAsia" w:hAnsi="Franklin Gothic Book" w:cstheme="minorBidi"/>
          <w:sz w:val="22"/>
          <w:szCs w:val="22"/>
        </w:rPr>
        <w:t>%</w:t>
      </w:r>
    </w:p>
    <w:p w:rsidR="00604322" w:rsidRPr="00604322" w:rsidRDefault="00604322" w:rsidP="00604322">
      <w:pPr>
        <w:pStyle w:val="BodyText"/>
        <w:tabs>
          <w:tab w:val="left" w:pos="4536"/>
        </w:tabs>
        <w:spacing w:before="0"/>
        <w:ind w:left="360" w:firstLine="349"/>
        <w:jc w:val="both"/>
        <w:rPr>
          <w:rFonts w:ascii="Franklin Gothic Book" w:eastAsiaTheme="minorEastAsia" w:hAnsi="Franklin Gothic Book" w:cstheme="minorBidi"/>
          <w:sz w:val="22"/>
          <w:szCs w:val="22"/>
        </w:rPr>
      </w:pPr>
      <w:r w:rsidRPr="00604322">
        <w:rPr>
          <w:rFonts w:ascii="Franklin Gothic Book" w:eastAsiaTheme="minorEastAsia" w:hAnsi="Franklin Gothic Book" w:cstheme="minorBidi"/>
          <w:sz w:val="22"/>
          <w:szCs w:val="22"/>
        </w:rPr>
        <w:t>Water and sanitation</w:t>
      </w:r>
      <w:r>
        <w:rPr>
          <w:rFonts w:ascii="Franklin Gothic Book" w:eastAsiaTheme="minorEastAsia" w:hAnsi="Franklin Gothic Book" w:cstheme="minorBidi"/>
          <w:sz w:val="22"/>
          <w:szCs w:val="22"/>
        </w:rPr>
        <w:tab/>
      </w:r>
      <w:r w:rsidR="00362071">
        <w:rPr>
          <w:rFonts w:ascii="Franklin Gothic Book" w:eastAsiaTheme="minorEastAsia" w:hAnsi="Franklin Gothic Book" w:cstheme="minorBidi"/>
          <w:sz w:val="22"/>
          <w:szCs w:val="22"/>
        </w:rPr>
        <w:t>1</w:t>
      </w:r>
      <w:r w:rsidRPr="00604322">
        <w:rPr>
          <w:rFonts w:ascii="Franklin Gothic Book" w:eastAsiaTheme="minorEastAsia" w:hAnsi="Franklin Gothic Book" w:cstheme="minorBidi"/>
          <w:sz w:val="22"/>
          <w:szCs w:val="22"/>
        </w:rPr>
        <w:t>%</w:t>
      </w:r>
    </w:p>
    <w:p w:rsidR="00665406" w:rsidRDefault="00515411" w:rsidP="00665406">
      <w:pPr>
        <w:spacing w:before="240" w:after="120" w:line="24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As the capacity of government institutions and provincial-based assignments to host effective volunteer </w:t>
      </w:r>
      <w:r w:rsidRPr="00362071">
        <w:rPr>
          <w:rFonts w:ascii="Franklin Gothic Book" w:hAnsi="Franklin Gothic Book"/>
        </w:rPr>
        <w:t>assignments increases</w:t>
      </w:r>
      <w:r w:rsidR="00665406" w:rsidRPr="00362071">
        <w:rPr>
          <w:rFonts w:ascii="Franklin Gothic Book" w:hAnsi="Franklin Gothic Book"/>
        </w:rPr>
        <w:t>,</w:t>
      </w:r>
      <w:r w:rsidRPr="00362071">
        <w:rPr>
          <w:rFonts w:ascii="Franklin Gothic Book" w:hAnsi="Franklin Gothic Book"/>
        </w:rPr>
        <w:t xml:space="preserve"> there continues to be a growing shift to these types of assignments.  The current breakdown of host organisations is:</w:t>
      </w:r>
      <w:r>
        <w:rPr>
          <w:rFonts w:ascii="Franklin Gothic Book" w:hAnsi="Franklin Gothic Book"/>
        </w:rPr>
        <w:t xml:space="preserve">  </w:t>
      </w:r>
    </w:p>
    <w:p w:rsidR="00665406" w:rsidRDefault="00665406" w:rsidP="00665406">
      <w:pPr>
        <w:tabs>
          <w:tab w:val="left" w:pos="4678"/>
        </w:tabs>
        <w:spacing w:before="120" w:after="0" w:line="240" w:lineRule="auto"/>
        <w:ind w:firstLine="72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Government agencies</w:t>
      </w:r>
      <w:r w:rsidR="00572803">
        <w:rPr>
          <w:rFonts w:ascii="Franklin Gothic Book" w:hAnsi="Franklin Gothic Book"/>
        </w:rPr>
        <w:tab/>
        <w:t>38%</w:t>
      </w:r>
    </w:p>
    <w:p w:rsidR="001A3C6B" w:rsidRDefault="001A3C6B" w:rsidP="00665406">
      <w:pPr>
        <w:tabs>
          <w:tab w:val="left" w:pos="4678"/>
        </w:tabs>
        <w:spacing w:before="120" w:after="0" w:line="240" w:lineRule="auto"/>
        <w:ind w:firstLine="72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INGOs and multilateral agencies (*)</w:t>
      </w:r>
      <w:r>
        <w:rPr>
          <w:rFonts w:ascii="Franklin Gothic Book" w:hAnsi="Franklin Gothic Book"/>
        </w:rPr>
        <w:tab/>
        <w:t>3</w:t>
      </w:r>
      <w:r w:rsidR="00362071">
        <w:rPr>
          <w:rFonts w:ascii="Franklin Gothic Book" w:hAnsi="Franklin Gothic Book"/>
        </w:rPr>
        <w:t>5</w:t>
      </w:r>
      <w:r>
        <w:rPr>
          <w:rFonts w:ascii="Franklin Gothic Book" w:hAnsi="Franklin Gothic Book"/>
        </w:rPr>
        <w:t>%</w:t>
      </w:r>
    </w:p>
    <w:p w:rsidR="00665406" w:rsidRDefault="00665406" w:rsidP="00665406">
      <w:pPr>
        <w:tabs>
          <w:tab w:val="left" w:pos="4678"/>
        </w:tabs>
        <w:spacing w:before="120" w:after="0" w:line="240" w:lineRule="auto"/>
        <w:ind w:firstLine="72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Local NGOs</w:t>
      </w:r>
      <w:r w:rsidR="00572803">
        <w:rPr>
          <w:rFonts w:ascii="Franklin Gothic Book" w:hAnsi="Franklin Gothic Book"/>
        </w:rPr>
        <w:tab/>
        <w:t>2</w:t>
      </w:r>
      <w:r w:rsidR="004B5954">
        <w:rPr>
          <w:rFonts w:ascii="Franklin Gothic Book" w:hAnsi="Franklin Gothic Book"/>
        </w:rPr>
        <w:t>4</w:t>
      </w:r>
      <w:r w:rsidR="00572803">
        <w:rPr>
          <w:rFonts w:ascii="Franklin Gothic Book" w:hAnsi="Franklin Gothic Book"/>
        </w:rPr>
        <w:t>%</w:t>
      </w:r>
    </w:p>
    <w:p w:rsidR="00362071" w:rsidRDefault="00362071" w:rsidP="00665406">
      <w:pPr>
        <w:tabs>
          <w:tab w:val="left" w:pos="4678"/>
        </w:tabs>
        <w:spacing w:before="120" w:after="0" w:line="240" w:lineRule="auto"/>
        <w:ind w:firstLine="72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Private sector</w:t>
      </w:r>
      <w:r>
        <w:rPr>
          <w:rFonts w:ascii="Franklin Gothic Book" w:hAnsi="Franklin Gothic Book"/>
        </w:rPr>
        <w:tab/>
      </w:r>
      <w:r w:rsidR="006B0723">
        <w:rPr>
          <w:rFonts w:ascii="Franklin Gothic Book" w:hAnsi="Franklin Gothic Book"/>
        </w:rPr>
        <w:t>less than 1</w:t>
      </w:r>
      <w:r>
        <w:rPr>
          <w:rFonts w:ascii="Franklin Gothic Book" w:hAnsi="Franklin Gothic Book"/>
        </w:rPr>
        <w:t>%</w:t>
      </w:r>
    </w:p>
    <w:p w:rsidR="00665406" w:rsidRPr="00665406" w:rsidRDefault="00665406" w:rsidP="00C87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9214"/>
        </w:tabs>
        <w:spacing w:before="240" w:after="120" w:line="240" w:lineRule="auto"/>
        <w:ind w:left="567" w:right="567"/>
        <w:jc w:val="both"/>
        <w:rPr>
          <w:rFonts w:ascii="Franklin Gothic Book" w:hAnsi="Franklin Gothic Book"/>
          <w:i/>
        </w:rPr>
      </w:pPr>
      <w:r w:rsidRPr="00665406">
        <w:rPr>
          <w:rFonts w:ascii="Franklin Gothic Book" w:hAnsi="Franklin Gothic Book"/>
          <w:i/>
        </w:rPr>
        <w:t>Note: in Vietnam, many organisations registered as INGOs are in fact a cross-breed between local and international. These are organisations founded by long-term expatriate residents working in Vietnam</w:t>
      </w:r>
      <w:r>
        <w:rPr>
          <w:rFonts w:ascii="Franklin Gothic Book" w:hAnsi="Franklin Gothic Book"/>
          <w:i/>
        </w:rPr>
        <w:t xml:space="preserve">. Examples of these include KOTO, Blue Dragon, Mekong Plus, </w:t>
      </w:r>
      <w:r w:rsidR="00604322">
        <w:rPr>
          <w:rFonts w:ascii="Franklin Gothic Book" w:hAnsi="Franklin Gothic Book"/>
          <w:i/>
        </w:rPr>
        <w:t>and CHIA.</w:t>
      </w:r>
    </w:p>
    <w:p w:rsidR="000352D9" w:rsidRDefault="000352D9" w:rsidP="000352D9">
      <w:pPr>
        <w:spacing w:before="240" w:after="120" w:line="240" w:lineRule="auto"/>
        <w:jc w:val="center"/>
        <w:rPr>
          <w:rFonts w:ascii="Franklin Gothic Book" w:hAnsi="Franklin Gothic Book"/>
        </w:rPr>
      </w:pPr>
      <w:r>
        <w:rPr>
          <w:noProof/>
        </w:rPr>
        <w:drawing>
          <wp:inline distT="0" distB="0" distL="0" distR="0" wp14:anchorId="28DA7751" wp14:editId="60201738">
            <wp:extent cx="4572000" cy="274320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352D9" w:rsidRPr="000352D9" w:rsidRDefault="000352D9" w:rsidP="000352D9">
      <w:pPr>
        <w:spacing w:before="240" w:after="120" w:line="240" w:lineRule="auto"/>
        <w:jc w:val="center"/>
        <w:rPr>
          <w:rFonts w:ascii="Franklin Gothic Book" w:hAnsi="Franklin Gothic Book"/>
          <w:i/>
        </w:rPr>
      </w:pPr>
      <w:r w:rsidRPr="000352D9">
        <w:rPr>
          <w:rFonts w:ascii="Franklin Gothic Book" w:hAnsi="Franklin Gothic Book"/>
          <w:i/>
        </w:rPr>
        <w:t>Number of assignments by type of Host Organisation</w:t>
      </w:r>
    </w:p>
    <w:p w:rsidR="00665406" w:rsidRPr="00362071" w:rsidRDefault="00515411" w:rsidP="00C8720D">
      <w:pPr>
        <w:spacing w:before="240" w:after="120" w:line="240" w:lineRule="auto"/>
        <w:jc w:val="both"/>
        <w:rPr>
          <w:rFonts w:ascii="Franklin Gothic Book" w:hAnsi="Franklin Gothic Book"/>
        </w:rPr>
      </w:pPr>
      <w:r w:rsidRPr="00362071">
        <w:rPr>
          <w:rFonts w:ascii="Franklin Gothic Book" w:hAnsi="Franklin Gothic Book"/>
        </w:rPr>
        <w:t>Assignment</w:t>
      </w:r>
      <w:r w:rsidR="00665406" w:rsidRPr="00362071">
        <w:rPr>
          <w:rFonts w:ascii="Franklin Gothic Book" w:hAnsi="Franklin Gothic Book"/>
        </w:rPr>
        <w:t xml:space="preserve">s are distributed </w:t>
      </w:r>
      <w:r w:rsidR="00604322" w:rsidRPr="00362071">
        <w:rPr>
          <w:rFonts w:ascii="Franklin Gothic Book" w:hAnsi="Franklin Gothic Book"/>
        </w:rPr>
        <w:t>throughout</w:t>
      </w:r>
      <w:r w:rsidR="00665406" w:rsidRPr="00362071">
        <w:rPr>
          <w:rFonts w:ascii="Franklin Gothic Book" w:hAnsi="Franklin Gothic Book"/>
        </w:rPr>
        <w:t xml:space="preserve"> Vietnam as follows:</w:t>
      </w:r>
    </w:p>
    <w:p w:rsidR="00C8720D" w:rsidRPr="00362071" w:rsidRDefault="00C8720D" w:rsidP="004B5954">
      <w:pPr>
        <w:tabs>
          <w:tab w:val="left" w:pos="5670"/>
        </w:tabs>
        <w:spacing w:before="120" w:after="0" w:line="240" w:lineRule="auto"/>
        <w:ind w:firstLine="720"/>
        <w:jc w:val="both"/>
        <w:rPr>
          <w:rFonts w:ascii="Franklin Gothic Book" w:hAnsi="Franklin Gothic Book"/>
        </w:rPr>
      </w:pPr>
      <w:r w:rsidRPr="00362071">
        <w:rPr>
          <w:rFonts w:ascii="Franklin Gothic Book" w:hAnsi="Franklin Gothic Book"/>
        </w:rPr>
        <w:t>North Vietnam (Hanoi and surrounding areas)</w:t>
      </w:r>
      <w:r w:rsidR="004B5954" w:rsidRPr="00362071">
        <w:rPr>
          <w:rFonts w:ascii="Franklin Gothic Book" w:hAnsi="Franklin Gothic Book"/>
        </w:rPr>
        <w:tab/>
      </w:r>
      <w:r w:rsidR="00362071">
        <w:rPr>
          <w:rFonts w:ascii="Franklin Gothic Book" w:hAnsi="Franklin Gothic Book"/>
        </w:rPr>
        <w:t>48</w:t>
      </w:r>
      <w:r w:rsidR="004B5954" w:rsidRPr="00362071">
        <w:rPr>
          <w:rFonts w:ascii="Franklin Gothic Book" w:hAnsi="Franklin Gothic Book"/>
        </w:rPr>
        <w:t>%</w:t>
      </w:r>
    </w:p>
    <w:p w:rsidR="00C8720D" w:rsidRDefault="00C8720D" w:rsidP="004B5954">
      <w:pPr>
        <w:tabs>
          <w:tab w:val="left" w:pos="5670"/>
        </w:tabs>
        <w:spacing w:before="120" w:after="0" w:line="240" w:lineRule="auto"/>
        <w:ind w:firstLine="720"/>
        <w:jc w:val="both"/>
        <w:rPr>
          <w:rFonts w:ascii="Franklin Gothic Book" w:hAnsi="Franklin Gothic Book"/>
        </w:rPr>
      </w:pPr>
      <w:r w:rsidRPr="00362071">
        <w:rPr>
          <w:rFonts w:ascii="Franklin Gothic Book" w:hAnsi="Franklin Gothic Book"/>
        </w:rPr>
        <w:t xml:space="preserve">Central Vietnam (mostly </w:t>
      </w:r>
      <w:r w:rsidR="00801054" w:rsidRPr="00362071">
        <w:rPr>
          <w:rFonts w:ascii="Franklin Gothic Book" w:hAnsi="Franklin Gothic Book"/>
        </w:rPr>
        <w:t>Da</w:t>
      </w:r>
      <w:r w:rsidR="00801054">
        <w:rPr>
          <w:rFonts w:ascii="Franklin Gothic Book" w:hAnsi="Franklin Gothic Book"/>
        </w:rPr>
        <w:t xml:space="preserve"> N</w:t>
      </w:r>
      <w:r w:rsidR="00801054" w:rsidRPr="00362071">
        <w:rPr>
          <w:rFonts w:ascii="Franklin Gothic Book" w:hAnsi="Franklin Gothic Book"/>
        </w:rPr>
        <w:t>ang</w:t>
      </w:r>
      <w:r w:rsidRPr="00362071">
        <w:rPr>
          <w:rFonts w:ascii="Franklin Gothic Book" w:hAnsi="Franklin Gothic Book"/>
        </w:rPr>
        <w:t>, Hoi An and Hue)</w:t>
      </w:r>
      <w:r w:rsidR="004B5954" w:rsidRPr="00362071">
        <w:rPr>
          <w:rFonts w:ascii="Franklin Gothic Book" w:hAnsi="Franklin Gothic Book"/>
        </w:rPr>
        <w:tab/>
      </w:r>
      <w:r w:rsidR="00362071">
        <w:rPr>
          <w:rFonts w:ascii="Franklin Gothic Book" w:hAnsi="Franklin Gothic Book"/>
        </w:rPr>
        <w:t>27</w:t>
      </w:r>
      <w:r w:rsidR="004B5954" w:rsidRPr="00362071">
        <w:rPr>
          <w:rFonts w:ascii="Franklin Gothic Book" w:hAnsi="Franklin Gothic Book"/>
        </w:rPr>
        <w:t>%</w:t>
      </w:r>
    </w:p>
    <w:p w:rsidR="00801054" w:rsidRDefault="00801054" w:rsidP="004B5954">
      <w:pPr>
        <w:tabs>
          <w:tab w:val="left" w:pos="5670"/>
        </w:tabs>
        <w:spacing w:before="120" w:after="0" w:line="240" w:lineRule="auto"/>
        <w:ind w:firstLine="72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South Vietnam (HCMC and Mekong Delta)</w:t>
      </w:r>
      <w:r>
        <w:rPr>
          <w:rFonts w:ascii="Franklin Gothic Book" w:hAnsi="Franklin Gothic Book"/>
        </w:rPr>
        <w:tab/>
        <w:t>25%</w:t>
      </w:r>
    </w:p>
    <w:p w:rsidR="00515411" w:rsidRDefault="00665406" w:rsidP="00665406">
      <w:pPr>
        <w:spacing w:before="240" w:after="120" w:line="24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lastRenderedPageBreak/>
        <w:t xml:space="preserve">Some </w:t>
      </w:r>
      <w:r w:rsidR="00515411" w:rsidRPr="00515411">
        <w:rPr>
          <w:rFonts w:ascii="Franklin Gothic Book" w:hAnsi="Franklin Gothic Book"/>
        </w:rPr>
        <w:t xml:space="preserve">Volunteers will </w:t>
      </w:r>
      <w:r>
        <w:rPr>
          <w:rFonts w:ascii="Franklin Gothic Book" w:hAnsi="Franklin Gothic Book"/>
        </w:rPr>
        <w:t xml:space="preserve">continue to </w:t>
      </w:r>
      <w:r w:rsidR="00515411" w:rsidRPr="00515411">
        <w:rPr>
          <w:rFonts w:ascii="Franklin Gothic Book" w:hAnsi="Franklin Gothic Book"/>
        </w:rPr>
        <w:t xml:space="preserve">be placed </w:t>
      </w:r>
      <w:r w:rsidR="00477E6E">
        <w:rPr>
          <w:rFonts w:ascii="Franklin Gothic Book" w:hAnsi="Franklin Gothic Book"/>
        </w:rPr>
        <w:t xml:space="preserve">within the AVID Program </w:t>
      </w:r>
      <w:r w:rsidR="00515411" w:rsidRPr="00515411">
        <w:rPr>
          <w:rFonts w:ascii="Franklin Gothic Book" w:hAnsi="Franklin Gothic Book"/>
        </w:rPr>
        <w:t>w</w:t>
      </w:r>
      <w:r w:rsidR="0009563E">
        <w:rPr>
          <w:rFonts w:ascii="Franklin Gothic Book" w:hAnsi="Franklin Gothic Book"/>
        </w:rPr>
        <w:t xml:space="preserve">ith key </w:t>
      </w:r>
      <w:r w:rsidR="00801054">
        <w:rPr>
          <w:rFonts w:ascii="Franklin Gothic Book" w:hAnsi="Franklin Gothic Book"/>
        </w:rPr>
        <w:t xml:space="preserve">DFAT </w:t>
      </w:r>
      <w:r w:rsidR="003A6AA4">
        <w:rPr>
          <w:rFonts w:ascii="Franklin Gothic Book" w:hAnsi="Franklin Gothic Book"/>
        </w:rPr>
        <w:t xml:space="preserve">and Australian Government projects and </w:t>
      </w:r>
      <w:r w:rsidR="0009563E">
        <w:rPr>
          <w:rFonts w:ascii="Franklin Gothic Book" w:hAnsi="Franklin Gothic Book"/>
        </w:rPr>
        <w:t>partner agencies</w:t>
      </w:r>
      <w:r w:rsidR="00515411" w:rsidRPr="00515411">
        <w:rPr>
          <w:rFonts w:ascii="Franklin Gothic Book" w:hAnsi="Franklin Gothic Book"/>
        </w:rPr>
        <w:t xml:space="preserve"> in order to complement ongoing assistance to these organisations and further support the sustainability of key outcomes.</w:t>
      </w:r>
    </w:p>
    <w:p w:rsidR="00F9082C" w:rsidRDefault="007C1D7F" w:rsidP="00BE459B">
      <w:pPr>
        <w:pStyle w:val="Heading2"/>
        <w:spacing w:before="240" w:after="120" w:line="240" w:lineRule="auto"/>
        <w:jc w:val="both"/>
        <w:rPr>
          <w:rFonts w:ascii="Franklin Gothic Book" w:hAnsi="Franklin Gothic Book"/>
          <w:color w:val="4BACC6" w:themeColor="accent5"/>
          <w:sz w:val="24"/>
          <w:szCs w:val="22"/>
        </w:rPr>
      </w:pPr>
      <w:r w:rsidRPr="00552ABD">
        <w:rPr>
          <w:rFonts w:ascii="Franklin Gothic Book" w:hAnsi="Franklin Gothic Book"/>
          <w:color w:val="4BACC6" w:themeColor="accent5"/>
          <w:sz w:val="24"/>
          <w:szCs w:val="22"/>
        </w:rPr>
        <w:t>Identified Risks</w:t>
      </w:r>
    </w:p>
    <w:p w:rsidR="00DB26A4" w:rsidRPr="006166A5" w:rsidRDefault="003A6AA4" w:rsidP="006166A5">
      <w:pPr>
        <w:spacing w:after="120" w:line="240" w:lineRule="auto"/>
        <w:jc w:val="both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(1) Health and Security</w:t>
      </w:r>
    </w:p>
    <w:p w:rsidR="00E34D7E" w:rsidRPr="007704BF" w:rsidRDefault="00EF5B6F" w:rsidP="00604322">
      <w:pPr>
        <w:spacing w:after="120" w:line="24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Tropical storms and floods commonly occur between June and December.</w:t>
      </w:r>
      <w:r w:rsidR="00E34D7E" w:rsidRPr="00710D24">
        <w:rPr>
          <w:rFonts w:ascii="Franklin Gothic Book" w:hAnsi="Franklin Gothic Book"/>
        </w:rPr>
        <w:t xml:space="preserve"> </w:t>
      </w:r>
      <w:r w:rsidR="004C2702" w:rsidRPr="007704BF">
        <w:rPr>
          <w:rFonts w:ascii="Franklin Gothic Book" w:hAnsi="Franklin Gothic Book"/>
        </w:rPr>
        <w:t xml:space="preserve">Vietnam is prone to various types of natural disasters including typhoons, flooding, landslides, </w:t>
      </w:r>
      <w:r w:rsidR="006B0723">
        <w:rPr>
          <w:rFonts w:ascii="Franklin Gothic Book" w:hAnsi="Franklin Gothic Book"/>
        </w:rPr>
        <w:t xml:space="preserve">and </w:t>
      </w:r>
      <w:r w:rsidR="004C2702" w:rsidRPr="007704BF">
        <w:rPr>
          <w:rFonts w:ascii="Franklin Gothic Book" w:hAnsi="Franklin Gothic Book"/>
        </w:rPr>
        <w:t>earthquakes. As such, natural disasters are an ongoing risk throughout the country and these have the tendency to disrupt any volunteer assignment. ICM</w:t>
      </w:r>
      <w:r w:rsidR="00604322">
        <w:rPr>
          <w:rFonts w:ascii="Franklin Gothic Book" w:hAnsi="Franklin Gothic Book"/>
        </w:rPr>
        <w:t>s</w:t>
      </w:r>
      <w:r w:rsidR="004C2702" w:rsidRPr="007704BF">
        <w:rPr>
          <w:rFonts w:ascii="Franklin Gothic Book" w:hAnsi="Franklin Gothic Book"/>
        </w:rPr>
        <w:t xml:space="preserve"> have safety and security strategies in place in case volunteers are affected by natural disasters. This includes pre-emptive evacuation to pre-identified ‘safe houses’ prior to typhoons. </w:t>
      </w:r>
    </w:p>
    <w:p w:rsidR="00DB26A4" w:rsidRDefault="00DB26A4" w:rsidP="003A6AA4">
      <w:pPr>
        <w:pStyle w:val="BodyText2"/>
        <w:spacing w:line="240" w:lineRule="auto"/>
        <w:jc w:val="both"/>
        <w:rPr>
          <w:rFonts w:ascii="Franklin Gothic Book" w:hAnsi="Franklin Gothic Book"/>
        </w:rPr>
      </w:pPr>
      <w:r w:rsidRPr="003A6AA4">
        <w:rPr>
          <w:rFonts w:ascii="Franklin Gothic Book" w:hAnsi="Franklin Gothic Book"/>
        </w:rPr>
        <w:t>The standard of primary health care is sufficient in major cities, but more complicated treatments may require evacuation to a t</w:t>
      </w:r>
      <w:r w:rsidR="003A6AA4">
        <w:rPr>
          <w:rFonts w:ascii="Franklin Gothic Book" w:hAnsi="Franklin Gothic Book"/>
        </w:rPr>
        <w:t xml:space="preserve">hird country, usually Thailand. </w:t>
      </w:r>
      <w:r w:rsidRPr="003A6AA4">
        <w:rPr>
          <w:rFonts w:ascii="Franklin Gothic Book" w:hAnsi="Franklin Gothic Book"/>
        </w:rPr>
        <w:t xml:space="preserve">Dengue Fever is endemic to Vietnam and can occur throughout the year. Outbreaks of Avian Influenza (Bird Flu) in Vietnam have led to 50 reported human </w:t>
      </w:r>
      <w:r w:rsidR="00BE459B" w:rsidRPr="003A6AA4">
        <w:rPr>
          <w:rFonts w:ascii="Franklin Gothic Book" w:hAnsi="Franklin Gothic Book"/>
        </w:rPr>
        <w:t>fatalities. Swine</w:t>
      </w:r>
      <w:r w:rsidR="006166A5" w:rsidRPr="003A6AA4">
        <w:rPr>
          <w:rFonts w:ascii="Franklin Gothic Book" w:hAnsi="Franklin Gothic Book"/>
        </w:rPr>
        <w:t xml:space="preserve"> flu is also present in rural areas. TB </w:t>
      </w:r>
      <w:r w:rsidR="00BE459B" w:rsidRPr="003A6AA4">
        <w:rPr>
          <w:rFonts w:ascii="Franklin Gothic Book" w:hAnsi="Franklin Gothic Book"/>
        </w:rPr>
        <w:t>is endemic with relatively high rates in the southern part of the country.</w:t>
      </w:r>
      <w:r w:rsidRPr="003A6AA4">
        <w:rPr>
          <w:rFonts w:ascii="Franklin Gothic Book" w:hAnsi="Franklin Gothic Book"/>
        </w:rPr>
        <w:t xml:space="preserve"> Malaria occurs in certain parts of Vietnam, but not in coastal areas. </w:t>
      </w:r>
    </w:p>
    <w:p w:rsidR="000115FD" w:rsidRPr="00710D24" w:rsidRDefault="000115FD" w:rsidP="000115FD">
      <w:pPr>
        <w:spacing w:after="120" w:line="240" w:lineRule="auto"/>
        <w:jc w:val="both"/>
        <w:rPr>
          <w:rFonts w:ascii="Franklin Gothic Book" w:hAnsi="Franklin Gothic Book"/>
        </w:rPr>
      </w:pPr>
      <w:r w:rsidRPr="003A6AA4">
        <w:rPr>
          <w:rFonts w:ascii="Franklin Gothic Book" w:hAnsi="Franklin Gothic Book"/>
        </w:rPr>
        <w:t>Vietnam in general provides a safe and welcoming living environment. Crime levels are low</w:t>
      </w:r>
      <w:r>
        <w:rPr>
          <w:rFonts w:ascii="Franklin Gothic Book" w:hAnsi="Franklin Gothic Book"/>
        </w:rPr>
        <w:t xml:space="preserve">; </w:t>
      </w:r>
      <w:r w:rsidRPr="003A6AA4">
        <w:rPr>
          <w:rFonts w:ascii="Franklin Gothic Book" w:hAnsi="Franklin Gothic Book"/>
        </w:rPr>
        <w:t>however petty crime and opportunistic robberies are increasing mainly in major cities.</w:t>
      </w:r>
      <w:r w:rsidRPr="00184679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S</w:t>
      </w:r>
      <w:r w:rsidRPr="00710D24">
        <w:rPr>
          <w:rFonts w:ascii="Franklin Gothic Book" w:hAnsi="Franklin Gothic Book"/>
        </w:rPr>
        <w:t>peed</w:t>
      </w:r>
      <w:r>
        <w:rPr>
          <w:rFonts w:ascii="Franklin Gothic Book" w:hAnsi="Franklin Gothic Book"/>
        </w:rPr>
        <w:t>ing</w:t>
      </w:r>
      <w:r w:rsidRPr="00710D24">
        <w:rPr>
          <w:rFonts w:ascii="Franklin Gothic Book" w:hAnsi="Franklin Gothic Book"/>
        </w:rPr>
        <w:t>, drink driving, distracted driving,</w:t>
      </w:r>
      <w:r>
        <w:rPr>
          <w:rFonts w:ascii="Franklin Gothic Book" w:hAnsi="Franklin Gothic Book"/>
        </w:rPr>
        <w:t xml:space="preserve"> </w:t>
      </w:r>
      <w:r w:rsidRPr="00710D24">
        <w:rPr>
          <w:rFonts w:ascii="Franklin Gothic Book" w:hAnsi="Franklin Gothic Book"/>
        </w:rPr>
        <w:t xml:space="preserve">not wearing or wearing </w:t>
      </w:r>
      <w:r>
        <w:rPr>
          <w:rFonts w:ascii="Franklin Gothic Book" w:hAnsi="Franklin Gothic Book"/>
        </w:rPr>
        <w:t>of poor qualit</w:t>
      </w:r>
      <w:r w:rsidRPr="00710D24">
        <w:rPr>
          <w:rFonts w:ascii="Franklin Gothic Book" w:hAnsi="Franklin Gothic Book"/>
        </w:rPr>
        <w:t>y motorcycle helmet</w:t>
      </w:r>
      <w:r>
        <w:rPr>
          <w:rFonts w:ascii="Franklin Gothic Book" w:hAnsi="Franklin Gothic Book"/>
        </w:rPr>
        <w:t xml:space="preserve">s and the vulnerable road quality all contribute to traffic risks in Vietnam. </w:t>
      </w:r>
    </w:p>
    <w:p w:rsidR="003A6AA4" w:rsidRPr="003A6AA4" w:rsidRDefault="003A6AA4" w:rsidP="003A6AA4">
      <w:pPr>
        <w:spacing w:after="120" w:line="240" w:lineRule="auto"/>
        <w:jc w:val="both"/>
        <w:rPr>
          <w:rFonts w:ascii="Franklin Gothic Book" w:hAnsi="Franklin Gothic Book"/>
          <w:b/>
        </w:rPr>
      </w:pPr>
      <w:r w:rsidRPr="003A6AA4">
        <w:rPr>
          <w:rFonts w:ascii="Franklin Gothic Book" w:hAnsi="Franklin Gothic Book"/>
          <w:b/>
        </w:rPr>
        <w:t>(2) Child Protection Policy</w:t>
      </w:r>
    </w:p>
    <w:p w:rsidR="003A6AA4" w:rsidRPr="003A6AA4" w:rsidRDefault="003A6AA4" w:rsidP="003A6AA4">
      <w:pPr>
        <w:spacing w:after="120" w:line="240" w:lineRule="auto"/>
        <w:jc w:val="both"/>
        <w:rPr>
          <w:rFonts w:ascii="Franklin Gothic Book" w:eastAsia="Times New Roman" w:hAnsi="Franklin Gothic Book" w:cs="Tahoma"/>
        </w:rPr>
      </w:pPr>
      <w:r w:rsidRPr="003A6AA4">
        <w:rPr>
          <w:rFonts w:ascii="Franklin Gothic Book" w:hAnsi="Franklin Gothic Book"/>
        </w:rPr>
        <w:t xml:space="preserve">Under the </w:t>
      </w:r>
      <w:r w:rsidR="00801054">
        <w:rPr>
          <w:rFonts w:ascii="Franklin Gothic Book" w:hAnsi="Franklin Gothic Book"/>
        </w:rPr>
        <w:t>DFAT</w:t>
      </w:r>
      <w:r w:rsidR="00801054" w:rsidRPr="003A6AA4">
        <w:rPr>
          <w:rFonts w:ascii="Franklin Gothic Book" w:hAnsi="Franklin Gothic Book"/>
        </w:rPr>
        <w:t xml:space="preserve"> </w:t>
      </w:r>
      <w:r w:rsidRPr="003A6AA4">
        <w:rPr>
          <w:rFonts w:ascii="Franklin Gothic Book" w:hAnsi="Franklin Gothic Book"/>
        </w:rPr>
        <w:t xml:space="preserve">Child Protection Policy, all HO (with the exception of Government bodies and multilateral agencies) are required to have a child protection policy. Unfortunately, not all HOs in Vietnam have the technical capacity to prepare and implement such a policy. </w:t>
      </w:r>
      <w:r w:rsidRPr="003A6AA4">
        <w:rPr>
          <w:rFonts w:ascii="Franklin Gothic Book" w:eastAsia="Times New Roman" w:hAnsi="Franklin Gothic Book" w:cs="Tahoma"/>
        </w:rPr>
        <w:t>Some organisations that do not directly work with children may not have a clear understanding and may not see the relevance of this requirement.</w:t>
      </w:r>
    </w:p>
    <w:p w:rsidR="003A6AA4" w:rsidRPr="003A6AA4" w:rsidRDefault="003A6AA4" w:rsidP="003A6AA4">
      <w:pPr>
        <w:spacing w:after="120" w:line="240" w:lineRule="auto"/>
        <w:jc w:val="both"/>
        <w:rPr>
          <w:rFonts w:ascii="Franklin Gothic Book" w:eastAsia="Times New Roman" w:hAnsi="Franklin Gothic Book" w:cs="Tahoma"/>
        </w:rPr>
      </w:pPr>
      <w:r w:rsidRPr="003A6AA4">
        <w:rPr>
          <w:rFonts w:ascii="Franklin Gothic Book" w:eastAsia="Times New Roman" w:hAnsi="Franklin Gothic Book" w:cs="Tahoma"/>
        </w:rPr>
        <w:t>In addition</w:t>
      </w:r>
      <w:r w:rsidR="00477E6E">
        <w:rPr>
          <w:rFonts w:ascii="Franklin Gothic Book" w:eastAsia="Times New Roman" w:hAnsi="Franklin Gothic Book" w:cs="Tahoma"/>
        </w:rPr>
        <w:t>,</w:t>
      </w:r>
      <w:r w:rsidRPr="003A6AA4">
        <w:rPr>
          <w:rFonts w:ascii="Franklin Gothic Book" w:eastAsia="Times New Roman" w:hAnsi="Franklin Gothic Book" w:cs="Tahoma"/>
        </w:rPr>
        <w:t xml:space="preserve"> the implementation of a child protection policy requires significant commitment, resources and training of staff from the host organisation. Staff</w:t>
      </w:r>
      <w:r w:rsidR="00E508AC">
        <w:rPr>
          <w:rFonts w:ascii="Franklin Gothic Book" w:eastAsia="Times New Roman" w:hAnsi="Franklin Gothic Book" w:cs="Tahoma"/>
        </w:rPr>
        <w:t xml:space="preserve"> need</w:t>
      </w:r>
      <w:r w:rsidR="00E508AC" w:rsidRPr="003A6AA4">
        <w:rPr>
          <w:rFonts w:ascii="Franklin Gothic Book" w:eastAsia="Times New Roman" w:hAnsi="Franklin Gothic Book" w:cs="Tahoma"/>
        </w:rPr>
        <w:t xml:space="preserve"> </w:t>
      </w:r>
      <w:r w:rsidRPr="003A6AA4">
        <w:rPr>
          <w:rFonts w:ascii="Franklin Gothic Book" w:eastAsia="Times New Roman" w:hAnsi="Franklin Gothic Book" w:cs="Tahoma"/>
        </w:rPr>
        <w:t xml:space="preserve">to be trained so they understand how to appropriately report any issues about abuse that may arise and there needs to be a relevant person within the organisation to continue to train staff, update the policy and manage any reports of child protection issues that arise.  The development of a CPP requires skill and significant knowledge and understanding of abuse and how to respond to disclosures to ensure children are not placed at risk of further harm.  Technical support from </w:t>
      </w:r>
      <w:r w:rsidR="00477E6E">
        <w:rPr>
          <w:rFonts w:ascii="Franklin Gothic Book" w:eastAsia="Times New Roman" w:hAnsi="Franklin Gothic Book" w:cs="Tahoma"/>
        </w:rPr>
        <w:t xml:space="preserve">the relevant area in </w:t>
      </w:r>
      <w:r w:rsidR="00801054">
        <w:rPr>
          <w:rFonts w:ascii="Franklin Gothic Book" w:eastAsia="Times New Roman" w:hAnsi="Franklin Gothic Book" w:cs="Tahoma"/>
        </w:rPr>
        <w:t>DFAT</w:t>
      </w:r>
      <w:r w:rsidR="00801054" w:rsidRPr="003A6AA4">
        <w:rPr>
          <w:rFonts w:ascii="Franklin Gothic Book" w:eastAsia="Times New Roman" w:hAnsi="Franklin Gothic Book" w:cs="Tahoma"/>
        </w:rPr>
        <w:t xml:space="preserve"> </w:t>
      </w:r>
      <w:r w:rsidRPr="003A6AA4">
        <w:rPr>
          <w:rFonts w:ascii="Franklin Gothic Book" w:eastAsia="Times New Roman" w:hAnsi="Franklin Gothic Book" w:cs="Tahoma"/>
        </w:rPr>
        <w:t xml:space="preserve">may be required to effectively implement this requirement. </w:t>
      </w:r>
    </w:p>
    <w:p w:rsidR="003A6AA4" w:rsidRPr="00362071" w:rsidRDefault="003A6AA4" w:rsidP="003A6AA4">
      <w:pPr>
        <w:keepNext/>
        <w:spacing w:after="120" w:line="240" w:lineRule="auto"/>
        <w:jc w:val="both"/>
        <w:rPr>
          <w:rFonts w:ascii="Franklin Gothic Book" w:eastAsiaTheme="majorEastAsia" w:hAnsi="Franklin Gothic Book" w:cstheme="majorBidi"/>
          <w:b/>
          <w:bCs/>
        </w:rPr>
      </w:pPr>
      <w:r w:rsidRPr="00362071">
        <w:rPr>
          <w:rFonts w:ascii="Franklin Gothic Book" w:hAnsi="Franklin Gothic Book"/>
          <w:b/>
        </w:rPr>
        <w:t>(3) Visa and Work Permit Issues</w:t>
      </w:r>
    </w:p>
    <w:p w:rsidR="00A022CE" w:rsidRPr="00362071" w:rsidRDefault="003A6AA4" w:rsidP="008C25FA">
      <w:pPr>
        <w:spacing w:after="120" w:line="240" w:lineRule="auto"/>
        <w:jc w:val="both"/>
        <w:rPr>
          <w:rFonts w:ascii="Franklin Gothic Book" w:eastAsiaTheme="majorEastAsia" w:hAnsi="Franklin Gothic Book" w:cstheme="majorBidi"/>
          <w:bCs/>
        </w:rPr>
      </w:pPr>
      <w:r w:rsidRPr="00362071">
        <w:rPr>
          <w:rFonts w:ascii="Franklin Gothic Book" w:eastAsiaTheme="majorEastAsia" w:hAnsi="Franklin Gothic Book" w:cstheme="majorBidi"/>
          <w:bCs/>
        </w:rPr>
        <w:t xml:space="preserve">Since the introduction </w:t>
      </w:r>
      <w:r w:rsidR="00477E6E" w:rsidRPr="00362071">
        <w:rPr>
          <w:rFonts w:ascii="Franklin Gothic Book" w:eastAsiaTheme="majorEastAsia" w:hAnsi="Franklin Gothic Book" w:cstheme="majorBidi"/>
          <w:bCs/>
        </w:rPr>
        <w:t>of the requirement of work permit</w:t>
      </w:r>
      <w:r w:rsidR="000115FD" w:rsidRPr="00362071">
        <w:rPr>
          <w:rFonts w:ascii="Franklin Gothic Book" w:eastAsiaTheme="majorEastAsia" w:hAnsi="Franklin Gothic Book" w:cstheme="majorBidi"/>
          <w:bCs/>
        </w:rPr>
        <w:t>s</w:t>
      </w:r>
      <w:r w:rsidR="00477E6E" w:rsidRPr="00362071">
        <w:rPr>
          <w:rFonts w:ascii="Franklin Gothic Book" w:eastAsiaTheme="majorEastAsia" w:hAnsi="Franklin Gothic Book" w:cstheme="majorBidi"/>
          <w:bCs/>
        </w:rPr>
        <w:t xml:space="preserve"> for volunteers</w:t>
      </w:r>
      <w:r w:rsidR="000115FD" w:rsidRPr="00362071">
        <w:rPr>
          <w:rFonts w:ascii="Franklin Gothic Book" w:eastAsiaTheme="majorEastAsia" w:hAnsi="Franklin Gothic Book" w:cstheme="majorBidi"/>
          <w:bCs/>
        </w:rPr>
        <w:t xml:space="preserve"> </w:t>
      </w:r>
      <w:r w:rsidRPr="00362071">
        <w:rPr>
          <w:rFonts w:ascii="Franklin Gothic Book" w:eastAsiaTheme="majorEastAsia" w:hAnsi="Franklin Gothic Book" w:cstheme="majorBidi"/>
          <w:bCs/>
        </w:rPr>
        <w:t xml:space="preserve">in 2011, there have been a number of </w:t>
      </w:r>
      <w:r w:rsidR="000115FD" w:rsidRPr="00362071">
        <w:rPr>
          <w:rFonts w:ascii="Franklin Gothic Book" w:eastAsiaTheme="majorEastAsia" w:hAnsi="Franklin Gothic Book" w:cstheme="majorBidi"/>
          <w:bCs/>
        </w:rPr>
        <w:t>challenges</w:t>
      </w:r>
      <w:r w:rsidRPr="00362071">
        <w:rPr>
          <w:rFonts w:ascii="Franklin Gothic Book" w:eastAsiaTheme="majorEastAsia" w:hAnsi="Franklin Gothic Book" w:cstheme="majorBidi"/>
          <w:bCs/>
        </w:rPr>
        <w:t xml:space="preserve"> that have delayed volunteer arrivals or made their sta</w:t>
      </w:r>
      <w:r w:rsidR="000115FD" w:rsidRPr="00362071">
        <w:rPr>
          <w:rFonts w:ascii="Franklin Gothic Book" w:eastAsiaTheme="majorEastAsia" w:hAnsi="Franklin Gothic Book" w:cstheme="majorBidi"/>
          <w:bCs/>
        </w:rPr>
        <w:t>y in Vietnam more complicated. Medical clearances and education qualifications from Australia</w:t>
      </w:r>
      <w:r w:rsidR="005F76B7" w:rsidRPr="00362071">
        <w:rPr>
          <w:rFonts w:ascii="Franklin Gothic Book" w:eastAsiaTheme="majorEastAsia" w:hAnsi="Franklin Gothic Book" w:cstheme="majorBidi"/>
          <w:bCs/>
        </w:rPr>
        <w:t xml:space="preserve"> </w:t>
      </w:r>
      <w:r w:rsidR="000115FD" w:rsidRPr="00362071">
        <w:rPr>
          <w:rFonts w:ascii="Franklin Gothic Book" w:eastAsiaTheme="majorEastAsia" w:hAnsi="Franklin Gothic Book" w:cstheme="majorBidi"/>
          <w:bCs/>
        </w:rPr>
        <w:t>often do not meet the requirements of the Vietnam Department of Labour, Invalids and Social Affairs</w:t>
      </w:r>
      <w:r w:rsidR="005F76B7" w:rsidRPr="00362071">
        <w:rPr>
          <w:rFonts w:ascii="Franklin Gothic Book" w:eastAsiaTheme="majorEastAsia" w:hAnsi="Franklin Gothic Book" w:cstheme="majorBidi"/>
          <w:bCs/>
        </w:rPr>
        <w:t xml:space="preserve"> (DOLISA) to gain visas. This creates delays in gaining visas for volunteers and additional costs for ICMs. </w:t>
      </w:r>
    </w:p>
    <w:p w:rsidR="00A022CE" w:rsidRPr="00362071" w:rsidRDefault="00A022CE" w:rsidP="008C25FA">
      <w:pPr>
        <w:spacing w:after="120" w:line="240" w:lineRule="auto"/>
        <w:jc w:val="both"/>
        <w:rPr>
          <w:rFonts w:ascii="Franklin Gothic Book" w:eastAsiaTheme="majorEastAsia" w:hAnsi="Franklin Gothic Book" w:cstheme="majorBidi"/>
          <w:bCs/>
        </w:rPr>
      </w:pPr>
      <w:r w:rsidRPr="00362071">
        <w:rPr>
          <w:rFonts w:ascii="Franklin Gothic Book" w:eastAsiaTheme="majorEastAsia" w:hAnsi="Franklin Gothic Book" w:cstheme="majorBidi"/>
          <w:bCs/>
        </w:rPr>
        <w:t xml:space="preserve">However, in 2013, the Government issued a Decree exempting volunteers from </w:t>
      </w:r>
      <w:r w:rsidR="006B0723">
        <w:rPr>
          <w:rFonts w:ascii="Franklin Gothic Book" w:eastAsiaTheme="majorEastAsia" w:hAnsi="Franklin Gothic Book" w:cstheme="majorBidi"/>
          <w:bCs/>
        </w:rPr>
        <w:t xml:space="preserve">the </w:t>
      </w:r>
      <w:r w:rsidRPr="00362071">
        <w:rPr>
          <w:rFonts w:ascii="Franklin Gothic Book" w:eastAsiaTheme="majorEastAsia" w:hAnsi="Franklin Gothic Book" w:cstheme="majorBidi"/>
          <w:bCs/>
        </w:rPr>
        <w:t xml:space="preserve">work permit requirement. </w:t>
      </w:r>
      <w:r w:rsidR="00FD5B95">
        <w:rPr>
          <w:rFonts w:ascii="Franklin Gothic Book" w:eastAsiaTheme="majorEastAsia" w:hAnsi="Franklin Gothic Book" w:cstheme="majorBidi"/>
          <w:bCs/>
        </w:rPr>
        <w:t>Accordingly, Hanoi post is required to certify Official Development Assistance (ODA) status for volunteers of each intake to facilitate their work permit exemption. A Circular to guide the implementation of the Decree was issued in March 2014</w:t>
      </w:r>
      <w:r w:rsidR="00161B44">
        <w:rPr>
          <w:rFonts w:ascii="Franklin Gothic Book" w:eastAsiaTheme="majorEastAsia" w:hAnsi="Franklin Gothic Book" w:cstheme="majorBidi"/>
          <w:bCs/>
        </w:rPr>
        <w:t xml:space="preserve"> </w:t>
      </w:r>
      <w:r w:rsidRPr="00362071">
        <w:rPr>
          <w:rFonts w:ascii="Franklin Gothic Book" w:eastAsiaTheme="majorEastAsia" w:hAnsi="Franklin Gothic Book" w:cstheme="majorBidi"/>
          <w:bCs/>
        </w:rPr>
        <w:t xml:space="preserve">but application is still new and applied differently by the various local authorities. </w:t>
      </w:r>
      <w:r w:rsidR="00924736">
        <w:rPr>
          <w:rFonts w:ascii="Franklin Gothic Book" w:eastAsiaTheme="majorEastAsia" w:hAnsi="Franklin Gothic Book" w:cstheme="majorBidi"/>
          <w:bCs/>
        </w:rPr>
        <w:t>Post will work closely with ICMs and the partner government to ensure</w:t>
      </w:r>
      <w:r w:rsidRPr="00362071">
        <w:rPr>
          <w:rFonts w:ascii="Franklin Gothic Book" w:eastAsiaTheme="majorEastAsia" w:hAnsi="Franklin Gothic Book" w:cstheme="majorBidi"/>
          <w:bCs/>
        </w:rPr>
        <w:t xml:space="preserve"> standardization of rules and processes.</w:t>
      </w:r>
    </w:p>
    <w:p w:rsidR="004B6C3F" w:rsidRPr="00801054" w:rsidRDefault="004B6C3F" w:rsidP="00BE459B">
      <w:pPr>
        <w:pStyle w:val="Heading2"/>
        <w:spacing w:before="240" w:after="120" w:line="240" w:lineRule="auto"/>
        <w:jc w:val="both"/>
        <w:rPr>
          <w:rFonts w:ascii="Franklin Gothic Book" w:hAnsi="Franklin Gothic Book"/>
          <w:color w:val="4BACC6" w:themeColor="accent5"/>
          <w:sz w:val="24"/>
          <w:szCs w:val="22"/>
        </w:rPr>
      </w:pPr>
      <w:r w:rsidRPr="00583317">
        <w:rPr>
          <w:rFonts w:ascii="Franklin Gothic Book" w:hAnsi="Franklin Gothic Book"/>
          <w:color w:val="4BACC6" w:themeColor="accent5"/>
          <w:sz w:val="24"/>
          <w:szCs w:val="22"/>
        </w:rPr>
        <w:t>AVID Communications and Marketing</w:t>
      </w:r>
    </w:p>
    <w:p w:rsidR="003A6AA4" w:rsidRPr="00583317" w:rsidRDefault="00FF6CA3" w:rsidP="00D840A2">
      <w:pPr>
        <w:spacing w:after="240" w:line="240" w:lineRule="auto"/>
        <w:jc w:val="both"/>
        <w:rPr>
          <w:rFonts w:ascii="Franklin Gothic Book" w:hAnsi="Franklin Gothic Book"/>
        </w:rPr>
      </w:pPr>
      <w:r w:rsidRPr="00583317">
        <w:rPr>
          <w:rFonts w:ascii="Franklin Gothic Book" w:hAnsi="Franklin Gothic Book"/>
        </w:rPr>
        <w:t xml:space="preserve">A number of marketing and promotions strategies </w:t>
      </w:r>
      <w:r w:rsidR="00BE459B" w:rsidRPr="00583317">
        <w:rPr>
          <w:rFonts w:ascii="Franklin Gothic Book" w:hAnsi="Franklin Gothic Book"/>
        </w:rPr>
        <w:t>will</w:t>
      </w:r>
      <w:r w:rsidRPr="00583317">
        <w:rPr>
          <w:rFonts w:ascii="Franklin Gothic Book" w:hAnsi="Franklin Gothic Book"/>
        </w:rPr>
        <w:t xml:space="preserve"> be implemented in </w:t>
      </w:r>
      <w:r w:rsidR="00801054" w:rsidRPr="00583317">
        <w:rPr>
          <w:rFonts w:ascii="Franklin Gothic Book" w:hAnsi="Franklin Gothic Book"/>
        </w:rPr>
        <w:t>201</w:t>
      </w:r>
      <w:r w:rsidR="00801054">
        <w:rPr>
          <w:rFonts w:ascii="Franklin Gothic Book" w:hAnsi="Franklin Gothic Book"/>
        </w:rPr>
        <w:t>4</w:t>
      </w:r>
      <w:r w:rsidRPr="00583317">
        <w:rPr>
          <w:rFonts w:ascii="Franklin Gothic Book" w:hAnsi="Franklin Gothic Book"/>
        </w:rPr>
        <w:t>-</w:t>
      </w:r>
      <w:r w:rsidR="00801054" w:rsidRPr="00583317">
        <w:rPr>
          <w:rFonts w:ascii="Franklin Gothic Book" w:hAnsi="Franklin Gothic Book"/>
        </w:rPr>
        <w:t>1</w:t>
      </w:r>
      <w:r w:rsidR="00801054">
        <w:rPr>
          <w:rFonts w:ascii="Franklin Gothic Book" w:hAnsi="Franklin Gothic Book"/>
        </w:rPr>
        <w:t>5</w:t>
      </w:r>
      <w:r w:rsidRPr="00583317">
        <w:rPr>
          <w:rFonts w:ascii="Franklin Gothic Book" w:hAnsi="Franklin Gothic Book"/>
        </w:rPr>
        <w:t xml:space="preserve">. </w:t>
      </w:r>
      <w:r w:rsidR="00801054">
        <w:rPr>
          <w:rFonts w:ascii="Franklin Gothic Book" w:hAnsi="Franklin Gothic Book"/>
        </w:rPr>
        <w:t>DFAT</w:t>
      </w:r>
      <w:r w:rsidR="00801054" w:rsidRPr="00583317">
        <w:rPr>
          <w:rFonts w:ascii="Franklin Gothic Book" w:hAnsi="Franklin Gothic Book"/>
        </w:rPr>
        <w:t xml:space="preserve"> </w:t>
      </w:r>
      <w:r w:rsidRPr="00583317">
        <w:rPr>
          <w:rFonts w:ascii="Franklin Gothic Book" w:hAnsi="Franklin Gothic Book"/>
        </w:rPr>
        <w:t xml:space="preserve">and the </w:t>
      </w:r>
      <w:r w:rsidR="00BE459B" w:rsidRPr="00583317">
        <w:rPr>
          <w:rFonts w:ascii="Franklin Gothic Book" w:hAnsi="Franklin Gothic Book"/>
        </w:rPr>
        <w:t>Core Partners</w:t>
      </w:r>
      <w:r w:rsidRPr="00583317">
        <w:rPr>
          <w:rFonts w:ascii="Franklin Gothic Book" w:hAnsi="Franklin Gothic Book"/>
        </w:rPr>
        <w:t xml:space="preserve"> will coordinate closely to ensure </w:t>
      </w:r>
      <w:r w:rsidR="00BE459B" w:rsidRPr="00583317">
        <w:rPr>
          <w:rFonts w:ascii="Franklin Gothic Book" w:hAnsi="Franklin Gothic Book"/>
        </w:rPr>
        <w:t xml:space="preserve">synergy in </w:t>
      </w:r>
      <w:r w:rsidRPr="00583317">
        <w:rPr>
          <w:rFonts w:ascii="Franklin Gothic Book" w:hAnsi="Franklin Gothic Book"/>
        </w:rPr>
        <w:t>promoting the AVID Program. These include the following:</w:t>
      </w:r>
    </w:p>
    <w:p w:rsidR="00801054" w:rsidRDefault="003A6AA4" w:rsidP="003A6AA4">
      <w:pPr>
        <w:spacing w:after="120" w:line="240" w:lineRule="auto"/>
        <w:jc w:val="both"/>
        <w:rPr>
          <w:rFonts w:ascii="Franklin Gothic Book" w:hAnsi="Franklin Gothic Book"/>
          <w:b/>
        </w:rPr>
      </w:pPr>
      <w:r w:rsidRPr="00583317">
        <w:rPr>
          <w:rFonts w:ascii="Franklin Gothic Book" w:hAnsi="Franklin Gothic Book"/>
          <w:b/>
        </w:rPr>
        <w:lastRenderedPageBreak/>
        <w:t xml:space="preserve">(1) </w:t>
      </w:r>
      <w:r w:rsidR="00924736">
        <w:rPr>
          <w:rFonts w:ascii="Franklin Gothic Book" w:hAnsi="Franklin Gothic Book"/>
          <w:b/>
        </w:rPr>
        <w:t>Strengthen</w:t>
      </w:r>
      <w:r w:rsidR="00801054">
        <w:rPr>
          <w:rFonts w:ascii="Franklin Gothic Book" w:hAnsi="Franklin Gothic Book"/>
          <w:b/>
        </w:rPr>
        <w:t xml:space="preserve"> AVID branding</w:t>
      </w:r>
    </w:p>
    <w:p w:rsidR="00801054" w:rsidRPr="00583317" w:rsidRDefault="00801054" w:rsidP="003A6AA4">
      <w:pPr>
        <w:spacing w:after="120" w:line="240" w:lineRule="auto"/>
        <w:jc w:val="both"/>
        <w:rPr>
          <w:rFonts w:ascii="Franklin Gothic Book" w:hAnsi="Franklin Gothic Book"/>
        </w:rPr>
      </w:pPr>
      <w:r w:rsidRPr="00583317">
        <w:rPr>
          <w:rFonts w:ascii="Franklin Gothic Book" w:hAnsi="Franklin Gothic Book"/>
        </w:rPr>
        <w:t>DFAT</w:t>
      </w:r>
      <w:r>
        <w:rPr>
          <w:rFonts w:ascii="Franklin Gothic Book" w:hAnsi="Franklin Gothic Book"/>
        </w:rPr>
        <w:t xml:space="preserve"> and Core Partners </w:t>
      </w:r>
      <w:r w:rsidR="00924736">
        <w:rPr>
          <w:rFonts w:ascii="Franklin Gothic Book" w:hAnsi="Franklin Gothic Book"/>
        </w:rPr>
        <w:t xml:space="preserve">will </w:t>
      </w:r>
      <w:r>
        <w:rPr>
          <w:rFonts w:ascii="Franklin Gothic Book" w:hAnsi="Franklin Gothic Book"/>
        </w:rPr>
        <w:t xml:space="preserve">support the implementation of new AVID branding guidelines when </w:t>
      </w:r>
      <w:r w:rsidR="00924736">
        <w:rPr>
          <w:rFonts w:ascii="Franklin Gothic Book" w:hAnsi="Franklin Gothic Book"/>
        </w:rPr>
        <w:t>available</w:t>
      </w:r>
      <w:r>
        <w:rPr>
          <w:rFonts w:ascii="Franklin Gothic Book" w:hAnsi="Franklin Gothic Book"/>
        </w:rPr>
        <w:t xml:space="preserve"> for better promoting and marketing </w:t>
      </w:r>
      <w:r w:rsidR="00924736">
        <w:rPr>
          <w:rFonts w:ascii="Franklin Gothic Book" w:hAnsi="Franklin Gothic Book"/>
        </w:rPr>
        <w:t xml:space="preserve">of </w:t>
      </w:r>
      <w:r>
        <w:rPr>
          <w:rFonts w:ascii="Franklin Gothic Book" w:hAnsi="Franklin Gothic Book"/>
        </w:rPr>
        <w:t xml:space="preserve">the single AVID </w:t>
      </w:r>
      <w:r w:rsidR="00924736">
        <w:rPr>
          <w:rFonts w:ascii="Franklin Gothic Book" w:hAnsi="Franklin Gothic Book"/>
        </w:rPr>
        <w:t>brand</w:t>
      </w:r>
      <w:r>
        <w:rPr>
          <w:rFonts w:ascii="Franklin Gothic Book" w:hAnsi="Franklin Gothic Book"/>
        </w:rPr>
        <w:t>.</w:t>
      </w:r>
    </w:p>
    <w:p w:rsidR="003A6AA4" w:rsidRPr="00583317" w:rsidRDefault="00801054" w:rsidP="003A6AA4">
      <w:pPr>
        <w:spacing w:after="120" w:line="240" w:lineRule="auto"/>
        <w:jc w:val="both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 xml:space="preserve">(2) </w:t>
      </w:r>
      <w:r w:rsidR="003A6AA4" w:rsidRPr="00583317">
        <w:rPr>
          <w:rFonts w:ascii="Franklin Gothic Book" w:hAnsi="Franklin Gothic Book"/>
          <w:b/>
        </w:rPr>
        <w:t xml:space="preserve">Australian Government Official </w:t>
      </w:r>
      <w:r w:rsidR="008C25FA" w:rsidRPr="00583317">
        <w:rPr>
          <w:rFonts w:ascii="Franklin Gothic Book" w:hAnsi="Franklin Gothic Book"/>
          <w:b/>
        </w:rPr>
        <w:t>Events</w:t>
      </w:r>
    </w:p>
    <w:p w:rsidR="003A6AA4" w:rsidRPr="00583317" w:rsidRDefault="008C25FA" w:rsidP="003A6AA4">
      <w:pPr>
        <w:spacing w:after="120" w:line="240" w:lineRule="auto"/>
        <w:jc w:val="both"/>
        <w:rPr>
          <w:rFonts w:ascii="Franklin Gothic Book" w:hAnsi="Franklin Gothic Book"/>
        </w:rPr>
      </w:pPr>
      <w:r w:rsidRPr="00583317">
        <w:rPr>
          <w:rFonts w:ascii="Franklin Gothic Book" w:hAnsi="Franklin Gothic Book"/>
        </w:rPr>
        <w:t xml:space="preserve">Vietnam receives regular high-level Australian official visits and on many occasions these officials include a visit to a volunteer. Such visits receive Australian and Vietnam media coverage and promote the program to the broader public in both countries.  In addition, each year in December the Australian Embassy hosts </w:t>
      </w:r>
      <w:r w:rsidR="00801054">
        <w:rPr>
          <w:rFonts w:ascii="Franklin Gothic Book" w:hAnsi="Franklin Gothic Book"/>
        </w:rPr>
        <w:t>a</w:t>
      </w:r>
      <w:r w:rsidRPr="00583317">
        <w:rPr>
          <w:rFonts w:ascii="Franklin Gothic Book" w:hAnsi="Franklin Gothic Book"/>
        </w:rPr>
        <w:t xml:space="preserve"> volunteer photo exhibition </w:t>
      </w:r>
      <w:r w:rsidR="00EE7B3A" w:rsidRPr="00583317">
        <w:rPr>
          <w:rFonts w:ascii="Franklin Gothic Book" w:hAnsi="Franklin Gothic Book"/>
        </w:rPr>
        <w:t>in celebration of</w:t>
      </w:r>
      <w:r w:rsidRPr="00583317">
        <w:rPr>
          <w:rFonts w:ascii="Franklin Gothic Book" w:hAnsi="Franklin Gothic Book"/>
        </w:rPr>
        <w:t xml:space="preserve"> International Volunteers Day.</w:t>
      </w:r>
    </w:p>
    <w:p w:rsidR="00801054" w:rsidRDefault="00801054" w:rsidP="00D840A2">
      <w:pPr>
        <w:keepNext/>
        <w:spacing w:after="120" w:line="240" w:lineRule="auto"/>
        <w:jc w:val="both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(3) Embassy Facebook</w:t>
      </w:r>
    </w:p>
    <w:p w:rsidR="00801054" w:rsidRPr="00583317" w:rsidRDefault="00801054" w:rsidP="00D840A2">
      <w:pPr>
        <w:keepNext/>
        <w:spacing w:after="120" w:line="240" w:lineRule="auto"/>
        <w:jc w:val="both"/>
        <w:rPr>
          <w:rFonts w:ascii="Franklin Gothic Book" w:hAnsi="Franklin Gothic Book"/>
        </w:rPr>
      </w:pPr>
      <w:r w:rsidRPr="00583317">
        <w:rPr>
          <w:rFonts w:ascii="Franklin Gothic Book" w:hAnsi="Franklin Gothic Book"/>
        </w:rPr>
        <w:t>The Embassy Facebook</w:t>
      </w:r>
      <w:r>
        <w:rPr>
          <w:rFonts w:ascii="Franklin Gothic Book" w:hAnsi="Franklin Gothic Book"/>
        </w:rPr>
        <w:t xml:space="preserve"> is a good communication channel for disseminating information of the AVID program to a wide online audience. Core partners, volunteers, host organisations and staff of Hanoi post contribute stories and photos of the AVID program in-country for the Embassy Facebook page.</w:t>
      </w:r>
    </w:p>
    <w:p w:rsidR="008C25FA" w:rsidRPr="00583317" w:rsidRDefault="008C25FA" w:rsidP="00D840A2">
      <w:pPr>
        <w:keepNext/>
        <w:spacing w:after="120" w:line="240" w:lineRule="auto"/>
        <w:jc w:val="both"/>
        <w:rPr>
          <w:rFonts w:ascii="Franklin Gothic Book" w:hAnsi="Franklin Gothic Book"/>
          <w:b/>
        </w:rPr>
      </w:pPr>
      <w:r w:rsidRPr="00583317">
        <w:rPr>
          <w:rFonts w:ascii="Franklin Gothic Book" w:hAnsi="Franklin Gothic Book"/>
          <w:b/>
        </w:rPr>
        <w:t>(</w:t>
      </w:r>
      <w:r w:rsidR="00801054">
        <w:rPr>
          <w:rFonts w:ascii="Franklin Gothic Book" w:hAnsi="Franklin Gothic Book"/>
          <w:b/>
        </w:rPr>
        <w:t>4</w:t>
      </w:r>
      <w:r w:rsidRPr="00583317">
        <w:rPr>
          <w:rFonts w:ascii="Franklin Gothic Book" w:hAnsi="Franklin Gothic Book"/>
          <w:b/>
        </w:rPr>
        <w:t xml:space="preserve">) </w:t>
      </w:r>
      <w:r w:rsidR="00886F7D" w:rsidRPr="00583317">
        <w:rPr>
          <w:rFonts w:ascii="Franklin Gothic Book" w:hAnsi="Franklin Gothic Book"/>
          <w:b/>
        </w:rPr>
        <w:t>Information Sessions</w:t>
      </w:r>
    </w:p>
    <w:p w:rsidR="00886F7D" w:rsidRPr="00583317" w:rsidRDefault="003B0FAA" w:rsidP="008C25FA">
      <w:pPr>
        <w:spacing w:after="120" w:line="240" w:lineRule="auto"/>
        <w:jc w:val="both"/>
        <w:rPr>
          <w:rFonts w:ascii="Franklin Gothic Book" w:hAnsi="Franklin Gothic Book"/>
        </w:rPr>
      </w:pPr>
      <w:r w:rsidRPr="00583317">
        <w:rPr>
          <w:rFonts w:ascii="Franklin Gothic Book" w:hAnsi="Franklin Gothic Book"/>
        </w:rPr>
        <w:t>In the last four</w:t>
      </w:r>
      <w:r w:rsidR="00745E35" w:rsidRPr="00583317">
        <w:rPr>
          <w:rFonts w:ascii="Franklin Gothic Book" w:hAnsi="Franklin Gothic Book"/>
        </w:rPr>
        <w:t xml:space="preserve"> years, the </w:t>
      </w:r>
      <w:r w:rsidR="00BE459B" w:rsidRPr="00583317">
        <w:rPr>
          <w:rFonts w:ascii="Franklin Gothic Book" w:hAnsi="Franklin Gothic Book"/>
        </w:rPr>
        <w:t>Core Partners</w:t>
      </w:r>
      <w:r w:rsidR="00745E35" w:rsidRPr="00583317">
        <w:rPr>
          <w:rFonts w:ascii="Franklin Gothic Book" w:hAnsi="Franklin Gothic Book"/>
        </w:rPr>
        <w:t xml:space="preserve"> ha</w:t>
      </w:r>
      <w:r w:rsidR="00BE459B" w:rsidRPr="00583317">
        <w:rPr>
          <w:rFonts w:ascii="Franklin Gothic Book" w:hAnsi="Franklin Gothic Book"/>
        </w:rPr>
        <w:t>ve</w:t>
      </w:r>
      <w:r w:rsidR="00745E35" w:rsidRPr="00583317">
        <w:rPr>
          <w:rFonts w:ascii="Franklin Gothic Book" w:hAnsi="Franklin Gothic Book"/>
        </w:rPr>
        <w:t xml:space="preserve"> been conducting HO information sessions as </w:t>
      </w:r>
      <w:r w:rsidR="00EE7B3A" w:rsidRPr="00583317">
        <w:rPr>
          <w:rFonts w:ascii="Franklin Gothic Book" w:hAnsi="Franklin Gothic Book"/>
        </w:rPr>
        <w:t xml:space="preserve">a </w:t>
      </w:r>
      <w:r w:rsidR="00745E35" w:rsidRPr="00583317">
        <w:rPr>
          <w:rFonts w:ascii="Franklin Gothic Book" w:hAnsi="Franklin Gothic Book"/>
        </w:rPr>
        <w:t xml:space="preserve">key marketing strategy for the Australian Volunteers. On average around 15-20 HO representatives are invited to attend a 2-3 hour information session, held three to four times a year. This </w:t>
      </w:r>
      <w:r w:rsidRPr="00583317">
        <w:rPr>
          <w:rFonts w:ascii="Franklin Gothic Book" w:hAnsi="Franklin Gothic Book"/>
        </w:rPr>
        <w:t>strategy</w:t>
      </w:r>
      <w:r w:rsidR="00745E35" w:rsidRPr="00583317">
        <w:rPr>
          <w:rFonts w:ascii="Franklin Gothic Book" w:hAnsi="Franklin Gothic Book"/>
        </w:rPr>
        <w:t xml:space="preserve"> is a good way to inform various group</w:t>
      </w:r>
      <w:r w:rsidR="00EE7B3A" w:rsidRPr="00583317">
        <w:rPr>
          <w:rFonts w:ascii="Franklin Gothic Book" w:hAnsi="Franklin Gothic Book"/>
        </w:rPr>
        <w:t>s</w:t>
      </w:r>
      <w:r w:rsidR="00745E35" w:rsidRPr="00583317">
        <w:rPr>
          <w:rFonts w:ascii="Franklin Gothic Book" w:hAnsi="Franklin Gothic Book"/>
        </w:rPr>
        <w:t xml:space="preserve"> of the Program to make sure that the opportunity to access volunteer support </w:t>
      </w:r>
      <w:r w:rsidR="00EE7B3A" w:rsidRPr="00583317">
        <w:rPr>
          <w:rFonts w:ascii="Franklin Gothic Book" w:hAnsi="Franklin Gothic Book"/>
        </w:rPr>
        <w:t>is</w:t>
      </w:r>
      <w:r w:rsidR="00745E35" w:rsidRPr="00583317">
        <w:rPr>
          <w:rFonts w:ascii="Franklin Gothic Book" w:hAnsi="Franklin Gothic Book"/>
        </w:rPr>
        <w:t xml:space="preserve"> </w:t>
      </w:r>
      <w:r w:rsidR="00924736">
        <w:rPr>
          <w:rFonts w:ascii="Franklin Gothic Book" w:hAnsi="Franklin Gothic Book"/>
        </w:rPr>
        <w:t>communicated</w:t>
      </w:r>
      <w:r w:rsidR="00924736" w:rsidRPr="00583317">
        <w:rPr>
          <w:rFonts w:ascii="Franklin Gothic Book" w:hAnsi="Franklin Gothic Book"/>
        </w:rPr>
        <w:t xml:space="preserve"> </w:t>
      </w:r>
      <w:r w:rsidR="00745E35" w:rsidRPr="00583317">
        <w:rPr>
          <w:rFonts w:ascii="Franklin Gothic Book" w:hAnsi="Franklin Gothic Book"/>
        </w:rPr>
        <w:t xml:space="preserve">to </w:t>
      </w:r>
      <w:r w:rsidR="00EE7B3A" w:rsidRPr="00583317">
        <w:rPr>
          <w:rFonts w:ascii="Franklin Gothic Book" w:hAnsi="Franklin Gothic Book"/>
        </w:rPr>
        <w:t xml:space="preserve">a </w:t>
      </w:r>
      <w:r w:rsidR="00745E35" w:rsidRPr="00583317">
        <w:rPr>
          <w:rFonts w:ascii="Franklin Gothic Book" w:hAnsi="Franklin Gothic Book"/>
        </w:rPr>
        <w:t xml:space="preserve">wide range of potential host organisations. </w:t>
      </w:r>
    </w:p>
    <w:p w:rsidR="008C25FA" w:rsidRPr="00583317" w:rsidRDefault="008C25FA" w:rsidP="008C25FA">
      <w:pPr>
        <w:spacing w:after="120" w:line="240" w:lineRule="auto"/>
        <w:jc w:val="both"/>
        <w:rPr>
          <w:rFonts w:ascii="Franklin Gothic Book" w:hAnsi="Franklin Gothic Book"/>
          <w:b/>
        </w:rPr>
      </w:pPr>
      <w:r w:rsidRPr="00583317">
        <w:rPr>
          <w:rFonts w:ascii="Franklin Gothic Book" w:hAnsi="Franklin Gothic Book"/>
          <w:b/>
        </w:rPr>
        <w:t>(</w:t>
      </w:r>
      <w:r w:rsidR="00801054">
        <w:rPr>
          <w:rFonts w:ascii="Franklin Gothic Book" w:hAnsi="Franklin Gothic Book"/>
          <w:b/>
        </w:rPr>
        <w:t>5</w:t>
      </w:r>
      <w:r w:rsidRPr="00583317">
        <w:rPr>
          <w:rFonts w:ascii="Franklin Gothic Book" w:hAnsi="Franklin Gothic Book"/>
          <w:b/>
        </w:rPr>
        <w:t xml:space="preserve">) </w:t>
      </w:r>
      <w:r w:rsidR="00B74050" w:rsidRPr="00583317">
        <w:rPr>
          <w:rFonts w:ascii="Franklin Gothic Book" w:hAnsi="Franklin Gothic Book"/>
          <w:b/>
        </w:rPr>
        <w:t>Use of NGO Resource Centre and working group</w:t>
      </w:r>
      <w:r w:rsidR="00BE459B" w:rsidRPr="00583317">
        <w:rPr>
          <w:rFonts w:ascii="Franklin Gothic Book" w:hAnsi="Franklin Gothic Book"/>
          <w:b/>
        </w:rPr>
        <w:t>s</w:t>
      </w:r>
      <w:r w:rsidRPr="00583317">
        <w:rPr>
          <w:rFonts w:ascii="Franklin Gothic Book" w:hAnsi="Franklin Gothic Book"/>
          <w:b/>
        </w:rPr>
        <w:t xml:space="preserve"> network</w:t>
      </w:r>
    </w:p>
    <w:p w:rsidR="000D6A55" w:rsidRDefault="00B74050" w:rsidP="003A6AA4">
      <w:pPr>
        <w:spacing w:after="120" w:line="240" w:lineRule="auto"/>
        <w:jc w:val="both"/>
        <w:rPr>
          <w:rFonts w:ascii="Franklin Gothic Book" w:hAnsi="Franklin Gothic Book"/>
        </w:rPr>
      </w:pPr>
      <w:r w:rsidRPr="00583317">
        <w:rPr>
          <w:rFonts w:ascii="Franklin Gothic Book" w:hAnsi="Franklin Gothic Book"/>
        </w:rPr>
        <w:t xml:space="preserve">The AVID Program will continue </w:t>
      </w:r>
      <w:r w:rsidR="00BE459B" w:rsidRPr="00583317">
        <w:rPr>
          <w:rFonts w:ascii="Franklin Gothic Book" w:hAnsi="Franklin Gothic Book"/>
        </w:rPr>
        <w:t xml:space="preserve">to promote </w:t>
      </w:r>
      <w:r w:rsidRPr="00583317">
        <w:rPr>
          <w:rFonts w:ascii="Franklin Gothic Book" w:hAnsi="Franklin Gothic Book"/>
        </w:rPr>
        <w:t xml:space="preserve">opportunities </w:t>
      </w:r>
      <w:r w:rsidR="00BE459B" w:rsidRPr="00583317">
        <w:rPr>
          <w:rFonts w:ascii="Franklin Gothic Book" w:hAnsi="Franklin Gothic Book"/>
        </w:rPr>
        <w:t>for</w:t>
      </w:r>
      <w:r w:rsidRPr="00583317">
        <w:rPr>
          <w:rFonts w:ascii="Franklin Gothic Book" w:hAnsi="Franklin Gothic Book"/>
        </w:rPr>
        <w:t xml:space="preserve"> volunteer assignments through </w:t>
      </w:r>
      <w:r w:rsidR="00BE459B" w:rsidRPr="00583317">
        <w:rPr>
          <w:rFonts w:ascii="Franklin Gothic Book" w:hAnsi="Franklin Gothic Book"/>
        </w:rPr>
        <w:t xml:space="preserve">the </w:t>
      </w:r>
      <w:r w:rsidRPr="00583317">
        <w:rPr>
          <w:rFonts w:ascii="Franklin Gothic Book" w:hAnsi="Franklin Gothic Book"/>
        </w:rPr>
        <w:t xml:space="preserve">NGO </w:t>
      </w:r>
      <w:r w:rsidR="00174913" w:rsidRPr="00583317">
        <w:rPr>
          <w:rFonts w:ascii="Franklin Gothic Book" w:hAnsi="Franklin Gothic Book"/>
        </w:rPr>
        <w:t>Resource</w:t>
      </w:r>
      <w:r w:rsidRPr="00583317">
        <w:rPr>
          <w:rFonts w:ascii="Franklin Gothic Book" w:hAnsi="Franklin Gothic Book"/>
        </w:rPr>
        <w:t xml:space="preserve"> Centre </w:t>
      </w:r>
      <w:r w:rsidR="00174913" w:rsidRPr="00583317">
        <w:rPr>
          <w:rFonts w:ascii="Franklin Gothic Book" w:hAnsi="Franklin Gothic Book"/>
        </w:rPr>
        <w:t xml:space="preserve">and targeted </w:t>
      </w:r>
      <w:r w:rsidR="00924736">
        <w:rPr>
          <w:rFonts w:ascii="Franklin Gothic Book" w:hAnsi="Franklin Gothic Book"/>
        </w:rPr>
        <w:t xml:space="preserve">thematic </w:t>
      </w:r>
      <w:r w:rsidR="00174913" w:rsidRPr="00583317">
        <w:rPr>
          <w:rFonts w:ascii="Franklin Gothic Book" w:hAnsi="Franklin Gothic Book"/>
        </w:rPr>
        <w:t>working groups such as Climate Change, Disabilit</w:t>
      </w:r>
      <w:r w:rsidR="00924736">
        <w:rPr>
          <w:rFonts w:ascii="Franklin Gothic Book" w:hAnsi="Franklin Gothic Book"/>
        </w:rPr>
        <w:t>y</w:t>
      </w:r>
      <w:r w:rsidR="00174913" w:rsidRPr="00583317">
        <w:rPr>
          <w:rFonts w:ascii="Franklin Gothic Book" w:hAnsi="Franklin Gothic Book"/>
        </w:rPr>
        <w:t xml:space="preserve">, </w:t>
      </w:r>
      <w:r w:rsidR="00C8720D" w:rsidRPr="00583317">
        <w:rPr>
          <w:rFonts w:ascii="Franklin Gothic Book" w:hAnsi="Franklin Gothic Book"/>
        </w:rPr>
        <w:t>and Rural</w:t>
      </w:r>
      <w:r w:rsidR="00174913" w:rsidRPr="00583317">
        <w:rPr>
          <w:rFonts w:ascii="Franklin Gothic Book" w:hAnsi="Franklin Gothic Book"/>
        </w:rPr>
        <w:t xml:space="preserve"> Development</w:t>
      </w:r>
      <w:r w:rsidR="00BE459B" w:rsidRPr="00583317">
        <w:rPr>
          <w:rFonts w:ascii="Franklin Gothic Book" w:hAnsi="Franklin Gothic Book"/>
        </w:rPr>
        <w:t>.</w:t>
      </w:r>
    </w:p>
    <w:p w:rsidR="000D6A55" w:rsidRPr="000D6A55" w:rsidRDefault="000D6A55" w:rsidP="003A6AA4">
      <w:pPr>
        <w:spacing w:after="120" w:line="240" w:lineRule="auto"/>
        <w:jc w:val="both"/>
        <w:rPr>
          <w:rFonts w:ascii="Franklin Gothic Book" w:hAnsi="Franklin Gothic Book"/>
        </w:rPr>
      </w:pPr>
    </w:p>
    <w:p w:rsidR="00D563A1" w:rsidRPr="00552ABD" w:rsidRDefault="00D563A1" w:rsidP="006166A5">
      <w:pPr>
        <w:pStyle w:val="Heading2"/>
        <w:tabs>
          <w:tab w:val="left" w:pos="7088"/>
        </w:tabs>
        <w:spacing w:before="0" w:after="120" w:line="240" w:lineRule="auto"/>
        <w:jc w:val="both"/>
        <w:rPr>
          <w:rFonts w:ascii="Franklin Gothic Book" w:hAnsi="Franklin Gothic Book"/>
          <w:color w:val="auto"/>
          <w:sz w:val="22"/>
          <w:szCs w:val="22"/>
        </w:rPr>
      </w:pPr>
      <w:r w:rsidRPr="00552ABD">
        <w:rPr>
          <w:rFonts w:ascii="Franklin Gothic Book" w:hAnsi="Franklin Gothic Book"/>
          <w:color w:val="auto"/>
          <w:sz w:val="22"/>
          <w:szCs w:val="22"/>
        </w:rPr>
        <w:t>Prepared by (ICM):</w:t>
      </w:r>
      <w:r w:rsidRPr="00552ABD">
        <w:rPr>
          <w:rFonts w:ascii="Franklin Gothic Book" w:hAnsi="Franklin Gothic Book"/>
          <w:color w:val="auto"/>
          <w:sz w:val="22"/>
          <w:szCs w:val="22"/>
        </w:rPr>
        <w:tab/>
        <w:t>Approved by (A-based Post):</w:t>
      </w:r>
    </w:p>
    <w:p w:rsidR="00D563A1" w:rsidRPr="000D6A55" w:rsidRDefault="00362071" w:rsidP="006166A5">
      <w:pPr>
        <w:pStyle w:val="Heading2"/>
        <w:tabs>
          <w:tab w:val="left" w:pos="7088"/>
        </w:tabs>
        <w:spacing w:before="0" w:after="120" w:line="240" w:lineRule="auto"/>
        <w:jc w:val="both"/>
        <w:rPr>
          <w:rFonts w:ascii="Franklin Gothic Book" w:hAnsi="Franklin Gothic Book"/>
          <w:b w:val="0"/>
          <w:color w:val="auto"/>
          <w:sz w:val="22"/>
          <w:szCs w:val="22"/>
        </w:rPr>
      </w:pPr>
      <w:r>
        <w:rPr>
          <w:rFonts w:ascii="Franklin Gothic Book" w:hAnsi="Franklin Gothic Book"/>
          <w:b w:val="0"/>
          <w:color w:val="auto"/>
          <w:sz w:val="22"/>
          <w:szCs w:val="22"/>
        </w:rPr>
        <w:t>Claude Potvin</w:t>
      </w:r>
      <w:r w:rsidR="000D6A55">
        <w:rPr>
          <w:rFonts w:ascii="Franklin Gothic Book" w:hAnsi="Franklin Gothic Book"/>
          <w:b w:val="0"/>
          <w:color w:val="auto"/>
          <w:sz w:val="22"/>
          <w:szCs w:val="22"/>
        </w:rPr>
        <w:tab/>
      </w:r>
      <w:r w:rsidR="001036E8">
        <w:rPr>
          <w:rFonts w:ascii="Franklin Gothic Book" w:hAnsi="Franklin Gothic Book"/>
          <w:b w:val="0"/>
          <w:color w:val="auto"/>
          <w:sz w:val="22"/>
          <w:szCs w:val="22"/>
        </w:rPr>
        <w:t>Claire Ireland</w:t>
      </w:r>
    </w:p>
    <w:p w:rsidR="00D563A1" w:rsidRPr="000D6A55" w:rsidRDefault="00D563A1" w:rsidP="006166A5">
      <w:pPr>
        <w:pStyle w:val="Heading2"/>
        <w:tabs>
          <w:tab w:val="left" w:pos="7088"/>
        </w:tabs>
        <w:spacing w:before="0" w:after="120" w:line="240" w:lineRule="auto"/>
        <w:jc w:val="both"/>
        <w:rPr>
          <w:rFonts w:ascii="Franklin Gothic Book" w:hAnsi="Franklin Gothic Book"/>
          <w:b w:val="0"/>
          <w:color w:val="auto"/>
          <w:sz w:val="22"/>
          <w:szCs w:val="22"/>
        </w:rPr>
      </w:pPr>
      <w:r w:rsidRPr="00552ABD">
        <w:rPr>
          <w:rFonts w:ascii="Franklin Gothic Book" w:hAnsi="Franklin Gothic Book"/>
          <w:color w:val="auto"/>
          <w:sz w:val="22"/>
          <w:szCs w:val="22"/>
        </w:rPr>
        <w:tab/>
      </w:r>
    </w:p>
    <w:p w:rsidR="00F06021" w:rsidRDefault="00F06021" w:rsidP="00F06021"/>
    <w:p w:rsidR="00F06021" w:rsidRPr="00F06021" w:rsidRDefault="00F06021" w:rsidP="00F06021">
      <w:pPr>
        <w:ind w:left="142"/>
        <w:rPr>
          <w:b/>
        </w:rPr>
      </w:pPr>
      <w:r>
        <w:br w:type="page"/>
      </w:r>
      <w:r w:rsidRPr="00F06021">
        <w:rPr>
          <w:b/>
        </w:rPr>
        <w:lastRenderedPageBreak/>
        <w:t xml:space="preserve">ANNEX I </w:t>
      </w:r>
    </w:p>
    <w:bookmarkStart w:id="1" w:name="_MON_1413113394"/>
    <w:bookmarkEnd w:id="1"/>
    <w:p w:rsidR="00F06021" w:rsidRDefault="00362071" w:rsidP="00F06021">
      <w:r>
        <w:object w:dxaOrig="9770" w:dyaOrig="125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7pt;height:629.2pt" o:ole="">
            <v:imagedata r:id="rId11" o:title=""/>
          </v:shape>
          <o:OLEObject Type="Embed" ProgID="Word.Document.8" ShapeID="_x0000_i1025" DrawAspect="Content" ObjectID="_1477399444" r:id="rId12">
            <o:FieldCodes>\s</o:FieldCodes>
          </o:OLEObject>
        </w:object>
      </w:r>
    </w:p>
    <w:p w:rsidR="00F06021" w:rsidRDefault="00F06021" w:rsidP="00F06021"/>
    <w:sectPr w:rsidR="00F06021" w:rsidSect="006166A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5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CCF" w:rsidRDefault="00C62CCF" w:rsidP="00353AE2">
      <w:pPr>
        <w:spacing w:after="0" w:line="240" w:lineRule="auto"/>
      </w:pPr>
      <w:r>
        <w:separator/>
      </w:r>
    </w:p>
  </w:endnote>
  <w:endnote w:type="continuationSeparator" w:id="0">
    <w:p w:rsidR="00C62CCF" w:rsidRDefault="00C62CCF" w:rsidP="00353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8B0" w:rsidRDefault="00AF38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9136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2CCF" w:rsidRDefault="00C62C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38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2CCF" w:rsidRDefault="00C62C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8B0" w:rsidRDefault="00AF38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CCF" w:rsidRDefault="00C62CCF" w:rsidP="00353AE2">
      <w:pPr>
        <w:spacing w:after="0" w:line="240" w:lineRule="auto"/>
      </w:pPr>
      <w:r>
        <w:separator/>
      </w:r>
    </w:p>
  </w:footnote>
  <w:footnote w:type="continuationSeparator" w:id="0">
    <w:p w:rsidR="00C62CCF" w:rsidRDefault="00C62CCF" w:rsidP="00353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8B0" w:rsidRDefault="00AF38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8B0" w:rsidRDefault="00AF38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8B0" w:rsidRDefault="00AF38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37F2"/>
    <w:multiLevelType w:val="hybridMultilevel"/>
    <w:tmpl w:val="D66C86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11C87"/>
    <w:multiLevelType w:val="hybridMultilevel"/>
    <w:tmpl w:val="79B8F34C"/>
    <w:lvl w:ilvl="0" w:tplc="2214A048">
      <w:start w:val="2015"/>
      <w:numFmt w:val="bullet"/>
      <w:lvlText w:val="-"/>
      <w:lvlJc w:val="left"/>
      <w:pPr>
        <w:ind w:left="720" w:hanging="360"/>
      </w:pPr>
      <w:rPr>
        <w:rFonts w:ascii="Franklin Gothic Book" w:eastAsiaTheme="minorEastAsia" w:hAnsi="Franklin Gothic Book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428E4"/>
    <w:multiLevelType w:val="hybridMultilevel"/>
    <w:tmpl w:val="FA764BA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80464"/>
    <w:multiLevelType w:val="hybridMultilevel"/>
    <w:tmpl w:val="8BE2EAE8"/>
    <w:lvl w:ilvl="0" w:tplc="AE129A0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07924"/>
    <w:multiLevelType w:val="multilevel"/>
    <w:tmpl w:val="B1E88124"/>
    <w:numStyleLink w:val="StyleSymbolsymbol11ptLeft0cmHanging063cm"/>
  </w:abstractNum>
  <w:abstractNum w:abstractNumId="5">
    <w:nsid w:val="3A731E12"/>
    <w:multiLevelType w:val="multilevel"/>
    <w:tmpl w:val="B1E88124"/>
    <w:styleLink w:val="StyleSymbolsymbol11ptLeft0cmHanging063cm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9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58C3CD3"/>
    <w:multiLevelType w:val="hybridMultilevel"/>
    <w:tmpl w:val="F4DEAF38"/>
    <w:lvl w:ilvl="0" w:tplc="82CC55A6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520AF8"/>
    <w:multiLevelType w:val="hybridMultilevel"/>
    <w:tmpl w:val="EB38829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CE7B8A"/>
    <w:multiLevelType w:val="hybridMultilevel"/>
    <w:tmpl w:val="720C986A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9">
    <w:nsid w:val="50B74B63"/>
    <w:multiLevelType w:val="hybridMultilevel"/>
    <w:tmpl w:val="B134BD26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48238D"/>
    <w:multiLevelType w:val="hybridMultilevel"/>
    <w:tmpl w:val="0A5CC1C0"/>
    <w:lvl w:ilvl="0" w:tplc="7BBC3D9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A75B11"/>
    <w:multiLevelType w:val="hybridMultilevel"/>
    <w:tmpl w:val="53A095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74B7830"/>
    <w:multiLevelType w:val="hybridMultilevel"/>
    <w:tmpl w:val="1BC0DFE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7425B7"/>
    <w:multiLevelType w:val="hybridMultilevel"/>
    <w:tmpl w:val="11A09A2C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C07E5B"/>
    <w:multiLevelType w:val="hybridMultilevel"/>
    <w:tmpl w:val="66C2A66E"/>
    <w:lvl w:ilvl="0" w:tplc="5218CF4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F125C7"/>
    <w:multiLevelType w:val="hybridMultilevel"/>
    <w:tmpl w:val="11A09A2C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11"/>
  </w:num>
  <w:num w:numId="5">
    <w:abstractNumId w:val="14"/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 w:numId="10">
    <w:abstractNumId w:val="1"/>
  </w:num>
  <w:num w:numId="11">
    <w:abstractNumId w:val="9"/>
  </w:num>
  <w:num w:numId="12">
    <w:abstractNumId w:val="13"/>
  </w:num>
  <w:num w:numId="13">
    <w:abstractNumId w:val="1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9C"/>
    <w:rsid w:val="000115FD"/>
    <w:rsid w:val="00022067"/>
    <w:rsid w:val="000251DF"/>
    <w:rsid w:val="0002782C"/>
    <w:rsid w:val="00032E84"/>
    <w:rsid w:val="0003342D"/>
    <w:rsid w:val="000352D9"/>
    <w:rsid w:val="00041DD8"/>
    <w:rsid w:val="00043798"/>
    <w:rsid w:val="00047137"/>
    <w:rsid w:val="00047217"/>
    <w:rsid w:val="0005358F"/>
    <w:rsid w:val="00057C62"/>
    <w:rsid w:val="00082C2B"/>
    <w:rsid w:val="00086745"/>
    <w:rsid w:val="0009563E"/>
    <w:rsid w:val="000964CF"/>
    <w:rsid w:val="000B5BC0"/>
    <w:rsid w:val="000D233A"/>
    <w:rsid w:val="000D26B1"/>
    <w:rsid w:val="000D6A55"/>
    <w:rsid w:val="000E4120"/>
    <w:rsid w:val="000E4AEE"/>
    <w:rsid w:val="000E5964"/>
    <w:rsid w:val="000F0E8D"/>
    <w:rsid w:val="000F1106"/>
    <w:rsid w:val="000F7148"/>
    <w:rsid w:val="001036E8"/>
    <w:rsid w:val="00112BBB"/>
    <w:rsid w:val="00160BA6"/>
    <w:rsid w:val="00161B44"/>
    <w:rsid w:val="00162BCA"/>
    <w:rsid w:val="0016536E"/>
    <w:rsid w:val="00166D72"/>
    <w:rsid w:val="00174913"/>
    <w:rsid w:val="00183A78"/>
    <w:rsid w:val="00184679"/>
    <w:rsid w:val="00186833"/>
    <w:rsid w:val="001A323D"/>
    <w:rsid w:val="001A3C6B"/>
    <w:rsid w:val="001B3B10"/>
    <w:rsid w:val="001C176A"/>
    <w:rsid w:val="001D0D09"/>
    <w:rsid w:val="001D4B83"/>
    <w:rsid w:val="001F71E7"/>
    <w:rsid w:val="00205899"/>
    <w:rsid w:val="002273FD"/>
    <w:rsid w:val="00230EBC"/>
    <w:rsid w:val="0023451B"/>
    <w:rsid w:val="0024268A"/>
    <w:rsid w:val="0024484B"/>
    <w:rsid w:val="00264764"/>
    <w:rsid w:val="002678D3"/>
    <w:rsid w:val="00276383"/>
    <w:rsid w:val="0028670B"/>
    <w:rsid w:val="002901B2"/>
    <w:rsid w:val="00290283"/>
    <w:rsid w:val="002A08C2"/>
    <w:rsid w:val="002A315F"/>
    <w:rsid w:val="002B734D"/>
    <w:rsid w:val="002B75A0"/>
    <w:rsid w:val="002C4F8B"/>
    <w:rsid w:val="002D3545"/>
    <w:rsid w:val="002F1A50"/>
    <w:rsid w:val="002F5983"/>
    <w:rsid w:val="00313413"/>
    <w:rsid w:val="00320E2B"/>
    <w:rsid w:val="0034177A"/>
    <w:rsid w:val="00342B89"/>
    <w:rsid w:val="00342C38"/>
    <w:rsid w:val="00347F34"/>
    <w:rsid w:val="00353AE2"/>
    <w:rsid w:val="003551E5"/>
    <w:rsid w:val="00355E16"/>
    <w:rsid w:val="00362071"/>
    <w:rsid w:val="00362762"/>
    <w:rsid w:val="00373F7B"/>
    <w:rsid w:val="00377FEE"/>
    <w:rsid w:val="00382538"/>
    <w:rsid w:val="003935C2"/>
    <w:rsid w:val="00393900"/>
    <w:rsid w:val="003A3406"/>
    <w:rsid w:val="003A4336"/>
    <w:rsid w:val="003A5CB0"/>
    <w:rsid w:val="003A6AA4"/>
    <w:rsid w:val="003B0FAA"/>
    <w:rsid w:val="003B2024"/>
    <w:rsid w:val="003C2737"/>
    <w:rsid w:val="003D3CDC"/>
    <w:rsid w:val="003D72A7"/>
    <w:rsid w:val="003E5423"/>
    <w:rsid w:val="003F6BE6"/>
    <w:rsid w:val="00412F8E"/>
    <w:rsid w:val="004213D1"/>
    <w:rsid w:val="00422787"/>
    <w:rsid w:val="00454CC7"/>
    <w:rsid w:val="00456FAB"/>
    <w:rsid w:val="00477E6E"/>
    <w:rsid w:val="004B3073"/>
    <w:rsid w:val="004B5954"/>
    <w:rsid w:val="004B6C3F"/>
    <w:rsid w:val="004B7EA3"/>
    <w:rsid w:val="004C2702"/>
    <w:rsid w:val="004C6577"/>
    <w:rsid w:val="004E3374"/>
    <w:rsid w:val="00500463"/>
    <w:rsid w:val="00501D2E"/>
    <w:rsid w:val="0050451C"/>
    <w:rsid w:val="0050782D"/>
    <w:rsid w:val="00515411"/>
    <w:rsid w:val="005212F0"/>
    <w:rsid w:val="00521C25"/>
    <w:rsid w:val="0052573B"/>
    <w:rsid w:val="00527629"/>
    <w:rsid w:val="00540D35"/>
    <w:rsid w:val="00552ABD"/>
    <w:rsid w:val="00555A1E"/>
    <w:rsid w:val="00557D84"/>
    <w:rsid w:val="00572803"/>
    <w:rsid w:val="00583317"/>
    <w:rsid w:val="005917FD"/>
    <w:rsid w:val="005B3D5A"/>
    <w:rsid w:val="005D2F64"/>
    <w:rsid w:val="005E62ED"/>
    <w:rsid w:val="005F6391"/>
    <w:rsid w:val="005F76B7"/>
    <w:rsid w:val="0060369C"/>
    <w:rsid w:val="00604322"/>
    <w:rsid w:val="006166A5"/>
    <w:rsid w:val="006259B3"/>
    <w:rsid w:val="00641E6F"/>
    <w:rsid w:val="006521A2"/>
    <w:rsid w:val="00661469"/>
    <w:rsid w:val="00665406"/>
    <w:rsid w:val="00673120"/>
    <w:rsid w:val="006738CE"/>
    <w:rsid w:val="00674FD7"/>
    <w:rsid w:val="00690D3D"/>
    <w:rsid w:val="00692837"/>
    <w:rsid w:val="0069526C"/>
    <w:rsid w:val="006A59F5"/>
    <w:rsid w:val="006A766F"/>
    <w:rsid w:val="006A77BF"/>
    <w:rsid w:val="006B0723"/>
    <w:rsid w:val="006B6099"/>
    <w:rsid w:val="006D004F"/>
    <w:rsid w:val="00710D24"/>
    <w:rsid w:val="0073176C"/>
    <w:rsid w:val="007376D4"/>
    <w:rsid w:val="00745E35"/>
    <w:rsid w:val="00764BE8"/>
    <w:rsid w:val="007704BF"/>
    <w:rsid w:val="00777914"/>
    <w:rsid w:val="00790B49"/>
    <w:rsid w:val="007925B6"/>
    <w:rsid w:val="00793353"/>
    <w:rsid w:val="007A623D"/>
    <w:rsid w:val="007B41E7"/>
    <w:rsid w:val="007B5748"/>
    <w:rsid w:val="007C1D7F"/>
    <w:rsid w:val="007D215B"/>
    <w:rsid w:val="007E5CEF"/>
    <w:rsid w:val="00801054"/>
    <w:rsid w:val="00801E5F"/>
    <w:rsid w:val="008101C4"/>
    <w:rsid w:val="00841E03"/>
    <w:rsid w:val="0084286E"/>
    <w:rsid w:val="00856571"/>
    <w:rsid w:val="0086022F"/>
    <w:rsid w:val="0086365F"/>
    <w:rsid w:val="00867952"/>
    <w:rsid w:val="008733FE"/>
    <w:rsid w:val="00873C6C"/>
    <w:rsid w:val="00886F7D"/>
    <w:rsid w:val="008920F9"/>
    <w:rsid w:val="00893C80"/>
    <w:rsid w:val="008A4A6C"/>
    <w:rsid w:val="008B1A40"/>
    <w:rsid w:val="008B4E24"/>
    <w:rsid w:val="008B75FE"/>
    <w:rsid w:val="008C0350"/>
    <w:rsid w:val="008C25FA"/>
    <w:rsid w:val="009116DF"/>
    <w:rsid w:val="0091721B"/>
    <w:rsid w:val="00920FDD"/>
    <w:rsid w:val="00924736"/>
    <w:rsid w:val="00941DC1"/>
    <w:rsid w:val="00942DF1"/>
    <w:rsid w:val="00944D58"/>
    <w:rsid w:val="009646FB"/>
    <w:rsid w:val="00970924"/>
    <w:rsid w:val="009930B4"/>
    <w:rsid w:val="009962D0"/>
    <w:rsid w:val="009A5091"/>
    <w:rsid w:val="009B4190"/>
    <w:rsid w:val="009E0B27"/>
    <w:rsid w:val="00A022CE"/>
    <w:rsid w:val="00A257E2"/>
    <w:rsid w:val="00A3469D"/>
    <w:rsid w:val="00A66717"/>
    <w:rsid w:val="00A730D5"/>
    <w:rsid w:val="00A7678B"/>
    <w:rsid w:val="00A81630"/>
    <w:rsid w:val="00A86628"/>
    <w:rsid w:val="00AA3419"/>
    <w:rsid w:val="00AA4881"/>
    <w:rsid w:val="00AB0790"/>
    <w:rsid w:val="00AB4801"/>
    <w:rsid w:val="00AD22E2"/>
    <w:rsid w:val="00AD6893"/>
    <w:rsid w:val="00AE5A73"/>
    <w:rsid w:val="00AF38B0"/>
    <w:rsid w:val="00B001A6"/>
    <w:rsid w:val="00B13C1F"/>
    <w:rsid w:val="00B16975"/>
    <w:rsid w:val="00B25333"/>
    <w:rsid w:val="00B27A97"/>
    <w:rsid w:val="00B34ECE"/>
    <w:rsid w:val="00B37ECD"/>
    <w:rsid w:val="00B45339"/>
    <w:rsid w:val="00B67B48"/>
    <w:rsid w:val="00B74050"/>
    <w:rsid w:val="00B948D4"/>
    <w:rsid w:val="00B958FA"/>
    <w:rsid w:val="00BA7EFF"/>
    <w:rsid w:val="00BB4C0F"/>
    <w:rsid w:val="00BD34A1"/>
    <w:rsid w:val="00BD71FD"/>
    <w:rsid w:val="00BE1180"/>
    <w:rsid w:val="00BE459B"/>
    <w:rsid w:val="00BE4E06"/>
    <w:rsid w:val="00C023F6"/>
    <w:rsid w:val="00C03ADE"/>
    <w:rsid w:val="00C062F2"/>
    <w:rsid w:val="00C11489"/>
    <w:rsid w:val="00C119BC"/>
    <w:rsid w:val="00C16E47"/>
    <w:rsid w:val="00C175A1"/>
    <w:rsid w:val="00C201C7"/>
    <w:rsid w:val="00C2439F"/>
    <w:rsid w:val="00C25B67"/>
    <w:rsid w:val="00C46B9E"/>
    <w:rsid w:val="00C5383C"/>
    <w:rsid w:val="00C62CCF"/>
    <w:rsid w:val="00C75267"/>
    <w:rsid w:val="00C75DAA"/>
    <w:rsid w:val="00C86993"/>
    <w:rsid w:val="00C8720D"/>
    <w:rsid w:val="00CA219F"/>
    <w:rsid w:val="00CA2C2C"/>
    <w:rsid w:val="00CA2DDD"/>
    <w:rsid w:val="00CB2FB9"/>
    <w:rsid w:val="00CB4C8C"/>
    <w:rsid w:val="00CC0EF6"/>
    <w:rsid w:val="00CD2DDD"/>
    <w:rsid w:val="00CD3F86"/>
    <w:rsid w:val="00CD7501"/>
    <w:rsid w:val="00CE1C7C"/>
    <w:rsid w:val="00CE77FF"/>
    <w:rsid w:val="00D10187"/>
    <w:rsid w:val="00D33B26"/>
    <w:rsid w:val="00D346D1"/>
    <w:rsid w:val="00D46419"/>
    <w:rsid w:val="00D46BE2"/>
    <w:rsid w:val="00D47D7E"/>
    <w:rsid w:val="00D544BD"/>
    <w:rsid w:val="00D563A1"/>
    <w:rsid w:val="00D5732D"/>
    <w:rsid w:val="00D6169C"/>
    <w:rsid w:val="00D6276A"/>
    <w:rsid w:val="00D840A2"/>
    <w:rsid w:val="00D87AF1"/>
    <w:rsid w:val="00D91FAD"/>
    <w:rsid w:val="00DB0B06"/>
    <w:rsid w:val="00DB20E7"/>
    <w:rsid w:val="00DB26A4"/>
    <w:rsid w:val="00DD47CA"/>
    <w:rsid w:val="00E0486E"/>
    <w:rsid w:val="00E054A0"/>
    <w:rsid w:val="00E056BB"/>
    <w:rsid w:val="00E070C6"/>
    <w:rsid w:val="00E1585E"/>
    <w:rsid w:val="00E309C8"/>
    <w:rsid w:val="00E34D7E"/>
    <w:rsid w:val="00E373AE"/>
    <w:rsid w:val="00E508AC"/>
    <w:rsid w:val="00E5626A"/>
    <w:rsid w:val="00E709BF"/>
    <w:rsid w:val="00E92299"/>
    <w:rsid w:val="00EC52F5"/>
    <w:rsid w:val="00ED351C"/>
    <w:rsid w:val="00EE7B3A"/>
    <w:rsid w:val="00EF5B6F"/>
    <w:rsid w:val="00F01FD2"/>
    <w:rsid w:val="00F03292"/>
    <w:rsid w:val="00F04D33"/>
    <w:rsid w:val="00F06021"/>
    <w:rsid w:val="00F1469B"/>
    <w:rsid w:val="00F416D0"/>
    <w:rsid w:val="00F5102E"/>
    <w:rsid w:val="00F7350C"/>
    <w:rsid w:val="00F76157"/>
    <w:rsid w:val="00F76F39"/>
    <w:rsid w:val="00F77982"/>
    <w:rsid w:val="00F871BB"/>
    <w:rsid w:val="00F9082C"/>
    <w:rsid w:val="00FB6AC0"/>
    <w:rsid w:val="00FC1A19"/>
    <w:rsid w:val="00FD5B95"/>
    <w:rsid w:val="00FD797E"/>
    <w:rsid w:val="00FF6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C2B"/>
  </w:style>
  <w:style w:type="paragraph" w:styleId="Heading1">
    <w:name w:val="heading 1"/>
    <w:basedOn w:val="Normal"/>
    <w:next w:val="Normal"/>
    <w:link w:val="Heading1Char"/>
    <w:uiPriority w:val="9"/>
    <w:qFormat/>
    <w:rsid w:val="00DB0B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0B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1C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0B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0B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B94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E1C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0B4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53AE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53AE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53AE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3A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3A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3AE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92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5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5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5B6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40D35"/>
    <w:rPr>
      <w:color w:val="808080"/>
    </w:rPr>
  </w:style>
  <w:style w:type="paragraph" w:styleId="ListParagraph">
    <w:name w:val="List Paragraph"/>
    <w:basedOn w:val="Normal"/>
    <w:uiPriority w:val="34"/>
    <w:qFormat/>
    <w:rsid w:val="00886F7D"/>
    <w:pPr>
      <w:ind w:left="720"/>
      <w:contextualSpacing/>
    </w:pPr>
  </w:style>
  <w:style w:type="paragraph" w:styleId="BodyText">
    <w:name w:val="Body Text"/>
    <w:basedOn w:val="Normal"/>
    <w:link w:val="BodyTextChar"/>
    <w:rsid w:val="003A4336"/>
    <w:pPr>
      <w:spacing w:before="80" w:after="80" w:line="280" w:lineRule="atLeast"/>
    </w:pPr>
    <w:rPr>
      <w:rFonts w:ascii="Georgia" w:eastAsia="Times New Roman" w:hAnsi="Georgia" w:cs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3A4336"/>
    <w:rPr>
      <w:rFonts w:ascii="Georgia" w:eastAsia="Times New Roman" w:hAnsi="Georgia" w:cs="Times New Roman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674F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FD7"/>
  </w:style>
  <w:style w:type="paragraph" w:styleId="Footer">
    <w:name w:val="footer"/>
    <w:basedOn w:val="Normal"/>
    <w:link w:val="FooterChar"/>
    <w:uiPriority w:val="99"/>
    <w:unhideWhenUsed/>
    <w:rsid w:val="00674F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FD7"/>
  </w:style>
  <w:style w:type="paragraph" w:styleId="Caption">
    <w:name w:val="caption"/>
    <w:basedOn w:val="Normal"/>
    <w:next w:val="Normal"/>
    <w:uiPriority w:val="35"/>
    <w:unhideWhenUsed/>
    <w:qFormat/>
    <w:rsid w:val="00E1585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DB26A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B26A4"/>
  </w:style>
  <w:style w:type="character" w:styleId="Hyperlink">
    <w:name w:val="Hyperlink"/>
    <w:basedOn w:val="DefaultParagraphFont"/>
    <w:uiPriority w:val="99"/>
    <w:semiHidden/>
    <w:unhideWhenUsed/>
    <w:rsid w:val="00C062F2"/>
    <w:rPr>
      <w:color w:val="0000FF"/>
      <w:u w:val="single"/>
    </w:rPr>
  </w:style>
  <w:style w:type="numbering" w:customStyle="1" w:styleId="StyleSymbolsymbol11ptLeft0cmHanging063cm">
    <w:name w:val="Style Symbol (symbol) 11 pt Left:  0 cm Hanging:  0.63 cm"/>
    <w:basedOn w:val="NoList"/>
    <w:rsid w:val="00B001A6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C2B"/>
  </w:style>
  <w:style w:type="paragraph" w:styleId="Heading1">
    <w:name w:val="heading 1"/>
    <w:basedOn w:val="Normal"/>
    <w:next w:val="Normal"/>
    <w:link w:val="Heading1Char"/>
    <w:uiPriority w:val="9"/>
    <w:qFormat/>
    <w:rsid w:val="00DB0B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0B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1C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0B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0B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B94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E1C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0B4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53AE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53AE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53AE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3A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3A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3AE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92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5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5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5B6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40D35"/>
    <w:rPr>
      <w:color w:val="808080"/>
    </w:rPr>
  </w:style>
  <w:style w:type="paragraph" w:styleId="ListParagraph">
    <w:name w:val="List Paragraph"/>
    <w:basedOn w:val="Normal"/>
    <w:uiPriority w:val="34"/>
    <w:qFormat/>
    <w:rsid w:val="00886F7D"/>
    <w:pPr>
      <w:ind w:left="720"/>
      <w:contextualSpacing/>
    </w:pPr>
  </w:style>
  <w:style w:type="paragraph" w:styleId="BodyText">
    <w:name w:val="Body Text"/>
    <w:basedOn w:val="Normal"/>
    <w:link w:val="BodyTextChar"/>
    <w:rsid w:val="003A4336"/>
    <w:pPr>
      <w:spacing w:before="80" w:after="80" w:line="280" w:lineRule="atLeast"/>
    </w:pPr>
    <w:rPr>
      <w:rFonts w:ascii="Georgia" w:eastAsia="Times New Roman" w:hAnsi="Georgia" w:cs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3A4336"/>
    <w:rPr>
      <w:rFonts w:ascii="Georgia" w:eastAsia="Times New Roman" w:hAnsi="Georgia" w:cs="Times New Roman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674F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FD7"/>
  </w:style>
  <w:style w:type="paragraph" w:styleId="Footer">
    <w:name w:val="footer"/>
    <w:basedOn w:val="Normal"/>
    <w:link w:val="FooterChar"/>
    <w:uiPriority w:val="99"/>
    <w:unhideWhenUsed/>
    <w:rsid w:val="00674F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FD7"/>
  </w:style>
  <w:style w:type="paragraph" w:styleId="Caption">
    <w:name w:val="caption"/>
    <w:basedOn w:val="Normal"/>
    <w:next w:val="Normal"/>
    <w:uiPriority w:val="35"/>
    <w:unhideWhenUsed/>
    <w:qFormat/>
    <w:rsid w:val="00E1585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DB26A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B26A4"/>
  </w:style>
  <w:style w:type="character" w:styleId="Hyperlink">
    <w:name w:val="Hyperlink"/>
    <w:basedOn w:val="DefaultParagraphFont"/>
    <w:uiPriority w:val="99"/>
    <w:semiHidden/>
    <w:unhideWhenUsed/>
    <w:rsid w:val="00C062F2"/>
    <w:rPr>
      <w:color w:val="0000FF"/>
      <w:u w:val="single"/>
    </w:rPr>
  </w:style>
  <w:style w:type="numbering" w:customStyle="1" w:styleId="StyleSymbolsymbol11ptLeft0cmHanging063cm">
    <w:name w:val="Style Symbol (symbol) 11 pt Left:  0 cm Hanging:  0.63 cm"/>
    <w:basedOn w:val="NoList"/>
    <w:rsid w:val="00B001A6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oleObject" Target="embeddings/Microsoft_Word_97_-_2003_Document1.doc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customXml" Target="../customXml/item4.xm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n.wikipedia.org/wiki/Minority_group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cuments\0-%20AVI\4-%20Program%20management\0-%20AVID%20program\2014-2015\Current%20vols%20list%202013-2014_Austraining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TOTAL!$Q$1:$T$1</c:f>
              <c:strCache>
                <c:ptCount val="4"/>
                <c:pt idx="0">
                  <c:v>Gov</c:v>
                </c:pt>
                <c:pt idx="1">
                  <c:v>INGO</c:v>
                </c:pt>
                <c:pt idx="2">
                  <c:v>local NGO</c:v>
                </c:pt>
                <c:pt idx="3">
                  <c:v>Private sector</c:v>
                </c:pt>
              </c:strCache>
            </c:strRef>
          </c:cat>
          <c:val>
            <c:numRef>
              <c:f>TOTAL!$Q$97:$T$97</c:f>
              <c:numCache>
                <c:formatCode>General</c:formatCode>
                <c:ptCount val="4"/>
                <c:pt idx="0">
                  <c:v>45</c:v>
                </c:pt>
                <c:pt idx="1">
                  <c:v>41</c:v>
                </c:pt>
                <c:pt idx="2">
                  <c:v>28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082088801399824"/>
          <c:y val="0.15663969087197432"/>
          <c:w val="0.27512445319335083"/>
          <c:h val="0.58023913677456984"/>
        </c:manualLayout>
      </c:layout>
      <c:overlay val="0"/>
      <c:txPr>
        <a:bodyPr/>
        <a:lstStyle/>
        <a:p>
          <a:pPr rtl="0">
            <a:defRPr sz="1200" baseline="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982e45fb1dd88f2b854306ad5ead9e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70a02157b988d5574f2537686f42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3965E6-4320-4ECB-B330-A3A9A2B4C228}"/>
</file>

<file path=customXml/itemProps2.xml><?xml version="1.0" encoding="utf-8"?>
<ds:datastoreItem xmlns:ds="http://schemas.openxmlformats.org/officeDocument/2006/customXml" ds:itemID="{FAF8F16B-07BE-4358-97A8-ED4B4350B748}"/>
</file>

<file path=customXml/itemProps3.xml><?xml version="1.0" encoding="utf-8"?>
<ds:datastoreItem xmlns:ds="http://schemas.openxmlformats.org/officeDocument/2006/customXml" ds:itemID="{772A6F90-912C-4047-A47F-0B28C4CC15C1}"/>
</file>

<file path=customXml/itemProps4.xml><?xml version="1.0" encoding="utf-8"?>
<ds:datastoreItem xmlns:ds="http://schemas.openxmlformats.org/officeDocument/2006/customXml" ds:itemID="{C1166452-CA2F-4323-852C-B26ADE44328E}"/>
</file>

<file path=docProps/app.xml><?xml version="1.0" encoding="utf-8"?>
<Properties xmlns="http://schemas.openxmlformats.org/officeDocument/2006/extended-properties" xmlns:vt="http://schemas.openxmlformats.org/officeDocument/2006/docPropsVTypes">
  <Template>E906F81</Template>
  <TotalTime>0</TotalTime>
  <Pages>5</Pages>
  <Words>1440</Words>
  <Characters>8210</Characters>
  <Application>Microsoft Office Word</Application>
  <DocSecurity>0</DocSecurity>
  <Lines>68</Lines>
  <Paragraphs>19</Paragraphs>
  <ScaleCrop>false</ScaleCrop>
  <Company/>
  <LinksUpToDate>false</LinksUpToDate>
  <CharactersWithSpaces>9631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2014-11-13T04:58:00Z</dcterms:created>
  <dcterms:modified xsi:type="dcterms:W3CDTF">2014-11-13T04:58:00Z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0x01010050F19AC2165D2E47A5E6B7F563E4CF00</vt:lpwstr>
  </property>
  <property fmtid="{D5CDD505-2E9C-101B-9397-08002B2CF9AE}" pid="3" name="Order">
    <vt:r8>913400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