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6D29" w14:textId="77777777" w:rsidR="003A23BF" w:rsidRPr="001225B6" w:rsidRDefault="003A23BF" w:rsidP="003A23BF">
      <w:pPr>
        <w:pStyle w:val="FileDate"/>
        <w:framePr w:wrap="auto"/>
        <w:rPr>
          <w:lang w:val="en-AU"/>
        </w:rPr>
      </w:pPr>
    </w:p>
    <w:p w14:paraId="2E7816A5" w14:textId="5C40418D" w:rsidR="002E70E0" w:rsidRPr="002E70E0" w:rsidRDefault="00412632" w:rsidP="002E70E0">
      <w:pPr>
        <w:jc w:val="right"/>
        <w:rPr>
          <w:b/>
          <w:bCs/>
          <w:u w:val="single"/>
        </w:rPr>
      </w:pPr>
      <w:r>
        <w:rPr>
          <w:b/>
          <w:bCs/>
          <w:u w:val="single"/>
        </w:rPr>
        <w:t>AS DELIVERED</w:t>
      </w:r>
    </w:p>
    <w:p w14:paraId="488A9E07" w14:textId="56CB6ABA" w:rsidR="003A23BF" w:rsidRPr="00E85B48" w:rsidRDefault="003A23BF" w:rsidP="003A23BF">
      <w:pPr>
        <w:jc w:val="center"/>
      </w:pPr>
    </w:p>
    <w:p w14:paraId="08DD4E1C" w14:textId="77777777" w:rsidR="003A23BF" w:rsidRPr="001225B6" w:rsidRDefault="003A23BF" w:rsidP="003A23BF">
      <w:pPr>
        <w:pStyle w:val="MinuteHeading"/>
        <w:framePr w:w="0" w:hSpace="0" w:vSpace="0" w:wrap="auto" w:vAnchor="margin" w:hAnchor="text" w:xAlign="left" w:yAlign="inline"/>
        <w:spacing w:before="40" w:after="0"/>
        <w:outlineLvl w:val="0"/>
        <w:rPr>
          <w:sz w:val="24"/>
          <w:szCs w:val="24"/>
          <w:lang w:val="en-AU"/>
        </w:rPr>
      </w:pPr>
    </w:p>
    <w:p w14:paraId="2D0A3A4D" w14:textId="54CA484C" w:rsidR="003A23BF" w:rsidRPr="002E70E0" w:rsidRDefault="002E70E0" w:rsidP="003A23BF">
      <w:pPr>
        <w:pStyle w:val="MinuteHeading"/>
        <w:framePr w:w="0" w:hSpace="0" w:vSpace="0" w:wrap="auto" w:vAnchor="margin" w:hAnchor="text" w:xAlign="left" w:yAlign="inline"/>
        <w:spacing w:before="40" w:after="0"/>
        <w:outlineLvl w:val="0"/>
        <w:rPr>
          <w:b w:val="0"/>
          <w:bCs w:val="0"/>
          <w:sz w:val="24"/>
          <w:szCs w:val="24"/>
          <w:lang w:val="en-AU"/>
        </w:rPr>
      </w:pPr>
      <w:r w:rsidRPr="002E70E0">
        <w:rPr>
          <w:b w:val="0"/>
          <w:bCs w:val="0"/>
          <w:sz w:val="24"/>
          <w:szCs w:val="24"/>
        </w:rPr>
        <w:t>BEFORE THE WORLD TRADE ORGANIZATION</w:t>
      </w:r>
    </w:p>
    <w:p w14:paraId="7C6B634D" w14:textId="76E15797" w:rsidR="003A23BF" w:rsidRDefault="003A23BF" w:rsidP="003A23BF">
      <w:pPr>
        <w:pStyle w:val="MinuteHeading"/>
        <w:framePr w:w="0" w:hSpace="0" w:vSpace="0" w:wrap="auto" w:vAnchor="margin" w:hAnchor="text" w:xAlign="left" w:yAlign="inline"/>
        <w:spacing w:before="40" w:after="0"/>
        <w:outlineLvl w:val="0"/>
        <w:rPr>
          <w:sz w:val="24"/>
          <w:szCs w:val="24"/>
          <w:lang w:val="en-AU"/>
        </w:rPr>
      </w:pPr>
    </w:p>
    <w:p w14:paraId="3110FB63" w14:textId="77777777" w:rsidR="002E70E0" w:rsidRPr="002E70E0" w:rsidRDefault="002E70E0" w:rsidP="002E70E0">
      <w:pPr>
        <w:pStyle w:val="FileDate"/>
        <w:framePr w:wrap="auto"/>
        <w:rPr>
          <w:lang w:val="en-AU"/>
        </w:rPr>
      </w:pPr>
    </w:p>
    <w:p w14:paraId="3ECD7E2E" w14:textId="77777777" w:rsidR="003A23BF" w:rsidRDefault="003A23BF" w:rsidP="003A23BF">
      <w:pPr>
        <w:pStyle w:val="MinuteHeading"/>
        <w:framePr w:w="0" w:hSpace="0" w:vSpace="0" w:wrap="auto" w:vAnchor="margin" w:hAnchor="text" w:xAlign="left" w:yAlign="inline"/>
        <w:spacing w:before="40" w:after="0"/>
        <w:outlineLvl w:val="0"/>
        <w:rPr>
          <w:sz w:val="24"/>
          <w:szCs w:val="24"/>
          <w:lang w:val="en-AU"/>
        </w:rPr>
      </w:pPr>
    </w:p>
    <w:p w14:paraId="6C6E7244" w14:textId="77777777" w:rsidR="003A23BF" w:rsidRDefault="003A23BF" w:rsidP="003A23BF">
      <w:pPr>
        <w:pStyle w:val="FileDate"/>
        <w:framePr w:wrap="auto"/>
        <w:rPr>
          <w:lang w:val="en-AU"/>
        </w:rPr>
      </w:pPr>
    </w:p>
    <w:p w14:paraId="450692BD" w14:textId="77777777" w:rsidR="003A23BF" w:rsidRPr="007B62A5" w:rsidRDefault="003A23BF" w:rsidP="002E70E0">
      <w:pPr>
        <w:pStyle w:val="FileDate"/>
        <w:framePr w:wrap="auto"/>
        <w:ind w:left="0"/>
        <w:rPr>
          <w:lang w:val="en-AU"/>
        </w:rPr>
      </w:pPr>
    </w:p>
    <w:p w14:paraId="6151BF1D" w14:textId="77777777" w:rsidR="002E70E0" w:rsidRDefault="002E70E0" w:rsidP="003A23BF">
      <w:pPr>
        <w:jc w:val="center"/>
        <w:rPr>
          <w:b/>
          <w:i/>
          <w:sz w:val="28"/>
          <w:szCs w:val="28"/>
        </w:rPr>
      </w:pPr>
    </w:p>
    <w:p w14:paraId="461A25F4" w14:textId="77777777" w:rsidR="002E70E0" w:rsidRDefault="002E70E0" w:rsidP="003A23BF">
      <w:pPr>
        <w:jc w:val="center"/>
        <w:rPr>
          <w:b/>
          <w:i/>
          <w:sz w:val="28"/>
          <w:szCs w:val="28"/>
        </w:rPr>
      </w:pPr>
    </w:p>
    <w:p w14:paraId="47477118" w14:textId="77777777" w:rsidR="002E70E0" w:rsidRDefault="002E70E0" w:rsidP="003A23BF">
      <w:pPr>
        <w:jc w:val="center"/>
        <w:rPr>
          <w:b/>
          <w:i/>
          <w:sz w:val="28"/>
          <w:szCs w:val="28"/>
        </w:rPr>
      </w:pPr>
    </w:p>
    <w:p w14:paraId="28383B5F" w14:textId="742EED03" w:rsidR="003A23BF" w:rsidRPr="007B62A5" w:rsidRDefault="003A23BF" w:rsidP="003A23BF">
      <w:pPr>
        <w:jc w:val="center"/>
        <w:rPr>
          <w:b/>
          <w:i/>
          <w:sz w:val="28"/>
          <w:szCs w:val="28"/>
        </w:rPr>
      </w:pPr>
      <w:r>
        <w:rPr>
          <w:b/>
          <w:i/>
          <w:sz w:val="28"/>
          <w:szCs w:val="28"/>
        </w:rPr>
        <w:t>Panama</w:t>
      </w:r>
      <w:r w:rsidRPr="007B62A5">
        <w:rPr>
          <w:b/>
          <w:i/>
          <w:sz w:val="28"/>
          <w:szCs w:val="28"/>
        </w:rPr>
        <w:t xml:space="preserve"> –</w:t>
      </w:r>
      <w:r>
        <w:rPr>
          <w:b/>
          <w:i/>
          <w:sz w:val="28"/>
          <w:szCs w:val="28"/>
        </w:rPr>
        <w:t xml:space="preserve"> </w:t>
      </w:r>
      <w:r w:rsidRPr="007B62A5">
        <w:rPr>
          <w:b/>
          <w:i/>
          <w:sz w:val="28"/>
          <w:szCs w:val="28"/>
        </w:rPr>
        <w:t xml:space="preserve">Measures Concerning the </w:t>
      </w:r>
      <w:r>
        <w:rPr>
          <w:b/>
          <w:i/>
          <w:sz w:val="28"/>
          <w:szCs w:val="28"/>
        </w:rPr>
        <w:t>Importation of Certain Products from Costa Rica</w:t>
      </w:r>
    </w:p>
    <w:p w14:paraId="104A75C5" w14:textId="77777777" w:rsidR="003A23BF" w:rsidRPr="007B62A5" w:rsidRDefault="003A23BF" w:rsidP="003A23BF">
      <w:pPr>
        <w:pStyle w:val="Title4"/>
        <w:rPr>
          <w:rFonts w:ascii="Times New Roman" w:hAnsi="Times New Roman"/>
          <w:sz w:val="28"/>
          <w:szCs w:val="28"/>
        </w:rPr>
      </w:pPr>
      <w:r w:rsidRPr="007B62A5">
        <w:rPr>
          <w:rFonts w:ascii="Times New Roman" w:hAnsi="Times New Roman"/>
          <w:sz w:val="28"/>
          <w:szCs w:val="28"/>
        </w:rPr>
        <w:t>(WT/DS5</w:t>
      </w:r>
      <w:r>
        <w:rPr>
          <w:rFonts w:ascii="Times New Roman" w:hAnsi="Times New Roman"/>
          <w:sz w:val="28"/>
          <w:szCs w:val="28"/>
        </w:rPr>
        <w:t>9</w:t>
      </w:r>
      <w:r w:rsidRPr="007B62A5">
        <w:rPr>
          <w:rFonts w:ascii="Times New Roman" w:hAnsi="Times New Roman"/>
          <w:sz w:val="28"/>
          <w:szCs w:val="28"/>
        </w:rPr>
        <w:t>9)</w:t>
      </w:r>
    </w:p>
    <w:p w14:paraId="1394BA45"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4BBAA948"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52FCFC2F"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4E63666C"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565D24C9" w14:textId="77777777" w:rsidR="003A23BF" w:rsidRPr="007B62A5" w:rsidRDefault="003A23BF" w:rsidP="003A23BF">
      <w:pPr>
        <w:pStyle w:val="MinuteHeading"/>
        <w:framePr w:w="0" w:hSpace="0" w:vSpace="0" w:wrap="auto" w:vAnchor="margin" w:hAnchor="text" w:xAlign="left" w:yAlign="inline"/>
        <w:tabs>
          <w:tab w:val="left" w:pos="4680"/>
        </w:tabs>
        <w:spacing w:before="40" w:after="0"/>
        <w:jc w:val="left"/>
        <w:outlineLvl w:val="0"/>
        <w:rPr>
          <w:sz w:val="28"/>
          <w:szCs w:val="28"/>
          <w:lang w:val="en-AU"/>
        </w:rPr>
      </w:pPr>
      <w:r w:rsidRPr="007B62A5">
        <w:rPr>
          <w:sz w:val="28"/>
          <w:szCs w:val="28"/>
          <w:lang w:val="en-AU"/>
        </w:rPr>
        <w:tab/>
      </w:r>
    </w:p>
    <w:p w14:paraId="4E590DE8"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497763C8"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043BDC15"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0776BEBD"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p>
    <w:p w14:paraId="71801978" w14:textId="77777777" w:rsidR="003A23BF" w:rsidRPr="007B62A5" w:rsidRDefault="003A23BF" w:rsidP="003A23BF">
      <w:pPr>
        <w:pStyle w:val="MinuteHeading"/>
        <w:framePr w:w="0" w:hSpace="0" w:vSpace="0" w:wrap="auto" w:vAnchor="margin" w:hAnchor="text" w:xAlign="left" w:yAlign="inline"/>
        <w:spacing w:before="40" w:after="0"/>
        <w:outlineLvl w:val="0"/>
        <w:rPr>
          <w:sz w:val="28"/>
          <w:szCs w:val="28"/>
          <w:lang w:val="en-AU"/>
        </w:rPr>
      </w:pPr>
      <w:bookmarkStart w:id="0" w:name="_Toc322094503"/>
      <w:bookmarkStart w:id="1" w:name="_Toc322080647"/>
      <w:bookmarkStart w:id="2" w:name="_Toc322078628"/>
      <w:bookmarkStart w:id="3" w:name="_Toc322072788"/>
      <w:bookmarkStart w:id="4" w:name="_Toc321918695"/>
      <w:bookmarkStart w:id="5" w:name="_Toc321844221"/>
      <w:bookmarkStart w:id="6" w:name="_Toc321842786"/>
      <w:bookmarkStart w:id="7" w:name="_Toc321813685"/>
      <w:bookmarkStart w:id="8" w:name="_Toc321295694"/>
      <w:bookmarkStart w:id="9" w:name="_Toc321295542"/>
      <w:bookmarkStart w:id="10" w:name="_Toc320888854"/>
      <w:bookmarkStart w:id="11" w:name="_Toc320804488"/>
      <w:bookmarkStart w:id="12" w:name="_Toc306268272"/>
      <w:bookmarkStart w:id="13" w:name="_Toc306206493"/>
      <w:bookmarkStart w:id="14" w:name="_Toc306094459"/>
      <w:bookmarkStart w:id="15" w:name="_Toc287342536"/>
      <w:bookmarkStart w:id="16" w:name="_Toc287342406"/>
      <w:bookmarkStart w:id="17" w:name="_Toc286994772"/>
      <w:bookmarkStart w:id="18" w:name="_Toc275784697"/>
      <w:bookmarkStart w:id="19" w:name="_Toc275784621"/>
      <w:bookmarkStart w:id="20" w:name="_Toc275791413"/>
      <w:bookmarkStart w:id="21" w:name="_Toc275783630"/>
      <w:bookmarkStart w:id="22" w:name="_Toc274647833"/>
      <w:bookmarkStart w:id="23" w:name="_Toc274556413"/>
      <w:bookmarkStart w:id="24" w:name="_Toc269823313"/>
      <w:bookmarkStart w:id="25" w:name="_Toc269823222"/>
      <w:bookmarkStart w:id="26" w:name="_Toc269726911"/>
      <w:r w:rsidRPr="007B62A5">
        <w:rPr>
          <w:sz w:val="28"/>
          <w:szCs w:val="28"/>
          <w:lang w:val="en-AU"/>
        </w:rPr>
        <w:t>Third Party Oral Statement of Australia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A5E155E" w14:textId="77777777" w:rsidR="003A23BF" w:rsidRPr="001225B6" w:rsidRDefault="003A23BF" w:rsidP="003A23BF">
      <w:pPr>
        <w:pStyle w:val="MinuteHeading"/>
        <w:framePr w:w="0" w:hSpace="0" w:vSpace="0" w:wrap="auto" w:vAnchor="margin" w:hAnchor="text" w:xAlign="left" w:yAlign="inline"/>
        <w:rPr>
          <w:sz w:val="24"/>
          <w:szCs w:val="24"/>
          <w:lang w:val="en-AU"/>
        </w:rPr>
      </w:pPr>
    </w:p>
    <w:p w14:paraId="66668BE4" w14:textId="77777777" w:rsidR="003A23BF" w:rsidRPr="001225B6" w:rsidRDefault="003A23BF" w:rsidP="003A23BF">
      <w:pPr>
        <w:pStyle w:val="MinuteHeading"/>
        <w:framePr w:w="0" w:hSpace="0" w:vSpace="0" w:wrap="auto" w:vAnchor="margin" w:hAnchor="text" w:xAlign="left" w:yAlign="inline"/>
        <w:rPr>
          <w:sz w:val="24"/>
          <w:szCs w:val="24"/>
          <w:lang w:val="en-AU"/>
        </w:rPr>
      </w:pPr>
    </w:p>
    <w:p w14:paraId="07119461" w14:textId="77777777" w:rsidR="003A23BF" w:rsidRPr="001225B6" w:rsidRDefault="003A23BF" w:rsidP="003A23BF">
      <w:pPr>
        <w:pStyle w:val="MinuteHeading"/>
        <w:framePr w:w="0" w:hSpace="0" w:vSpace="0" w:wrap="auto" w:vAnchor="margin" w:hAnchor="text" w:xAlign="left" w:yAlign="inline"/>
        <w:rPr>
          <w:sz w:val="24"/>
          <w:szCs w:val="24"/>
          <w:lang w:val="en-AU"/>
        </w:rPr>
      </w:pPr>
    </w:p>
    <w:p w14:paraId="48760BF4" w14:textId="77777777" w:rsidR="003A23BF" w:rsidRPr="001225B6" w:rsidRDefault="003A23BF" w:rsidP="003A23BF">
      <w:pPr>
        <w:pStyle w:val="MinuteHeading"/>
        <w:framePr w:w="0" w:hSpace="0" w:vSpace="0" w:wrap="auto" w:vAnchor="margin" w:hAnchor="text" w:xAlign="left" w:yAlign="inline"/>
        <w:rPr>
          <w:b w:val="0"/>
          <w:sz w:val="24"/>
          <w:szCs w:val="24"/>
        </w:rPr>
      </w:pPr>
      <w:r>
        <w:rPr>
          <w:sz w:val="24"/>
          <w:szCs w:val="24"/>
          <w:lang w:val="en-AU"/>
        </w:rPr>
        <w:t>13</w:t>
      </w:r>
      <w:r w:rsidRPr="001225B6">
        <w:rPr>
          <w:sz w:val="24"/>
          <w:szCs w:val="24"/>
          <w:lang w:val="en-AU"/>
        </w:rPr>
        <w:t xml:space="preserve"> </w:t>
      </w:r>
      <w:r>
        <w:rPr>
          <w:sz w:val="24"/>
          <w:szCs w:val="24"/>
          <w:lang w:val="en-AU"/>
        </w:rPr>
        <w:t>December</w:t>
      </w:r>
      <w:r w:rsidRPr="001225B6">
        <w:rPr>
          <w:sz w:val="24"/>
          <w:szCs w:val="24"/>
          <w:lang w:val="en-AU"/>
        </w:rPr>
        <w:t xml:space="preserve"> 2022</w:t>
      </w:r>
      <w:r w:rsidRPr="001225B6">
        <w:rPr>
          <w:sz w:val="24"/>
          <w:szCs w:val="24"/>
          <w:lang w:val="en-AU"/>
        </w:rPr>
        <w:br/>
      </w:r>
    </w:p>
    <w:p w14:paraId="73B56AC0" w14:textId="77777777" w:rsidR="003A23BF" w:rsidRPr="001225B6" w:rsidRDefault="003A23BF" w:rsidP="003A23BF">
      <w:pPr>
        <w:spacing w:line="276" w:lineRule="auto"/>
        <w:rPr>
          <w:bCs/>
          <w:color w:val="365F91"/>
          <w:u w:val="single"/>
          <w:lang w:val="en-US"/>
        </w:rPr>
        <w:sectPr w:rsidR="003A23BF" w:rsidRPr="001225B6">
          <w:headerReference w:type="default" r:id="rId7"/>
          <w:footerReference w:type="default" r:id="rId8"/>
          <w:pgSz w:w="11906" w:h="16838"/>
          <w:pgMar w:top="1134" w:right="1797" w:bottom="1440" w:left="1797" w:header="284" w:footer="284" w:gutter="0"/>
          <w:pgNumType w:start="0"/>
          <w:cols w:space="720"/>
          <w:formProt w:val="0"/>
        </w:sectPr>
      </w:pPr>
    </w:p>
    <w:p w14:paraId="47AE510B" w14:textId="77777777" w:rsidR="00D50246" w:rsidRDefault="00D50246" w:rsidP="00D50246">
      <w:pPr>
        <w:pStyle w:val="Heading1"/>
        <w:numPr>
          <w:ilvl w:val="0"/>
          <w:numId w:val="0"/>
        </w:numPr>
        <w:tabs>
          <w:tab w:val="left" w:pos="720"/>
        </w:tabs>
        <w:spacing w:after="0" w:line="312" w:lineRule="auto"/>
        <w:jc w:val="center"/>
        <w:rPr>
          <w:sz w:val="24"/>
          <w:szCs w:val="24"/>
        </w:rPr>
      </w:pPr>
      <w:bookmarkStart w:id="27" w:name="_Toc23266597"/>
      <w:r>
        <w:rPr>
          <w:sz w:val="24"/>
          <w:szCs w:val="24"/>
        </w:rPr>
        <w:lastRenderedPageBreak/>
        <w:t>Table of Cases</w:t>
      </w:r>
      <w:bookmarkEnd w:id="27"/>
    </w:p>
    <w:p w14:paraId="0567DB15" w14:textId="77777777" w:rsidR="00D50246" w:rsidRDefault="00D50246" w:rsidP="00D50246">
      <w:pPr>
        <w:pStyle w:val="Heading2"/>
        <w:numPr>
          <w:ilvl w:val="0"/>
          <w:numId w:val="0"/>
        </w:numPr>
        <w:tabs>
          <w:tab w:val="left" w:pos="720"/>
        </w:tabs>
        <w:spacing w:after="0" w:line="312" w:lineRule="auto"/>
        <w:jc w:val="center"/>
        <w:rPr>
          <w:color w:val="FF0000"/>
        </w:rPr>
      </w:pPr>
    </w:p>
    <w:p w14:paraId="7C4C5E10" w14:textId="77777777" w:rsidR="00D50246" w:rsidRDefault="00D50246" w:rsidP="00D50246">
      <w:pPr>
        <w:pStyle w:val="Heading1"/>
        <w:numPr>
          <w:ilvl w:val="0"/>
          <w:numId w:val="0"/>
        </w:numPr>
        <w:tabs>
          <w:tab w:val="left" w:pos="720"/>
        </w:tabs>
        <w:spacing w:after="0" w:line="312" w:lineRule="auto"/>
        <w:jc w:val="center"/>
        <w:rPr>
          <w:sz w:val="24"/>
          <w:szCs w:val="24"/>
        </w:rPr>
      </w:pPr>
    </w:p>
    <w:tbl>
      <w:tblPr>
        <w:tblW w:w="5724" w:type="pct"/>
        <w:tblInd w:w="-57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402"/>
        <w:gridCol w:w="6095"/>
      </w:tblGrid>
      <w:tr w:rsidR="00D50246" w14:paraId="4D4F60F5" w14:textId="77777777" w:rsidTr="00B602B2">
        <w:trPr>
          <w:trHeight w:val="20"/>
        </w:trPr>
        <w:tc>
          <w:tcPr>
            <w:tcW w:w="1791" w:type="pct"/>
            <w:tcBorders>
              <w:top w:val="single" w:sz="4" w:space="0" w:color="auto"/>
              <w:left w:val="single" w:sz="4" w:space="0" w:color="auto"/>
              <w:bottom w:val="nil"/>
              <w:right w:val="single" w:sz="4" w:space="0" w:color="auto"/>
            </w:tcBorders>
            <w:shd w:val="clear" w:color="auto" w:fill="006283"/>
            <w:hideMark/>
          </w:tcPr>
          <w:p w14:paraId="18C176D0" w14:textId="77777777" w:rsidR="00D50246" w:rsidRDefault="00D50246">
            <w:pPr>
              <w:spacing w:line="312" w:lineRule="auto"/>
              <w:jc w:val="center"/>
              <w:rPr>
                <w:rFonts w:ascii="Verdana" w:hAnsi="Verdana"/>
                <w:b/>
                <w:color w:val="FFFFFF"/>
                <w:sz w:val="20"/>
                <w:szCs w:val="20"/>
                <w:lang w:val="en-GB"/>
              </w:rPr>
            </w:pPr>
            <w:r>
              <w:rPr>
                <w:b/>
                <w:color w:val="FFFFFF"/>
                <w:sz w:val="20"/>
                <w:szCs w:val="20"/>
              </w:rPr>
              <w:t>Short Title</w:t>
            </w:r>
          </w:p>
        </w:tc>
        <w:tc>
          <w:tcPr>
            <w:tcW w:w="3209" w:type="pct"/>
            <w:tcBorders>
              <w:top w:val="single" w:sz="4" w:space="0" w:color="auto"/>
              <w:left w:val="single" w:sz="4" w:space="0" w:color="auto"/>
              <w:bottom w:val="nil"/>
              <w:right w:val="single" w:sz="4" w:space="0" w:color="auto"/>
            </w:tcBorders>
            <w:shd w:val="clear" w:color="auto" w:fill="006283"/>
            <w:hideMark/>
          </w:tcPr>
          <w:p w14:paraId="50F7CBB9" w14:textId="77777777" w:rsidR="00D50246" w:rsidRDefault="00D50246">
            <w:pPr>
              <w:spacing w:line="312" w:lineRule="auto"/>
              <w:jc w:val="center"/>
              <w:rPr>
                <w:rFonts w:ascii="Verdana" w:hAnsi="Verdana"/>
                <w:b/>
                <w:color w:val="FFFFFF"/>
                <w:sz w:val="20"/>
                <w:szCs w:val="20"/>
                <w:lang w:val="en-GB"/>
              </w:rPr>
            </w:pPr>
            <w:r>
              <w:rPr>
                <w:b/>
                <w:color w:val="FFFFFF"/>
                <w:sz w:val="20"/>
                <w:szCs w:val="20"/>
              </w:rPr>
              <w:t>Full Case Title and Citation</w:t>
            </w:r>
          </w:p>
        </w:tc>
      </w:tr>
      <w:tr w:rsidR="002402F0" w14:paraId="49CDB344" w14:textId="77777777" w:rsidTr="00B602B2">
        <w:trPr>
          <w:trHeight w:val="20"/>
        </w:trPr>
        <w:tc>
          <w:tcPr>
            <w:tcW w:w="1791" w:type="pct"/>
            <w:tcBorders>
              <w:top w:val="nil"/>
              <w:left w:val="single" w:sz="4" w:space="0" w:color="auto"/>
              <w:bottom w:val="single" w:sz="4" w:space="0" w:color="auto"/>
              <w:right w:val="single" w:sz="4" w:space="0" w:color="auto"/>
            </w:tcBorders>
          </w:tcPr>
          <w:p w14:paraId="0AEB6800" w14:textId="5F997FF9" w:rsidR="002402F0" w:rsidRPr="00944063" w:rsidRDefault="002402F0" w:rsidP="002402F0">
            <w:pPr>
              <w:spacing w:before="40" w:after="40"/>
              <w:rPr>
                <w:i/>
                <w:iCs/>
                <w:color w:val="000000"/>
              </w:rPr>
            </w:pPr>
            <w:r>
              <w:rPr>
                <w:i/>
                <w:iCs/>
              </w:rPr>
              <w:t>China – HP-SSST (Japan)/</w:t>
            </w:r>
            <w:r>
              <w:rPr>
                <w:i/>
                <w:iCs/>
              </w:rPr>
              <w:br/>
              <w:t>China – HP-SSST (EU)</w:t>
            </w:r>
          </w:p>
        </w:tc>
        <w:tc>
          <w:tcPr>
            <w:tcW w:w="3209" w:type="pct"/>
            <w:tcBorders>
              <w:top w:val="nil"/>
              <w:left w:val="single" w:sz="4" w:space="0" w:color="auto"/>
              <w:bottom w:val="single" w:sz="4" w:space="0" w:color="auto"/>
              <w:right w:val="single" w:sz="4" w:space="0" w:color="auto"/>
            </w:tcBorders>
          </w:tcPr>
          <w:p w14:paraId="04018811" w14:textId="1ECF4FC5" w:rsidR="002402F0" w:rsidRDefault="002402F0" w:rsidP="002402F0">
            <w:pPr>
              <w:keepLines/>
              <w:tabs>
                <w:tab w:val="left" w:pos="2268"/>
                <w:tab w:val="left" w:pos="4536"/>
              </w:tabs>
              <w:spacing w:line="312" w:lineRule="auto"/>
              <w:rPr>
                <w:iCs/>
                <w:color w:val="000000"/>
              </w:rPr>
            </w:pPr>
            <w:r w:rsidRPr="004369C6">
              <w:rPr>
                <w:color w:val="000000"/>
                <w:lang w:val="en-GB"/>
              </w:rPr>
              <w:t xml:space="preserve">Appellate Body Reports, </w:t>
            </w:r>
            <w:r w:rsidRPr="004369C6">
              <w:rPr>
                <w:i/>
                <w:color w:val="000000"/>
                <w:lang w:val="en-GB"/>
              </w:rPr>
              <w:t>China – Measures Imposing Anti-Dumping Duties on High-Performance Stainless Steel Seamless Tubes ("HP</w:t>
            </w:r>
            <w:r w:rsidRPr="004369C6">
              <w:rPr>
                <w:i/>
                <w:color w:val="000000"/>
                <w:lang w:val="en-GB"/>
              </w:rPr>
              <w:noBreakHyphen/>
              <w:t>SSST") from Japan / China – Measures Imposing Anti-Dumping Duties on High-Performance Stainless Steel Seamless Tubes ("HP</w:t>
            </w:r>
            <w:r w:rsidRPr="004369C6">
              <w:rPr>
                <w:i/>
                <w:color w:val="000000"/>
                <w:lang w:val="en-GB"/>
              </w:rPr>
              <w:noBreakHyphen/>
              <w:t>SSST") from the European Union</w:t>
            </w:r>
            <w:r w:rsidRPr="004369C6">
              <w:rPr>
                <w:color w:val="000000"/>
                <w:lang w:val="en-GB"/>
              </w:rPr>
              <w:t xml:space="preserve">, </w:t>
            </w:r>
            <w:hyperlink r:id="rId9" w:history="1">
              <w:r w:rsidRPr="004369C6">
                <w:rPr>
                  <w:rStyle w:val="Hyperlink"/>
                  <w:lang w:val="en-GB"/>
                </w:rPr>
                <w:t>WT/DS454/AB/R</w:t>
              </w:r>
            </w:hyperlink>
            <w:r w:rsidRPr="004369C6">
              <w:rPr>
                <w:color w:val="000000"/>
                <w:lang w:val="en-GB"/>
              </w:rPr>
              <w:t xml:space="preserve"> and Add.1 / </w:t>
            </w:r>
            <w:hyperlink r:id="rId10" w:history="1">
              <w:r w:rsidRPr="004369C6">
                <w:rPr>
                  <w:rStyle w:val="Hyperlink"/>
                  <w:lang w:val="en-GB"/>
                </w:rPr>
                <w:t>WT/DS460/AB/R</w:t>
              </w:r>
            </w:hyperlink>
            <w:r w:rsidRPr="004369C6">
              <w:rPr>
                <w:color w:val="000000"/>
                <w:lang w:val="en-GB"/>
              </w:rPr>
              <w:t xml:space="preserve"> and Add.1, adopted 28 October 2015, DSR 2015:IX, p. 4573</w:t>
            </w:r>
          </w:p>
        </w:tc>
      </w:tr>
      <w:tr w:rsidR="002402F0" w14:paraId="58DF5B6A" w14:textId="77777777" w:rsidTr="00B602B2">
        <w:trPr>
          <w:trHeight w:val="20"/>
        </w:trPr>
        <w:tc>
          <w:tcPr>
            <w:tcW w:w="1791" w:type="pct"/>
            <w:tcBorders>
              <w:top w:val="nil"/>
              <w:left w:val="single" w:sz="4" w:space="0" w:color="auto"/>
              <w:bottom w:val="single" w:sz="4" w:space="0" w:color="auto"/>
              <w:right w:val="single" w:sz="4" w:space="0" w:color="auto"/>
            </w:tcBorders>
          </w:tcPr>
          <w:p w14:paraId="17B03723" w14:textId="529266EE" w:rsidR="002402F0" w:rsidRDefault="002402F0" w:rsidP="002402F0">
            <w:pPr>
              <w:spacing w:before="40" w:after="40"/>
              <w:rPr>
                <w:i/>
                <w:iCs/>
              </w:rPr>
            </w:pPr>
            <w:r>
              <w:rPr>
                <w:i/>
                <w:iCs/>
              </w:rPr>
              <w:t>China – Raw Materials</w:t>
            </w:r>
          </w:p>
        </w:tc>
        <w:tc>
          <w:tcPr>
            <w:tcW w:w="3209" w:type="pct"/>
            <w:tcBorders>
              <w:top w:val="nil"/>
              <w:left w:val="single" w:sz="4" w:space="0" w:color="auto"/>
              <w:bottom w:val="single" w:sz="4" w:space="0" w:color="auto"/>
              <w:right w:val="single" w:sz="4" w:space="0" w:color="auto"/>
            </w:tcBorders>
          </w:tcPr>
          <w:p w14:paraId="5E4003D1" w14:textId="55839CF0" w:rsidR="002402F0" w:rsidRPr="004369C6" w:rsidRDefault="002402F0" w:rsidP="002402F0">
            <w:pPr>
              <w:keepLines/>
              <w:tabs>
                <w:tab w:val="left" w:pos="2268"/>
                <w:tab w:val="left" w:pos="4536"/>
              </w:tabs>
              <w:spacing w:line="312" w:lineRule="auto"/>
              <w:rPr>
                <w:color w:val="000000"/>
                <w:lang w:val="en-GB"/>
              </w:rPr>
            </w:pPr>
            <w:r w:rsidRPr="002B2383">
              <w:rPr>
                <w:color w:val="000000"/>
                <w:lang w:val="en-GB"/>
              </w:rPr>
              <w:t xml:space="preserve">Appellate Body Reports, </w:t>
            </w:r>
            <w:r w:rsidRPr="002B2383">
              <w:rPr>
                <w:i/>
                <w:color w:val="000000"/>
                <w:lang w:val="en-GB"/>
              </w:rPr>
              <w:t>China – Measures Related to the Exportation of Various Raw Materials</w:t>
            </w:r>
            <w:r w:rsidRPr="002B2383">
              <w:rPr>
                <w:color w:val="000000"/>
                <w:lang w:val="en-GB"/>
              </w:rPr>
              <w:t xml:space="preserve">, </w:t>
            </w:r>
            <w:hyperlink r:id="rId11" w:history="1">
              <w:r w:rsidRPr="002B2383">
                <w:rPr>
                  <w:rStyle w:val="Hyperlink"/>
                  <w:lang w:val="en-GB"/>
                </w:rPr>
                <w:t>WT/DS394/AB/R</w:t>
              </w:r>
            </w:hyperlink>
            <w:r w:rsidRPr="002B2383">
              <w:rPr>
                <w:color w:val="000000"/>
                <w:lang w:val="en-GB"/>
              </w:rPr>
              <w:t xml:space="preserve"> / </w:t>
            </w:r>
            <w:hyperlink r:id="rId12" w:history="1">
              <w:r w:rsidRPr="002B2383">
                <w:rPr>
                  <w:rStyle w:val="Hyperlink"/>
                  <w:lang w:val="en-GB"/>
                </w:rPr>
                <w:t>WT/DS395/AB/R</w:t>
              </w:r>
            </w:hyperlink>
            <w:r w:rsidRPr="002B2383">
              <w:rPr>
                <w:color w:val="000000"/>
                <w:lang w:val="en-GB"/>
              </w:rPr>
              <w:t xml:space="preserve"> / </w:t>
            </w:r>
            <w:hyperlink r:id="rId13" w:history="1">
              <w:r w:rsidRPr="002B2383">
                <w:rPr>
                  <w:rStyle w:val="Hyperlink"/>
                  <w:lang w:val="en-GB"/>
                </w:rPr>
                <w:t>WT/DS398/AB/R</w:t>
              </w:r>
            </w:hyperlink>
            <w:r w:rsidRPr="002B2383">
              <w:rPr>
                <w:color w:val="000000"/>
                <w:lang w:val="en-GB"/>
              </w:rPr>
              <w:t>, adopted 22 February 2012, DSR 2012:VII, p. 3295</w:t>
            </w:r>
          </w:p>
        </w:tc>
      </w:tr>
      <w:tr w:rsidR="002402F0" w14:paraId="11098E30" w14:textId="77777777" w:rsidTr="00B602B2">
        <w:trPr>
          <w:trHeight w:val="20"/>
        </w:trPr>
        <w:tc>
          <w:tcPr>
            <w:tcW w:w="1791" w:type="pct"/>
            <w:tcBorders>
              <w:top w:val="nil"/>
              <w:left w:val="single" w:sz="4" w:space="0" w:color="auto"/>
              <w:bottom w:val="single" w:sz="4" w:space="0" w:color="auto"/>
              <w:right w:val="single" w:sz="4" w:space="0" w:color="auto"/>
            </w:tcBorders>
            <w:hideMark/>
          </w:tcPr>
          <w:p w14:paraId="79476E4B" w14:textId="48D9FDA8" w:rsidR="002402F0" w:rsidRDefault="002402F0" w:rsidP="002402F0">
            <w:pPr>
              <w:spacing w:before="40" w:after="40"/>
              <w:rPr>
                <w:i/>
              </w:rPr>
            </w:pPr>
            <w:r w:rsidRPr="00944063">
              <w:rPr>
                <w:i/>
                <w:iCs/>
                <w:color w:val="000000"/>
              </w:rPr>
              <w:t>EC – Approval and Marketing of Biotech Products</w:t>
            </w:r>
          </w:p>
        </w:tc>
        <w:tc>
          <w:tcPr>
            <w:tcW w:w="3209" w:type="pct"/>
            <w:tcBorders>
              <w:top w:val="nil"/>
              <w:left w:val="single" w:sz="4" w:space="0" w:color="auto"/>
              <w:bottom w:val="single" w:sz="4" w:space="0" w:color="auto"/>
              <w:right w:val="single" w:sz="4" w:space="0" w:color="auto"/>
            </w:tcBorders>
            <w:hideMark/>
          </w:tcPr>
          <w:p w14:paraId="445F248A" w14:textId="6DE5005A" w:rsidR="002402F0" w:rsidRDefault="002402F0" w:rsidP="002402F0">
            <w:pPr>
              <w:keepLines/>
              <w:tabs>
                <w:tab w:val="left" w:pos="2268"/>
                <w:tab w:val="left" w:pos="4536"/>
              </w:tabs>
              <w:spacing w:line="312" w:lineRule="auto"/>
              <w:rPr>
                <w:bCs/>
                <w:i/>
                <w:iCs/>
                <w:color w:val="000000"/>
              </w:rPr>
            </w:pPr>
            <w:r>
              <w:rPr>
                <w:iCs/>
                <w:color w:val="000000"/>
              </w:rPr>
              <w:t xml:space="preserve">Panel Reports, </w:t>
            </w:r>
            <w:r>
              <w:rPr>
                <w:i/>
                <w:color w:val="000000"/>
              </w:rPr>
              <w:t>European Communities – Measures Affecting the Approval and Marketing of Biotech Products</w:t>
            </w:r>
            <w:r>
              <w:rPr>
                <w:iCs/>
                <w:color w:val="000000"/>
              </w:rPr>
              <w:t>,</w:t>
            </w:r>
            <w:r w:rsidRPr="005F4815">
              <w:rPr>
                <w:rFonts w:ascii="Verdana" w:eastAsia="Calibri" w:hAnsi="Verdana"/>
                <w:sz w:val="18"/>
                <w:szCs w:val="22"/>
                <w:lang w:val="en-GB"/>
              </w:rPr>
              <w:t xml:space="preserve"> </w:t>
            </w:r>
            <w:hyperlink r:id="rId14" w:history="1">
              <w:r w:rsidRPr="005F4815">
                <w:rPr>
                  <w:rStyle w:val="Hyperlink"/>
                  <w:iCs/>
                  <w:lang w:val="en-GB"/>
                </w:rPr>
                <w:t>WT/DS291/R</w:t>
              </w:r>
            </w:hyperlink>
            <w:r w:rsidRPr="005F4815">
              <w:rPr>
                <w:iCs/>
                <w:color w:val="000000"/>
                <w:lang w:val="en-GB"/>
              </w:rPr>
              <w:t xml:space="preserve">, Add.1 to Add.9 and Corr.1 / </w:t>
            </w:r>
            <w:hyperlink r:id="rId15" w:history="1">
              <w:r w:rsidRPr="005F4815">
                <w:rPr>
                  <w:rStyle w:val="Hyperlink"/>
                  <w:iCs/>
                  <w:lang w:val="en-GB"/>
                </w:rPr>
                <w:t>WT/DS292/R</w:t>
              </w:r>
            </w:hyperlink>
            <w:r w:rsidRPr="005F4815">
              <w:rPr>
                <w:iCs/>
                <w:color w:val="000000"/>
                <w:lang w:val="en-GB"/>
              </w:rPr>
              <w:t xml:space="preserve">, Add.1 to Add.9 and Corr.1 / </w:t>
            </w:r>
            <w:hyperlink r:id="rId16" w:history="1">
              <w:r w:rsidRPr="005F4815">
                <w:rPr>
                  <w:rStyle w:val="Hyperlink"/>
                  <w:iCs/>
                  <w:lang w:val="en-GB"/>
                </w:rPr>
                <w:t>WT/DS293/R</w:t>
              </w:r>
            </w:hyperlink>
            <w:r w:rsidRPr="005F4815">
              <w:rPr>
                <w:iCs/>
                <w:color w:val="000000"/>
                <w:lang w:val="en-GB"/>
              </w:rPr>
              <w:t>, Add.1 to Add.9 and Corr.1, adopted 21 November 2006, DSR 2006:III, p. 847</w:t>
            </w:r>
            <w:r>
              <w:rPr>
                <w:iCs/>
                <w:color w:val="000000"/>
              </w:rPr>
              <w:t xml:space="preserve"> </w:t>
            </w:r>
          </w:p>
        </w:tc>
      </w:tr>
      <w:tr w:rsidR="00F4233D" w14:paraId="75A2CF6A" w14:textId="77777777" w:rsidTr="00B602B2">
        <w:trPr>
          <w:trHeight w:val="20"/>
        </w:trPr>
        <w:tc>
          <w:tcPr>
            <w:tcW w:w="1791" w:type="pct"/>
            <w:tcBorders>
              <w:top w:val="nil"/>
              <w:left w:val="single" w:sz="4" w:space="0" w:color="auto"/>
              <w:bottom w:val="single" w:sz="4" w:space="0" w:color="auto"/>
              <w:right w:val="single" w:sz="4" w:space="0" w:color="auto"/>
            </w:tcBorders>
          </w:tcPr>
          <w:p w14:paraId="451E9FE4" w14:textId="14BE0963" w:rsidR="00F4233D" w:rsidRPr="00944063" w:rsidRDefault="00F4233D" w:rsidP="00F4233D">
            <w:pPr>
              <w:spacing w:before="40" w:after="40"/>
              <w:rPr>
                <w:i/>
                <w:iCs/>
                <w:color w:val="000000"/>
              </w:rPr>
            </w:pPr>
            <w:r w:rsidRPr="00944063">
              <w:rPr>
                <w:i/>
                <w:iCs/>
              </w:rPr>
              <w:t>EC – Bananas III</w:t>
            </w:r>
          </w:p>
        </w:tc>
        <w:tc>
          <w:tcPr>
            <w:tcW w:w="3209" w:type="pct"/>
            <w:tcBorders>
              <w:top w:val="nil"/>
              <w:left w:val="single" w:sz="4" w:space="0" w:color="auto"/>
              <w:bottom w:val="single" w:sz="4" w:space="0" w:color="auto"/>
              <w:right w:val="single" w:sz="4" w:space="0" w:color="auto"/>
            </w:tcBorders>
          </w:tcPr>
          <w:p w14:paraId="42E8BCE1" w14:textId="597ADB7A" w:rsidR="00F4233D" w:rsidRDefault="00F4233D" w:rsidP="00F4233D">
            <w:pPr>
              <w:keepLines/>
              <w:tabs>
                <w:tab w:val="left" w:pos="2268"/>
                <w:tab w:val="left" w:pos="4536"/>
              </w:tabs>
              <w:spacing w:line="312" w:lineRule="auto"/>
              <w:rPr>
                <w:iCs/>
                <w:color w:val="000000"/>
              </w:rPr>
            </w:pPr>
            <w:r>
              <w:rPr>
                <w:color w:val="000000"/>
              </w:rPr>
              <w:t xml:space="preserve">Appellate Body Report, </w:t>
            </w:r>
            <w:r>
              <w:rPr>
                <w:i/>
                <w:iCs/>
                <w:color w:val="000000"/>
              </w:rPr>
              <w:t>European Communities – Regime for the Importation, Sale and Distribution of Bananas</w:t>
            </w:r>
            <w:r>
              <w:rPr>
                <w:color w:val="000000"/>
              </w:rPr>
              <w:t xml:space="preserve">, </w:t>
            </w:r>
            <w:hyperlink r:id="rId17" w:history="1">
              <w:r w:rsidRPr="00D82F74">
                <w:rPr>
                  <w:rStyle w:val="Hyperlink"/>
                  <w:lang w:val="en-GB"/>
                </w:rPr>
                <w:t>WT/DS27/AB/R</w:t>
              </w:r>
            </w:hyperlink>
            <w:r w:rsidRPr="00D82F74">
              <w:rPr>
                <w:color w:val="000000"/>
                <w:lang w:val="en-GB"/>
              </w:rPr>
              <w:t>, adopted 25 September 1997, DSR 1997:II, p. 591</w:t>
            </w:r>
          </w:p>
        </w:tc>
      </w:tr>
      <w:tr w:rsidR="00F4233D" w14:paraId="3F94D86D" w14:textId="77777777" w:rsidTr="00B602B2">
        <w:trPr>
          <w:trHeight w:val="20"/>
        </w:trPr>
        <w:tc>
          <w:tcPr>
            <w:tcW w:w="1791" w:type="pct"/>
            <w:tcBorders>
              <w:top w:val="nil"/>
              <w:left w:val="single" w:sz="4" w:space="0" w:color="auto"/>
              <w:bottom w:val="single" w:sz="4" w:space="0" w:color="auto"/>
              <w:right w:val="single" w:sz="4" w:space="0" w:color="auto"/>
            </w:tcBorders>
          </w:tcPr>
          <w:p w14:paraId="2214449A" w14:textId="6C6C0727" w:rsidR="00F4233D" w:rsidRPr="00944063" w:rsidRDefault="00F4233D" w:rsidP="00F4233D">
            <w:pPr>
              <w:spacing w:before="40" w:after="40"/>
              <w:rPr>
                <w:i/>
                <w:iCs/>
              </w:rPr>
            </w:pPr>
            <w:r>
              <w:rPr>
                <w:i/>
                <w:iCs/>
              </w:rPr>
              <w:t>EC – Selected Customs Matters</w:t>
            </w:r>
          </w:p>
        </w:tc>
        <w:tc>
          <w:tcPr>
            <w:tcW w:w="3209" w:type="pct"/>
            <w:tcBorders>
              <w:top w:val="nil"/>
              <w:left w:val="single" w:sz="4" w:space="0" w:color="auto"/>
              <w:bottom w:val="single" w:sz="4" w:space="0" w:color="auto"/>
              <w:right w:val="single" w:sz="4" w:space="0" w:color="auto"/>
            </w:tcBorders>
          </w:tcPr>
          <w:p w14:paraId="7E989B90" w14:textId="075B56F0" w:rsidR="00F4233D" w:rsidRDefault="00F4233D" w:rsidP="00F4233D">
            <w:pPr>
              <w:keepLines/>
              <w:tabs>
                <w:tab w:val="left" w:pos="2268"/>
                <w:tab w:val="left" w:pos="4536"/>
              </w:tabs>
              <w:spacing w:line="312" w:lineRule="auto"/>
              <w:rPr>
                <w:color w:val="000000"/>
              </w:rPr>
            </w:pPr>
            <w:r w:rsidRPr="00CC35B5">
              <w:rPr>
                <w:color w:val="000000"/>
                <w:lang w:val="en-GB"/>
              </w:rPr>
              <w:t xml:space="preserve">Appellate Body Report, </w:t>
            </w:r>
            <w:r w:rsidRPr="00CC35B5">
              <w:rPr>
                <w:i/>
                <w:color w:val="000000"/>
                <w:lang w:val="en-GB"/>
              </w:rPr>
              <w:t>European Communities – Selected Customs Matters</w:t>
            </w:r>
            <w:r w:rsidRPr="00CC35B5">
              <w:rPr>
                <w:color w:val="000000"/>
                <w:lang w:val="en-GB"/>
              </w:rPr>
              <w:t xml:space="preserve">, </w:t>
            </w:r>
            <w:hyperlink r:id="rId18" w:history="1">
              <w:r w:rsidRPr="00CC35B5">
                <w:rPr>
                  <w:rStyle w:val="Hyperlink"/>
                  <w:lang w:val="en-GB"/>
                </w:rPr>
                <w:t>WT/DS315/AB/R</w:t>
              </w:r>
            </w:hyperlink>
            <w:r w:rsidRPr="00CC35B5">
              <w:rPr>
                <w:color w:val="000000"/>
                <w:lang w:val="en-GB"/>
              </w:rPr>
              <w:t>, adopted 11 December 2006, DSR 2006:IX, p. 3791</w:t>
            </w:r>
          </w:p>
        </w:tc>
      </w:tr>
      <w:tr w:rsidR="00F4233D" w14:paraId="4D2C5A6C" w14:textId="77777777" w:rsidTr="00B602B2">
        <w:trPr>
          <w:trHeight w:val="20"/>
        </w:trPr>
        <w:tc>
          <w:tcPr>
            <w:tcW w:w="1791" w:type="pct"/>
            <w:tcBorders>
              <w:top w:val="nil"/>
              <w:left w:val="single" w:sz="4" w:space="0" w:color="auto"/>
              <w:bottom w:val="single" w:sz="4" w:space="0" w:color="auto"/>
              <w:right w:val="single" w:sz="4" w:space="0" w:color="auto"/>
            </w:tcBorders>
          </w:tcPr>
          <w:p w14:paraId="5425E8C0" w14:textId="59D30717" w:rsidR="00F4233D" w:rsidRDefault="00F4233D" w:rsidP="00F4233D">
            <w:pPr>
              <w:spacing w:before="40" w:after="40"/>
              <w:rPr>
                <w:i/>
                <w:iCs/>
              </w:rPr>
            </w:pPr>
            <w:r w:rsidRPr="000C4309">
              <w:rPr>
                <w:i/>
                <w:iCs/>
              </w:rPr>
              <w:t>Japan – Agricultural Products II</w:t>
            </w:r>
          </w:p>
        </w:tc>
        <w:tc>
          <w:tcPr>
            <w:tcW w:w="3209" w:type="pct"/>
            <w:tcBorders>
              <w:top w:val="nil"/>
              <w:left w:val="single" w:sz="4" w:space="0" w:color="auto"/>
              <w:bottom w:val="single" w:sz="4" w:space="0" w:color="auto"/>
              <w:right w:val="single" w:sz="4" w:space="0" w:color="auto"/>
            </w:tcBorders>
          </w:tcPr>
          <w:p w14:paraId="4D5EE963" w14:textId="0FC3E56F" w:rsidR="00F4233D" w:rsidRPr="00CC35B5" w:rsidRDefault="00F4233D" w:rsidP="00F4233D">
            <w:pPr>
              <w:keepLines/>
              <w:tabs>
                <w:tab w:val="left" w:pos="2268"/>
                <w:tab w:val="left" w:pos="4536"/>
              </w:tabs>
              <w:spacing w:line="312" w:lineRule="auto"/>
              <w:rPr>
                <w:color w:val="000000"/>
                <w:lang w:val="en-GB"/>
              </w:rPr>
            </w:pPr>
            <w:r>
              <w:t xml:space="preserve">Appellate Body Report, </w:t>
            </w:r>
            <w:r>
              <w:rPr>
                <w:i/>
                <w:iCs/>
              </w:rPr>
              <w:t>Japan – Measures Affecting Agricultural Products</w:t>
            </w:r>
            <w:r>
              <w:t xml:space="preserve">, </w:t>
            </w:r>
            <w:hyperlink r:id="rId19" w:history="1">
              <w:r w:rsidRPr="000C0655">
                <w:rPr>
                  <w:rStyle w:val="Hyperlink"/>
                </w:rPr>
                <w:t>WT/DS76/AB/R</w:t>
              </w:r>
            </w:hyperlink>
            <w:r>
              <w:t>, adopted 19 March 1999, DSR 1999:I, p. 277</w:t>
            </w:r>
          </w:p>
        </w:tc>
      </w:tr>
      <w:tr w:rsidR="00F4233D" w14:paraId="23CC80CB" w14:textId="77777777" w:rsidTr="00B602B2">
        <w:trPr>
          <w:trHeight w:val="20"/>
        </w:trPr>
        <w:tc>
          <w:tcPr>
            <w:tcW w:w="1791" w:type="pct"/>
            <w:tcBorders>
              <w:top w:val="nil"/>
              <w:left w:val="single" w:sz="4" w:space="0" w:color="auto"/>
              <w:bottom w:val="single" w:sz="4" w:space="0" w:color="auto"/>
              <w:right w:val="single" w:sz="4" w:space="0" w:color="auto"/>
            </w:tcBorders>
          </w:tcPr>
          <w:p w14:paraId="67D09010" w14:textId="7E3B58A7" w:rsidR="00F4233D" w:rsidRPr="000C4309" w:rsidRDefault="00F4233D" w:rsidP="00F4233D">
            <w:pPr>
              <w:spacing w:before="40" w:after="40"/>
              <w:rPr>
                <w:i/>
                <w:iCs/>
              </w:rPr>
            </w:pPr>
            <w:r w:rsidRPr="00741432">
              <w:rPr>
                <w:i/>
                <w:iCs/>
              </w:rPr>
              <w:t>Japan – Apples</w:t>
            </w:r>
          </w:p>
        </w:tc>
        <w:tc>
          <w:tcPr>
            <w:tcW w:w="3209" w:type="pct"/>
            <w:tcBorders>
              <w:top w:val="nil"/>
              <w:left w:val="single" w:sz="4" w:space="0" w:color="auto"/>
              <w:bottom w:val="single" w:sz="4" w:space="0" w:color="auto"/>
              <w:right w:val="single" w:sz="4" w:space="0" w:color="auto"/>
            </w:tcBorders>
          </w:tcPr>
          <w:p w14:paraId="4733A84E" w14:textId="45C5047D" w:rsidR="00F4233D" w:rsidRDefault="00F4233D" w:rsidP="00F4233D">
            <w:pPr>
              <w:keepLines/>
              <w:tabs>
                <w:tab w:val="left" w:pos="2268"/>
                <w:tab w:val="left" w:pos="4536"/>
              </w:tabs>
              <w:spacing w:line="312" w:lineRule="auto"/>
            </w:pPr>
            <w:r>
              <w:rPr>
                <w:color w:val="000000"/>
              </w:rPr>
              <w:t xml:space="preserve">Appellate Body Report, </w:t>
            </w:r>
            <w:r>
              <w:rPr>
                <w:i/>
                <w:iCs/>
                <w:color w:val="000000"/>
              </w:rPr>
              <w:t>Japan – Measures Affecting the Importation of Apples</w:t>
            </w:r>
            <w:r>
              <w:rPr>
                <w:color w:val="000000"/>
              </w:rPr>
              <w:t xml:space="preserve">, </w:t>
            </w:r>
            <w:hyperlink r:id="rId20" w:history="1">
              <w:r w:rsidRPr="002842CA">
                <w:rPr>
                  <w:rStyle w:val="Hyperlink"/>
                </w:rPr>
                <w:t>WT/DS245/AB/R</w:t>
              </w:r>
            </w:hyperlink>
            <w:r>
              <w:rPr>
                <w:color w:val="000000"/>
              </w:rPr>
              <w:t>, adopted 10 December 2003</w:t>
            </w:r>
          </w:p>
        </w:tc>
      </w:tr>
      <w:tr w:rsidR="00D50246" w14:paraId="08992A28" w14:textId="77777777" w:rsidTr="0007254E">
        <w:trPr>
          <w:trHeight w:val="20"/>
        </w:trPr>
        <w:tc>
          <w:tcPr>
            <w:tcW w:w="1791" w:type="pct"/>
            <w:tcBorders>
              <w:top w:val="nil"/>
              <w:left w:val="single" w:sz="4" w:space="0" w:color="auto"/>
              <w:bottom w:val="single" w:sz="4" w:space="0" w:color="auto"/>
              <w:right w:val="single" w:sz="4" w:space="0" w:color="auto"/>
            </w:tcBorders>
          </w:tcPr>
          <w:p w14:paraId="36A088ED" w14:textId="2B7DCC11" w:rsidR="00D50246" w:rsidRDefault="00390D4B">
            <w:pPr>
              <w:tabs>
                <w:tab w:val="num" w:pos="0"/>
              </w:tabs>
              <w:spacing w:line="312" w:lineRule="auto"/>
              <w:rPr>
                <w:i/>
              </w:rPr>
            </w:pPr>
            <w:r w:rsidRPr="00390D4B">
              <w:rPr>
                <w:i/>
              </w:rPr>
              <w:t>Korea – Pneumatic Valves</w:t>
            </w:r>
          </w:p>
        </w:tc>
        <w:tc>
          <w:tcPr>
            <w:tcW w:w="3209" w:type="pct"/>
            <w:tcBorders>
              <w:top w:val="nil"/>
              <w:left w:val="single" w:sz="4" w:space="0" w:color="auto"/>
              <w:bottom w:val="single" w:sz="4" w:space="0" w:color="auto"/>
              <w:right w:val="single" w:sz="4" w:space="0" w:color="auto"/>
            </w:tcBorders>
          </w:tcPr>
          <w:p w14:paraId="47B1BC7F" w14:textId="17A6B217" w:rsidR="00D50246" w:rsidRPr="00F82543" w:rsidRDefault="00F82543">
            <w:pPr>
              <w:keepLines/>
              <w:tabs>
                <w:tab w:val="left" w:pos="2268"/>
                <w:tab w:val="left" w:pos="4536"/>
              </w:tabs>
              <w:spacing w:line="312" w:lineRule="auto"/>
              <w:rPr>
                <w:color w:val="000000"/>
              </w:rPr>
            </w:pPr>
            <w:r>
              <w:rPr>
                <w:color w:val="000000"/>
              </w:rPr>
              <w:t xml:space="preserve">Appellate Body Report, </w:t>
            </w:r>
            <w:r>
              <w:rPr>
                <w:i/>
                <w:iCs/>
                <w:color w:val="000000"/>
              </w:rPr>
              <w:t>Korea – Anti-Dumping Duties on Pneumatic Valves from Japan</w:t>
            </w:r>
            <w:r>
              <w:rPr>
                <w:color w:val="000000"/>
              </w:rPr>
              <w:t xml:space="preserve">, </w:t>
            </w:r>
            <w:hyperlink r:id="rId21" w:history="1">
              <w:r w:rsidR="0032290F" w:rsidRPr="0032290F">
                <w:rPr>
                  <w:rStyle w:val="Hyperlink"/>
                </w:rPr>
                <w:t>WT/DS504/AB/R</w:t>
              </w:r>
            </w:hyperlink>
            <w:r w:rsidR="00551EAD">
              <w:rPr>
                <w:color w:val="000000"/>
              </w:rPr>
              <w:t>, adopted 30 September 2019</w:t>
            </w:r>
          </w:p>
        </w:tc>
      </w:tr>
      <w:tr w:rsidR="00F4233D" w14:paraId="4C543074" w14:textId="77777777" w:rsidTr="0007254E">
        <w:trPr>
          <w:trHeight w:val="20"/>
        </w:trPr>
        <w:tc>
          <w:tcPr>
            <w:tcW w:w="1791" w:type="pct"/>
            <w:tcBorders>
              <w:top w:val="single" w:sz="4" w:space="0" w:color="auto"/>
              <w:left w:val="single" w:sz="4" w:space="0" w:color="auto"/>
              <w:bottom w:val="single" w:sz="4" w:space="0" w:color="auto"/>
              <w:right w:val="single" w:sz="4" w:space="0" w:color="auto"/>
            </w:tcBorders>
          </w:tcPr>
          <w:p w14:paraId="3A360749" w14:textId="289B9682" w:rsidR="00F4233D" w:rsidRPr="00390D4B" w:rsidRDefault="00F4233D" w:rsidP="00F4233D">
            <w:pPr>
              <w:tabs>
                <w:tab w:val="num" w:pos="0"/>
              </w:tabs>
              <w:spacing w:line="312" w:lineRule="auto"/>
              <w:rPr>
                <w:i/>
              </w:rPr>
            </w:pPr>
            <w:r>
              <w:rPr>
                <w:i/>
                <w:iCs/>
              </w:rPr>
              <w:lastRenderedPageBreak/>
              <w:t>Russia – Railway Equipment</w:t>
            </w:r>
          </w:p>
        </w:tc>
        <w:tc>
          <w:tcPr>
            <w:tcW w:w="3209" w:type="pct"/>
            <w:tcBorders>
              <w:top w:val="single" w:sz="4" w:space="0" w:color="auto"/>
              <w:left w:val="single" w:sz="4" w:space="0" w:color="auto"/>
              <w:bottom w:val="single" w:sz="4" w:space="0" w:color="auto"/>
              <w:right w:val="single" w:sz="4" w:space="0" w:color="auto"/>
            </w:tcBorders>
          </w:tcPr>
          <w:p w14:paraId="45C25C1A" w14:textId="73E9B70A" w:rsidR="00F4233D" w:rsidRDefault="00F4233D" w:rsidP="00F4233D">
            <w:pPr>
              <w:keepLines/>
              <w:tabs>
                <w:tab w:val="left" w:pos="2268"/>
                <w:tab w:val="left" w:pos="4536"/>
              </w:tabs>
              <w:spacing w:line="312" w:lineRule="auto"/>
              <w:rPr>
                <w:color w:val="000000"/>
              </w:rPr>
            </w:pPr>
            <w:r w:rsidRPr="00AD1C1A">
              <w:rPr>
                <w:color w:val="000000"/>
                <w:lang w:val="en-GB"/>
              </w:rPr>
              <w:t xml:space="preserve">Appellate Body Report, </w:t>
            </w:r>
            <w:r w:rsidRPr="00AD1C1A">
              <w:rPr>
                <w:i/>
                <w:color w:val="000000"/>
                <w:lang w:val="en-GB"/>
              </w:rPr>
              <w:t>Russia – Measures Affecting the Importation of Railway Equipment and Parts Thereof</w:t>
            </w:r>
            <w:r w:rsidRPr="00AD1C1A">
              <w:rPr>
                <w:color w:val="000000"/>
                <w:lang w:val="en-GB"/>
              </w:rPr>
              <w:t xml:space="preserve">, </w:t>
            </w:r>
            <w:hyperlink r:id="rId22" w:history="1">
              <w:r w:rsidRPr="00AD1C1A">
                <w:rPr>
                  <w:rStyle w:val="Hyperlink"/>
                  <w:lang w:val="en-GB"/>
                </w:rPr>
                <w:t>WT/DS499/AB/R</w:t>
              </w:r>
            </w:hyperlink>
            <w:r w:rsidRPr="00AD1C1A">
              <w:rPr>
                <w:color w:val="000000"/>
                <w:lang w:val="en-GB"/>
              </w:rPr>
              <w:t xml:space="preserve"> a</w:t>
            </w:r>
            <w:r w:rsidRPr="00AD1C1A">
              <w:rPr>
                <w:iCs/>
                <w:color w:val="000000"/>
                <w:lang w:val="en-GB"/>
              </w:rPr>
              <w:t>nd Add.1, adopted 5 March 2020</w:t>
            </w:r>
          </w:p>
        </w:tc>
      </w:tr>
      <w:tr w:rsidR="00D50246" w14:paraId="21F0774B" w14:textId="77777777" w:rsidTr="0007254E">
        <w:trPr>
          <w:trHeight w:val="20"/>
        </w:trPr>
        <w:tc>
          <w:tcPr>
            <w:tcW w:w="1791" w:type="pct"/>
            <w:tcBorders>
              <w:top w:val="single" w:sz="4" w:space="0" w:color="auto"/>
              <w:left w:val="single" w:sz="4" w:space="0" w:color="auto"/>
              <w:bottom w:val="single" w:sz="4" w:space="0" w:color="auto"/>
              <w:right w:val="single" w:sz="4" w:space="0" w:color="auto"/>
            </w:tcBorders>
          </w:tcPr>
          <w:p w14:paraId="76F30816" w14:textId="03303FEB" w:rsidR="00D50246" w:rsidRDefault="000C4309">
            <w:pPr>
              <w:tabs>
                <w:tab w:val="num" w:pos="0"/>
              </w:tabs>
              <w:spacing w:line="312" w:lineRule="auto"/>
              <w:rPr>
                <w:i/>
                <w:color w:val="000000"/>
              </w:rPr>
            </w:pPr>
            <w:r w:rsidRPr="000C4309">
              <w:rPr>
                <w:i/>
                <w:iCs/>
                <w:color w:val="000000"/>
              </w:rPr>
              <w:t>US/Canada – Continued Suspension</w:t>
            </w:r>
            <w:r w:rsidRPr="000C4309">
              <w:rPr>
                <w:i/>
                <w:color w:val="000000"/>
              </w:rPr>
              <w:t>, para. 701</w:t>
            </w:r>
          </w:p>
        </w:tc>
        <w:tc>
          <w:tcPr>
            <w:tcW w:w="3209" w:type="pct"/>
            <w:tcBorders>
              <w:top w:val="single" w:sz="4" w:space="0" w:color="auto"/>
              <w:left w:val="single" w:sz="4" w:space="0" w:color="auto"/>
              <w:bottom w:val="single" w:sz="4" w:space="0" w:color="auto"/>
              <w:right w:val="single" w:sz="4" w:space="0" w:color="auto"/>
            </w:tcBorders>
          </w:tcPr>
          <w:p w14:paraId="1EACC74E" w14:textId="710AD6F2" w:rsidR="00D50246" w:rsidRPr="00B60300" w:rsidRDefault="00D03E26">
            <w:pPr>
              <w:keepLines/>
              <w:tabs>
                <w:tab w:val="left" w:pos="2268"/>
                <w:tab w:val="left" w:pos="4536"/>
              </w:tabs>
              <w:spacing w:line="312" w:lineRule="auto"/>
              <w:rPr>
                <w:color w:val="000000"/>
              </w:rPr>
            </w:pPr>
            <w:r>
              <w:rPr>
                <w:color w:val="000000"/>
              </w:rPr>
              <w:t>Appellate Body Report</w:t>
            </w:r>
            <w:r w:rsidR="00B60300">
              <w:rPr>
                <w:color w:val="000000"/>
              </w:rPr>
              <w:t xml:space="preserve">, </w:t>
            </w:r>
            <w:r w:rsidR="00B60300">
              <w:rPr>
                <w:i/>
                <w:iCs/>
                <w:color w:val="000000"/>
              </w:rPr>
              <w:t>US – Continued Suspension of Obligations in the EC – Hormones Dispute</w:t>
            </w:r>
            <w:r w:rsidR="00B60300">
              <w:rPr>
                <w:color w:val="000000"/>
              </w:rPr>
              <w:t xml:space="preserve">, </w:t>
            </w:r>
            <w:hyperlink r:id="rId23" w:history="1">
              <w:r w:rsidR="00B809A3" w:rsidRPr="00B809A3">
                <w:rPr>
                  <w:rStyle w:val="Hyperlink"/>
                </w:rPr>
                <w:t>WT/DS320/AB/R</w:t>
              </w:r>
            </w:hyperlink>
            <w:r w:rsidR="00B809A3">
              <w:rPr>
                <w:color w:val="000000"/>
              </w:rPr>
              <w:t>, adopted 14 November 2008</w:t>
            </w:r>
          </w:p>
          <w:p w14:paraId="648A1FBD" w14:textId="79AE618A" w:rsidR="00B60300" w:rsidRPr="006C3B48" w:rsidRDefault="00B60300">
            <w:pPr>
              <w:keepLines/>
              <w:tabs>
                <w:tab w:val="left" w:pos="2268"/>
                <w:tab w:val="left" w:pos="4536"/>
              </w:tabs>
              <w:spacing w:line="312" w:lineRule="auto"/>
              <w:rPr>
                <w:color w:val="000000"/>
              </w:rPr>
            </w:pPr>
            <w:r>
              <w:rPr>
                <w:color w:val="000000"/>
              </w:rPr>
              <w:t xml:space="preserve">Appellate Body Report, </w:t>
            </w:r>
            <w:r>
              <w:rPr>
                <w:i/>
                <w:iCs/>
                <w:color w:val="000000"/>
              </w:rPr>
              <w:t>Canada – Continued Suspension of Obligations in the EC – Hormones Dispute</w:t>
            </w:r>
            <w:r w:rsidR="006C3B48">
              <w:rPr>
                <w:color w:val="000000"/>
              </w:rPr>
              <w:t xml:space="preserve">, </w:t>
            </w:r>
            <w:hyperlink r:id="rId24" w:history="1">
              <w:r w:rsidR="006C3B48" w:rsidRPr="006C3B48">
                <w:rPr>
                  <w:rStyle w:val="Hyperlink"/>
                </w:rPr>
                <w:t>WT/DS321/AB/R</w:t>
              </w:r>
            </w:hyperlink>
            <w:r w:rsidR="006C3B48">
              <w:rPr>
                <w:color w:val="000000"/>
              </w:rPr>
              <w:t>, adopted 14 November 2008</w:t>
            </w:r>
          </w:p>
        </w:tc>
      </w:tr>
      <w:tr w:rsidR="00F4233D" w14:paraId="147BFE31" w14:textId="77777777" w:rsidTr="00B602B2">
        <w:trPr>
          <w:trHeight w:val="20"/>
        </w:trPr>
        <w:tc>
          <w:tcPr>
            <w:tcW w:w="1791" w:type="pct"/>
            <w:tcBorders>
              <w:top w:val="nil"/>
              <w:left w:val="single" w:sz="4" w:space="0" w:color="auto"/>
              <w:bottom w:val="single" w:sz="4" w:space="0" w:color="auto"/>
              <w:right w:val="single" w:sz="4" w:space="0" w:color="auto"/>
            </w:tcBorders>
          </w:tcPr>
          <w:p w14:paraId="211D45B9" w14:textId="5079FB03" w:rsidR="00F4233D" w:rsidRDefault="00F4233D" w:rsidP="00F4233D">
            <w:pPr>
              <w:rPr>
                <w:i/>
              </w:rPr>
            </w:pPr>
            <w:r>
              <w:rPr>
                <w:i/>
                <w:iCs/>
              </w:rPr>
              <w:t>US – Countervailing Measures (China)</w:t>
            </w:r>
          </w:p>
        </w:tc>
        <w:tc>
          <w:tcPr>
            <w:tcW w:w="3209" w:type="pct"/>
            <w:tcBorders>
              <w:top w:val="nil"/>
              <w:left w:val="single" w:sz="4" w:space="0" w:color="auto"/>
              <w:bottom w:val="single" w:sz="4" w:space="0" w:color="auto"/>
              <w:right w:val="single" w:sz="4" w:space="0" w:color="auto"/>
            </w:tcBorders>
          </w:tcPr>
          <w:p w14:paraId="7B089D00" w14:textId="729F70E9" w:rsidR="00F4233D" w:rsidRPr="00B602B2" w:rsidRDefault="00F4233D" w:rsidP="00F4233D">
            <w:r w:rsidRPr="00725F2F">
              <w:rPr>
                <w:color w:val="000000"/>
                <w:lang w:val="en-GB"/>
              </w:rPr>
              <w:t xml:space="preserve">Appellate Body Report, </w:t>
            </w:r>
            <w:r w:rsidRPr="00725F2F">
              <w:rPr>
                <w:i/>
                <w:color w:val="000000"/>
                <w:lang w:val="en-GB"/>
              </w:rPr>
              <w:t>United States – Countervailing Duty Measures on Certain Products from China</w:t>
            </w:r>
            <w:r w:rsidRPr="00725F2F">
              <w:rPr>
                <w:color w:val="000000"/>
                <w:lang w:val="en-GB"/>
              </w:rPr>
              <w:t xml:space="preserve">, </w:t>
            </w:r>
            <w:hyperlink r:id="rId25" w:history="1">
              <w:r w:rsidRPr="00725F2F">
                <w:rPr>
                  <w:rStyle w:val="Hyperlink"/>
                  <w:lang w:val="en-GB"/>
                </w:rPr>
                <w:t>WT/DS437/AB/R</w:t>
              </w:r>
            </w:hyperlink>
            <w:r w:rsidRPr="00725F2F">
              <w:rPr>
                <w:color w:val="000000"/>
                <w:lang w:val="en-GB"/>
              </w:rPr>
              <w:t>, adopted 16 January 2015, DSR 2015:I, p. 7</w:t>
            </w:r>
          </w:p>
        </w:tc>
      </w:tr>
      <w:tr w:rsidR="00F4233D" w14:paraId="44D3FBF6" w14:textId="77777777" w:rsidTr="00B602B2">
        <w:trPr>
          <w:trHeight w:val="20"/>
        </w:trPr>
        <w:tc>
          <w:tcPr>
            <w:tcW w:w="1791" w:type="pct"/>
            <w:tcBorders>
              <w:top w:val="nil"/>
              <w:left w:val="single" w:sz="4" w:space="0" w:color="auto"/>
              <w:bottom w:val="single" w:sz="4" w:space="0" w:color="auto"/>
              <w:right w:val="single" w:sz="4" w:space="0" w:color="auto"/>
            </w:tcBorders>
          </w:tcPr>
          <w:p w14:paraId="73D35492" w14:textId="69A3CE25" w:rsidR="00F4233D" w:rsidRDefault="00F4233D" w:rsidP="00F4233D">
            <w:pPr>
              <w:tabs>
                <w:tab w:val="num" w:pos="0"/>
              </w:tabs>
              <w:spacing w:line="312" w:lineRule="auto"/>
              <w:rPr>
                <w:i/>
              </w:rPr>
            </w:pPr>
            <w:r w:rsidRPr="00944063">
              <w:rPr>
                <w:i/>
                <w:iCs/>
              </w:rPr>
              <w:t>US – Hot Rolled Steel</w:t>
            </w:r>
          </w:p>
        </w:tc>
        <w:tc>
          <w:tcPr>
            <w:tcW w:w="3209" w:type="pct"/>
            <w:tcBorders>
              <w:top w:val="nil"/>
              <w:left w:val="single" w:sz="4" w:space="0" w:color="auto"/>
              <w:bottom w:val="single" w:sz="4" w:space="0" w:color="auto"/>
              <w:right w:val="single" w:sz="4" w:space="0" w:color="auto"/>
            </w:tcBorders>
          </w:tcPr>
          <w:p w14:paraId="0D605CC7" w14:textId="4C28640A" w:rsidR="00F4233D" w:rsidRPr="00C933E6" w:rsidRDefault="00F4233D" w:rsidP="00F4233D">
            <w:pPr>
              <w:keepLines/>
              <w:tabs>
                <w:tab w:val="left" w:pos="2268"/>
                <w:tab w:val="left" w:pos="4536"/>
              </w:tabs>
              <w:spacing w:line="312" w:lineRule="auto"/>
              <w:rPr>
                <w:color w:val="000000"/>
              </w:rPr>
            </w:pPr>
            <w:r w:rsidRPr="000323D3">
              <w:rPr>
                <w:color w:val="000000"/>
                <w:lang w:val="en-GB"/>
              </w:rPr>
              <w:t xml:space="preserve">Appellate Body Report, </w:t>
            </w:r>
            <w:r w:rsidRPr="000323D3">
              <w:rPr>
                <w:i/>
                <w:color w:val="000000"/>
                <w:lang w:val="en-GB"/>
              </w:rPr>
              <w:t>United States – Anti-Dumping Measures on Certain Hot-Rolled Steel Products from Japan</w:t>
            </w:r>
            <w:r w:rsidRPr="000323D3">
              <w:rPr>
                <w:color w:val="000000"/>
                <w:lang w:val="en-GB"/>
              </w:rPr>
              <w:t xml:space="preserve">, </w:t>
            </w:r>
            <w:hyperlink r:id="rId26" w:history="1">
              <w:r w:rsidRPr="000323D3">
                <w:rPr>
                  <w:rStyle w:val="Hyperlink"/>
                  <w:lang w:val="en-GB"/>
                </w:rPr>
                <w:t>WT/DS184/AB/R</w:t>
              </w:r>
            </w:hyperlink>
            <w:r w:rsidRPr="000323D3">
              <w:rPr>
                <w:color w:val="000000"/>
                <w:lang w:val="en-GB"/>
              </w:rPr>
              <w:t>, adopted 23 August 2001, DSR 2001:X, p. 4697</w:t>
            </w:r>
          </w:p>
        </w:tc>
      </w:tr>
      <w:tr w:rsidR="00F4233D" w14:paraId="051C7807" w14:textId="77777777" w:rsidTr="00B602B2">
        <w:trPr>
          <w:trHeight w:val="20"/>
        </w:trPr>
        <w:tc>
          <w:tcPr>
            <w:tcW w:w="1791" w:type="pct"/>
            <w:tcBorders>
              <w:top w:val="nil"/>
              <w:left w:val="single" w:sz="4" w:space="0" w:color="auto"/>
              <w:bottom w:val="single" w:sz="4" w:space="0" w:color="auto"/>
              <w:right w:val="single" w:sz="4" w:space="0" w:color="auto"/>
            </w:tcBorders>
          </w:tcPr>
          <w:p w14:paraId="1375D2A7" w14:textId="5525679B" w:rsidR="00F4233D" w:rsidRDefault="00F4233D" w:rsidP="00F4233D">
            <w:pPr>
              <w:spacing w:before="40" w:after="40"/>
              <w:rPr>
                <w:i/>
                <w:color w:val="000000"/>
              </w:rPr>
            </w:pPr>
            <w:r>
              <w:rPr>
                <w:i/>
                <w:iCs/>
              </w:rPr>
              <w:t xml:space="preserve">US – Oil Country Tubular Goods Sunset Reviews </w:t>
            </w:r>
          </w:p>
        </w:tc>
        <w:tc>
          <w:tcPr>
            <w:tcW w:w="3209" w:type="pct"/>
            <w:tcBorders>
              <w:top w:val="nil"/>
              <w:left w:val="single" w:sz="4" w:space="0" w:color="auto"/>
              <w:bottom w:val="single" w:sz="4" w:space="0" w:color="auto"/>
              <w:right w:val="single" w:sz="4" w:space="0" w:color="auto"/>
            </w:tcBorders>
          </w:tcPr>
          <w:p w14:paraId="2A1F12AE" w14:textId="17049B53" w:rsidR="00F4233D" w:rsidRPr="00452520" w:rsidRDefault="00F4233D" w:rsidP="00F4233D">
            <w:pPr>
              <w:spacing w:before="40" w:after="40"/>
              <w:rPr>
                <w:iCs/>
                <w:color w:val="000000"/>
              </w:rPr>
            </w:pPr>
            <w:r w:rsidRPr="00906103">
              <w:rPr>
                <w:color w:val="000000"/>
                <w:lang w:val="en-GB"/>
              </w:rPr>
              <w:t xml:space="preserve">Appellate Body Report, </w:t>
            </w:r>
            <w:r w:rsidRPr="00906103">
              <w:rPr>
                <w:i/>
                <w:color w:val="000000"/>
                <w:lang w:val="en-GB"/>
              </w:rPr>
              <w:t>United States – Sunset Reviews of Anti-Dumping Measures on Oil Country Tubular Goods from Argentina</w:t>
            </w:r>
            <w:r w:rsidRPr="00906103">
              <w:rPr>
                <w:color w:val="000000"/>
                <w:lang w:val="en-GB"/>
              </w:rPr>
              <w:t xml:space="preserve">, </w:t>
            </w:r>
            <w:hyperlink r:id="rId27" w:history="1">
              <w:r w:rsidRPr="00906103">
                <w:rPr>
                  <w:rStyle w:val="Hyperlink"/>
                  <w:lang w:val="en-GB"/>
                </w:rPr>
                <w:t>WT/DS268/AB/R</w:t>
              </w:r>
            </w:hyperlink>
            <w:r w:rsidRPr="00906103">
              <w:rPr>
                <w:color w:val="000000"/>
                <w:lang w:val="en-GB"/>
              </w:rPr>
              <w:t>, adopted 17 December 2004, DSR 2004:VII, p. 3257</w:t>
            </w:r>
          </w:p>
        </w:tc>
      </w:tr>
      <w:tr w:rsidR="005F4815" w14:paraId="34BEC150" w14:textId="77777777" w:rsidTr="00B602B2">
        <w:trPr>
          <w:trHeight w:val="20"/>
        </w:trPr>
        <w:tc>
          <w:tcPr>
            <w:tcW w:w="1791" w:type="pct"/>
            <w:tcBorders>
              <w:top w:val="nil"/>
              <w:left w:val="single" w:sz="4" w:space="0" w:color="auto"/>
              <w:bottom w:val="single" w:sz="4" w:space="0" w:color="auto"/>
              <w:right w:val="single" w:sz="4" w:space="0" w:color="auto"/>
            </w:tcBorders>
          </w:tcPr>
          <w:p w14:paraId="78CE6938" w14:textId="774A0D48" w:rsidR="005F4815" w:rsidRPr="00944063" w:rsidRDefault="005F4815">
            <w:pPr>
              <w:spacing w:line="312" w:lineRule="auto"/>
              <w:rPr>
                <w:i/>
                <w:iCs/>
              </w:rPr>
            </w:pPr>
            <w:r w:rsidRPr="00944063">
              <w:rPr>
                <w:i/>
                <w:iCs/>
              </w:rPr>
              <w:t>US – Upland Cotton</w:t>
            </w:r>
          </w:p>
        </w:tc>
        <w:tc>
          <w:tcPr>
            <w:tcW w:w="3209" w:type="pct"/>
            <w:tcBorders>
              <w:top w:val="nil"/>
              <w:left w:val="single" w:sz="4" w:space="0" w:color="auto"/>
              <w:bottom w:val="single" w:sz="4" w:space="0" w:color="auto"/>
              <w:right w:val="single" w:sz="4" w:space="0" w:color="auto"/>
            </w:tcBorders>
          </w:tcPr>
          <w:p w14:paraId="21A792FD" w14:textId="562AD768" w:rsidR="005F4815" w:rsidRPr="00290F84" w:rsidRDefault="00290F84">
            <w:pPr>
              <w:keepLines/>
              <w:tabs>
                <w:tab w:val="left" w:pos="2268"/>
                <w:tab w:val="left" w:pos="4536"/>
              </w:tabs>
              <w:spacing w:line="312" w:lineRule="auto"/>
              <w:rPr>
                <w:color w:val="000000"/>
              </w:rPr>
            </w:pPr>
            <w:r w:rsidRPr="00290F84">
              <w:rPr>
                <w:color w:val="000000"/>
                <w:lang w:val="en-GB"/>
              </w:rPr>
              <w:t xml:space="preserve">Appellate Body Report, </w:t>
            </w:r>
            <w:r w:rsidRPr="00290F84">
              <w:rPr>
                <w:i/>
                <w:color w:val="000000"/>
                <w:lang w:val="en-GB"/>
              </w:rPr>
              <w:t>United States – Subsidies on Upland Cotton</w:t>
            </w:r>
            <w:r w:rsidRPr="00290F84">
              <w:rPr>
                <w:color w:val="000000"/>
                <w:lang w:val="en-GB"/>
              </w:rPr>
              <w:t xml:space="preserve">, </w:t>
            </w:r>
            <w:hyperlink r:id="rId28" w:history="1">
              <w:r w:rsidRPr="00290F84">
                <w:rPr>
                  <w:rStyle w:val="Hyperlink"/>
                  <w:lang w:val="en-GB"/>
                </w:rPr>
                <w:t>WT/DS267/AB/R</w:t>
              </w:r>
            </w:hyperlink>
            <w:r w:rsidRPr="00290F84">
              <w:rPr>
                <w:color w:val="000000"/>
                <w:lang w:val="en-GB"/>
              </w:rPr>
              <w:t>, adopted 21 March 2005, DSR 2005:I, p. 3</w:t>
            </w:r>
          </w:p>
        </w:tc>
      </w:tr>
      <w:tr w:rsidR="00F4233D" w14:paraId="4223FA86" w14:textId="77777777" w:rsidTr="00B602B2">
        <w:trPr>
          <w:trHeight w:val="20"/>
        </w:trPr>
        <w:tc>
          <w:tcPr>
            <w:tcW w:w="1791" w:type="pct"/>
            <w:tcBorders>
              <w:top w:val="single" w:sz="4" w:space="0" w:color="auto"/>
              <w:left w:val="single" w:sz="4" w:space="0" w:color="auto"/>
              <w:bottom w:val="single" w:sz="4" w:space="0" w:color="auto"/>
              <w:right w:val="single" w:sz="4" w:space="0" w:color="auto"/>
            </w:tcBorders>
          </w:tcPr>
          <w:p w14:paraId="36C2AB1C" w14:textId="3102B041" w:rsidR="00F4233D" w:rsidRDefault="00F4233D" w:rsidP="00F4233D">
            <w:pPr>
              <w:spacing w:line="312" w:lineRule="auto"/>
              <w:rPr>
                <w:i/>
              </w:rPr>
            </w:pPr>
            <w:r w:rsidRPr="00944063">
              <w:rPr>
                <w:i/>
                <w:iCs/>
              </w:rPr>
              <w:t>US – Wheat Gluten</w:t>
            </w:r>
          </w:p>
        </w:tc>
        <w:tc>
          <w:tcPr>
            <w:tcW w:w="3209" w:type="pct"/>
            <w:tcBorders>
              <w:top w:val="single" w:sz="4" w:space="0" w:color="auto"/>
              <w:left w:val="single" w:sz="4" w:space="0" w:color="auto"/>
              <w:bottom w:val="single" w:sz="4" w:space="0" w:color="auto"/>
              <w:right w:val="single" w:sz="4" w:space="0" w:color="auto"/>
            </w:tcBorders>
          </w:tcPr>
          <w:p w14:paraId="652B1DD2" w14:textId="4F307625" w:rsidR="00F4233D" w:rsidRPr="000323D3" w:rsidRDefault="00F4233D" w:rsidP="00F4233D">
            <w:pPr>
              <w:keepLines/>
              <w:tabs>
                <w:tab w:val="left" w:pos="2268"/>
                <w:tab w:val="left" w:pos="4536"/>
              </w:tabs>
              <w:spacing w:line="312" w:lineRule="auto"/>
              <w:rPr>
                <w:color w:val="000000"/>
              </w:rPr>
            </w:pPr>
            <w:r w:rsidRPr="001D1CB3">
              <w:rPr>
                <w:color w:val="000000"/>
                <w:lang w:val="en-GB"/>
              </w:rPr>
              <w:t xml:space="preserve">Appellate Body Report, </w:t>
            </w:r>
            <w:r w:rsidRPr="001D1CB3">
              <w:rPr>
                <w:i/>
                <w:color w:val="000000"/>
                <w:lang w:val="en-GB"/>
              </w:rPr>
              <w:t>United States – Definitive Safeguard Measures on Imports of Wheat Gluten from the European Communities</w:t>
            </w:r>
            <w:r w:rsidRPr="001D1CB3">
              <w:rPr>
                <w:color w:val="000000"/>
                <w:lang w:val="en-GB"/>
              </w:rPr>
              <w:t xml:space="preserve">, </w:t>
            </w:r>
            <w:hyperlink r:id="rId29" w:history="1">
              <w:r w:rsidRPr="001D1CB3">
                <w:rPr>
                  <w:rStyle w:val="Hyperlink"/>
                  <w:lang w:val="en-GB"/>
                </w:rPr>
                <w:t>WT/DS166/AB/R</w:t>
              </w:r>
            </w:hyperlink>
            <w:r w:rsidRPr="001D1CB3">
              <w:rPr>
                <w:color w:val="000000"/>
                <w:lang w:val="en-GB"/>
              </w:rPr>
              <w:t>, adopted 19 January 2001, DSR 2001:II, p. 717</w:t>
            </w:r>
          </w:p>
        </w:tc>
      </w:tr>
    </w:tbl>
    <w:p w14:paraId="5FF9A653" w14:textId="77777777" w:rsidR="00714252" w:rsidRDefault="00714252">
      <w:pPr>
        <w:spacing w:after="160" w:line="259" w:lineRule="auto"/>
      </w:pPr>
    </w:p>
    <w:p w14:paraId="38D53C6E" w14:textId="77777777" w:rsidR="00714252" w:rsidRDefault="00714252">
      <w:pPr>
        <w:spacing w:after="160" w:line="259" w:lineRule="auto"/>
      </w:pPr>
    </w:p>
    <w:p w14:paraId="1D9FE460" w14:textId="77777777" w:rsidR="00714252" w:rsidRDefault="00714252">
      <w:pPr>
        <w:spacing w:after="160" w:line="259" w:lineRule="auto"/>
      </w:pPr>
    </w:p>
    <w:p w14:paraId="27E77303" w14:textId="677C10DD" w:rsidR="00345CA4" w:rsidRDefault="00345CA4">
      <w:pPr>
        <w:spacing w:after="160" w:line="259" w:lineRule="auto"/>
      </w:pPr>
      <w:r>
        <w:br w:type="page"/>
      </w:r>
    </w:p>
    <w:p w14:paraId="411F1F18" w14:textId="77777777" w:rsidR="00714252" w:rsidRDefault="00714252">
      <w:pPr>
        <w:spacing w:after="160" w:line="259" w:lineRule="auto"/>
      </w:pPr>
    </w:p>
    <w:p w14:paraId="79D672EA" w14:textId="5507D0F0" w:rsidR="00153AE0" w:rsidRDefault="00153AE0" w:rsidP="00153AE0">
      <w:pPr>
        <w:tabs>
          <w:tab w:val="left" w:pos="1815"/>
        </w:tabs>
        <w:spacing w:after="160" w:line="259" w:lineRule="auto"/>
      </w:pPr>
      <w:r>
        <w:t>Thank you Chair and distinguished Members of the Panel. Australia appreciates the opportunity to participate as a third party in this dispute, and to make an oral statement at this session.</w:t>
      </w:r>
      <w:r w:rsidDel="00A564E9">
        <w:t xml:space="preserve"> </w:t>
      </w:r>
    </w:p>
    <w:p w14:paraId="1A23B6F6" w14:textId="5D830AC1" w:rsidR="005733D4" w:rsidRDefault="005733D4" w:rsidP="005733D4">
      <w:pPr>
        <w:pStyle w:val="ListParagraph"/>
        <w:numPr>
          <w:ilvl w:val="0"/>
          <w:numId w:val="2"/>
        </w:numPr>
        <w:tabs>
          <w:tab w:val="left" w:pos="1815"/>
        </w:tabs>
        <w:spacing w:after="160" w:line="259" w:lineRule="auto"/>
      </w:pPr>
      <w:r w:rsidRPr="00B6623C">
        <w:t xml:space="preserve">Before proceeding to set out Australia’s views on the legal issues in this dispute, </w:t>
      </w:r>
      <w:r>
        <w:t>Australia</w:t>
      </w:r>
      <w:r w:rsidRPr="00B6623C">
        <w:t xml:space="preserve"> would like to provide </w:t>
      </w:r>
      <w:r>
        <w:t>a</w:t>
      </w:r>
      <w:r w:rsidRPr="00B6623C">
        <w:t xml:space="preserve"> statement concerning Russia’s invasion of Ukraine. Australia affirms its ongoing support for Ukraine and again condemns Russia's unilateral, illegal and immoral aggression against the people of Ukraine. Russia’s invasion is a gross violation of international law, including the Charter of the United Nations, and is inconsistent with the global rules and norms that underpin multilateral organisations such as the WTO. There is no other place within the WTO system where the rules-based nature of the organisation is more important than in the dispute settlement system</w:t>
      </w:r>
      <w:r>
        <w:t xml:space="preserve"> and through disputes such as the one we are here for today</w:t>
      </w:r>
      <w:r w:rsidRPr="00B6623C">
        <w:t>.</w:t>
      </w:r>
      <w:r>
        <w:t xml:space="preserve"> That is why we cannot talk about the rules without mentioning Russia’s gross violation of such rules.</w:t>
      </w:r>
    </w:p>
    <w:p w14:paraId="0740797D" w14:textId="77777777" w:rsidR="005733D4" w:rsidRDefault="005733D4" w:rsidP="005733D4">
      <w:pPr>
        <w:pStyle w:val="ListParagraph"/>
        <w:tabs>
          <w:tab w:val="left" w:pos="1815"/>
        </w:tabs>
        <w:spacing w:after="160" w:line="259" w:lineRule="auto"/>
      </w:pPr>
    </w:p>
    <w:p w14:paraId="3F959652" w14:textId="350D9201" w:rsidR="003A23BF" w:rsidRDefault="005733D4" w:rsidP="005733D4">
      <w:pPr>
        <w:pStyle w:val="ListParagraph"/>
        <w:numPr>
          <w:ilvl w:val="0"/>
          <w:numId w:val="2"/>
        </w:numPr>
      </w:pPr>
      <w:r>
        <w:t xml:space="preserve">Turning to the issues in these proceedings, </w:t>
      </w:r>
      <w:r w:rsidRPr="001225B6">
        <w:t>Australia</w:t>
      </w:r>
      <w:r>
        <w:t xml:space="preserve"> welcomes the opportunity to present its</w:t>
      </w:r>
      <w:r w:rsidRPr="001225B6">
        <w:t xml:space="preserve"> views</w:t>
      </w:r>
      <w:r>
        <w:t>.</w:t>
      </w:r>
      <w:r w:rsidR="00EB7C95">
        <w:t xml:space="preserve"> </w:t>
      </w:r>
      <w:r w:rsidR="003A23BF">
        <w:t xml:space="preserve">In this oral statement, Australia does not take a view on the particular facts at issue. Rather, we will comment on certain systemic issues raised by these proceedings. First, we provide some observations on Panama’s request for </w:t>
      </w:r>
      <w:r w:rsidR="00E37742">
        <w:t xml:space="preserve">a </w:t>
      </w:r>
      <w:r w:rsidR="003A23BF">
        <w:t>preliminary ruling and the proper interpretation of Article 6.2 of the DSU. Second, Australia will provide its views on the interpretation of Article 5.7 of the SPS Agreement.</w:t>
      </w:r>
      <w:r w:rsidR="003A23BF">
        <w:rPr>
          <w:rStyle w:val="FootnoteReference"/>
        </w:rPr>
        <w:footnoteReference w:id="2"/>
      </w:r>
      <w:r w:rsidR="003A23BF">
        <w:t xml:space="preserve"> </w:t>
      </w:r>
    </w:p>
    <w:p w14:paraId="338E19DE" w14:textId="77777777" w:rsidR="005733D4" w:rsidRDefault="005733D4" w:rsidP="005733D4">
      <w:pPr>
        <w:pStyle w:val="ListParagraph"/>
      </w:pPr>
    </w:p>
    <w:p w14:paraId="68B4A047" w14:textId="77777777" w:rsidR="003A23BF" w:rsidRPr="00A66DD2" w:rsidRDefault="003A23BF" w:rsidP="003A23BF">
      <w:pPr>
        <w:tabs>
          <w:tab w:val="left" w:pos="1815"/>
        </w:tabs>
        <w:spacing w:after="160" w:line="259" w:lineRule="auto"/>
        <w:ind w:left="360"/>
        <w:rPr>
          <w:b/>
          <w:bCs/>
        </w:rPr>
      </w:pPr>
      <w:r>
        <w:rPr>
          <w:b/>
          <w:bCs/>
        </w:rPr>
        <w:t>“</w:t>
      </w:r>
      <w:r w:rsidRPr="00A66DD2">
        <w:rPr>
          <w:b/>
          <w:bCs/>
        </w:rPr>
        <w:t>How or why</w:t>
      </w:r>
      <w:r>
        <w:rPr>
          <w:b/>
          <w:bCs/>
        </w:rPr>
        <w:t xml:space="preserve">” is </w:t>
      </w:r>
      <w:r w:rsidRPr="00A66DD2">
        <w:rPr>
          <w:b/>
          <w:bCs/>
        </w:rPr>
        <w:t>not the relevant standard under Article 6.2 of the DSU</w:t>
      </w:r>
    </w:p>
    <w:p w14:paraId="7475B17C" w14:textId="77777777" w:rsidR="003A23BF" w:rsidRDefault="003A23BF" w:rsidP="003A23BF">
      <w:pPr>
        <w:numPr>
          <w:ilvl w:val="0"/>
          <w:numId w:val="2"/>
        </w:numPr>
        <w:tabs>
          <w:tab w:val="left" w:pos="1815"/>
        </w:tabs>
        <w:spacing w:after="160" w:line="259" w:lineRule="auto"/>
      </w:pPr>
      <w:r>
        <w:t>First, some observations on Panama’s request for a preliminary ruling that Costa Rica has not, in its panel request, provided a brief summary of the legal basis of its complaint sufficient to present the problem clearly, in accordance with Article 6.2 of the DSU.</w:t>
      </w:r>
    </w:p>
    <w:p w14:paraId="6226DF40" w14:textId="77777777" w:rsidR="003A23BF" w:rsidRDefault="003A23BF" w:rsidP="003A23BF">
      <w:pPr>
        <w:numPr>
          <w:ilvl w:val="0"/>
          <w:numId w:val="2"/>
        </w:numPr>
        <w:tabs>
          <w:tab w:val="left" w:pos="1815"/>
        </w:tabs>
        <w:spacing w:after="160" w:line="259" w:lineRule="auto"/>
      </w:pPr>
      <w:r>
        <w:t>Australia agrees with both Panama and Costa Rica that a panel request only needs to include the claims underlying a complaint, and there is no requirement to include arguments supporting those claims.</w:t>
      </w:r>
      <w:r>
        <w:rPr>
          <w:rStyle w:val="FootnoteReference"/>
        </w:rPr>
        <w:footnoteReference w:id="3"/>
      </w:r>
      <w:r>
        <w:t xml:space="preserve"> </w:t>
      </w:r>
    </w:p>
    <w:p w14:paraId="084F882C" w14:textId="77777777" w:rsidR="003A23BF" w:rsidRDefault="003A23BF" w:rsidP="003A23BF">
      <w:pPr>
        <w:numPr>
          <w:ilvl w:val="0"/>
          <w:numId w:val="2"/>
        </w:numPr>
        <w:tabs>
          <w:tab w:val="left" w:pos="1815"/>
        </w:tabs>
        <w:spacing w:after="160" w:line="259" w:lineRule="auto"/>
      </w:pPr>
      <w:r>
        <w:t>However, both Panama and Costa Rica have referred to the “how or why” standard in their submissions on this issue.</w:t>
      </w:r>
      <w:r>
        <w:rPr>
          <w:rStyle w:val="FootnoteReference"/>
        </w:rPr>
        <w:footnoteReference w:id="4"/>
      </w:r>
      <w:r>
        <w:t xml:space="preserve"> In Australia’s view this is not the relevant standard that should be applied under Article 6.2 of the DSU. We note the Appellate Body in </w:t>
      </w:r>
      <w:r>
        <w:rPr>
          <w:i/>
          <w:iCs/>
        </w:rPr>
        <w:t>Korea – Pneumatic Valves</w:t>
      </w:r>
      <w:r w:rsidRPr="00001F67">
        <w:t xml:space="preserve"> </w:t>
      </w:r>
      <w:r w:rsidRPr="009622A5">
        <w:t>expressly</w:t>
      </w:r>
      <w:r>
        <w:t xml:space="preserve"> rejected the assertion that a complainant must state in its panel request “how or why” a </w:t>
      </w:r>
      <w:r>
        <w:lastRenderedPageBreak/>
        <w:t>measure infringed WTO obligations.</w:t>
      </w:r>
      <w:r>
        <w:rPr>
          <w:rStyle w:val="FootnoteReference"/>
        </w:rPr>
        <w:footnoteReference w:id="5"/>
      </w:r>
      <w:r>
        <w:t xml:space="preserve"> The Appellate Body also said that overreliance on a “how and why” standard would require “a level of detail going beyond setting out the claim underlying the complaint”, including potentially requiring detailed arguments that are more properly included in a written submission.</w:t>
      </w:r>
    </w:p>
    <w:p w14:paraId="6E27C55E" w14:textId="1793385B" w:rsidR="003A23BF" w:rsidRDefault="003A23BF" w:rsidP="003A23BF">
      <w:pPr>
        <w:numPr>
          <w:ilvl w:val="0"/>
          <w:numId w:val="2"/>
        </w:numPr>
        <w:tabs>
          <w:tab w:val="left" w:pos="1815"/>
        </w:tabs>
        <w:spacing w:after="160" w:line="259" w:lineRule="auto"/>
      </w:pPr>
      <w:r>
        <w:t xml:space="preserve">In Australia’s view the relevant standard for compliance with Article 6.2 of the DSU is whether a complainant has </w:t>
      </w:r>
      <w:r>
        <w:rPr>
          <w:i/>
          <w:iCs/>
        </w:rPr>
        <w:t>plainly connected</w:t>
      </w:r>
      <w:r>
        <w:t xml:space="preserve"> the measure at issue with the obligation allegedly infringed under the covered agreement,</w:t>
      </w:r>
      <w:r w:rsidR="007B4DFB">
        <w:rPr>
          <w:rStyle w:val="FootnoteReference"/>
        </w:rPr>
        <w:footnoteReference w:id="6"/>
      </w:r>
      <w:r>
        <w:t xml:space="preserve"> in a manner sufficient to present the problem clearly. In this respect, we note that identifying the treaty provision claimed to have been violated is the “minimum prerequisite”</w:t>
      </w:r>
      <w:r w:rsidR="009622A5">
        <w:t>.</w:t>
      </w:r>
      <w:r>
        <w:t xml:space="preserve"> </w:t>
      </w:r>
      <w:r w:rsidR="009622A5">
        <w:t>P</w:t>
      </w:r>
      <w:r>
        <w:t>araphrasing the obligation may be, in certain circumstances, sufficient to present the problem clearly.</w:t>
      </w:r>
      <w:r>
        <w:rPr>
          <w:rStyle w:val="FootnoteReference"/>
        </w:rPr>
        <w:footnoteReference w:id="7"/>
      </w:r>
    </w:p>
    <w:p w14:paraId="06CB88A2" w14:textId="0052983B" w:rsidR="003A23BF" w:rsidRDefault="003A23BF" w:rsidP="003A23BF">
      <w:pPr>
        <w:tabs>
          <w:tab w:val="left" w:pos="1815"/>
        </w:tabs>
        <w:spacing w:after="160" w:line="259" w:lineRule="auto"/>
        <w:rPr>
          <w:b/>
          <w:bCs/>
        </w:rPr>
      </w:pPr>
      <w:r>
        <w:rPr>
          <w:b/>
          <w:bCs/>
        </w:rPr>
        <w:t>Article 5.7</w:t>
      </w:r>
      <w:r w:rsidR="00131528">
        <w:rPr>
          <w:b/>
          <w:bCs/>
        </w:rPr>
        <w:t xml:space="preserve"> of the SPS Agreement</w:t>
      </w:r>
    </w:p>
    <w:p w14:paraId="49456E77" w14:textId="77777777" w:rsidR="003A23BF" w:rsidRDefault="003A23BF" w:rsidP="003A23BF">
      <w:pPr>
        <w:numPr>
          <w:ilvl w:val="0"/>
          <w:numId w:val="2"/>
        </w:numPr>
        <w:tabs>
          <w:tab w:val="left" w:pos="1815"/>
        </w:tabs>
        <w:spacing w:after="160" w:line="259" w:lineRule="auto"/>
      </w:pPr>
      <w:r>
        <w:t>Turning now to Australia’s comments on Article 5.7 of the SPS Agreement, which allows for provisional SPS measures. The overarching requirement under the SPS Agreement is that SPS measures are based on a risk assessment, as defined in Annex A. One purpose of Article 5.7 is to allow WTO Members the flexibility to revise SPS measures where there are scientific developments, but not enough “relevant scientific evidence” for an adequate risk assessment.</w:t>
      </w:r>
      <w:r>
        <w:rPr>
          <w:rStyle w:val="FootnoteReference"/>
        </w:rPr>
        <w:footnoteReference w:id="8"/>
      </w:r>
      <w:r>
        <w:t xml:space="preserve">  </w:t>
      </w:r>
    </w:p>
    <w:p w14:paraId="07ABAD3E" w14:textId="3D3930CA" w:rsidR="003A23BF" w:rsidRDefault="003A23BF" w:rsidP="003A23BF">
      <w:pPr>
        <w:numPr>
          <w:ilvl w:val="0"/>
          <w:numId w:val="2"/>
        </w:numPr>
        <w:tabs>
          <w:tab w:val="left" w:pos="1815"/>
        </w:tabs>
        <w:spacing w:after="160" w:line="259" w:lineRule="auto"/>
      </w:pPr>
      <w:r>
        <w:t>Article 5.7 has four requirements.</w:t>
      </w:r>
      <w:r>
        <w:rPr>
          <w:rStyle w:val="FootnoteReference"/>
        </w:rPr>
        <w:footnoteReference w:id="9"/>
      </w:r>
      <w:r>
        <w:t xml:space="preserve">  </w:t>
      </w:r>
      <w:r w:rsidR="006C6BF9">
        <w:t>First, a</w:t>
      </w:r>
      <w:r>
        <w:t xml:space="preserve"> member may provisionally adopt an SPS measure only if it is imposed where relevant scientific evidence is insufficient.</w:t>
      </w:r>
      <w:r>
        <w:rPr>
          <w:rStyle w:val="FootnoteReference"/>
        </w:rPr>
        <w:footnoteReference w:id="10"/>
      </w:r>
      <w:r>
        <w:t xml:space="preserve">  </w:t>
      </w:r>
      <w:r w:rsidR="006C6BF9">
        <w:t>Second, w</w:t>
      </w:r>
      <w:r>
        <w:t>here such evidence is insufficient, a Member is permitted to adopt a provisional measure – but this must be on the basis of “available pertinent information”</w:t>
      </w:r>
      <w:r>
        <w:rPr>
          <w:rStyle w:val="FootnoteReference"/>
        </w:rPr>
        <w:footnoteReference w:id="11"/>
      </w:r>
      <w:r>
        <w:t xml:space="preserve"> – “including that from the relevant international organisations as well as from sanitary or phytosanitary measures applied by other Members”.</w:t>
      </w:r>
      <w:r>
        <w:rPr>
          <w:rStyle w:val="FootnoteReference"/>
        </w:rPr>
        <w:footnoteReference w:id="12"/>
      </w:r>
      <w:r>
        <w:t xml:space="preserve"> </w:t>
      </w:r>
      <w:r w:rsidR="006C6BF9">
        <w:t>Third, o</w:t>
      </w:r>
      <w:r>
        <w:t>nce a measure that meets these requirements has been adopted, the measure may not be maintained unless the Member “seek[s] to obtain the additional information necessary for a more objective assessment of risk</w:t>
      </w:r>
      <w:r w:rsidR="006C6BF9">
        <w:t>”</w:t>
      </w:r>
      <w:r>
        <w:t xml:space="preserve">, and </w:t>
      </w:r>
      <w:r w:rsidR="006C6BF9">
        <w:t>fourth “</w:t>
      </w:r>
      <w:r>
        <w:t xml:space="preserve">review[s] the measure accordingly </w:t>
      </w:r>
      <w:r>
        <w:lastRenderedPageBreak/>
        <w:t>within a reasonable period of time”</w:t>
      </w:r>
      <w:r>
        <w:rPr>
          <w:rStyle w:val="FootnoteReference"/>
        </w:rPr>
        <w:footnoteReference w:id="13"/>
      </w:r>
      <w:r>
        <w:t>. Australia will provide views on the first and fourth of these elements.</w:t>
      </w:r>
    </w:p>
    <w:p w14:paraId="6021C71D" w14:textId="77777777" w:rsidR="003A23BF" w:rsidRPr="006C791F" w:rsidRDefault="003A23BF" w:rsidP="003A23BF">
      <w:pPr>
        <w:tabs>
          <w:tab w:val="left" w:pos="1815"/>
        </w:tabs>
        <w:spacing w:after="160" w:line="259" w:lineRule="auto"/>
        <w:rPr>
          <w:b/>
          <w:bCs/>
        </w:rPr>
      </w:pPr>
      <w:r>
        <w:rPr>
          <w:b/>
          <w:bCs/>
        </w:rPr>
        <w:t xml:space="preserve">When is there </w:t>
      </w:r>
      <w:r w:rsidRPr="006C791F">
        <w:rPr>
          <w:b/>
          <w:bCs/>
        </w:rPr>
        <w:t>“</w:t>
      </w:r>
      <w:r>
        <w:rPr>
          <w:b/>
          <w:bCs/>
        </w:rPr>
        <w:t>i</w:t>
      </w:r>
      <w:r w:rsidRPr="006C791F">
        <w:rPr>
          <w:b/>
          <w:bCs/>
        </w:rPr>
        <w:t>nsufficient scientific evidence”</w:t>
      </w:r>
      <w:r>
        <w:rPr>
          <w:b/>
          <w:bCs/>
        </w:rPr>
        <w:t>?</w:t>
      </w:r>
    </w:p>
    <w:p w14:paraId="0AE08818" w14:textId="514A8420" w:rsidR="003A23BF" w:rsidRPr="00427666" w:rsidRDefault="003A23BF" w:rsidP="003A23BF">
      <w:pPr>
        <w:numPr>
          <w:ilvl w:val="0"/>
          <w:numId w:val="2"/>
        </w:numPr>
        <w:tabs>
          <w:tab w:val="left" w:pos="1815"/>
        </w:tabs>
        <w:spacing w:after="160" w:line="259" w:lineRule="auto"/>
        <w:rPr>
          <w:rFonts w:ascii="Titillium Web" w:hAnsi="Titillium Web"/>
          <w:color w:val="333333"/>
          <w:shd w:val="clear" w:color="auto" w:fill="FFFFFF"/>
        </w:rPr>
      </w:pPr>
      <w:r w:rsidRPr="00C27307">
        <w:t xml:space="preserve"> </w:t>
      </w:r>
      <w:r>
        <w:t>A Member may only provisionally adopt an SPS measure if it is imposed where relevant scientific evidence is insufficient to perform an adequate risk assessment.</w:t>
      </w:r>
      <w:r w:rsidR="00126D27">
        <w:rPr>
          <w:rStyle w:val="FootnoteReference"/>
        </w:rPr>
        <w:footnoteReference w:id="14"/>
      </w:r>
      <w:r>
        <w:t xml:space="preserve"> The Appellate Body has said that such insufficiency can arise if “the body of available scientific evidence does not allow, in quantitative or qualitative terms, the performance of an adequate assessment of risks as required under Article 5.1 and as defined in Annex A to the SPS Agreement”.</w:t>
      </w:r>
      <w:r>
        <w:rPr>
          <w:rStyle w:val="FootnoteReference"/>
        </w:rPr>
        <w:footnoteReference w:id="15"/>
      </w:r>
    </w:p>
    <w:p w14:paraId="62D1AB0D" w14:textId="77777777" w:rsidR="003A23BF" w:rsidRPr="00427666" w:rsidRDefault="003A23BF" w:rsidP="003A23BF">
      <w:pPr>
        <w:numPr>
          <w:ilvl w:val="0"/>
          <w:numId w:val="2"/>
        </w:numPr>
        <w:tabs>
          <w:tab w:val="left" w:pos="1815"/>
        </w:tabs>
        <w:spacing w:after="160" w:line="259" w:lineRule="auto"/>
        <w:rPr>
          <w:i/>
        </w:rPr>
      </w:pPr>
      <w:r>
        <w:t>Accordingly, Australia agrees with Brazil that the analysis of whether scientific evidence is insufficient should not be limited to only the amount of data.</w:t>
      </w:r>
      <w:r>
        <w:rPr>
          <w:rStyle w:val="FootnoteReference"/>
        </w:rPr>
        <w:footnoteReference w:id="16"/>
      </w:r>
      <w:r>
        <w:t xml:space="preserve"> The Appellate Body, confirming the approach of the Panel in </w:t>
      </w:r>
      <w:r>
        <w:rPr>
          <w:i/>
          <w:iCs/>
        </w:rPr>
        <w:t>Japan – Apples</w:t>
      </w:r>
      <w:r>
        <w:t>,</w:t>
      </w:r>
      <w:r>
        <w:rPr>
          <w:i/>
          <w:iCs/>
        </w:rPr>
        <w:t xml:space="preserve"> </w:t>
      </w:r>
      <w:r>
        <w:t>noted that “Article 5.7 would be applicable to a situation where a lot of scientific research has been carried out on a particular issue without yielding reliable evidence”.</w:t>
      </w:r>
      <w:r>
        <w:rPr>
          <w:rStyle w:val="FootnoteReference"/>
        </w:rPr>
        <w:footnoteReference w:id="17"/>
      </w:r>
      <w:r>
        <w:t xml:space="preserve"> </w:t>
      </w:r>
    </w:p>
    <w:p w14:paraId="1C437B79" w14:textId="64573393" w:rsidR="003A23BF" w:rsidRPr="002E70E0" w:rsidRDefault="003A23BF" w:rsidP="002E70E0">
      <w:pPr>
        <w:numPr>
          <w:ilvl w:val="0"/>
          <w:numId w:val="2"/>
        </w:numPr>
        <w:tabs>
          <w:tab w:val="left" w:pos="1815"/>
        </w:tabs>
        <w:spacing w:after="160" w:line="259" w:lineRule="auto"/>
      </w:pPr>
      <w:r>
        <w:t xml:space="preserve">Australia notes that in respect of the facts of the case, the relevant assessment of risk, against which the sufficiency of relevant scientific evidence should be analysed, is defined </w:t>
      </w:r>
      <w:r w:rsidR="00737392">
        <w:t>in</w:t>
      </w:r>
      <w:r>
        <w:t xml:space="preserve"> Annex A of the SPS Agreement, as “the evaluation of the potential for adverse effects on human... health arising from the presence of... contaminants [or] toxins... in food”. Accordingly in Australia’s view, Panama will meet the first requirement of Article 5.7 if it can show that the relevant scientific evidence is insufficient to allow for an adequate assessment of the potential for adverse effects on human health </w:t>
      </w:r>
      <w:r w:rsidRPr="00F929C5">
        <w:rPr>
          <w:i/>
          <w:iCs/>
        </w:rPr>
        <w:t xml:space="preserve">from </w:t>
      </w:r>
      <w:r>
        <w:rPr>
          <w:i/>
          <w:iCs/>
        </w:rPr>
        <w:t xml:space="preserve">the presence of </w:t>
      </w:r>
      <w:r w:rsidRPr="00F929C5">
        <w:rPr>
          <w:i/>
          <w:iCs/>
        </w:rPr>
        <w:t xml:space="preserve">a particular </w:t>
      </w:r>
      <w:proofErr w:type="spellStart"/>
      <w:r>
        <w:rPr>
          <w:i/>
          <w:iCs/>
        </w:rPr>
        <w:t>Oxamil</w:t>
      </w:r>
      <w:proofErr w:type="spellEnd"/>
      <w:r>
        <w:rPr>
          <w:i/>
          <w:iCs/>
        </w:rPr>
        <w:t xml:space="preserve"> </w:t>
      </w:r>
      <w:r w:rsidRPr="00F929C5">
        <w:rPr>
          <w:i/>
          <w:iCs/>
        </w:rPr>
        <w:t>residue level</w:t>
      </w:r>
      <w:r>
        <w:rPr>
          <w:i/>
          <w:iCs/>
        </w:rPr>
        <w:t xml:space="preserve"> </w:t>
      </w:r>
      <w:r>
        <w:t xml:space="preserve">in food. This is distinct from whether strawberries from Costa Rica would comply with the </w:t>
      </w:r>
      <w:r w:rsidR="00BB6773">
        <w:t>maximum residue limit</w:t>
      </w:r>
      <w:r>
        <w:t xml:space="preserve"> Panama has set to address the risks associated with </w:t>
      </w:r>
      <w:proofErr w:type="spellStart"/>
      <w:r>
        <w:t>Oxamil</w:t>
      </w:r>
      <w:proofErr w:type="spellEnd"/>
      <w:r>
        <w:t xml:space="preserve"> for human health.</w:t>
      </w:r>
    </w:p>
    <w:p w14:paraId="63E497D6" w14:textId="77777777" w:rsidR="003A23BF" w:rsidRPr="007B6334" w:rsidRDefault="003A23BF" w:rsidP="003A23BF">
      <w:pPr>
        <w:tabs>
          <w:tab w:val="left" w:pos="1815"/>
        </w:tabs>
        <w:spacing w:after="160" w:line="259" w:lineRule="auto"/>
        <w:rPr>
          <w:b/>
          <w:bCs/>
        </w:rPr>
      </w:pPr>
      <w:r>
        <w:rPr>
          <w:b/>
          <w:bCs/>
        </w:rPr>
        <w:t xml:space="preserve">What is a “reasonable period of time” </w:t>
      </w:r>
    </w:p>
    <w:p w14:paraId="53A1E680" w14:textId="53B4AE2B" w:rsidR="003A23BF" w:rsidRDefault="003A23BF" w:rsidP="003A23BF">
      <w:pPr>
        <w:numPr>
          <w:ilvl w:val="0"/>
          <w:numId w:val="2"/>
        </w:numPr>
        <w:tabs>
          <w:tab w:val="left" w:pos="1815"/>
        </w:tabs>
        <w:spacing w:after="160" w:line="259" w:lineRule="auto"/>
      </w:pPr>
      <w:r>
        <w:t>The fourth requirement is that the measure may not be maintained unless the Member reviews the measure within a “reasonable period of time”.  Measures put in place using Article 5.7, which are identified by the article as provisional in nature, are meant to be temporary.</w:t>
      </w:r>
      <w:r>
        <w:rPr>
          <w:rStyle w:val="FootnoteReference"/>
        </w:rPr>
        <w:footnoteReference w:id="18"/>
      </w:r>
      <w:r>
        <w:t xml:space="preserve">  They are temporary because the article </w:t>
      </w:r>
      <w:r w:rsidR="007B4DFB">
        <w:t>requires</w:t>
      </w:r>
      <w:r>
        <w:t xml:space="preserve"> these measures </w:t>
      </w:r>
      <w:r w:rsidR="007B4DFB">
        <w:t xml:space="preserve">to be reviewed once the </w:t>
      </w:r>
      <w:r>
        <w:t xml:space="preserve">additional information necessary for </w:t>
      </w:r>
      <w:r w:rsidR="007B4DFB">
        <w:t xml:space="preserve">“a more objective assessment” </w:t>
      </w:r>
      <w:r>
        <w:t>is obtained</w:t>
      </w:r>
      <w:r w:rsidR="007B4DFB">
        <w:t xml:space="preserve">. </w:t>
      </w:r>
      <w:r>
        <w:t xml:space="preserve">The SPS </w:t>
      </w:r>
      <w:r w:rsidR="00FC2305">
        <w:t>A</w:t>
      </w:r>
      <w:r>
        <w:t xml:space="preserve">greement does not put a specific time limit on this review except to the extent that this </w:t>
      </w:r>
      <w:r w:rsidRPr="008B110B">
        <w:t xml:space="preserve">be conducted within a reasonable period of time.  </w:t>
      </w:r>
    </w:p>
    <w:p w14:paraId="05149CB6" w14:textId="77777777" w:rsidR="003A23BF" w:rsidRPr="00CB1B45" w:rsidRDefault="003A23BF" w:rsidP="003A23BF">
      <w:pPr>
        <w:numPr>
          <w:ilvl w:val="0"/>
          <w:numId w:val="2"/>
        </w:numPr>
        <w:tabs>
          <w:tab w:val="left" w:pos="1815"/>
        </w:tabs>
        <w:spacing w:after="160" w:line="259" w:lineRule="auto"/>
        <w:rPr>
          <w:rFonts w:ascii="Titillium Web" w:hAnsi="Titillium Web"/>
          <w:color w:val="333333"/>
          <w:shd w:val="clear" w:color="auto" w:fill="FFFFFF"/>
        </w:rPr>
      </w:pPr>
      <w:r w:rsidRPr="00456166">
        <w:lastRenderedPageBreak/>
        <w:t>The Appellate Body has said that a</w:t>
      </w:r>
      <w:r w:rsidRPr="00456166">
        <w:rPr>
          <w:shd w:val="clear" w:color="auto" w:fill="FFFFFF"/>
        </w:rPr>
        <w:t xml:space="preserve"> “reasonable period of time” must be established on a case-by-case basis and depends on the specific circumstances of each case, including the difficulty of obtaining the additional information necessary for the review and the characteristics of the provisional SPS </w:t>
      </w:r>
      <w:r w:rsidRPr="00CB1B45">
        <w:rPr>
          <w:shd w:val="clear" w:color="auto" w:fill="FFFFFF"/>
        </w:rPr>
        <w:t>measure.</w:t>
      </w:r>
      <w:r w:rsidRPr="00CB1B45">
        <w:rPr>
          <w:rStyle w:val="FootnoteReference"/>
          <w:shd w:val="clear" w:color="auto" w:fill="FFFFFF"/>
        </w:rPr>
        <w:footnoteReference w:id="19"/>
      </w:r>
      <w:r w:rsidRPr="00CB1B45">
        <w:rPr>
          <w:shd w:val="clear" w:color="auto" w:fill="FFFFFF"/>
        </w:rPr>
        <w:t xml:space="preserve"> </w:t>
      </w:r>
    </w:p>
    <w:p w14:paraId="4C1150DC" w14:textId="281FA673" w:rsidR="0060018B" w:rsidRPr="0060018B" w:rsidRDefault="003A23BF" w:rsidP="003A23BF">
      <w:pPr>
        <w:numPr>
          <w:ilvl w:val="0"/>
          <w:numId w:val="2"/>
        </w:numPr>
        <w:tabs>
          <w:tab w:val="left" w:pos="1815"/>
        </w:tabs>
        <w:spacing w:after="160" w:line="259" w:lineRule="auto"/>
        <w:rPr>
          <w:rFonts w:ascii="Titillium Web" w:hAnsi="Titillium Web"/>
          <w:color w:val="333333"/>
          <w:shd w:val="clear" w:color="auto" w:fill="FFFFFF"/>
        </w:rPr>
      </w:pPr>
      <w:r w:rsidRPr="00120051">
        <w:t>When interpreting a particular phrase, Panels and the Appellate Body have found interpretations of the same or similar phrase in another covered agreement</w:t>
      </w:r>
      <w:r w:rsidR="00412632">
        <w:t>s</w:t>
      </w:r>
      <w:r w:rsidRPr="00120051">
        <w:t xml:space="preserve"> to be instructive, </w:t>
      </w:r>
      <w:r>
        <w:t>though</w:t>
      </w:r>
      <w:r w:rsidRPr="00120051">
        <w:t xml:space="preserve"> not authoritative</w:t>
      </w:r>
      <w:r w:rsidRPr="00CB1B45">
        <w:t>.</w:t>
      </w:r>
      <w:r w:rsidRPr="00CB1B45">
        <w:rPr>
          <w:rStyle w:val="FootnoteReference"/>
        </w:rPr>
        <w:footnoteReference w:id="20"/>
      </w:r>
      <w:r w:rsidRPr="00CB1B45">
        <w:t xml:space="preserve"> </w:t>
      </w:r>
      <w:r w:rsidRPr="00047EA9">
        <w:t xml:space="preserve">Accordingly, Australia </w:t>
      </w:r>
      <w:r w:rsidRPr="00120051">
        <w:t xml:space="preserve">submits that the Panel might have reference to interpretations of “reasonable period of time” in other covered agreements. </w:t>
      </w:r>
    </w:p>
    <w:p w14:paraId="02CCAE4A" w14:textId="3AFF1528" w:rsidR="003A23BF" w:rsidRPr="00890FBB" w:rsidRDefault="003A23BF" w:rsidP="00890FBB">
      <w:pPr>
        <w:numPr>
          <w:ilvl w:val="0"/>
          <w:numId w:val="2"/>
        </w:numPr>
        <w:tabs>
          <w:tab w:val="left" w:pos="1815"/>
        </w:tabs>
        <w:spacing w:after="160" w:line="259" w:lineRule="auto"/>
        <w:rPr>
          <w:rFonts w:ascii="Titillium Web" w:hAnsi="Titillium Web"/>
          <w:color w:val="333333"/>
          <w:shd w:val="clear" w:color="auto" w:fill="FFFFFF"/>
        </w:rPr>
      </w:pPr>
      <w:r w:rsidRPr="00120051">
        <w:rPr>
          <w:shd w:val="clear" w:color="auto" w:fill="FFFFFF"/>
        </w:rPr>
        <w:t>In the</w:t>
      </w:r>
      <w:r>
        <w:rPr>
          <w:shd w:val="clear" w:color="auto" w:fill="FFFFFF"/>
        </w:rPr>
        <w:t xml:space="preserve"> context of the Anti-Dumping Agreement the Appellate Body in </w:t>
      </w:r>
      <w:r w:rsidRPr="00C3314E">
        <w:rPr>
          <w:i/>
          <w:iCs/>
          <w:shd w:val="clear" w:color="auto" w:fill="FFFFFF"/>
        </w:rPr>
        <w:t>US – Hot Rolled Steel</w:t>
      </w:r>
      <w:r>
        <w:rPr>
          <w:shd w:val="clear" w:color="auto" w:fill="FFFFFF"/>
        </w:rPr>
        <w:t xml:space="preserve"> said that the phrase </w:t>
      </w:r>
      <w:r w:rsidR="00A83779">
        <w:rPr>
          <w:shd w:val="clear" w:color="auto" w:fill="FFFFFF"/>
        </w:rPr>
        <w:t>“</w:t>
      </w:r>
      <w:r w:rsidRPr="00135217">
        <w:rPr>
          <w:shd w:val="clear" w:color="auto" w:fill="FFFFFF"/>
        </w:rPr>
        <w:t>reasonable period</w:t>
      </w:r>
      <w:r w:rsidR="00A83779">
        <w:rPr>
          <w:shd w:val="clear" w:color="auto" w:fill="FFFFFF"/>
        </w:rPr>
        <w:t>”</w:t>
      </w:r>
      <w:r w:rsidRPr="00135217">
        <w:rPr>
          <w:shd w:val="clear" w:color="auto" w:fill="FFFFFF"/>
        </w:rPr>
        <w:t xml:space="preserve"> must </w:t>
      </w:r>
      <w:r w:rsidR="00A83779">
        <w:rPr>
          <w:shd w:val="clear" w:color="auto" w:fill="FFFFFF"/>
        </w:rPr>
        <w:t>“</w:t>
      </w:r>
      <w:r w:rsidRPr="00135217">
        <w:rPr>
          <w:shd w:val="clear" w:color="auto" w:fill="FFFFFF"/>
        </w:rPr>
        <w:t>be interpreted consistently with the notions of flexibility</w:t>
      </w:r>
      <w:r>
        <w:rPr>
          <w:shd w:val="clear" w:color="auto" w:fill="FFFFFF"/>
        </w:rPr>
        <w:t xml:space="preserve"> </w:t>
      </w:r>
      <w:r w:rsidRPr="00135217">
        <w:rPr>
          <w:shd w:val="clear" w:color="auto" w:fill="FFFFFF"/>
        </w:rPr>
        <w:t>and balance that are inherent in the concept of</w:t>
      </w:r>
      <w:r>
        <w:rPr>
          <w:shd w:val="clear" w:color="auto" w:fill="FFFFFF"/>
        </w:rPr>
        <w:t xml:space="preserve"> </w:t>
      </w:r>
      <w:r w:rsidRPr="00135217">
        <w:rPr>
          <w:shd w:val="clear" w:color="auto" w:fill="FFFFFF"/>
        </w:rPr>
        <w:t>"reasonableness", and in a manner that allows for</w:t>
      </w:r>
      <w:r>
        <w:rPr>
          <w:shd w:val="clear" w:color="auto" w:fill="FFFFFF"/>
        </w:rPr>
        <w:t xml:space="preserve"> </w:t>
      </w:r>
      <w:r w:rsidRPr="00135217">
        <w:rPr>
          <w:shd w:val="clear" w:color="auto" w:fill="FFFFFF"/>
        </w:rPr>
        <w:t>account to be taken of the particular circumstances</w:t>
      </w:r>
      <w:r>
        <w:rPr>
          <w:shd w:val="clear" w:color="auto" w:fill="FFFFFF"/>
        </w:rPr>
        <w:t xml:space="preserve"> </w:t>
      </w:r>
      <w:r w:rsidRPr="00135217">
        <w:rPr>
          <w:shd w:val="clear" w:color="auto" w:fill="FFFFFF"/>
        </w:rPr>
        <w:t>of each case</w:t>
      </w:r>
      <w:r>
        <w:rPr>
          <w:shd w:val="clear" w:color="auto" w:fill="FFFFFF"/>
        </w:rPr>
        <w:t>”.</w:t>
      </w:r>
      <w:r>
        <w:rPr>
          <w:rStyle w:val="FootnoteReference"/>
          <w:shd w:val="clear" w:color="auto" w:fill="FFFFFF"/>
        </w:rPr>
        <w:footnoteReference w:id="21"/>
      </w:r>
      <w:r>
        <w:rPr>
          <w:shd w:val="clear" w:color="auto" w:fill="FFFFFF"/>
        </w:rPr>
        <w:t xml:space="preserve"> </w:t>
      </w:r>
      <w:r w:rsidR="007B4DFB" w:rsidRPr="007B4DFB">
        <w:rPr>
          <w:shd w:val="clear" w:color="auto" w:fill="FFFFFF"/>
        </w:rPr>
        <w:t>In Australia’s view, several of the factors relevant in that case to consideration of whether information was submitted within a reasonable period of time might also be relevant factors in the context of a review of a provisional SPS measure. For example, the nature and quantity of information required; difficulties in obtaining the information; and the verifiability of the information and ease with which it can be used by the reviewing authorities. Australia notes some of these factors have been considered relevant to the interpretation of Article 5.7 of the SPS Agreement by Panels previously.</w:t>
      </w:r>
      <w:r w:rsidR="007B4DFB" w:rsidRPr="007B4DFB">
        <w:rPr>
          <w:rStyle w:val="FootnoteReference"/>
          <w:shd w:val="clear" w:color="auto" w:fill="FFFFFF"/>
        </w:rPr>
        <w:footnoteReference w:id="22"/>
      </w:r>
    </w:p>
    <w:p w14:paraId="0146FAE5" w14:textId="77777777" w:rsidR="003A23BF" w:rsidRPr="00BF6859" w:rsidRDefault="003A23BF" w:rsidP="003A23BF">
      <w:pPr>
        <w:pStyle w:val="BodyText"/>
        <w:ind w:left="360"/>
        <w:rPr>
          <w:b/>
          <w:bCs/>
        </w:rPr>
      </w:pPr>
      <w:r>
        <w:rPr>
          <w:b/>
          <w:bCs/>
        </w:rPr>
        <w:t>Conclusion</w:t>
      </w:r>
    </w:p>
    <w:p w14:paraId="1B13C48A" w14:textId="77777777" w:rsidR="003A23BF" w:rsidRDefault="003A23BF" w:rsidP="003A23BF">
      <w:pPr>
        <w:numPr>
          <w:ilvl w:val="0"/>
          <w:numId w:val="2"/>
        </w:numPr>
        <w:tabs>
          <w:tab w:val="left" w:pos="1815"/>
        </w:tabs>
        <w:spacing w:after="160" w:line="259" w:lineRule="auto"/>
      </w:pPr>
      <w:r>
        <w:t>Australia thanks the panel for the opportunity to present these views.</w:t>
      </w:r>
    </w:p>
    <w:p w14:paraId="6ACD422F" w14:textId="70E27AB5" w:rsidR="00B6623C" w:rsidRPr="003A23BF" w:rsidRDefault="00B6623C" w:rsidP="003A23BF"/>
    <w:sectPr w:rsidR="00B6623C" w:rsidRPr="003A23BF" w:rsidSect="003D53AE">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079F" w14:textId="77777777" w:rsidR="00AC32C2" w:rsidRDefault="00AC32C2" w:rsidP="00B6623C">
      <w:r>
        <w:separator/>
      </w:r>
    </w:p>
  </w:endnote>
  <w:endnote w:type="continuationSeparator" w:id="0">
    <w:p w14:paraId="5B92395D" w14:textId="77777777" w:rsidR="00AC32C2" w:rsidRDefault="00AC32C2" w:rsidP="00B6623C">
      <w:r>
        <w:continuationSeparator/>
      </w:r>
    </w:p>
  </w:endnote>
  <w:endnote w:type="continuationNotice" w:id="1">
    <w:p w14:paraId="5225E8EE" w14:textId="77777777" w:rsidR="00AC32C2" w:rsidRDefault="00AC3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003A23BF" w14:paraId="0516A05C" w14:textId="77777777" w:rsidTr="00427666">
      <w:tc>
        <w:tcPr>
          <w:tcW w:w="2770" w:type="dxa"/>
        </w:tcPr>
        <w:p w14:paraId="01EA8682" w14:textId="77777777" w:rsidR="003A23BF" w:rsidRDefault="003A23BF" w:rsidP="00427666">
          <w:pPr>
            <w:pStyle w:val="Header"/>
            <w:ind w:left="-115"/>
          </w:pPr>
        </w:p>
      </w:tc>
      <w:tc>
        <w:tcPr>
          <w:tcW w:w="2770" w:type="dxa"/>
        </w:tcPr>
        <w:p w14:paraId="1D36D510" w14:textId="77777777" w:rsidR="003A23BF" w:rsidRDefault="003A23BF" w:rsidP="00427666">
          <w:pPr>
            <w:pStyle w:val="Header"/>
            <w:jc w:val="center"/>
          </w:pPr>
        </w:p>
      </w:tc>
      <w:tc>
        <w:tcPr>
          <w:tcW w:w="2770" w:type="dxa"/>
        </w:tcPr>
        <w:p w14:paraId="5B988441" w14:textId="77777777" w:rsidR="003A23BF" w:rsidRDefault="003A23BF" w:rsidP="00427666">
          <w:pPr>
            <w:pStyle w:val="Header"/>
            <w:ind w:right="-115"/>
            <w:jc w:val="right"/>
          </w:pPr>
        </w:p>
      </w:tc>
    </w:tr>
  </w:tbl>
  <w:p w14:paraId="5012AEBB" w14:textId="77777777" w:rsidR="003A23BF" w:rsidRDefault="003A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6D5F" w14:textId="77777777" w:rsidR="003D53AE" w:rsidRDefault="003D5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D4D6" w14:textId="77777777" w:rsidR="003D53AE" w:rsidRDefault="003D5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C873" w14:textId="77777777" w:rsidR="003D53AE" w:rsidRDefault="003D5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294B" w14:textId="77777777" w:rsidR="00AC32C2" w:rsidRDefault="00AC32C2" w:rsidP="00B6623C">
      <w:r>
        <w:separator/>
      </w:r>
    </w:p>
  </w:footnote>
  <w:footnote w:type="continuationSeparator" w:id="0">
    <w:p w14:paraId="70B96238" w14:textId="77777777" w:rsidR="00AC32C2" w:rsidRDefault="00AC32C2" w:rsidP="00B6623C">
      <w:r>
        <w:continuationSeparator/>
      </w:r>
    </w:p>
  </w:footnote>
  <w:footnote w:type="continuationNotice" w:id="1">
    <w:p w14:paraId="1731E607" w14:textId="77777777" w:rsidR="00AC32C2" w:rsidRDefault="00AC32C2"/>
  </w:footnote>
  <w:footnote w:id="2">
    <w:p w14:paraId="6067A616" w14:textId="77777777" w:rsidR="003A23BF" w:rsidRDefault="003A23BF" w:rsidP="003A23BF">
      <w:pPr>
        <w:pStyle w:val="FootnoteText"/>
      </w:pPr>
      <w:r>
        <w:rPr>
          <w:rStyle w:val="FootnoteReference"/>
        </w:rPr>
        <w:footnoteRef/>
      </w:r>
      <w:r>
        <w:t xml:space="preserve"> </w:t>
      </w:r>
      <w:r w:rsidRPr="0047456A">
        <w:rPr>
          <w:sz w:val="18"/>
          <w:szCs w:val="18"/>
        </w:rPr>
        <w:t>Agreement on the Application of Sanitary and Phytosanitary Measures.</w:t>
      </w:r>
    </w:p>
  </w:footnote>
  <w:footnote w:id="3">
    <w:p w14:paraId="035B7D63" w14:textId="77777777" w:rsidR="003A23BF" w:rsidRDefault="003A23BF" w:rsidP="003A23BF">
      <w:pPr>
        <w:pStyle w:val="FootnoteText"/>
      </w:pPr>
      <w:r>
        <w:rPr>
          <w:rStyle w:val="FootnoteReference"/>
        </w:rPr>
        <w:footnoteRef/>
      </w:r>
      <w:r>
        <w:t xml:space="preserve"> </w:t>
      </w:r>
      <w:r w:rsidRPr="0047456A">
        <w:rPr>
          <w:sz w:val="18"/>
          <w:szCs w:val="18"/>
        </w:rPr>
        <w:t>Costa Rica's response to Panama's preliminary ruling request, para. 50; Panama's preliminary ruling request, para. 11.</w:t>
      </w:r>
    </w:p>
  </w:footnote>
  <w:footnote w:id="4">
    <w:p w14:paraId="67E60399" w14:textId="77777777" w:rsidR="003A23BF" w:rsidRDefault="003A23BF" w:rsidP="003A23BF">
      <w:pPr>
        <w:pStyle w:val="FootnoteText"/>
      </w:pPr>
      <w:r>
        <w:rPr>
          <w:rStyle w:val="FootnoteReference"/>
        </w:rPr>
        <w:footnoteRef/>
      </w:r>
      <w:r>
        <w:t xml:space="preserve"> </w:t>
      </w:r>
      <w:r w:rsidRPr="0047456A">
        <w:rPr>
          <w:sz w:val="18"/>
          <w:szCs w:val="18"/>
        </w:rPr>
        <w:t>Costa Rica's response to Panama's preliminary ruling request, paras. 11, 42-44; Panama's preliminary ruling request, para. 11.</w:t>
      </w:r>
    </w:p>
  </w:footnote>
  <w:footnote w:id="5">
    <w:p w14:paraId="7E24ED1B" w14:textId="6364B1D6" w:rsidR="003A23BF" w:rsidRDefault="003A23BF" w:rsidP="003A23BF">
      <w:pPr>
        <w:pStyle w:val="FootnoteText"/>
      </w:pPr>
      <w:r>
        <w:rPr>
          <w:rStyle w:val="FootnoteReference"/>
        </w:rPr>
        <w:footnoteRef/>
      </w:r>
      <w:r>
        <w:t xml:space="preserve"> </w:t>
      </w:r>
      <w:r>
        <w:rPr>
          <w:rFonts w:cstheme="minorHAnsi"/>
          <w:sz w:val="18"/>
          <w:szCs w:val="18"/>
        </w:rPr>
        <w:t xml:space="preserve">Appellate Body Report, </w:t>
      </w:r>
      <w:r>
        <w:rPr>
          <w:rFonts w:cstheme="minorHAnsi"/>
          <w:i/>
          <w:iCs/>
          <w:sz w:val="18"/>
          <w:szCs w:val="18"/>
        </w:rPr>
        <w:t>Korea – Pneumatic Valves (Japan)</w:t>
      </w:r>
      <w:r>
        <w:rPr>
          <w:rFonts w:cstheme="minorHAnsi"/>
          <w:sz w:val="18"/>
          <w:szCs w:val="18"/>
        </w:rPr>
        <w:t>, para.</w:t>
      </w:r>
      <w:r>
        <w:rPr>
          <w:rFonts w:cstheme="minorHAnsi"/>
          <w:sz w:val="18"/>
          <w:szCs w:val="18"/>
          <w:lang w:val="en-CA"/>
        </w:rPr>
        <w:t xml:space="preserve"> 5.7</w:t>
      </w:r>
      <w:r>
        <w:rPr>
          <w:rFonts w:cstheme="minorHAnsi"/>
          <w:sz w:val="18"/>
          <w:szCs w:val="18"/>
        </w:rPr>
        <w:t xml:space="preserve"> </w:t>
      </w:r>
      <w:r w:rsidR="00390D4B">
        <w:rPr>
          <w:rFonts w:cstheme="minorHAnsi"/>
          <w:sz w:val="18"/>
          <w:szCs w:val="18"/>
        </w:rPr>
        <w:t xml:space="preserve">- </w:t>
      </w:r>
      <w:r>
        <w:rPr>
          <w:rFonts w:cstheme="minorHAnsi"/>
          <w:sz w:val="18"/>
          <w:szCs w:val="18"/>
        </w:rPr>
        <w:t xml:space="preserve">5.33; see also Appellate Body Reports, </w:t>
      </w:r>
      <w:r>
        <w:rPr>
          <w:rFonts w:cstheme="minorHAnsi"/>
          <w:i/>
          <w:sz w:val="18"/>
          <w:szCs w:val="18"/>
        </w:rPr>
        <w:t>EC – Selected Customs Matters</w:t>
      </w:r>
      <w:r>
        <w:rPr>
          <w:rFonts w:cstheme="minorHAnsi"/>
          <w:sz w:val="18"/>
          <w:szCs w:val="18"/>
        </w:rPr>
        <w:t xml:space="preserve">, para. 130 ; </w:t>
      </w:r>
      <w:r>
        <w:rPr>
          <w:rFonts w:cstheme="minorHAnsi"/>
          <w:i/>
          <w:iCs/>
          <w:sz w:val="18"/>
          <w:szCs w:val="18"/>
          <w:lang w:val="en-CA"/>
        </w:rPr>
        <w:t>China – Raw Materials</w:t>
      </w:r>
      <w:r>
        <w:rPr>
          <w:rFonts w:cstheme="minorHAnsi"/>
          <w:sz w:val="18"/>
          <w:szCs w:val="18"/>
        </w:rPr>
        <w:t xml:space="preserve">, para. 226; </w:t>
      </w:r>
      <w:r>
        <w:rPr>
          <w:rFonts w:cstheme="minorHAnsi"/>
          <w:i/>
          <w:iCs/>
          <w:sz w:val="18"/>
          <w:szCs w:val="18"/>
        </w:rPr>
        <w:t>US – Countervailing Measures (China)</w:t>
      </w:r>
      <w:r>
        <w:rPr>
          <w:rFonts w:cstheme="minorHAnsi"/>
          <w:sz w:val="18"/>
          <w:szCs w:val="18"/>
        </w:rPr>
        <w:t xml:space="preserve">, para. 4.9; </w:t>
      </w:r>
      <w:r>
        <w:rPr>
          <w:rFonts w:cstheme="minorHAnsi"/>
          <w:i/>
          <w:iCs/>
          <w:sz w:val="18"/>
          <w:szCs w:val="18"/>
          <w:lang w:val="en-CA"/>
        </w:rPr>
        <w:t>Russia – Railway Equipment</w:t>
      </w:r>
      <w:r>
        <w:rPr>
          <w:rFonts w:cstheme="minorHAnsi"/>
          <w:sz w:val="18"/>
          <w:szCs w:val="18"/>
          <w:lang w:val="en-CA"/>
        </w:rPr>
        <w:t>, para. 5.28.</w:t>
      </w:r>
    </w:p>
  </w:footnote>
  <w:footnote w:id="6">
    <w:p w14:paraId="05E5C35E" w14:textId="0855CDD5" w:rsidR="007B4DFB" w:rsidRDefault="007B4DFB">
      <w:pPr>
        <w:pStyle w:val="FootnoteText"/>
      </w:pPr>
      <w:r>
        <w:rPr>
          <w:rStyle w:val="FootnoteReference"/>
        </w:rPr>
        <w:footnoteRef/>
      </w:r>
      <w:r>
        <w:t xml:space="preserve"> </w:t>
      </w:r>
      <w:r w:rsidRPr="00A564E9">
        <w:rPr>
          <w:sz w:val="18"/>
          <w:szCs w:val="18"/>
        </w:rPr>
        <w:t xml:space="preserve">Appellate Body Report, </w:t>
      </w:r>
      <w:r w:rsidRPr="00A564E9">
        <w:rPr>
          <w:i/>
          <w:iCs/>
          <w:sz w:val="18"/>
          <w:szCs w:val="18"/>
        </w:rPr>
        <w:t>Korea – Pneumatic Valves (Japan)</w:t>
      </w:r>
      <w:r w:rsidRPr="00A564E9">
        <w:rPr>
          <w:sz w:val="18"/>
          <w:szCs w:val="18"/>
        </w:rPr>
        <w:t xml:space="preserve">, para 5.6 citing Appellate Body Reports, </w:t>
      </w:r>
      <w:r w:rsidRPr="00A564E9">
        <w:rPr>
          <w:i/>
          <w:iCs/>
          <w:sz w:val="18"/>
          <w:szCs w:val="18"/>
        </w:rPr>
        <w:t>China – HP-SSST (Japan) / China – HP-SSST (EU)</w:t>
      </w:r>
      <w:r w:rsidRPr="00A564E9">
        <w:rPr>
          <w:sz w:val="18"/>
          <w:szCs w:val="18"/>
        </w:rPr>
        <w:t xml:space="preserve">, para. 5.15 (quoting Appellate Body Reports, </w:t>
      </w:r>
      <w:r w:rsidRPr="00A564E9">
        <w:rPr>
          <w:i/>
          <w:iCs/>
          <w:sz w:val="18"/>
          <w:szCs w:val="18"/>
        </w:rPr>
        <w:t>China – Raw Materials</w:t>
      </w:r>
      <w:r w:rsidRPr="00A564E9">
        <w:rPr>
          <w:sz w:val="18"/>
          <w:szCs w:val="18"/>
        </w:rPr>
        <w:t>, para. 220</w:t>
      </w:r>
      <w:r w:rsidRPr="00A564E9">
        <w:rPr>
          <w:i/>
          <w:iCs/>
          <w:sz w:val="18"/>
          <w:szCs w:val="18"/>
        </w:rPr>
        <w:t>; US – Countervailing and Anti-Dumping Measures (China)</w:t>
      </w:r>
      <w:r w:rsidRPr="00A564E9">
        <w:rPr>
          <w:sz w:val="18"/>
          <w:szCs w:val="18"/>
        </w:rPr>
        <w:t xml:space="preserve">, para. 4.8, in turn quoting Appellate Body Report, </w:t>
      </w:r>
      <w:r w:rsidRPr="00A564E9">
        <w:rPr>
          <w:i/>
          <w:iCs/>
          <w:sz w:val="18"/>
          <w:szCs w:val="18"/>
        </w:rPr>
        <w:t>US – Oil Country Tubular Goods Sunset Reviews</w:t>
      </w:r>
      <w:r w:rsidRPr="00A564E9">
        <w:rPr>
          <w:sz w:val="18"/>
          <w:szCs w:val="18"/>
        </w:rPr>
        <w:t xml:space="preserve">, para. 162). See also Appellate Body Report, </w:t>
      </w:r>
      <w:r w:rsidRPr="00A564E9">
        <w:rPr>
          <w:i/>
          <w:iCs/>
          <w:sz w:val="18"/>
          <w:szCs w:val="18"/>
        </w:rPr>
        <w:t>US – Countervailing Measures (China)</w:t>
      </w:r>
      <w:r w:rsidRPr="00A564E9">
        <w:rPr>
          <w:sz w:val="18"/>
          <w:szCs w:val="18"/>
        </w:rPr>
        <w:t>, para. 4.9.</w:t>
      </w:r>
    </w:p>
  </w:footnote>
  <w:footnote w:id="7">
    <w:p w14:paraId="69A90D8E" w14:textId="77777777" w:rsidR="003A23BF" w:rsidRDefault="003A23BF" w:rsidP="003A23BF">
      <w:pPr>
        <w:pStyle w:val="FootnoteText"/>
      </w:pPr>
      <w:r>
        <w:rPr>
          <w:rStyle w:val="FootnoteReference"/>
        </w:rPr>
        <w:footnoteRef/>
      </w:r>
      <w:r>
        <w:t xml:space="preserve"> </w:t>
      </w:r>
      <w:r>
        <w:rPr>
          <w:rFonts w:cstheme="minorHAnsi"/>
          <w:sz w:val="18"/>
          <w:szCs w:val="18"/>
        </w:rPr>
        <w:t xml:space="preserve">Appellate Body Report, </w:t>
      </w:r>
      <w:r>
        <w:rPr>
          <w:rFonts w:cstheme="minorHAnsi"/>
          <w:i/>
          <w:iCs/>
          <w:sz w:val="18"/>
          <w:szCs w:val="18"/>
        </w:rPr>
        <w:t>Korea – Pneumatic Valves (Japan)</w:t>
      </w:r>
      <w:r>
        <w:rPr>
          <w:rFonts w:cstheme="minorHAnsi"/>
          <w:sz w:val="18"/>
          <w:szCs w:val="18"/>
        </w:rPr>
        <w:t>, para. 5.9; see Costa Rica's response to Panama's preliminary ruling request, para. 9; Panama's preliminary ruling request, paras. 15, 29.</w:t>
      </w:r>
    </w:p>
  </w:footnote>
  <w:footnote w:id="8">
    <w:p w14:paraId="1579FE65" w14:textId="0053FA29" w:rsidR="003A23BF" w:rsidRDefault="003A23BF" w:rsidP="003A23BF">
      <w:pPr>
        <w:pStyle w:val="FootnoteText"/>
      </w:pPr>
      <w:r>
        <w:rPr>
          <w:rStyle w:val="FootnoteReference"/>
        </w:rPr>
        <w:footnoteRef/>
      </w:r>
      <w:r>
        <w:t xml:space="preserve"> </w:t>
      </w:r>
      <w:r w:rsidRPr="00114E68">
        <w:rPr>
          <w:sz w:val="18"/>
          <w:szCs w:val="18"/>
        </w:rPr>
        <w:t xml:space="preserve">Appellate Body Reports, </w:t>
      </w:r>
      <w:r w:rsidRPr="00114E68">
        <w:rPr>
          <w:i/>
          <w:iCs/>
          <w:sz w:val="18"/>
          <w:szCs w:val="18"/>
        </w:rPr>
        <w:t>US/Canada – Continued Suspension</w:t>
      </w:r>
      <w:r w:rsidRPr="00114E68">
        <w:rPr>
          <w:sz w:val="18"/>
          <w:szCs w:val="18"/>
        </w:rPr>
        <w:t>, para. 701; and</w:t>
      </w:r>
      <w:r w:rsidR="00741432">
        <w:rPr>
          <w:sz w:val="18"/>
          <w:szCs w:val="18"/>
        </w:rPr>
        <w:t xml:space="preserve"> Appellate Body Report,</w:t>
      </w:r>
      <w:r w:rsidRPr="00114E68">
        <w:rPr>
          <w:sz w:val="18"/>
          <w:szCs w:val="18"/>
        </w:rPr>
        <w:t xml:space="preserve"> </w:t>
      </w:r>
      <w:r w:rsidRPr="00114E68">
        <w:rPr>
          <w:i/>
          <w:iCs/>
          <w:sz w:val="18"/>
          <w:szCs w:val="18"/>
        </w:rPr>
        <w:t>Japan – Apples</w:t>
      </w:r>
      <w:r w:rsidRPr="00114E68">
        <w:rPr>
          <w:sz w:val="18"/>
          <w:szCs w:val="18"/>
        </w:rPr>
        <w:t>, para. 179.</w:t>
      </w:r>
    </w:p>
  </w:footnote>
  <w:footnote w:id="9">
    <w:p w14:paraId="04211B32" w14:textId="77777777" w:rsidR="003A23BF" w:rsidRPr="00772394" w:rsidRDefault="003A23BF" w:rsidP="003A23BF">
      <w:pPr>
        <w:pStyle w:val="FootnoteText"/>
        <w:rPr>
          <w:sz w:val="18"/>
          <w:szCs w:val="18"/>
        </w:rPr>
      </w:pPr>
      <w:r>
        <w:rPr>
          <w:rStyle w:val="FootnoteReference"/>
        </w:rPr>
        <w:footnoteRef/>
      </w:r>
      <w:r>
        <w:t xml:space="preserve"> </w:t>
      </w:r>
      <w:r w:rsidRPr="00772394">
        <w:rPr>
          <w:sz w:val="18"/>
          <w:szCs w:val="18"/>
        </w:rPr>
        <w:t xml:space="preserve">Appellate Body Report, </w:t>
      </w:r>
      <w:r w:rsidRPr="00772394">
        <w:rPr>
          <w:i/>
          <w:iCs/>
          <w:sz w:val="18"/>
          <w:szCs w:val="18"/>
        </w:rPr>
        <w:t>Japan – Agricultural Products II</w:t>
      </w:r>
      <w:r w:rsidRPr="00772394">
        <w:rPr>
          <w:sz w:val="18"/>
          <w:szCs w:val="18"/>
        </w:rPr>
        <w:t>, para. 89.</w:t>
      </w:r>
    </w:p>
  </w:footnote>
  <w:footnote w:id="10">
    <w:p w14:paraId="051D10FA" w14:textId="77777777" w:rsidR="003A23BF" w:rsidRPr="00C3314E" w:rsidRDefault="003A23BF" w:rsidP="003A23BF">
      <w:pPr>
        <w:pStyle w:val="FootnoteText"/>
        <w:rPr>
          <w:sz w:val="18"/>
          <w:szCs w:val="18"/>
        </w:rPr>
      </w:pPr>
      <w:r>
        <w:rPr>
          <w:rStyle w:val="FootnoteReference"/>
        </w:rPr>
        <w:footnoteRef/>
      </w:r>
      <w:r>
        <w:t xml:space="preserve"> </w:t>
      </w:r>
      <w:r w:rsidRPr="00C3314E">
        <w:rPr>
          <w:sz w:val="18"/>
          <w:szCs w:val="18"/>
        </w:rPr>
        <w:t xml:space="preserve">SPS Agreement, Article 5.7. </w:t>
      </w:r>
      <w:r>
        <w:rPr>
          <w:sz w:val="18"/>
          <w:szCs w:val="18"/>
        </w:rPr>
        <w:t>W</w:t>
      </w:r>
      <w:r w:rsidRPr="00C3314E">
        <w:rPr>
          <w:sz w:val="18"/>
          <w:szCs w:val="18"/>
        </w:rPr>
        <w:t xml:space="preserve">hile para 89 of </w:t>
      </w:r>
      <w:r w:rsidRPr="00C3314E">
        <w:rPr>
          <w:i/>
          <w:iCs/>
          <w:sz w:val="18"/>
          <w:szCs w:val="18"/>
        </w:rPr>
        <w:t>Japan – Agricultural Products II</w:t>
      </w:r>
      <w:r w:rsidRPr="00C3314E">
        <w:rPr>
          <w:sz w:val="18"/>
          <w:szCs w:val="18"/>
        </w:rPr>
        <w:t xml:space="preserve"> refers to “scientific information”, we note it was quoting the first sentence of Article 5.7 which states “relevant scientific evidence is insufficient”.</w:t>
      </w:r>
    </w:p>
  </w:footnote>
  <w:footnote w:id="11">
    <w:p w14:paraId="4721090F" w14:textId="77777777" w:rsidR="003A23BF" w:rsidRPr="00C3314E" w:rsidRDefault="003A23BF" w:rsidP="003A23BF">
      <w:pPr>
        <w:pStyle w:val="FootnoteText"/>
        <w:rPr>
          <w:sz w:val="18"/>
          <w:szCs w:val="18"/>
        </w:rPr>
      </w:pPr>
      <w:r>
        <w:rPr>
          <w:rStyle w:val="FootnoteReference"/>
        </w:rPr>
        <w:footnoteRef/>
      </w:r>
      <w:r>
        <w:t xml:space="preserve"> </w:t>
      </w:r>
      <w:r w:rsidRPr="00C3314E">
        <w:rPr>
          <w:sz w:val="18"/>
          <w:szCs w:val="18"/>
        </w:rPr>
        <w:t>Set out as the first group of requirements (1) and (2) in</w:t>
      </w:r>
      <w:r>
        <w:t xml:space="preserve"> </w:t>
      </w:r>
      <w:r w:rsidRPr="00772394">
        <w:rPr>
          <w:sz w:val="18"/>
          <w:szCs w:val="18"/>
        </w:rPr>
        <w:t xml:space="preserve">Appellate Body Report, </w:t>
      </w:r>
      <w:r w:rsidRPr="00772394">
        <w:rPr>
          <w:i/>
          <w:iCs/>
          <w:sz w:val="18"/>
          <w:szCs w:val="18"/>
        </w:rPr>
        <w:t>Japan – Agricultural Products II</w:t>
      </w:r>
      <w:r w:rsidRPr="00772394">
        <w:rPr>
          <w:sz w:val="18"/>
          <w:szCs w:val="18"/>
        </w:rPr>
        <w:t>, para. 89.</w:t>
      </w:r>
    </w:p>
  </w:footnote>
  <w:footnote w:id="12">
    <w:p w14:paraId="59654DCE" w14:textId="77777777" w:rsidR="003A23BF" w:rsidRPr="00C3314E" w:rsidRDefault="003A23BF" w:rsidP="003A23BF">
      <w:pPr>
        <w:pStyle w:val="FootnoteText"/>
        <w:rPr>
          <w:sz w:val="18"/>
          <w:szCs w:val="18"/>
        </w:rPr>
      </w:pPr>
      <w:r>
        <w:rPr>
          <w:rStyle w:val="FootnoteReference"/>
        </w:rPr>
        <w:footnoteRef/>
      </w:r>
      <w:r>
        <w:t xml:space="preserve"> </w:t>
      </w:r>
      <w:r w:rsidRPr="00C3314E">
        <w:rPr>
          <w:sz w:val="18"/>
          <w:szCs w:val="18"/>
        </w:rPr>
        <w:t>SPS Agreement Article 5.7</w:t>
      </w:r>
    </w:p>
  </w:footnote>
  <w:footnote w:id="13">
    <w:p w14:paraId="1E66AB02" w14:textId="77777777" w:rsidR="003A23BF" w:rsidRPr="00C3314E" w:rsidRDefault="003A23BF" w:rsidP="003A23BF">
      <w:pPr>
        <w:pStyle w:val="FootnoteText"/>
        <w:rPr>
          <w:sz w:val="18"/>
          <w:szCs w:val="18"/>
        </w:rPr>
      </w:pPr>
      <w:r>
        <w:rPr>
          <w:rStyle w:val="FootnoteReference"/>
        </w:rPr>
        <w:footnoteRef/>
      </w:r>
      <w:r>
        <w:t xml:space="preserve"> </w:t>
      </w:r>
      <w:r w:rsidRPr="00C3314E">
        <w:rPr>
          <w:sz w:val="18"/>
          <w:szCs w:val="18"/>
        </w:rPr>
        <w:t>Set out as the second group of requirements (1) and (2) in</w:t>
      </w:r>
      <w:r>
        <w:t xml:space="preserve"> </w:t>
      </w:r>
      <w:r w:rsidRPr="00772394">
        <w:rPr>
          <w:sz w:val="18"/>
          <w:szCs w:val="18"/>
        </w:rPr>
        <w:t xml:space="preserve">Appellate Body Report, </w:t>
      </w:r>
      <w:r w:rsidRPr="00772394">
        <w:rPr>
          <w:i/>
          <w:iCs/>
          <w:sz w:val="18"/>
          <w:szCs w:val="18"/>
        </w:rPr>
        <w:t>Japan – Agricultural Products II</w:t>
      </w:r>
      <w:r w:rsidRPr="00772394">
        <w:rPr>
          <w:sz w:val="18"/>
          <w:szCs w:val="18"/>
        </w:rPr>
        <w:t>, para. 89.</w:t>
      </w:r>
    </w:p>
  </w:footnote>
  <w:footnote w:id="14">
    <w:p w14:paraId="32BBAC59" w14:textId="5E127CE5" w:rsidR="00126D27" w:rsidRDefault="00126D27">
      <w:pPr>
        <w:pStyle w:val="FootnoteText"/>
      </w:pPr>
      <w:r>
        <w:rPr>
          <w:rStyle w:val="FootnoteReference"/>
        </w:rPr>
        <w:footnoteRef/>
      </w:r>
      <w:r>
        <w:t xml:space="preserve"> </w:t>
      </w:r>
      <w:r w:rsidRPr="008710DF">
        <w:rPr>
          <w:sz w:val="18"/>
          <w:szCs w:val="18"/>
        </w:rPr>
        <w:t xml:space="preserve">SPS Agreement, Article 5.7; </w:t>
      </w:r>
      <w:r w:rsidR="008710DF" w:rsidRPr="008710DF">
        <w:rPr>
          <w:sz w:val="18"/>
          <w:szCs w:val="18"/>
        </w:rPr>
        <w:t xml:space="preserve">Appellate Body Report, </w:t>
      </w:r>
      <w:r w:rsidR="008710DF" w:rsidRPr="008710DF">
        <w:rPr>
          <w:i/>
          <w:iCs/>
          <w:sz w:val="18"/>
          <w:szCs w:val="18"/>
        </w:rPr>
        <w:t>Japan – Agricultural Products II</w:t>
      </w:r>
      <w:r w:rsidR="008710DF" w:rsidRPr="008710DF">
        <w:rPr>
          <w:sz w:val="18"/>
          <w:szCs w:val="18"/>
        </w:rPr>
        <w:t>, para 89.</w:t>
      </w:r>
    </w:p>
  </w:footnote>
  <w:footnote w:id="15">
    <w:p w14:paraId="63BB3707" w14:textId="77777777" w:rsidR="003A23BF" w:rsidRDefault="003A23BF" w:rsidP="003A23BF">
      <w:pPr>
        <w:pStyle w:val="FootnoteText"/>
      </w:pPr>
      <w:r>
        <w:rPr>
          <w:rStyle w:val="FootnoteReference"/>
        </w:rPr>
        <w:footnoteRef/>
      </w:r>
      <w:r>
        <w:t xml:space="preserve"> </w:t>
      </w:r>
      <w:r w:rsidRPr="002C2DC9">
        <w:rPr>
          <w:sz w:val="18"/>
          <w:szCs w:val="18"/>
        </w:rPr>
        <w:t xml:space="preserve">Appellate Body Report, </w:t>
      </w:r>
      <w:r w:rsidRPr="002C2DC9">
        <w:rPr>
          <w:i/>
          <w:iCs/>
          <w:sz w:val="18"/>
          <w:szCs w:val="18"/>
        </w:rPr>
        <w:t>Japan – Apples</w:t>
      </w:r>
      <w:r w:rsidRPr="002C2DC9">
        <w:rPr>
          <w:sz w:val="18"/>
          <w:szCs w:val="18"/>
        </w:rPr>
        <w:t>, para. 179.</w:t>
      </w:r>
    </w:p>
  </w:footnote>
  <w:footnote w:id="16">
    <w:p w14:paraId="203AF670" w14:textId="77777777" w:rsidR="003A23BF" w:rsidRPr="00120051" w:rsidRDefault="003A23BF" w:rsidP="003A23BF">
      <w:pPr>
        <w:pStyle w:val="FootnoteText"/>
        <w:rPr>
          <w:sz w:val="18"/>
          <w:szCs w:val="18"/>
        </w:rPr>
      </w:pPr>
      <w:r>
        <w:rPr>
          <w:rStyle w:val="FootnoteReference"/>
        </w:rPr>
        <w:footnoteRef/>
      </w:r>
      <w:r>
        <w:t xml:space="preserve"> </w:t>
      </w:r>
      <w:r w:rsidRPr="00120051">
        <w:rPr>
          <w:sz w:val="18"/>
          <w:szCs w:val="18"/>
        </w:rPr>
        <w:t>Brazil’s third party written submission, para 6.</w:t>
      </w:r>
    </w:p>
  </w:footnote>
  <w:footnote w:id="17">
    <w:p w14:paraId="110CF9F0" w14:textId="77777777" w:rsidR="003A23BF" w:rsidRPr="00120051" w:rsidRDefault="003A23BF" w:rsidP="003A23BF">
      <w:pPr>
        <w:pStyle w:val="FootnoteText"/>
        <w:rPr>
          <w:sz w:val="18"/>
          <w:szCs w:val="18"/>
        </w:rPr>
      </w:pPr>
      <w:r>
        <w:rPr>
          <w:rStyle w:val="FootnoteReference"/>
        </w:rPr>
        <w:footnoteRef/>
      </w:r>
      <w:r>
        <w:t xml:space="preserve"> </w:t>
      </w:r>
      <w:r w:rsidRPr="00120051">
        <w:rPr>
          <w:sz w:val="18"/>
          <w:szCs w:val="18"/>
        </w:rPr>
        <w:t>Appellate Body Report,</w:t>
      </w:r>
      <w:r>
        <w:t xml:space="preserve"> </w:t>
      </w:r>
      <w:r w:rsidRPr="00120051">
        <w:rPr>
          <w:i/>
          <w:iCs/>
          <w:sz w:val="18"/>
          <w:szCs w:val="18"/>
        </w:rPr>
        <w:t>Japan – Apples</w:t>
      </w:r>
      <w:r w:rsidRPr="00120051">
        <w:rPr>
          <w:sz w:val="18"/>
          <w:szCs w:val="18"/>
        </w:rPr>
        <w:t>, para. 189.</w:t>
      </w:r>
    </w:p>
  </w:footnote>
  <w:footnote w:id="18">
    <w:p w14:paraId="39DD1819" w14:textId="77777777" w:rsidR="003A23BF" w:rsidRPr="00456166" w:rsidRDefault="003A23BF" w:rsidP="003A23BF">
      <w:pPr>
        <w:pStyle w:val="FootnoteText"/>
        <w:rPr>
          <w:sz w:val="18"/>
          <w:szCs w:val="18"/>
        </w:rPr>
      </w:pPr>
      <w:r>
        <w:rPr>
          <w:rStyle w:val="FootnoteReference"/>
        </w:rPr>
        <w:footnoteRef/>
      </w:r>
      <w:r>
        <w:t xml:space="preserve"> </w:t>
      </w:r>
      <w:r w:rsidRPr="00456166">
        <w:rPr>
          <w:sz w:val="18"/>
          <w:szCs w:val="18"/>
        </w:rPr>
        <w:t xml:space="preserve">Panel Report, </w:t>
      </w:r>
      <w:r w:rsidRPr="00456166">
        <w:rPr>
          <w:i/>
          <w:iCs/>
          <w:sz w:val="18"/>
          <w:szCs w:val="18"/>
        </w:rPr>
        <w:t>EC – Approval and Marketing of Biotech Products</w:t>
      </w:r>
      <w:r w:rsidRPr="00456166">
        <w:rPr>
          <w:sz w:val="18"/>
          <w:szCs w:val="18"/>
        </w:rPr>
        <w:t>, para. 7.2971.</w:t>
      </w:r>
    </w:p>
  </w:footnote>
  <w:footnote w:id="19">
    <w:p w14:paraId="71F23B7D" w14:textId="77777777" w:rsidR="003A23BF" w:rsidRPr="001E5CFA" w:rsidRDefault="003A23BF" w:rsidP="003A23BF">
      <w:pPr>
        <w:pStyle w:val="FootnoteText"/>
        <w:rPr>
          <w:sz w:val="18"/>
          <w:szCs w:val="18"/>
        </w:rPr>
      </w:pPr>
      <w:r>
        <w:rPr>
          <w:rStyle w:val="FootnoteReference"/>
        </w:rPr>
        <w:footnoteRef/>
      </w:r>
      <w:r>
        <w:t xml:space="preserve"> </w:t>
      </w:r>
      <w:r w:rsidRPr="001E5CFA">
        <w:rPr>
          <w:sz w:val="18"/>
          <w:szCs w:val="18"/>
        </w:rPr>
        <w:t xml:space="preserve">Appellate Body Report, </w:t>
      </w:r>
      <w:r w:rsidRPr="001E5CFA">
        <w:rPr>
          <w:i/>
          <w:iCs/>
          <w:sz w:val="18"/>
          <w:szCs w:val="18"/>
        </w:rPr>
        <w:t>Japan – Agricultural Products II</w:t>
      </w:r>
      <w:r w:rsidRPr="001E5CFA">
        <w:rPr>
          <w:sz w:val="18"/>
          <w:szCs w:val="18"/>
        </w:rPr>
        <w:t>, para. 93.</w:t>
      </w:r>
    </w:p>
  </w:footnote>
  <w:footnote w:id="20">
    <w:p w14:paraId="74E12464" w14:textId="77777777" w:rsidR="003A23BF" w:rsidRDefault="003A23BF" w:rsidP="003A23BF">
      <w:pPr>
        <w:pStyle w:val="FootnoteText"/>
      </w:pPr>
      <w:r>
        <w:rPr>
          <w:rStyle w:val="FootnoteReference"/>
        </w:rPr>
        <w:footnoteRef/>
      </w:r>
      <w:r>
        <w:t xml:space="preserve"> </w:t>
      </w:r>
      <w:r w:rsidRPr="00120051">
        <w:rPr>
          <w:sz w:val="18"/>
          <w:szCs w:val="18"/>
        </w:rPr>
        <w:t xml:space="preserve">Discussed in, for example, </w:t>
      </w:r>
      <w:r w:rsidRPr="00120051">
        <w:rPr>
          <w:i/>
          <w:iCs/>
          <w:sz w:val="18"/>
          <w:szCs w:val="18"/>
        </w:rPr>
        <w:t>US – Wheat Gluten</w:t>
      </w:r>
      <w:r w:rsidRPr="00120051">
        <w:rPr>
          <w:sz w:val="18"/>
          <w:szCs w:val="18"/>
        </w:rPr>
        <w:t xml:space="preserve">; </w:t>
      </w:r>
      <w:r w:rsidRPr="00120051">
        <w:rPr>
          <w:i/>
          <w:iCs/>
          <w:sz w:val="18"/>
          <w:szCs w:val="18"/>
        </w:rPr>
        <w:t>US – Upland Cotton</w:t>
      </w:r>
      <w:r w:rsidRPr="00120051">
        <w:rPr>
          <w:sz w:val="18"/>
          <w:szCs w:val="18"/>
        </w:rPr>
        <w:t xml:space="preserve">; and </w:t>
      </w:r>
      <w:r w:rsidRPr="00120051">
        <w:rPr>
          <w:i/>
          <w:iCs/>
          <w:sz w:val="18"/>
          <w:szCs w:val="18"/>
        </w:rPr>
        <w:t>EC – Bananas III</w:t>
      </w:r>
      <w:r w:rsidRPr="00120051">
        <w:rPr>
          <w:sz w:val="18"/>
          <w:szCs w:val="18"/>
        </w:rPr>
        <w:t>.</w:t>
      </w:r>
      <w:r w:rsidRPr="007D5BA2" w:rsidDel="007D5BA2">
        <w:t xml:space="preserve"> </w:t>
      </w:r>
      <w:r>
        <w:t xml:space="preserve"> </w:t>
      </w:r>
    </w:p>
  </w:footnote>
  <w:footnote w:id="21">
    <w:p w14:paraId="7C3E0570" w14:textId="77777777" w:rsidR="003A23BF" w:rsidRPr="00C3314E" w:rsidRDefault="003A23BF" w:rsidP="003A23BF">
      <w:pPr>
        <w:pStyle w:val="FootnoteText"/>
      </w:pPr>
      <w:r>
        <w:rPr>
          <w:rStyle w:val="FootnoteReference"/>
        </w:rPr>
        <w:footnoteRef/>
      </w:r>
      <w:r>
        <w:t xml:space="preserve"> </w:t>
      </w:r>
      <w:r w:rsidRPr="00120051">
        <w:rPr>
          <w:sz w:val="18"/>
          <w:szCs w:val="18"/>
        </w:rPr>
        <w:t xml:space="preserve">Appellate Body Report, </w:t>
      </w:r>
      <w:r w:rsidRPr="00120051">
        <w:rPr>
          <w:i/>
          <w:iCs/>
          <w:sz w:val="18"/>
          <w:szCs w:val="18"/>
        </w:rPr>
        <w:t>US – Hot Rolled Steel</w:t>
      </w:r>
      <w:r w:rsidRPr="00120051">
        <w:rPr>
          <w:sz w:val="18"/>
          <w:szCs w:val="18"/>
        </w:rPr>
        <w:t>, para. 85.</w:t>
      </w:r>
    </w:p>
  </w:footnote>
  <w:footnote w:id="22">
    <w:p w14:paraId="74A03D3C" w14:textId="77777777" w:rsidR="007B4DFB" w:rsidRDefault="007B4DFB" w:rsidP="007B4DFB">
      <w:pPr>
        <w:pStyle w:val="FootnoteText"/>
      </w:pPr>
      <w:r>
        <w:rPr>
          <w:rStyle w:val="FootnoteReference"/>
        </w:rPr>
        <w:footnoteRef/>
      </w:r>
      <w:r>
        <w:t xml:space="preserve"> </w:t>
      </w:r>
      <w:r w:rsidRPr="001E5CFA">
        <w:rPr>
          <w:sz w:val="18"/>
          <w:szCs w:val="18"/>
        </w:rPr>
        <w:t xml:space="preserve">Appellate Body Report, </w:t>
      </w:r>
      <w:r w:rsidRPr="001E5CFA">
        <w:rPr>
          <w:i/>
          <w:iCs/>
          <w:sz w:val="18"/>
          <w:szCs w:val="18"/>
        </w:rPr>
        <w:t>Japan – Agricultural Products II</w:t>
      </w:r>
      <w:r w:rsidRPr="001E5CFA">
        <w:rPr>
          <w:sz w:val="18"/>
          <w:szCs w:val="18"/>
        </w:rPr>
        <w:t>, para. 93</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003A23BF" w14:paraId="4A93E309" w14:textId="77777777" w:rsidTr="00427666">
      <w:tc>
        <w:tcPr>
          <w:tcW w:w="2770" w:type="dxa"/>
        </w:tcPr>
        <w:p w14:paraId="4690BA15" w14:textId="77777777" w:rsidR="003A23BF" w:rsidRDefault="003A23BF" w:rsidP="00427666">
          <w:pPr>
            <w:pStyle w:val="Header"/>
            <w:ind w:left="-115"/>
          </w:pPr>
        </w:p>
      </w:tc>
      <w:tc>
        <w:tcPr>
          <w:tcW w:w="2770" w:type="dxa"/>
        </w:tcPr>
        <w:p w14:paraId="393F9D28" w14:textId="77777777" w:rsidR="003A23BF" w:rsidRDefault="003A23BF" w:rsidP="00427666">
          <w:pPr>
            <w:pStyle w:val="Header"/>
            <w:jc w:val="center"/>
          </w:pPr>
        </w:p>
      </w:tc>
      <w:tc>
        <w:tcPr>
          <w:tcW w:w="2770" w:type="dxa"/>
        </w:tcPr>
        <w:p w14:paraId="587CE617" w14:textId="77777777" w:rsidR="003A23BF" w:rsidRDefault="003A23BF" w:rsidP="00427666">
          <w:pPr>
            <w:pStyle w:val="Header"/>
            <w:ind w:right="-115"/>
            <w:jc w:val="right"/>
          </w:pPr>
        </w:p>
      </w:tc>
    </w:tr>
  </w:tbl>
  <w:p w14:paraId="2679B294" w14:textId="77777777" w:rsidR="003A23BF" w:rsidRDefault="003A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7B4F" w14:textId="77777777" w:rsidR="003D53AE" w:rsidRDefault="003D5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93"/>
    </w:tblGrid>
    <w:tr w:rsidR="003D53AE" w:rsidRPr="00E85B48" w14:paraId="0275103F" w14:textId="77777777" w:rsidTr="003D53AE">
      <w:trPr>
        <w:trHeight w:val="90"/>
      </w:trPr>
      <w:tc>
        <w:tcPr>
          <w:tcW w:w="4968" w:type="dxa"/>
          <w:tcBorders>
            <w:top w:val="nil"/>
            <w:left w:val="nil"/>
            <w:bottom w:val="nil"/>
            <w:right w:val="nil"/>
          </w:tcBorders>
        </w:tcPr>
        <w:p w14:paraId="3C611FE3" w14:textId="5F30EEFD" w:rsidR="003D53AE" w:rsidRDefault="00B6623C" w:rsidP="003D53AE">
          <w:pPr>
            <w:tabs>
              <w:tab w:val="center" w:pos="3420"/>
              <w:tab w:val="right" w:pos="8306"/>
            </w:tabs>
            <w:ind w:right="59"/>
            <w:rPr>
              <w:rFonts w:eastAsia="SimSun"/>
              <w:i/>
              <w:iCs/>
              <w:sz w:val="20"/>
              <w:szCs w:val="20"/>
            </w:rPr>
          </w:pPr>
          <w:r>
            <w:rPr>
              <w:rFonts w:eastAsia="SimSun"/>
              <w:i/>
              <w:iCs/>
              <w:sz w:val="20"/>
              <w:szCs w:val="20"/>
            </w:rPr>
            <w:t>Panama</w:t>
          </w:r>
          <w:r w:rsidR="003D53AE">
            <w:rPr>
              <w:rFonts w:eastAsia="SimSun"/>
              <w:i/>
              <w:iCs/>
              <w:sz w:val="20"/>
              <w:szCs w:val="20"/>
            </w:rPr>
            <w:t xml:space="preserve"> – </w:t>
          </w:r>
          <w:r>
            <w:rPr>
              <w:rFonts w:eastAsia="SimSun"/>
              <w:i/>
              <w:iCs/>
              <w:sz w:val="20"/>
              <w:szCs w:val="20"/>
            </w:rPr>
            <w:t>Import Measures</w:t>
          </w:r>
          <w:r w:rsidR="003D53AE">
            <w:rPr>
              <w:rFonts w:eastAsia="SimSun"/>
              <w:i/>
              <w:iCs/>
              <w:sz w:val="20"/>
              <w:szCs w:val="20"/>
            </w:rPr>
            <w:t xml:space="preserve"> (</w:t>
          </w:r>
          <w:r>
            <w:rPr>
              <w:rFonts w:eastAsia="SimSun"/>
              <w:i/>
              <w:iCs/>
              <w:sz w:val="20"/>
              <w:szCs w:val="20"/>
            </w:rPr>
            <w:t>Costa Rica</w:t>
          </w:r>
          <w:r w:rsidR="003D53AE">
            <w:rPr>
              <w:rFonts w:eastAsia="SimSun"/>
              <w:i/>
              <w:iCs/>
              <w:sz w:val="20"/>
              <w:szCs w:val="20"/>
            </w:rPr>
            <w:t>)</w:t>
          </w:r>
          <w:r w:rsidR="003D53AE" w:rsidRPr="00E85B48">
            <w:rPr>
              <w:rFonts w:eastAsia="SimSun"/>
              <w:i/>
              <w:iCs/>
              <w:sz w:val="20"/>
              <w:szCs w:val="20"/>
            </w:rPr>
            <w:t xml:space="preserve"> (DS</w:t>
          </w:r>
          <w:r w:rsidR="003D53AE">
            <w:rPr>
              <w:rFonts w:eastAsia="SimSun"/>
              <w:i/>
              <w:iCs/>
              <w:sz w:val="20"/>
              <w:szCs w:val="20"/>
            </w:rPr>
            <w:t>5</w:t>
          </w:r>
          <w:r>
            <w:rPr>
              <w:rFonts w:eastAsia="SimSun"/>
              <w:i/>
              <w:iCs/>
              <w:sz w:val="20"/>
              <w:szCs w:val="20"/>
            </w:rPr>
            <w:t>9</w:t>
          </w:r>
          <w:r w:rsidR="003D53AE">
            <w:rPr>
              <w:rFonts w:eastAsia="SimSun"/>
              <w:i/>
              <w:iCs/>
              <w:sz w:val="20"/>
              <w:szCs w:val="20"/>
            </w:rPr>
            <w:t>9</w:t>
          </w:r>
          <w:r w:rsidR="003D53AE" w:rsidRPr="00E85B48">
            <w:rPr>
              <w:rFonts w:eastAsia="SimSun"/>
              <w:i/>
              <w:iCs/>
              <w:sz w:val="20"/>
              <w:szCs w:val="20"/>
            </w:rPr>
            <w:t>)</w:t>
          </w:r>
        </w:p>
        <w:p w14:paraId="751120B4" w14:textId="77777777" w:rsidR="003D53AE" w:rsidRPr="00E85B48" w:rsidRDefault="003D53AE" w:rsidP="003D53AE">
          <w:pPr>
            <w:tabs>
              <w:tab w:val="center" w:pos="3420"/>
              <w:tab w:val="right" w:pos="8306"/>
            </w:tabs>
            <w:ind w:right="59"/>
            <w:rPr>
              <w:rFonts w:eastAsia="SimSun"/>
              <w:i/>
              <w:iCs/>
              <w:sz w:val="20"/>
              <w:szCs w:val="20"/>
            </w:rPr>
          </w:pPr>
        </w:p>
      </w:tc>
      <w:tc>
        <w:tcPr>
          <w:tcW w:w="4693" w:type="dxa"/>
          <w:tcBorders>
            <w:top w:val="nil"/>
            <w:left w:val="nil"/>
            <w:bottom w:val="nil"/>
            <w:right w:val="nil"/>
          </w:tcBorders>
        </w:tcPr>
        <w:p w14:paraId="2D20800B" w14:textId="77777777" w:rsidR="003D53AE" w:rsidRPr="00E85B48" w:rsidRDefault="003D53AE" w:rsidP="003D53AE">
          <w:pPr>
            <w:tabs>
              <w:tab w:val="center" w:pos="4153"/>
              <w:tab w:val="right" w:pos="8306"/>
            </w:tabs>
            <w:jc w:val="right"/>
            <w:rPr>
              <w:rFonts w:eastAsia="SimSun"/>
              <w:i/>
              <w:iCs/>
              <w:sz w:val="20"/>
              <w:szCs w:val="20"/>
            </w:rPr>
          </w:pPr>
          <w:r w:rsidRPr="00E85B48">
            <w:rPr>
              <w:rFonts w:eastAsia="SimSun"/>
              <w:i/>
              <w:iCs/>
              <w:sz w:val="20"/>
              <w:szCs w:val="20"/>
            </w:rPr>
            <w:t>Third Party Oral Statement of Australia</w:t>
          </w:r>
        </w:p>
        <w:p w14:paraId="52DCFA24" w14:textId="060C1BF0" w:rsidR="003D53AE" w:rsidRPr="00E85B48" w:rsidRDefault="00B6623C" w:rsidP="003D53AE">
          <w:pPr>
            <w:tabs>
              <w:tab w:val="center" w:pos="4153"/>
              <w:tab w:val="right" w:pos="8306"/>
            </w:tabs>
            <w:jc w:val="right"/>
            <w:rPr>
              <w:rFonts w:eastAsia="SimSun"/>
              <w:i/>
              <w:iCs/>
              <w:sz w:val="20"/>
              <w:szCs w:val="20"/>
            </w:rPr>
          </w:pPr>
          <w:r>
            <w:rPr>
              <w:rFonts w:eastAsia="SimSun"/>
              <w:i/>
              <w:iCs/>
              <w:sz w:val="20"/>
              <w:szCs w:val="20"/>
            </w:rPr>
            <w:t>13 December</w:t>
          </w:r>
          <w:r w:rsidR="003D53AE" w:rsidRPr="00E85B48">
            <w:rPr>
              <w:rFonts w:eastAsia="SimSun"/>
              <w:i/>
              <w:iCs/>
              <w:sz w:val="20"/>
              <w:szCs w:val="20"/>
            </w:rPr>
            <w:t xml:space="preserve"> 20</w:t>
          </w:r>
          <w:r w:rsidR="003D53AE">
            <w:rPr>
              <w:rFonts w:eastAsia="SimSun"/>
              <w:i/>
              <w:iCs/>
              <w:sz w:val="20"/>
              <w:szCs w:val="20"/>
            </w:rPr>
            <w:t>22</w:t>
          </w:r>
        </w:p>
      </w:tc>
    </w:tr>
  </w:tbl>
  <w:p w14:paraId="5FFCFA35" w14:textId="77777777" w:rsidR="003D53AE" w:rsidRDefault="003D5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47BC" w14:textId="77777777" w:rsidR="003D53AE" w:rsidRDefault="003D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CAF"/>
    <w:multiLevelType w:val="hybridMultilevel"/>
    <w:tmpl w:val="D464B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004F50"/>
    <w:multiLevelType w:val="hybridMultilevel"/>
    <w:tmpl w:val="04745080"/>
    <w:lvl w:ilvl="0" w:tplc="D7187028">
      <w:start w:val="1"/>
      <w:numFmt w:val="decimal"/>
      <w:lvlText w:val="%1."/>
      <w:lvlJc w:val="left"/>
      <w:pPr>
        <w:ind w:left="720" w:hanging="360"/>
      </w:pPr>
      <w:rPr>
        <w:rFonts w:ascii="Times New Roman" w:hAnsi="Times New Roman" w:cs="Times New Roman"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F9973DF"/>
    <w:multiLevelType w:val="hybridMultilevel"/>
    <w:tmpl w:val="16E23DB4"/>
    <w:lvl w:ilvl="0" w:tplc="0C090017">
      <w:numFmt w:val="decimal"/>
      <w:pStyle w:val="Heading1"/>
      <w:lvlText w:val=""/>
      <w:lvlJc w:val="left"/>
    </w:lvl>
    <w:lvl w:ilvl="1" w:tplc="0C090019">
      <w:numFmt w:val="decimal"/>
      <w:pStyle w:val="Heading2"/>
      <w:lvlText w:val=""/>
      <w:lvlJc w:val="left"/>
    </w:lvl>
    <w:lvl w:ilvl="2" w:tplc="0C09001B">
      <w:numFmt w:val="decimal"/>
      <w:lvlText w:val=""/>
      <w:lvlJc w:val="left"/>
    </w:lvl>
    <w:lvl w:ilvl="3" w:tplc="0C09000F">
      <w:numFmt w:val="decimal"/>
      <w:lvlText w:val=""/>
      <w:lvlJc w:val="left"/>
    </w:lvl>
    <w:lvl w:ilvl="4" w:tplc="0C090019">
      <w:numFmt w:val="decimal"/>
      <w:pStyle w:val="Heading5"/>
      <w:lvlText w:val=""/>
      <w:lvlJc w:val="left"/>
    </w:lvl>
    <w:lvl w:ilvl="5" w:tplc="0C09001B">
      <w:numFmt w:val="decimal"/>
      <w:pStyle w:val="BodyText"/>
      <w:lvlText w:val=""/>
      <w:lvlJc w:val="left"/>
    </w:lvl>
    <w:lvl w:ilvl="6" w:tplc="0C09000F">
      <w:numFmt w:val="decimal"/>
      <w:pStyle w:val="BodyText2"/>
      <w:lvlText w:val=""/>
      <w:lvlJc w:val="left"/>
    </w:lvl>
    <w:lvl w:ilvl="7" w:tplc="0C090019">
      <w:numFmt w:val="decimal"/>
      <w:pStyle w:val="BodyText3"/>
      <w:lvlText w:val=""/>
      <w:lvlJc w:val="left"/>
    </w:lvl>
    <w:lvl w:ilvl="8" w:tplc="0C09001B">
      <w:numFmt w:val="decimal"/>
      <w:pStyle w:val="BodyText4"/>
      <w:lvlText w:val=""/>
      <w:lvlJc w:val="left"/>
    </w:lvl>
  </w:abstractNum>
  <w:num w:numId="1" w16cid:durableId="1241066699">
    <w:abstractNumId w:val="2"/>
  </w:num>
  <w:num w:numId="2" w16cid:durableId="780952893">
    <w:abstractNumId w:val="1"/>
  </w:num>
  <w:num w:numId="3" w16cid:durableId="8643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3C"/>
    <w:rsid w:val="00001864"/>
    <w:rsid w:val="00001E94"/>
    <w:rsid w:val="00001F67"/>
    <w:rsid w:val="00003D2E"/>
    <w:rsid w:val="000074E7"/>
    <w:rsid w:val="00014BB5"/>
    <w:rsid w:val="000154F9"/>
    <w:rsid w:val="0002205D"/>
    <w:rsid w:val="000323D3"/>
    <w:rsid w:val="0004036D"/>
    <w:rsid w:val="000461C3"/>
    <w:rsid w:val="00047559"/>
    <w:rsid w:val="00047FC9"/>
    <w:rsid w:val="00054FB3"/>
    <w:rsid w:val="000608D7"/>
    <w:rsid w:val="00064F69"/>
    <w:rsid w:val="000711CC"/>
    <w:rsid w:val="00072305"/>
    <w:rsid w:val="0007254E"/>
    <w:rsid w:val="00074768"/>
    <w:rsid w:val="00086C4D"/>
    <w:rsid w:val="00086F9C"/>
    <w:rsid w:val="000875AB"/>
    <w:rsid w:val="00094386"/>
    <w:rsid w:val="000A28A1"/>
    <w:rsid w:val="000B00DB"/>
    <w:rsid w:val="000C0655"/>
    <w:rsid w:val="000C351D"/>
    <w:rsid w:val="000C4309"/>
    <w:rsid w:val="000C56BA"/>
    <w:rsid w:val="000D031E"/>
    <w:rsid w:val="000D0B80"/>
    <w:rsid w:val="000D2245"/>
    <w:rsid w:val="000D520C"/>
    <w:rsid w:val="000E124E"/>
    <w:rsid w:val="000E7AE4"/>
    <w:rsid w:val="000F370B"/>
    <w:rsid w:val="000F6BB2"/>
    <w:rsid w:val="00104A1D"/>
    <w:rsid w:val="00104BE7"/>
    <w:rsid w:val="00105523"/>
    <w:rsid w:val="00107D02"/>
    <w:rsid w:val="00110E15"/>
    <w:rsid w:val="00112B2B"/>
    <w:rsid w:val="00114E68"/>
    <w:rsid w:val="001152F9"/>
    <w:rsid w:val="0011610A"/>
    <w:rsid w:val="00116948"/>
    <w:rsid w:val="00116DFD"/>
    <w:rsid w:val="00121C72"/>
    <w:rsid w:val="00124AEB"/>
    <w:rsid w:val="00126D27"/>
    <w:rsid w:val="00131528"/>
    <w:rsid w:val="0013486B"/>
    <w:rsid w:val="0014265E"/>
    <w:rsid w:val="00142EAE"/>
    <w:rsid w:val="00143861"/>
    <w:rsid w:val="00143D2F"/>
    <w:rsid w:val="0015267D"/>
    <w:rsid w:val="00153AE0"/>
    <w:rsid w:val="0016237C"/>
    <w:rsid w:val="00162F7A"/>
    <w:rsid w:val="0016463A"/>
    <w:rsid w:val="00167AB6"/>
    <w:rsid w:val="00174144"/>
    <w:rsid w:val="00174458"/>
    <w:rsid w:val="00180C1F"/>
    <w:rsid w:val="0018779D"/>
    <w:rsid w:val="001A1256"/>
    <w:rsid w:val="001A3F1E"/>
    <w:rsid w:val="001A7DF8"/>
    <w:rsid w:val="001B0228"/>
    <w:rsid w:val="001B0F3C"/>
    <w:rsid w:val="001B1574"/>
    <w:rsid w:val="001B6FB8"/>
    <w:rsid w:val="001B7065"/>
    <w:rsid w:val="001C3EEB"/>
    <w:rsid w:val="001D1CB3"/>
    <w:rsid w:val="001D23FB"/>
    <w:rsid w:val="001D3225"/>
    <w:rsid w:val="001D443B"/>
    <w:rsid w:val="001D6E70"/>
    <w:rsid w:val="001D78A6"/>
    <w:rsid w:val="001D7AB1"/>
    <w:rsid w:val="001E023D"/>
    <w:rsid w:val="001E5CFA"/>
    <w:rsid w:val="001E66B1"/>
    <w:rsid w:val="001E73D5"/>
    <w:rsid w:val="001F0A68"/>
    <w:rsid w:val="001F3678"/>
    <w:rsid w:val="001F701B"/>
    <w:rsid w:val="00203373"/>
    <w:rsid w:val="00204725"/>
    <w:rsid w:val="002048A2"/>
    <w:rsid w:val="00204D77"/>
    <w:rsid w:val="002134A5"/>
    <w:rsid w:val="002142C3"/>
    <w:rsid w:val="002171FB"/>
    <w:rsid w:val="002205F8"/>
    <w:rsid w:val="00220B8F"/>
    <w:rsid w:val="00222A7A"/>
    <w:rsid w:val="00224E80"/>
    <w:rsid w:val="0023521A"/>
    <w:rsid w:val="00235C24"/>
    <w:rsid w:val="002369D2"/>
    <w:rsid w:val="002402F0"/>
    <w:rsid w:val="00243C1D"/>
    <w:rsid w:val="00244C90"/>
    <w:rsid w:val="00245714"/>
    <w:rsid w:val="00247213"/>
    <w:rsid w:val="002477AA"/>
    <w:rsid w:val="0025040E"/>
    <w:rsid w:val="0025449A"/>
    <w:rsid w:val="00254871"/>
    <w:rsid w:val="0026323F"/>
    <w:rsid w:val="00264133"/>
    <w:rsid w:val="00270433"/>
    <w:rsid w:val="0028310C"/>
    <w:rsid w:val="002842CA"/>
    <w:rsid w:val="00290F84"/>
    <w:rsid w:val="0029498C"/>
    <w:rsid w:val="002953C9"/>
    <w:rsid w:val="002A0096"/>
    <w:rsid w:val="002A4519"/>
    <w:rsid w:val="002A5946"/>
    <w:rsid w:val="002A5A37"/>
    <w:rsid w:val="002B14E8"/>
    <w:rsid w:val="002B2383"/>
    <w:rsid w:val="002B29AA"/>
    <w:rsid w:val="002B351E"/>
    <w:rsid w:val="002B37FE"/>
    <w:rsid w:val="002B4C43"/>
    <w:rsid w:val="002C2DC9"/>
    <w:rsid w:val="002D0432"/>
    <w:rsid w:val="002D468E"/>
    <w:rsid w:val="002D6A7D"/>
    <w:rsid w:val="002E0A10"/>
    <w:rsid w:val="002E70E0"/>
    <w:rsid w:val="002F68C3"/>
    <w:rsid w:val="00304D9D"/>
    <w:rsid w:val="00307ACC"/>
    <w:rsid w:val="00312E84"/>
    <w:rsid w:val="003166FD"/>
    <w:rsid w:val="003213B7"/>
    <w:rsid w:val="0032290F"/>
    <w:rsid w:val="003351BB"/>
    <w:rsid w:val="003362AF"/>
    <w:rsid w:val="00336D71"/>
    <w:rsid w:val="003415E3"/>
    <w:rsid w:val="00345CA4"/>
    <w:rsid w:val="00354FF4"/>
    <w:rsid w:val="00356CAF"/>
    <w:rsid w:val="0036161B"/>
    <w:rsid w:val="00366553"/>
    <w:rsid w:val="003676CF"/>
    <w:rsid w:val="00370181"/>
    <w:rsid w:val="00371BF0"/>
    <w:rsid w:val="003733AC"/>
    <w:rsid w:val="00376FEA"/>
    <w:rsid w:val="003777E0"/>
    <w:rsid w:val="00377FAD"/>
    <w:rsid w:val="00390D4B"/>
    <w:rsid w:val="0039326B"/>
    <w:rsid w:val="00394F37"/>
    <w:rsid w:val="003A23BF"/>
    <w:rsid w:val="003B66FC"/>
    <w:rsid w:val="003C2B8F"/>
    <w:rsid w:val="003C65D8"/>
    <w:rsid w:val="003D53AE"/>
    <w:rsid w:val="003D6B2D"/>
    <w:rsid w:val="003E4AF2"/>
    <w:rsid w:val="003E4B53"/>
    <w:rsid w:val="003E4FF4"/>
    <w:rsid w:val="003E7F93"/>
    <w:rsid w:val="003F000D"/>
    <w:rsid w:val="003F5C8D"/>
    <w:rsid w:val="004005C8"/>
    <w:rsid w:val="00405362"/>
    <w:rsid w:val="00407551"/>
    <w:rsid w:val="00407B22"/>
    <w:rsid w:val="00412632"/>
    <w:rsid w:val="00412C4A"/>
    <w:rsid w:val="00415EB9"/>
    <w:rsid w:val="0041717D"/>
    <w:rsid w:val="00417288"/>
    <w:rsid w:val="00426153"/>
    <w:rsid w:val="00427666"/>
    <w:rsid w:val="00434328"/>
    <w:rsid w:val="004369C6"/>
    <w:rsid w:val="00442CD4"/>
    <w:rsid w:val="00447B07"/>
    <w:rsid w:val="00452520"/>
    <w:rsid w:val="00454936"/>
    <w:rsid w:val="00456166"/>
    <w:rsid w:val="00463E63"/>
    <w:rsid w:val="00463EA8"/>
    <w:rsid w:val="00464C9D"/>
    <w:rsid w:val="00471678"/>
    <w:rsid w:val="0047456A"/>
    <w:rsid w:val="00483222"/>
    <w:rsid w:val="0048372F"/>
    <w:rsid w:val="00496E85"/>
    <w:rsid w:val="004B0E90"/>
    <w:rsid w:val="004B3C3E"/>
    <w:rsid w:val="004B787E"/>
    <w:rsid w:val="004C30D9"/>
    <w:rsid w:val="004C3291"/>
    <w:rsid w:val="004F13C6"/>
    <w:rsid w:val="004F37D5"/>
    <w:rsid w:val="004F6849"/>
    <w:rsid w:val="004F7B49"/>
    <w:rsid w:val="00501503"/>
    <w:rsid w:val="00501C30"/>
    <w:rsid w:val="00506107"/>
    <w:rsid w:val="00513642"/>
    <w:rsid w:val="00514E2D"/>
    <w:rsid w:val="00526E02"/>
    <w:rsid w:val="005320E4"/>
    <w:rsid w:val="00534BB7"/>
    <w:rsid w:val="005431A0"/>
    <w:rsid w:val="00551EAD"/>
    <w:rsid w:val="00555869"/>
    <w:rsid w:val="00555B78"/>
    <w:rsid w:val="00560141"/>
    <w:rsid w:val="00564EE6"/>
    <w:rsid w:val="0056532C"/>
    <w:rsid w:val="0056688E"/>
    <w:rsid w:val="00572239"/>
    <w:rsid w:val="005733D4"/>
    <w:rsid w:val="005743FD"/>
    <w:rsid w:val="00585C69"/>
    <w:rsid w:val="005878F6"/>
    <w:rsid w:val="00592421"/>
    <w:rsid w:val="0059789F"/>
    <w:rsid w:val="005A3886"/>
    <w:rsid w:val="005A50FC"/>
    <w:rsid w:val="005A778C"/>
    <w:rsid w:val="005B1A97"/>
    <w:rsid w:val="005C57F0"/>
    <w:rsid w:val="005D4564"/>
    <w:rsid w:val="005E3B3B"/>
    <w:rsid w:val="005E582D"/>
    <w:rsid w:val="005F4815"/>
    <w:rsid w:val="0060018B"/>
    <w:rsid w:val="00604606"/>
    <w:rsid w:val="0060614A"/>
    <w:rsid w:val="00606C7E"/>
    <w:rsid w:val="0061506F"/>
    <w:rsid w:val="00617D3A"/>
    <w:rsid w:val="0062580F"/>
    <w:rsid w:val="0063070E"/>
    <w:rsid w:val="0063786D"/>
    <w:rsid w:val="00641180"/>
    <w:rsid w:val="00652033"/>
    <w:rsid w:val="0066045F"/>
    <w:rsid w:val="00663846"/>
    <w:rsid w:val="006650E2"/>
    <w:rsid w:val="006659D2"/>
    <w:rsid w:val="006708E6"/>
    <w:rsid w:val="0067197B"/>
    <w:rsid w:val="006757C0"/>
    <w:rsid w:val="006812FA"/>
    <w:rsid w:val="00685A4B"/>
    <w:rsid w:val="00692658"/>
    <w:rsid w:val="00695058"/>
    <w:rsid w:val="00695F77"/>
    <w:rsid w:val="00696F2E"/>
    <w:rsid w:val="006A0D81"/>
    <w:rsid w:val="006A670A"/>
    <w:rsid w:val="006B146B"/>
    <w:rsid w:val="006B44B0"/>
    <w:rsid w:val="006B4B41"/>
    <w:rsid w:val="006C3B48"/>
    <w:rsid w:val="006C6BF9"/>
    <w:rsid w:val="006C791F"/>
    <w:rsid w:val="006E5635"/>
    <w:rsid w:val="006F01D8"/>
    <w:rsid w:val="006F0DDA"/>
    <w:rsid w:val="006F7015"/>
    <w:rsid w:val="00700C54"/>
    <w:rsid w:val="007016D9"/>
    <w:rsid w:val="00704850"/>
    <w:rsid w:val="007049DD"/>
    <w:rsid w:val="00714252"/>
    <w:rsid w:val="00716939"/>
    <w:rsid w:val="00725C85"/>
    <w:rsid w:val="00725D55"/>
    <w:rsid w:val="00725F2F"/>
    <w:rsid w:val="007328D6"/>
    <w:rsid w:val="00734B4F"/>
    <w:rsid w:val="00737392"/>
    <w:rsid w:val="00741432"/>
    <w:rsid w:val="00741548"/>
    <w:rsid w:val="007415CF"/>
    <w:rsid w:val="00742F66"/>
    <w:rsid w:val="00743921"/>
    <w:rsid w:val="007451E5"/>
    <w:rsid w:val="00745CC7"/>
    <w:rsid w:val="0074612B"/>
    <w:rsid w:val="00753DF8"/>
    <w:rsid w:val="007550AF"/>
    <w:rsid w:val="00757DC4"/>
    <w:rsid w:val="00763586"/>
    <w:rsid w:val="007715A9"/>
    <w:rsid w:val="00772394"/>
    <w:rsid w:val="007723D9"/>
    <w:rsid w:val="0077445E"/>
    <w:rsid w:val="007862EC"/>
    <w:rsid w:val="00790B08"/>
    <w:rsid w:val="00791641"/>
    <w:rsid w:val="00792416"/>
    <w:rsid w:val="0079483D"/>
    <w:rsid w:val="007979B5"/>
    <w:rsid w:val="007A1F2F"/>
    <w:rsid w:val="007A4153"/>
    <w:rsid w:val="007A6B8C"/>
    <w:rsid w:val="007B30BE"/>
    <w:rsid w:val="007B36FF"/>
    <w:rsid w:val="007B4DFB"/>
    <w:rsid w:val="007B522A"/>
    <w:rsid w:val="007B6334"/>
    <w:rsid w:val="007B73A6"/>
    <w:rsid w:val="007C04B0"/>
    <w:rsid w:val="007C138F"/>
    <w:rsid w:val="007C149F"/>
    <w:rsid w:val="007C3D17"/>
    <w:rsid w:val="007C5048"/>
    <w:rsid w:val="007D198B"/>
    <w:rsid w:val="007D55A8"/>
    <w:rsid w:val="007D69C6"/>
    <w:rsid w:val="007E2504"/>
    <w:rsid w:val="007E2B96"/>
    <w:rsid w:val="007F1622"/>
    <w:rsid w:val="00802025"/>
    <w:rsid w:val="00814360"/>
    <w:rsid w:val="00820AA5"/>
    <w:rsid w:val="008259AA"/>
    <w:rsid w:val="00826942"/>
    <w:rsid w:val="00832839"/>
    <w:rsid w:val="008369DF"/>
    <w:rsid w:val="00845945"/>
    <w:rsid w:val="00845F4E"/>
    <w:rsid w:val="00855C08"/>
    <w:rsid w:val="008573DB"/>
    <w:rsid w:val="00864B7E"/>
    <w:rsid w:val="00865F0A"/>
    <w:rsid w:val="008675B2"/>
    <w:rsid w:val="008710DF"/>
    <w:rsid w:val="00874552"/>
    <w:rsid w:val="00881280"/>
    <w:rsid w:val="0088661C"/>
    <w:rsid w:val="008878F6"/>
    <w:rsid w:val="00890FBB"/>
    <w:rsid w:val="00892733"/>
    <w:rsid w:val="00896B73"/>
    <w:rsid w:val="0089753A"/>
    <w:rsid w:val="008A33E9"/>
    <w:rsid w:val="008A7DBB"/>
    <w:rsid w:val="008B10FA"/>
    <w:rsid w:val="008B110B"/>
    <w:rsid w:val="008C46FE"/>
    <w:rsid w:val="008D064A"/>
    <w:rsid w:val="008E042D"/>
    <w:rsid w:val="008E7029"/>
    <w:rsid w:val="008F6A85"/>
    <w:rsid w:val="008F791B"/>
    <w:rsid w:val="0090287B"/>
    <w:rsid w:val="00906103"/>
    <w:rsid w:val="009149BB"/>
    <w:rsid w:val="00920ED2"/>
    <w:rsid w:val="00922194"/>
    <w:rsid w:val="0093163D"/>
    <w:rsid w:val="009332CB"/>
    <w:rsid w:val="00941BC1"/>
    <w:rsid w:val="00943538"/>
    <w:rsid w:val="00944063"/>
    <w:rsid w:val="0094787D"/>
    <w:rsid w:val="00947B31"/>
    <w:rsid w:val="00957DEB"/>
    <w:rsid w:val="009622A5"/>
    <w:rsid w:val="00966D7B"/>
    <w:rsid w:val="00970B42"/>
    <w:rsid w:val="00970C8C"/>
    <w:rsid w:val="00975126"/>
    <w:rsid w:val="00977E65"/>
    <w:rsid w:val="0098341E"/>
    <w:rsid w:val="00983759"/>
    <w:rsid w:val="00984729"/>
    <w:rsid w:val="00991904"/>
    <w:rsid w:val="00993F0C"/>
    <w:rsid w:val="009B33A5"/>
    <w:rsid w:val="009B5EE8"/>
    <w:rsid w:val="009C4E92"/>
    <w:rsid w:val="009C683C"/>
    <w:rsid w:val="009D0D88"/>
    <w:rsid w:val="009D1D93"/>
    <w:rsid w:val="009D5A96"/>
    <w:rsid w:val="009D7584"/>
    <w:rsid w:val="009E062C"/>
    <w:rsid w:val="009E566D"/>
    <w:rsid w:val="00A0418C"/>
    <w:rsid w:val="00A17E02"/>
    <w:rsid w:val="00A22719"/>
    <w:rsid w:val="00A25005"/>
    <w:rsid w:val="00A324A3"/>
    <w:rsid w:val="00A325A0"/>
    <w:rsid w:val="00A37732"/>
    <w:rsid w:val="00A42689"/>
    <w:rsid w:val="00A44D70"/>
    <w:rsid w:val="00A453B8"/>
    <w:rsid w:val="00A53588"/>
    <w:rsid w:val="00A54FA0"/>
    <w:rsid w:val="00A609AB"/>
    <w:rsid w:val="00A66935"/>
    <w:rsid w:val="00A66DD2"/>
    <w:rsid w:val="00A71D04"/>
    <w:rsid w:val="00A7498B"/>
    <w:rsid w:val="00A80FD2"/>
    <w:rsid w:val="00A836C5"/>
    <w:rsid w:val="00A83779"/>
    <w:rsid w:val="00A84658"/>
    <w:rsid w:val="00A92A8A"/>
    <w:rsid w:val="00A933BE"/>
    <w:rsid w:val="00A9706E"/>
    <w:rsid w:val="00AA08D1"/>
    <w:rsid w:val="00AA57BB"/>
    <w:rsid w:val="00AB01CC"/>
    <w:rsid w:val="00AB428B"/>
    <w:rsid w:val="00AB75FE"/>
    <w:rsid w:val="00AC32C2"/>
    <w:rsid w:val="00AC3967"/>
    <w:rsid w:val="00AC4EE7"/>
    <w:rsid w:val="00AD1C1A"/>
    <w:rsid w:val="00AE31AB"/>
    <w:rsid w:val="00AE6292"/>
    <w:rsid w:val="00AF1492"/>
    <w:rsid w:val="00AF1CDF"/>
    <w:rsid w:val="00AF5C36"/>
    <w:rsid w:val="00B11E02"/>
    <w:rsid w:val="00B12C96"/>
    <w:rsid w:val="00B16A0D"/>
    <w:rsid w:val="00B26EDA"/>
    <w:rsid w:val="00B27A31"/>
    <w:rsid w:val="00B316A8"/>
    <w:rsid w:val="00B32E5A"/>
    <w:rsid w:val="00B52592"/>
    <w:rsid w:val="00B5562F"/>
    <w:rsid w:val="00B602B2"/>
    <w:rsid w:val="00B60300"/>
    <w:rsid w:val="00B61934"/>
    <w:rsid w:val="00B63934"/>
    <w:rsid w:val="00B63F75"/>
    <w:rsid w:val="00B661CE"/>
    <w:rsid w:val="00B6623C"/>
    <w:rsid w:val="00B70076"/>
    <w:rsid w:val="00B73F62"/>
    <w:rsid w:val="00B75832"/>
    <w:rsid w:val="00B80940"/>
    <w:rsid w:val="00B809A3"/>
    <w:rsid w:val="00B868A7"/>
    <w:rsid w:val="00B86B79"/>
    <w:rsid w:val="00B90676"/>
    <w:rsid w:val="00B90BEE"/>
    <w:rsid w:val="00BA2FF8"/>
    <w:rsid w:val="00BA3B2E"/>
    <w:rsid w:val="00BB357A"/>
    <w:rsid w:val="00BB4EFE"/>
    <w:rsid w:val="00BB6773"/>
    <w:rsid w:val="00BC6ACC"/>
    <w:rsid w:val="00BD3D00"/>
    <w:rsid w:val="00BE0489"/>
    <w:rsid w:val="00BE1859"/>
    <w:rsid w:val="00BE6D57"/>
    <w:rsid w:val="00BF00CD"/>
    <w:rsid w:val="00BF24C5"/>
    <w:rsid w:val="00C03D6E"/>
    <w:rsid w:val="00C139D2"/>
    <w:rsid w:val="00C13D11"/>
    <w:rsid w:val="00C14BED"/>
    <w:rsid w:val="00C17BDF"/>
    <w:rsid w:val="00C27307"/>
    <w:rsid w:val="00C40710"/>
    <w:rsid w:val="00C41D12"/>
    <w:rsid w:val="00C473A4"/>
    <w:rsid w:val="00C475F8"/>
    <w:rsid w:val="00C5255C"/>
    <w:rsid w:val="00C5417F"/>
    <w:rsid w:val="00C579A4"/>
    <w:rsid w:val="00C6158C"/>
    <w:rsid w:val="00C62844"/>
    <w:rsid w:val="00C65611"/>
    <w:rsid w:val="00C713DD"/>
    <w:rsid w:val="00C838AE"/>
    <w:rsid w:val="00C86202"/>
    <w:rsid w:val="00C86F65"/>
    <w:rsid w:val="00C903DA"/>
    <w:rsid w:val="00C933E6"/>
    <w:rsid w:val="00C93F8A"/>
    <w:rsid w:val="00C9581E"/>
    <w:rsid w:val="00CA327F"/>
    <w:rsid w:val="00CB0F87"/>
    <w:rsid w:val="00CB2152"/>
    <w:rsid w:val="00CB31CF"/>
    <w:rsid w:val="00CC0EF0"/>
    <w:rsid w:val="00CC124E"/>
    <w:rsid w:val="00CC35B5"/>
    <w:rsid w:val="00CC5682"/>
    <w:rsid w:val="00CD172C"/>
    <w:rsid w:val="00CD3BCA"/>
    <w:rsid w:val="00CD45D9"/>
    <w:rsid w:val="00CE2081"/>
    <w:rsid w:val="00CE4DBA"/>
    <w:rsid w:val="00CF5E98"/>
    <w:rsid w:val="00D03E26"/>
    <w:rsid w:val="00D03F9B"/>
    <w:rsid w:val="00D0511F"/>
    <w:rsid w:val="00D0604C"/>
    <w:rsid w:val="00D07E15"/>
    <w:rsid w:val="00D149D8"/>
    <w:rsid w:val="00D1539E"/>
    <w:rsid w:val="00D22289"/>
    <w:rsid w:val="00D2547B"/>
    <w:rsid w:val="00D36F03"/>
    <w:rsid w:val="00D459B6"/>
    <w:rsid w:val="00D50246"/>
    <w:rsid w:val="00D5080E"/>
    <w:rsid w:val="00D50AEB"/>
    <w:rsid w:val="00D549F7"/>
    <w:rsid w:val="00D611C2"/>
    <w:rsid w:val="00D61950"/>
    <w:rsid w:val="00D64694"/>
    <w:rsid w:val="00D70F41"/>
    <w:rsid w:val="00D74B58"/>
    <w:rsid w:val="00D76BA4"/>
    <w:rsid w:val="00D77F6F"/>
    <w:rsid w:val="00D8095F"/>
    <w:rsid w:val="00D82F74"/>
    <w:rsid w:val="00D83ACA"/>
    <w:rsid w:val="00D904D3"/>
    <w:rsid w:val="00D945F1"/>
    <w:rsid w:val="00DA0060"/>
    <w:rsid w:val="00DB1008"/>
    <w:rsid w:val="00DC7FAF"/>
    <w:rsid w:val="00DD1245"/>
    <w:rsid w:val="00DD26B5"/>
    <w:rsid w:val="00DD66B8"/>
    <w:rsid w:val="00DE15E8"/>
    <w:rsid w:val="00DE2754"/>
    <w:rsid w:val="00DF210B"/>
    <w:rsid w:val="00DF26BC"/>
    <w:rsid w:val="00DF2EEC"/>
    <w:rsid w:val="00DF4491"/>
    <w:rsid w:val="00DF5394"/>
    <w:rsid w:val="00DF62DD"/>
    <w:rsid w:val="00E050B3"/>
    <w:rsid w:val="00E06E4A"/>
    <w:rsid w:val="00E12D9B"/>
    <w:rsid w:val="00E13F88"/>
    <w:rsid w:val="00E13F95"/>
    <w:rsid w:val="00E20ED2"/>
    <w:rsid w:val="00E24E5A"/>
    <w:rsid w:val="00E37742"/>
    <w:rsid w:val="00E37E05"/>
    <w:rsid w:val="00E416AA"/>
    <w:rsid w:val="00E423E2"/>
    <w:rsid w:val="00E5139C"/>
    <w:rsid w:val="00E54777"/>
    <w:rsid w:val="00E56F25"/>
    <w:rsid w:val="00E608D9"/>
    <w:rsid w:val="00E61663"/>
    <w:rsid w:val="00E7394D"/>
    <w:rsid w:val="00E75C96"/>
    <w:rsid w:val="00E852FD"/>
    <w:rsid w:val="00E85C2D"/>
    <w:rsid w:val="00E95998"/>
    <w:rsid w:val="00E95E79"/>
    <w:rsid w:val="00E97A9D"/>
    <w:rsid w:val="00EB122B"/>
    <w:rsid w:val="00EB59D5"/>
    <w:rsid w:val="00EB784C"/>
    <w:rsid w:val="00EB7C95"/>
    <w:rsid w:val="00EC3FB4"/>
    <w:rsid w:val="00EC438E"/>
    <w:rsid w:val="00EC6EDA"/>
    <w:rsid w:val="00ED5457"/>
    <w:rsid w:val="00EE1EC4"/>
    <w:rsid w:val="00EE566F"/>
    <w:rsid w:val="00EE5D9A"/>
    <w:rsid w:val="00EE63CB"/>
    <w:rsid w:val="00EE7032"/>
    <w:rsid w:val="00EF2FE9"/>
    <w:rsid w:val="00EF53E3"/>
    <w:rsid w:val="00F10CD7"/>
    <w:rsid w:val="00F24D9F"/>
    <w:rsid w:val="00F25A92"/>
    <w:rsid w:val="00F315CA"/>
    <w:rsid w:val="00F4233D"/>
    <w:rsid w:val="00F4620F"/>
    <w:rsid w:val="00F4735E"/>
    <w:rsid w:val="00F5381C"/>
    <w:rsid w:val="00F613D3"/>
    <w:rsid w:val="00F6255C"/>
    <w:rsid w:val="00F635EC"/>
    <w:rsid w:val="00F71E99"/>
    <w:rsid w:val="00F72888"/>
    <w:rsid w:val="00F7749F"/>
    <w:rsid w:val="00F8213D"/>
    <w:rsid w:val="00F82543"/>
    <w:rsid w:val="00F90FF4"/>
    <w:rsid w:val="00F913BF"/>
    <w:rsid w:val="00F929C5"/>
    <w:rsid w:val="00F94E67"/>
    <w:rsid w:val="00F97FCA"/>
    <w:rsid w:val="00FA225A"/>
    <w:rsid w:val="00FA2FEB"/>
    <w:rsid w:val="00FA345B"/>
    <w:rsid w:val="00FA66B8"/>
    <w:rsid w:val="00FA72EE"/>
    <w:rsid w:val="00FA7E92"/>
    <w:rsid w:val="00FB0908"/>
    <w:rsid w:val="00FB1BB0"/>
    <w:rsid w:val="00FB6B51"/>
    <w:rsid w:val="00FC2305"/>
    <w:rsid w:val="00FC2996"/>
    <w:rsid w:val="00FD1725"/>
    <w:rsid w:val="00FD18FF"/>
    <w:rsid w:val="00FD2CA1"/>
    <w:rsid w:val="00FD356A"/>
    <w:rsid w:val="00FD4AF5"/>
    <w:rsid w:val="00FD5B85"/>
    <w:rsid w:val="00FD6249"/>
    <w:rsid w:val="00FD71C1"/>
    <w:rsid w:val="00FE247D"/>
    <w:rsid w:val="00FE2CA4"/>
    <w:rsid w:val="00FE4157"/>
    <w:rsid w:val="00FE4A8C"/>
    <w:rsid w:val="00FF08CB"/>
    <w:rsid w:val="00FF0BF2"/>
    <w:rsid w:val="00FF1B90"/>
    <w:rsid w:val="0197058D"/>
    <w:rsid w:val="01E47F08"/>
    <w:rsid w:val="027FA4D7"/>
    <w:rsid w:val="0397E04E"/>
    <w:rsid w:val="03C1221E"/>
    <w:rsid w:val="03F5037B"/>
    <w:rsid w:val="04494D53"/>
    <w:rsid w:val="0469DC0B"/>
    <w:rsid w:val="04DFE05C"/>
    <w:rsid w:val="04EB74F6"/>
    <w:rsid w:val="052C5AF2"/>
    <w:rsid w:val="05A5E150"/>
    <w:rsid w:val="05C153E5"/>
    <w:rsid w:val="05D91F45"/>
    <w:rsid w:val="05EB171E"/>
    <w:rsid w:val="0667DAB2"/>
    <w:rsid w:val="06E17E3B"/>
    <w:rsid w:val="06E70A74"/>
    <w:rsid w:val="071A9882"/>
    <w:rsid w:val="075F1368"/>
    <w:rsid w:val="0767402B"/>
    <w:rsid w:val="07B1A8A6"/>
    <w:rsid w:val="07D31CE6"/>
    <w:rsid w:val="080F850E"/>
    <w:rsid w:val="08514ED8"/>
    <w:rsid w:val="095FDEAD"/>
    <w:rsid w:val="0994F0E7"/>
    <w:rsid w:val="09B42505"/>
    <w:rsid w:val="0AC9151A"/>
    <w:rsid w:val="0B0E2B53"/>
    <w:rsid w:val="0B410AA4"/>
    <w:rsid w:val="0B4BB000"/>
    <w:rsid w:val="0C8CD1D1"/>
    <w:rsid w:val="0D2A53C4"/>
    <w:rsid w:val="0D6A7E3B"/>
    <w:rsid w:val="0D74DC8C"/>
    <w:rsid w:val="0D8A48F0"/>
    <w:rsid w:val="0DD9D424"/>
    <w:rsid w:val="0DE6D0FD"/>
    <w:rsid w:val="0DE8C47A"/>
    <w:rsid w:val="0EA51170"/>
    <w:rsid w:val="0F251019"/>
    <w:rsid w:val="0F6384B4"/>
    <w:rsid w:val="0FC9E8FC"/>
    <w:rsid w:val="101C9B23"/>
    <w:rsid w:val="1039594B"/>
    <w:rsid w:val="10A77630"/>
    <w:rsid w:val="110EF0F2"/>
    <w:rsid w:val="115E88DA"/>
    <w:rsid w:val="11D1728A"/>
    <w:rsid w:val="127596DA"/>
    <w:rsid w:val="127DAAA3"/>
    <w:rsid w:val="12835E56"/>
    <w:rsid w:val="1297A725"/>
    <w:rsid w:val="129B291E"/>
    <w:rsid w:val="129E05A7"/>
    <w:rsid w:val="13065EC0"/>
    <w:rsid w:val="1324AEAD"/>
    <w:rsid w:val="13590142"/>
    <w:rsid w:val="13E097AF"/>
    <w:rsid w:val="1543A497"/>
    <w:rsid w:val="16701752"/>
    <w:rsid w:val="16AF8BDD"/>
    <w:rsid w:val="16B6EA4B"/>
    <w:rsid w:val="16BA31A1"/>
    <w:rsid w:val="16E73C19"/>
    <w:rsid w:val="16ED2677"/>
    <w:rsid w:val="16F20681"/>
    <w:rsid w:val="170986E1"/>
    <w:rsid w:val="17156E99"/>
    <w:rsid w:val="172DA9EC"/>
    <w:rsid w:val="17AA7299"/>
    <w:rsid w:val="17FAF31F"/>
    <w:rsid w:val="18E35DC5"/>
    <w:rsid w:val="19A19E38"/>
    <w:rsid w:val="19D4C895"/>
    <w:rsid w:val="1A627701"/>
    <w:rsid w:val="1A79CEC6"/>
    <w:rsid w:val="1AC2EE09"/>
    <w:rsid w:val="1BD57020"/>
    <w:rsid w:val="1C08D68B"/>
    <w:rsid w:val="1C4309B0"/>
    <w:rsid w:val="1C476491"/>
    <w:rsid w:val="1CBF5D0C"/>
    <w:rsid w:val="1CD42336"/>
    <w:rsid w:val="1DCCC30F"/>
    <w:rsid w:val="1DF43DF3"/>
    <w:rsid w:val="1E58B633"/>
    <w:rsid w:val="1EE5867C"/>
    <w:rsid w:val="1F9390DB"/>
    <w:rsid w:val="1FFB1259"/>
    <w:rsid w:val="200B21FA"/>
    <w:rsid w:val="20A1595F"/>
    <w:rsid w:val="2168481C"/>
    <w:rsid w:val="21BCBCFF"/>
    <w:rsid w:val="21DB03EA"/>
    <w:rsid w:val="22565668"/>
    <w:rsid w:val="22D0C4FB"/>
    <w:rsid w:val="22D6EE71"/>
    <w:rsid w:val="232AA104"/>
    <w:rsid w:val="234364BA"/>
    <w:rsid w:val="235F1925"/>
    <w:rsid w:val="23936BBA"/>
    <w:rsid w:val="2394FF51"/>
    <w:rsid w:val="239F0190"/>
    <w:rsid w:val="23C0D18B"/>
    <w:rsid w:val="2416AA0C"/>
    <w:rsid w:val="244780AD"/>
    <w:rsid w:val="2466F41C"/>
    <w:rsid w:val="248244BF"/>
    <w:rsid w:val="2530CFB2"/>
    <w:rsid w:val="2540451C"/>
    <w:rsid w:val="2548431E"/>
    <w:rsid w:val="25D1BADE"/>
    <w:rsid w:val="2650BE4E"/>
    <w:rsid w:val="26E9F655"/>
    <w:rsid w:val="282D4598"/>
    <w:rsid w:val="285C9492"/>
    <w:rsid w:val="292E6C97"/>
    <w:rsid w:val="29CED933"/>
    <w:rsid w:val="2A1BCED9"/>
    <w:rsid w:val="2A3883A9"/>
    <w:rsid w:val="2B699392"/>
    <w:rsid w:val="2B69FBE1"/>
    <w:rsid w:val="2CB51C8A"/>
    <w:rsid w:val="2CB949C7"/>
    <w:rsid w:val="2D435981"/>
    <w:rsid w:val="2DE9B17C"/>
    <w:rsid w:val="2DEA19CB"/>
    <w:rsid w:val="2E17174D"/>
    <w:rsid w:val="2E44B6B2"/>
    <w:rsid w:val="2F0B7D60"/>
    <w:rsid w:val="2F7D2E9B"/>
    <w:rsid w:val="2F968ADE"/>
    <w:rsid w:val="30DC5EF7"/>
    <w:rsid w:val="31243853"/>
    <w:rsid w:val="318EB8EC"/>
    <w:rsid w:val="31D258DF"/>
    <w:rsid w:val="31E7A596"/>
    <w:rsid w:val="31F72777"/>
    <w:rsid w:val="32679BBB"/>
    <w:rsid w:val="32807949"/>
    <w:rsid w:val="32B35387"/>
    <w:rsid w:val="331002AB"/>
    <w:rsid w:val="337EC0B9"/>
    <w:rsid w:val="33BD2085"/>
    <w:rsid w:val="341BFB18"/>
    <w:rsid w:val="342AF95F"/>
    <w:rsid w:val="3462741D"/>
    <w:rsid w:val="34D4688E"/>
    <w:rsid w:val="35201667"/>
    <w:rsid w:val="35473BF1"/>
    <w:rsid w:val="35DF822C"/>
    <w:rsid w:val="36902194"/>
    <w:rsid w:val="36AB1749"/>
    <w:rsid w:val="37473FC5"/>
    <w:rsid w:val="37C67AE9"/>
    <w:rsid w:val="37F7ACA8"/>
    <w:rsid w:val="38647CA7"/>
    <w:rsid w:val="38A2BB98"/>
    <w:rsid w:val="38C619BD"/>
    <w:rsid w:val="3941EB16"/>
    <w:rsid w:val="39A133AE"/>
    <w:rsid w:val="3ABDF831"/>
    <w:rsid w:val="3AD12C69"/>
    <w:rsid w:val="3B128848"/>
    <w:rsid w:val="3B2D3B0B"/>
    <w:rsid w:val="3B951257"/>
    <w:rsid w:val="3C0A7958"/>
    <w:rsid w:val="3C32BB4A"/>
    <w:rsid w:val="3D23D9EA"/>
    <w:rsid w:val="3D65A8B0"/>
    <w:rsid w:val="3DE466F7"/>
    <w:rsid w:val="3E241BF4"/>
    <w:rsid w:val="3EF37FBA"/>
    <w:rsid w:val="3F545E3D"/>
    <w:rsid w:val="3F8F304F"/>
    <w:rsid w:val="3FF096F1"/>
    <w:rsid w:val="4042E9C7"/>
    <w:rsid w:val="41E545ED"/>
    <w:rsid w:val="42B5C0FE"/>
    <w:rsid w:val="42D0A88F"/>
    <w:rsid w:val="4355C7CA"/>
    <w:rsid w:val="43B3046A"/>
    <w:rsid w:val="449A6BED"/>
    <w:rsid w:val="45A048C8"/>
    <w:rsid w:val="45A7D359"/>
    <w:rsid w:val="45CD464A"/>
    <w:rsid w:val="463309C4"/>
    <w:rsid w:val="46F9575D"/>
    <w:rsid w:val="471C162E"/>
    <w:rsid w:val="474244B8"/>
    <w:rsid w:val="4742A4EE"/>
    <w:rsid w:val="47C6A12C"/>
    <w:rsid w:val="47D4FB30"/>
    <w:rsid w:val="47DFC122"/>
    <w:rsid w:val="491524A9"/>
    <w:rsid w:val="49736D98"/>
    <w:rsid w:val="4A207EB4"/>
    <w:rsid w:val="4A3C0C5C"/>
    <w:rsid w:val="4AA6ABBA"/>
    <w:rsid w:val="4B846D7E"/>
    <w:rsid w:val="4C08343E"/>
    <w:rsid w:val="4C80829E"/>
    <w:rsid w:val="4C9C85C0"/>
    <w:rsid w:val="4CB06B8D"/>
    <w:rsid w:val="4D0401DA"/>
    <w:rsid w:val="4D23F337"/>
    <w:rsid w:val="4D860058"/>
    <w:rsid w:val="4E48A578"/>
    <w:rsid w:val="4E9A5171"/>
    <w:rsid w:val="4EBBA999"/>
    <w:rsid w:val="4F3D98E1"/>
    <w:rsid w:val="4F7294F9"/>
    <w:rsid w:val="4FDA3467"/>
    <w:rsid w:val="4FF2099C"/>
    <w:rsid w:val="50706D28"/>
    <w:rsid w:val="508AE93A"/>
    <w:rsid w:val="50C316DB"/>
    <w:rsid w:val="50DAE6FF"/>
    <w:rsid w:val="51D66FB7"/>
    <w:rsid w:val="51E536B2"/>
    <w:rsid w:val="523C33F9"/>
    <w:rsid w:val="531512F8"/>
    <w:rsid w:val="535EF390"/>
    <w:rsid w:val="5378B4B8"/>
    <w:rsid w:val="53C70153"/>
    <w:rsid w:val="54BB330F"/>
    <w:rsid w:val="54E87EB4"/>
    <w:rsid w:val="55493D7E"/>
    <w:rsid w:val="55A33882"/>
    <w:rsid w:val="57054E2A"/>
    <w:rsid w:val="571E68E5"/>
    <w:rsid w:val="573FD5D9"/>
    <w:rsid w:val="577D0F66"/>
    <w:rsid w:val="5786D099"/>
    <w:rsid w:val="5791F922"/>
    <w:rsid w:val="57AA0F31"/>
    <w:rsid w:val="57DDC0A3"/>
    <w:rsid w:val="5815F714"/>
    <w:rsid w:val="583A9824"/>
    <w:rsid w:val="5886C314"/>
    <w:rsid w:val="58A5B4B7"/>
    <w:rsid w:val="58CCC59B"/>
    <w:rsid w:val="5904847C"/>
    <w:rsid w:val="5950B18E"/>
    <w:rsid w:val="59A992F7"/>
    <w:rsid w:val="59B9CE5B"/>
    <w:rsid w:val="59FD2D50"/>
    <w:rsid w:val="5A403051"/>
    <w:rsid w:val="5A6F83B4"/>
    <w:rsid w:val="5AA92CE1"/>
    <w:rsid w:val="5AB14243"/>
    <w:rsid w:val="5B1890F0"/>
    <w:rsid w:val="5CB7D53A"/>
    <w:rsid w:val="5CE16B25"/>
    <w:rsid w:val="5CEF3FAB"/>
    <w:rsid w:val="5D692954"/>
    <w:rsid w:val="5D7D3BBA"/>
    <w:rsid w:val="5DD6B936"/>
    <w:rsid w:val="5F4DC166"/>
    <w:rsid w:val="60A2ED73"/>
    <w:rsid w:val="60E8DCF8"/>
    <w:rsid w:val="615043AC"/>
    <w:rsid w:val="61A397CC"/>
    <w:rsid w:val="6201E4E7"/>
    <w:rsid w:val="6291959B"/>
    <w:rsid w:val="62EB909F"/>
    <w:rsid w:val="6394FFCE"/>
    <w:rsid w:val="63A4E953"/>
    <w:rsid w:val="64541FA5"/>
    <w:rsid w:val="64E5B878"/>
    <w:rsid w:val="64F6BCB1"/>
    <w:rsid w:val="65D80A01"/>
    <w:rsid w:val="6607D705"/>
    <w:rsid w:val="660DC8A5"/>
    <w:rsid w:val="669FD4E4"/>
    <w:rsid w:val="66CB611F"/>
    <w:rsid w:val="6726440D"/>
    <w:rsid w:val="6745856D"/>
    <w:rsid w:val="674CD310"/>
    <w:rsid w:val="67EEF49C"/>
    <w:rsid w:val="6898242B"/>
    <w:rsid w:val="68D1781B"/>
    <w:rsid w:val="691FC4A0"/>
    <w:rsid w:val="6A22C684"/>
    <w:rsid w:val="6A3832E8"/>
    <w:rsid w:val="6AAE3D27"/>
    <w:rsid w:val="6AFAB6C2"/>
    <w:rsid w:val="6B0DCB69"/>
    <w:rsid w:val="6B7B58AB"/>
    <w:rsid w:val="6BAF4185"/>
    <w:rsid w:val="6BD73D74"/>
    <w:rsid w:val="6BD761C1"/>
    <w:rsid w:val="6BE4712A"/>
    <w:rsid w:val="6BF4E8CE"/>
    <w:rsid w:val="6C3ED47D"/>
    <w:rsid w:val="6C86D255"/>
    <w:rsid w:val="6D0300DD"/>
    <w:rsid w:val="6D14D8DF"/>
    <w:rsid w:val="6D36F149"/>
    <w:rsid w:val="6D86CD50"/>
    <w:rsid w:val="6DB30D8D"/>
    <w:rsid w:val="6DF8C1C1"/>
    <w:rsid w:val="6E070AC9"/>
    <w:rsid w:val="6E175BF3"/>
    <w:rsid w:val="6E52F7B2"/>
    <w:rsid w:val="6E6048AB"/>
    <w:rsid w:val="6ED68385"/>
    <w:rsid w:val="6ED754C1"/>
    <w:rsid w:val="6F533B78"/>
    <w:rsid w:val="6F752812"/>
    <w:rsid w:val="6FADC740"/>
    <w:rsid w:val="6FC16BE7"/>
    <w:rsid w:val="6FFF0B57"/>
    <w:rsid w:val="7038A9C7"/>
    <w:rsid w:val="71BE6A60"/>
    <w:rsid w:val="72CA63CD"/>
    <w:rsid w:val="735D75D5"/>
    <w:rsid w:val="73B770D9"/>
    <w:rsid w:val="73BA41A0"/>
    <w:rsid w:val="73D1B749"/>
    <w:rsid w:val="73F0A7D2"/>
    <w:rsid w:val="7403A18B"/>
    <w:rsid w:val="741C5168"/>
    <w:rsid w:val="748DDD8A"/>
    <w:rsid w:val="74A9597E"/>
    <w:rsid w:val="74BC218A"/>
    <w:rsid w:val="74BD7E62"/>
    <w:rsid w:val="74EF0C2A"/>
    <w:rsid w:val="75374CB9"/>
    <w:rsid w:val="7537CD36"/>
    <w:rsid w:val="757E45C8"/>
    <w:rsid w:val="75F47B4D"/>
    <w:rsid w:val="764850CB"/>
    <w:rsid w:val="773E40A5"/>
    <w:rsid w:val="77689FB2"/>
    <w:rsid w:val="781B8B97"/>
    <w:rsid w:val="789BBD3F"/>
    <w:rsid w:val="7A752A69"/>
    <w:rsid w:val="7ABA2158"/>
    <w:rsid w:val="7AFCE9D2"/>
    <w:rsid w:val="7B486EF1"/>
    <w:rsid w:val="7B65E3B1"/>
    <w:rsid w:val="7BA95C1E"/>
    <w:rsid w:val="7C1EDBA2"/>
    <w:rsid w:val="7C5D9CA0"/>
    <w:rsid w:val="7CACCC3B"/>
    <w:rsid w:val="7D2D27B8"/>
    <w:rsid w:val="7D4F4357"/>
    <w:rsid w:val="7D7B9EF7"/>
    <w:rsid w:val="7DA1335E"/>
    <w:rsid w:val="7DF8B286"/>
    <w:rsid w:val="7E6AA6F7"/>
    <w:rsid w:val="7E8D98B9"/>
    <w:rsid w:val="7EC22DFE"/>
    <w:rsid w:val="7F1E28EE"/>
    <w:rsid w:val="7FD10FA2"/>
    <w:rsid w:val="7FFF2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E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3C"/>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B6623C"/>
    <w:pPr>
      <w:keepNext/>
      <w:numPr>
        <w:numId w:val="1"/>
      </w:numPr>
      <w:spacing w:after="240"/>
      <w:jc w:val="both"/>
      <w:outlineLvl w:val="0"/>
    </w:pPr>
    <w:rPr>
      <w:b/>
      <w:caps/>
      <w:sz w:val="22"/>
      <w:szCs w:val="20"/>
      <w:lang w:val="en-GB"/>
    </w:rPr>
  </w:style>
  <w:style w:type="paragraph" w:styleId="Heading2">
    <w:name w:val="heading 2"/>
    <w:basedOn w:val="Normal"/>
    <w:next w:val="Heading3"/>
    <w:link w:val="Heading2Char"/>
    <w:unhideWhenUsed/>
    <w:qFormat/>
    <w:rsid w:val="00B6623C"/>
    <w:pPr>
      <w:keepNext/>
      <w:numPr>
        <w:ilvl w:val="1"/>
        <w:numId w:val="1"/>
      </w:numPr>
      <w:spacing w:after="240"/>
      <w:jc w:val="both"/>
      <w:outlineLvl w:val="1"/>
    </w:pPr>
    <w:rPr>
      <w:b/>
      <w:smallCaps/>
      <w:sz w:val="22"/>
      <w:szCs w:val="20"/>
      <w:lang w:val="en-GB"/>
    </w:rPr>
  </w:style>
  <w:style w:type="paragraph" w:styleId="Heading3">
    <w:name w:val="heading 3"/>
    <w:basedOn w:val="Normal"/>
    <w:next w:val="Normal"/>
    <w:link w:val="Heading3Char"/>
    <w:uiPriority w:val="9"/>
    <w:semiHidden/>
    <w:unhideWhenUsed/>
    <w:qFormat/>
    <w:rsid w:val="00B6623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BodyText"/>
    <w:link w:val="Heading5Char"/>
    <w:unhideWhenUsed/>
    <w:qFormat/>
    <w:rsid w:val="00B6623C"/>
    <w:pPr>
      <w:numPr>
        <w:ilvl w:val="4"/>
        <w:numId w:val="1"/>
      </w:numPr>
      <w:spacing w:after="240"/>
      <w:jc w:val="both"/>
      <w:outlineLvl w:val="4"/>
    </w:pPr>
    <w:rPr>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3C"/>
    <w:rPr>
      <w:rFonts w:ascii="Times New Roman" w:eastAsia="Times New Roman" w:hAnsi="Times New Roman" w:cs="Times New Roman"/>
      <w:b/>
      <w:caps/>
      <w:szCs w:val="20"/>
      <w:lang w:val="en-GB"/>
    </w:rPr>
  </w:style>
  <w:style w:type="character" w:customStyle="1" w:styleId="Heading2Char">
    <w:name w:val="Heading 2 Char"/>
    <w:basedOn w:val="DefaultParagraphFont"/>
    <w:link w:val="Heading2"/>
    <w:rsid w:val="00B6623C"/>
    <w:rPr>
      <w:rFonts w:ascii="Times New Roman" w:eastAsia="Times New Roman" w:hAnsi="Times New Roman" w:cs="Times New Roman"/>
      <w:b/>
      <w:smallCaps/>
      <w:szCs w:val="20"/>
      <w:lang w:val="en-GB"/>
    </w:rPr>
  </w:style>
  <w:style w:type="character" w:customStyle="1" w:styleId="Heading5Char">
    <w:name w:val="Heading 5 Char"/>
    <w:basedOn w:val="DefaultParagraphFont"/>
    <w:link w:val="Heading5"/>
    <w:rsid w:val="00B6623C"/>
    <w:rPr>
      <w:rFonts w:ascii="Times New Roman" w:eastAsia="Times New Roman" w:hAnsi="Times New Roman" w:cs="Times New Roman"/>
      <w:i/>
      <w:szCs w:val="20"/>
      <w:lang w:val="en-GB"/>
    </w:rPr>
  </w:style>
  <w:style w:type="paragraph" w:styleId="BodyText">
    <w:name w:val="Body Text"/>
    <w:basedOn w:val="Normal"/>
    <w:link w:val="BodyTextChar"/>
    <w:unhideWhenUsed/>
    <w:rsid w:val="00B6623C"/>
    <w:pPr>
      <w:numPr>
        <w:ilvl w:val="5"/>
        <w:numId w:val="1"/>
      </w:numPr>
      <w:spacing w:after="240"/>
      <w:jc w:val="both"/>
    </w:pPr>
    <w:rPr>
      <w:sz w:val="22"/>
      <w:szCs w:val="20"/>
      <w:lang w:val="en-GB"/>
    </w:rPr>
  </w:style>
  <w:style w:type="character" w:customStyle="1" w:styleId="BodyTextChar">
    <w:name w:val="Body Text Char"/>
    <w:basedOn w:val="DefaultParagraphFont"/>
    <w:link w:val="BodyText"/>
    <w:rsid w:val="00B6623C"/>
    <w:rPr>
      <w:rFonts w:ascii="Times New Roman" w:eastAsia="Times New Roman" w:hAnsi="Times New Roman" w:cs="Times New Roman"/>
      <w:szCs w:val="20"/>
      <w:lang w:val="en-GB"/>
    </w:rPr>
  </w:style>
  <w:style w:type="character" w:customStyle="1" w:styleId="FootnoteTextChar">
    <w:name w:val="Footnote Text Char"/>
    <w:aliases w:val="fn Char,footnote text Char,Footnotes Char,Footnote ak Char,ft Char,fn cafc Char,fn Char Char Char,footnote text Char Char Char,Footnotes Char Char Char,Footnote ak Char Char Char,Footnote Text 2 Char,footnote citation Char,Ca Char"/>
    <w:basedOn w:val="DefaultParagraphFont"/>
    <w:link w:val="FootnoteText"/>
    <w:uiPriority w:val="99"/>
    <w:locked/>
    <w:rsid w:val="00B6623C"/>
  </w:style>
  <w:style w:type="paragraph" w:styleId="FootnoteText">
    <w:name w:val="footnote text"/>
    <w:aliases w:val="fn,footnote text,Footnotes,Footnote ak,ft,fn cafc,fn Char Char,footnote text Char Char,Footnotes Char Char,Footnote ak Char Char,Footnote Text 2,footnote citation,Footnote Text Char Char,footnote text Char Char Char Ch,Ca,C,f,ALTS FOOTNOTE"/>
    <w:basedOn w:val="Normal"/>
    <w:link w:val="FootnoteTextChar"/>
    <w:uiPriority w:val="99"/>
    <w:unhideWhenUsed/>
    <w:qFormat/>
    <w:rsid w:val="00B6623C"/>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6623C"/>
    <w:rPr>
      <w:rFonts w:ascii="Times New Roman" w:eastAsia="Times New Roman" w:hAnsi="Times New Roman" w:cs="Times New Roman"/>
      <w:sz w:val="20"/>
      <w:szCs w:val="20"/>
    </w:rPr>
  </w:style>
  <w:style w:type="paragraph" w:styleId="BodyText2">
    <w:name w:val="Body Text 2"/>
    <w:basedOn w:val="Normal"/>
    <w:link w:val="BodyText2Char"/>
    <w:unhideWhenUsed/>
    <w:rsid w:val="00B6623C"/>
    <w:pPr>
      <w:numPr>
        <w:ilvl w:val="6"/>
        <w:numId w:val="1"/>
      </w:numPr>
      <w:spacing w:after="240"/>
      <w:jc w:val="both"/>
    </w:pPr>
    <w:rPr>
      <w:sz w:val="22"/>
      <w:szCs w:val="20"/>
      <w:lang w:val="en-GB"/>
    </w:rPr>
  </w:style>
  <w:style w:type="character" w:customStyle="1" w:styleId="BodyText2Char">
    <w:name w:val="Body Text 2 Char"/>
    <w:basedOn w:val="DefaultParagraphFont"/>
    <w:link w:val="BodyText2"/>
    <w:rsid w:val="00B6623C"/>
    <w:rPr>
      <w:rFonts w:ascii="Times New Roman" w:eastAsia="Times New Roman" w:hAnsi="Times New Roman" w:cs="Times New Roman"/>
      <w:szCs w:val="20"/>
      <w:lang w:val="en-GB"/>
    </w:rPr>
  </w:style>
  <w:style w:type="paragraph" w:styleId="BodyText3">
    <w:name w:val="Body Text 3"/>
    <w:basedOn w:val="Normal"/>
    <w:link w:val="BodyText3Char"/>
    <w:unhideWhenUsed/>
    <w:rsid w:val="00B6623C"/>
    <w:pPr>
      <w:numPr>
        <w:ilvl w:val="7"/>
        <w:numId w:val="1"/>
      </w:numPr>
      <w:spacing w:after="240"/>
      <w:jc w:val="both"/>
    </w:pPr>
    <w:rPr>
      <w:sz w:val="22"/>
      <w:szCs w:val="20"/>
      <w:lang w:val="en-GB"/>
    </w:rPr>
  </w:style>
  <w:style w:type="character" w:customStyle="1" w:styleId="BodyText3Char">
    <w:name w:val="Body Text 3 Char"/>
    <w:basedOn w:val="DefaultParagraphFont"/>
    <w:link w:val="BodyText3"/>
    <w:rsid w:val="00B6623C"/>
    <w:rPr>
      <w:rFonts w:ascii="Times New Roman" w:eastAsia="Times New Roman" w:hAnsi="Times New Roman" w:cs="Times New Roman"/>
      <w:szCs w:val="20"/>
      <w:lang w:val="en-GB"/>
    </w:rPr>
  </w:style>
  <w:style w:type="paragraph" w:customStyle="1" w:styleId="FileDate">
    <w:name w:val="File/Date"/>
    <w:basedOn w:val="Normal"/>
    <w:rsid w:val="00B6623C"/>
    <w:pPr>
      <w:framePr w:hSpace="187" w:vSpace="187" w:wrap="auto" w:vAnchor="page" w:hAnchor="page" w:x="2324" w:y="2068"/>
      <w:tabs>
        <w:tab w:val="left" w:pos="4608"/>
        <w:tab w:val="left" w:pos="4752"/>
        <w:tab w:val="left" w:pos="5328"/>
      </w:tabs>
      <w:ind w:left="4176"/>
    </w:pPr>
    <w:rPr>
      <w:lang w:val="en-GB" w:eastAsia="zh-CN"/>
    </w:rPr>
  </w:style>
  <w:style w:type="paragraph" w:customStyle="1" w:styleId="MinuteHeading">
    <w:name w:val="Minute Heading"/>
    <w:basedOn w:val="Normal"/>
    <w:next w:val="FileDate"/>
    <w:rsid w:val="00B6623C"/>
    <w:pPr>
      <w:framePr w:w="7200" w:hSpace="187" w:vSpace="187" w:wrap="auto" w:vAnchor="page" w:hAnchor="page" w:x="2113" w:y="1056"/>
      <w:spacing w:after="240" w:line="360" w:lineRule="atLeast"/>
      <w:jc w:val="center"/>
    </w:pPr>
    <w:rPr>
      <w:b/>
      <w:bCs/>
      <w:sz w:val="36"/>
      <w:szCs w:val="36"/>
      <w:lang w:val="en-GB" w:eastAsia="zh-CN"/>
    </w:rPr>
  </w:style>
  <w:style w:type="paragraph" w:customStyle="1" w:styleId="BodyText4">
    <w:name w:val="Body Text 4"/>
    <w:basedOn w:val="Normal"/>
    <w:rsid w:val="00B6623C"/>
    <w:pPr>
      <w:numPr>
        <w:ilvl w:val="8"/>
        <w:numId w:val="1"/>
      </w:numPr>
      <w:tabs>
        <w:tab w:val="left" w:pos="2160"/>
      </w:tabs>
      <w:spacing w:after="240"/>
      <w:jc w:val="both"/>
    </w:pPr>
    <w:rPr>
      <w:sz w:val="22"/>
      <w:szCs w:val="20"/>
      <w:lang w:val="en-GB"/>
    </w:rPr>
  </w:style>
  <w:style w:type="character" w:styleId="FootnoteReference">
    <w:name w:val="footnote reference"/>
    <w:aliases w:val="Ref,de nota al pie,註腳內容,Footnote Reference1,Ref1,de nota al pie1,de nota al pie + (Asian) MS Mincho,11 pt,註????腳內—e,f?,註?腳內—e,註?腳Ò®é»,11 p,BVI fnr,(Footnote Reference),Footnote Reference/,number,Error-Fußnotenzeichen5,BVI fnr1"/>
    <w:basedOn w:val="DefaultParagraphFont"/>
    <w:link w:val="CharChar6CharCharCharCharCharChar"/>
    <w:unhideWhenUsed/>
    <w:qFormat/>
    <w:rsid w:val="00B6623C"/>
    <w:rPr>
      <w:vertAlign w:val="superscript"/>
    </w:rPr>
  </w:style>
  <w:style w:type="paragraph" w:styleId="Header">
    <w:name w:val="header"/>
    <w:basedOn w:val="Normal"/>
    <w:link w:val="HeaderChar"/>
    <w:rsid w:val="00B6623C"/>
    <w:pPr>
      <w:tabs>
        <w:tab w:val="center" w:pos="4513"/>
        <w:tab w:val="right" w:pos="9026"/>
      </w:tabs>
    </w:pPr>
  </w:style>
  <w:style w:type="character" w:customStyle="1" w:styleId="HeaderChar">
    <w:name w:val="Header Char"/>
    <w:basedOn w:val="DefaultParagraphFont"/>
    <w:link w:val="Header"/>
    <w:rsid w:val="00B6623C"/>
    <w:rPr>
      <w:rFonts w:ascii="Times New Roman" w:eastAsia="Times New Roman" w:hAnsi="Times New Roman" w:cs="Times New Roman"/>
      <w:sz w:val="24"/>
      <w:szCs w:val="24"/>
    </w:rPr>
  </w:style>
  <w:style w:type="paragraph" w:styleId="Footer">
    <w:name w:val="footer"/>
    <w:basedOn w:val="Normal"/>
    <w:link w:val="FooterChar"/>
    <w:rsid w:val="00B6623C"/>
    <w:pPr>
      <w:tabs>
        <w:tab w:val="center" w:pos="4513"/>
        <w:tab w:val="right" w:pos="9026"/>
      </w:tabs>
    </w:pPr>
  </w:style>
  <w:style w:type="character" w:customStyle="1" w:styleId="FooterChar">
    <w:name w:val="Footer Char"/>
    <w:basedOn w:val="DefaultParagraphFont"/>
    <w:link w:val="Footer"/>
    <w:rsid w:val="00B6623C"/>
    <w:rPr>
      <w:rFonts w:ascii="Times New Roman" w:eastAsia="Times New Roman" w:hAnsi="Times New Roman" w:cs="Times New Roman"/>
      <w:sz w:val="24"/>
      <w:szCs w:val="24"/>
    </w:rPr>
  </w:style>
  <w:style w:type="paragraph" w:customStyle="1" w:styleId="Title4">
    <w:name w:val="Title 4"/>
    <w:basedOn w:val="Normal"/>
    <w:next w:val="Normal"/>
    <w:autoRedefine/>
    <w:rsid w:val="00B6623C"/>
    <w:pPr>
      <w:spacing w:after="120"/>
      <w:ind w:left="510" w:hanging="510"/>
      <w:jc w:val="center"/>
    </w:pPr>
    <w:rPr>
      <w:rFonts w:ascii="Verdana" w:hAnsi="Verdana"/>
      <w:b/>
      <w:lang w:val="en-GB" w:eastAsia="en-GB"/>
    </w:rPr>
  </w:style>
  <w:style w:type="character" w:styleId="CommentReference">
    <w:name w:val="annotation reference"/>
    <w:basedOn w:val="DefaultParagraphFont"/>
    <w:semiHidden/>
    <w:unhideWhenUsed/>
    <w:rsid w:val="00B6623C"/>
    <w:rPr>
      <w:sz w:val="16"/>
      <w:szCs w:val="16"/>
    </w:rPr>
  </w:style>
  <w:style w:type="paragraph" w:styleId="CommentText">
    <w:name w:val="annotation text"/>
    <w:basedOn w:val="Normal"/>
    <w:link w:val="CommentTextChar"/>
    <w:semiHidden/>
    <w:unhideWhenUsed/>
    <w:rsid w:val="00B6623C"/>
    <w:rPr>
      <w:sz w:val="20"/>
      <w:szCs w:val="20"/>
    </w:rPr>
  </w:style>
  <w:style w:type="character" w:customStyle="1" w:styleId="CommentTextChar">
    <w:name w:val="Comment Text Char"/>
    <w:basedOn w:val="DefaultParagraphFont"/>
    <w:link w:val="CommentText"/>
    <w:semiHidden/>
    <w:rsid w:val="00B6623C"/>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B6623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66DD2"/>
    <w:pPr>
      <w:ind w:left="720"/>
      <w:contextualSpacing/>
    </w:pPr>
  </w:style>
  <w:style w:type="paragraph" w:customStyle="1" w:styleId="CharChar6CharCharCharCharCharChar">
    <w:name w:val="Char Char6 Char Char Char Char Char Char"/>
    <w:aliases w:val="Char6 Char Char Char Char Char Char Char"/>
    <w:basedOn w:val="Normal"/>
    <w:link w:val="FootnoteReference"/>
    <w:rsid w:val="00167AB6"/>
    <w:pPr>
      <w:spacing w:line="360" w:lineRule="exact"/>
      <w:jc w:val="center"/>
    </w:pPr>
    <w:rPr>
      <w:rFonts w:asciiTheme="minorHAnsi" w:eastAsiaTheme="minorHAnsi" w:hAnsiTheme="minorHAnsi" w:cstheme="minorBidi"/>
      <w:sz w:val="22"/>
      <w:szCs w:val="22"/>
      <w:vertAlign w:val="superscript"/>
    </w:rPr>
  </w:style>
  <w:style w:type="paragraph" w:styleId="CommentSubject">
    <w:name w:val="annotation subject"/>
    <w:basedOn w:val="CommentText"/>
    <w:next w:val="CommentText"/>
    <w:link w:val="CommentSubjectChar"/>
    <w:uiPriority w:val="99"/>
    <w:semiHidden/>
    <w:unhideWhenUsed/>
    <w:rsid w:val="002171FB"/>
    <w:rPr>
      <w:b/>
      <w:bCs/>
    </w:rPr>
  </w:style>
  <w:style w:type="character" w:customStyle="1" w:styleId="CommentSubjectChar">
    <w:name w:val="Comment Subject Char"/>
    <w:basedOn w:val="CommentTextChar"/>
    <w:link w:val="CommentSubject"/>
    <w:uiPriority w:val="99"/>
    <w:semiHidden/>
    <w:rsid w:val="002171FB"/>
    <w:rPr>
      <w:rFonts w:ascii="Times New Roman" w:eastAsia="Times New Roman" w:hAnsi="Times New Roman" w:cs="Times New Roman"/>
      <w:b/>
      <w:bCs/>
      <w:sz w:val="20"/>
      <w:szCs w:val="20"/>
    </w:rPr>
  </w:style>
  <w:style w:type="table" w:styleId="TableGrid">
    <w:name w:val="Table Grid"/>
    <w:basedOn w:val="TableNormal"/>
    <w:uiPriority w:val="59"/>
    <w:rsid w:val="00B906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8213D"/>
    <w:rPr>
      <w:color w:val="0563C1" w:themeColor="hyperlink"/>
      <w:u w:val="single"/>
    </w:rPr>
  </w:style>
  <w:style w:type="character" w:styleId="FollowedHyperlink">
    <w:name w:val="FollowedHyperlink"/>
    <w:basedOn w:val="DefaultParagraphFont"/>
    <w:uiPriority w:val="99"/>
    <w:semiHidden/>
    <w:unhideWhenUsed/>
    <w:rsid w:val="0032290F"/>
    <w:rPr>
      <w:color w:val="954F72" w:themeColor="followedHyperlink"/>
      <w:u w:val="single"/>
    </w:rPr>
  </w:style>
  <w:style w:type="character" w:styleId="UnresolvedMention">
    <w:name w:val="Unresolved Mention"/>
    <w:basedOn w:val="DefaultParagraphFont"/>
    <w:uiPriority w:val="99"/>
    <w:semiHidden/>
    <w:unhideWhenUsed/>
    <w:rsid w:val="00322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wto.org/dol2fe/Pages/FE_Search/FE_S_S006.aspx?DataSource=Cat&amp;query=@Symbol=WT/DS398/AB/R&amp;Language=English&amp;Context=ScriptedSearches&amp;languageUIChanged=true" TargetMode="External"/><Relationship Id="rId18" Type="http://schemas.openxmlformats.org/officeDocument/2006/relationships/hyperlink" Target="https://docs.wto.org/dol2fe/Pages/FE_Search/FE_S_S006.aspx?DataSource=Cat&amp;query=@Symbol=WT/DS315/AB/R&amp;Language=English&amp;Context=ScriptedSearches&amp;languageUIChanged=true" TargetMode="External"/><Relationship Id="rId26" Type="http://schemas.openxmlformats.org/officeDocument/2006/relationships/hyperlink" Target="https://docs.wto.org/dol2fe/Pages/FE_Search/FE_S_S006.aspx?DataSource=Cat&amp;query=@Symbol=WT/DS184/AB/R&amp;Language=English&amp;Context=ScriptedSearches&amp;languageUIChanged=true" TargetMode="External"/><Relationship Id="rId3" Type="http://schemas.openxmlformats.org/officeDocument/2006/relationships/settings" Target="settings.xml"/><Relationship Id="rId21" Type="http://schemas.openxmlformats.org/officeDocument/2006/relationships/hyperlink" Target="https://docs.wto.org/dol2fe/Pages/FE_Search/FE_S_S006.aspx?Query=(@Symbol=%20wt/ds504/ab/r*%20not%20rw*)&amp;Language=ENGLISH&amp;Context=FomerScriptedSearch&amp;languageUIChanged=true" TargetMode="Externa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docs.wto.org/dol2fe/Pages/FE_Search/FE_S_S006.aspx?DataSource=Cat&amp;query=@Symbol=WT/DS395/AB/R%20&amp;Language=English&amp;Context=ScriptedSearches&amp;languageUIChanged=true" TargetMode="External"/><Relationship Id="rId17" Type="http://schemas.openxmlformats.org/officeDocument/2006/relationships/hyperlink" Target="https://docs.wto.org/dol2fe/Pages/FE_Search/FE_S_S006.aspx?DataSource=Cat&amp;query=@Symbol=WT/DS27/AB/R&amp;Language=English&amp;Context=ScriptedSearches&amp;languageUIChanged=true" TargetMode="External"/><Relationship Id="rId25" Type="http://schemas.openxmlformats.org/officeDocument/2006/relationships/hyperlink" Target="https://docs.wto.org/dol2fe/Pages/FE_Search/FE_S_S006.aspx?DataSource=Cat&amp;query=@Symbol=WT/DS437/AB/R&amp;Language=English&amp;Context=ScriptedSearches&amp;languageUIChanged=true"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cs.wto.org/dol2fe/Pages/FE_Search/FE_S_S006.aspx?DataSource=Cat&amp;query=@Symbol=WT/DS293/R*&amp;Language=English&amp;Context=ScriptedSearches&amp;languageUIChanged=true" TargetMode="External"/><Relationship Id="rId20" Type="http://schemas.openxmlformats.org/officeDocument/2006/relationships/hyperlink" Target="https://www.wto.org/english/tratop_e/dispu_e/245_abr_e.doc" TargetMode="External"/><Relationship Id="rId29" Type="http://schemas.openxmlformats.org/officeDocument/2006/relationships/hyperlink" Target="https://docs.wto.org/dol2fe/Pages/FE_Search/FE_S_S006.aspx?DataSource=Cat&amp;query=@Symbol=WT/DS166/AB/R&amp;Language=English&amp;Context=ScriptedSearches&amp;languageUIChange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wto.org/dol2fe/Pages/FE_Search/FE_S_S006.aspx?DataSource=Cat&amp;query=@Symbol=WT/DS394/AB/R%20&amp;Language=English&amp;Context=ScriptedSearches&amp;languageUIChanged=true" TargetMode="External"/><Relationship Id="rId24" Type="http://schemas.openxmlformats.org/officeDocument/2006/relationships/hyperlink" Target="https://www.wto.org/english/tratop_e/dispu_e/321abr_e.doc"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wto.org/dol2fe/Pages/FE_Search/FE_S_S006.aspx?DataSource=Cat&amp;query=@Symbol=WT/DS292/R*&amp;Language=English&amp;Context=ScriptedSearches&amp;languageUIChanged=true" TargetMode="External"/><Relationship Id="rId23" Type="http://schemas.openxmlformats.org/officeDocument/2006/relationships/hyperlink" Target="https://www.wto.org/english/tratop_e/dispu_e/320abr_e.doc" TargetMode="External"/><Relationship Id="rId28" Type="http://schemas.openxmlformats.org/officeDocument/2006/relationships/hyperlink" Target="https://docs.wto.org/dol2fe/Pages/FE_Search/FE_S_S006.aspx?DataSource=Cat&amp;query=@Symbol=WT/DS267/AB/R&amp;Language=English&amp;Context=ScriptedSearches&amp;languageUIChanged=true" TargetMode="External"/><Relationship Id="rId36" Type="http://schemas.openxmlformats.org/officeDocument/2006/relationships/fontTable" Target="fontTable.xml"/><Relationship Id="rId10" Type="http://schemas.openxmlformats.org/officeDocument/2006/relationships/hyperlink" Target="https://docs.wto.org/dol2fe/Pages/FE_Search/FE_S_S006.aspx?DataSource=Cat&amp;query=@Symbol=WT/DS460/AB/R*&amp;Language=English&amp;Context=ScriptedSearches&amp;languageUIChanged=true" TargetMode="External"/><Relationship Id="rId19" Type="http://schemas.openxmlformats.org/officeDocument/2006/relationships/hyperlink" Target="http://docsonline.wto.org/imrd/directdoc.asp?DDFDocuments/t/WT/DS/76ABR.doc"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cs.wto.org/dol2fe/Pages/FE_Search/FE_S_S006.aspx?DataSource=Cat&amp;query=@Symbol=WT/DS454/AB/R*&amp;Language=English&amp;Context=ScriptedSearches&amp;languageUIChanged=true" TargetMode="External"/><Relationship Id="rId14" Type="http://schemas.openxmlformats.org/officeDocument/2006/relationships/hyperlink" Target="https://docs.wto.org/dol2fe/Pages/FE_Search/FE_S_S006.aspx?DataSource=Cat&amp;query=@Symbol=WT/DS291/R*&amp;Language=English&amp;Context=ScriptedSearches&amp;languageUIChanged=true" TargetMode="External"/><Relationship Id="rId22" Type="http://schemas.openxmlformats.org/officeDocument/2006/relationships/hyperlink" Target="https://docs.wto.org/dol2fe/Pages/FE_Search/FE_S_S006.aspx?DataSource=Cat&amp;query=@Symbol=WT/DS499/AB/R*%20&amp;Language=English&amp;Context=ScriptedSearches&amp;languageUIChanged=true" TargetMode="External"/><Relationship Id="rId27" Type="http://schemas.openxmlformats.org/officeDocument/2006/relationships/hyperlink" Target="https://docs.wto.org/dol2fe/Pages/FE_Search/FE_S_S006.aspx?DataSource=Cat&amp;query=@Symbol=WT/DS268/AB/R&amp;Language=English&amp;Context=ScriptedSearches&amp;languageUIChanged=true"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1865</Words>
  <Characters>10331</Characters>
  <Application>Microsoft Office Word</Application>
  <DocSecurity>0</DocSecurity>
  <Lines>250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Panama – Measures Concerning the Importation of Certain Products from Costa Rica</dc:title>
  <dc:subject/>
  <dc:creator/>
  <cp:keywords>[SEC=OFFICIAL]</cp:keywords>
  <dc:description/>
  <cp:lastModifiedBy/>
  <cp:revision>1</cp:revision>
  <dcterms:created xsi:type="dcterms:W3CDTF">2024-02-01T22:55:00Z</dcterms:created>
  <dcterms:modified xsi:type="dcterms:W3CDTF">2024-02-06T01:21:00Z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v=2022.1;a=SHA256;h=5108A646EB42EBD67D43256B4D2DF4EDC8C565781DBCBE85361C593215ECE3C4</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899E4EA469A04FB023F4432B63374BB33589BF8A</vt:lpwstr>
  </property>
  <property fmtid="{D5CDD505-2E9C-101B-9397-08002B2CF9AE}" pid="9" name="PM_Originating_FileId">
    <vt:lpwstr>F728DBC082114246978EF94315B138C1</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2022-12-13T09:54:28Z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3958EF88F62A9C2CD9DA4ED8579D25E7</vt:lpwstr>
  </property>
  <property fmtid="{D5CDD505-2E9C-101B-9397-08002B2CF9AE}" pid="22" name="PM_Hash_Salt">
    <vt:lpwstr>943461FD7234CE0E788241CB493D6173</vt:lpwstr>
  </property>
  <property fmtid="{D5CDD505-2E9C-101B-9397-08002B2CF9AE}" pid="23" name="PM_Hash_SHA1">
    <vt:lpwstr>CFDE0E6923BFB03A52ACC286DCA8694FF4227DBF</vt:lpwstr>
  </property>
  <property fmtid="{D5CDD505-2E9C-101B-9397-08002B2CF9AE}" pid="24" name="PM_OriginatorUserAccountName_SHA256">
    <vt:lpwstr>290C9CFCFE70E139C4500567FB5830ACF9049F26A1998DDACA65669D45D5D2AD</vt:lpwstr>
  </property>
  <property fmtid="{D5CDD505-2E9C-101B-9397-08002B2CF9AE}" pid="25" name="PM_OriginatorDomainName_SHA256">
    <vt:lpwstr>6F3591835F3B2A8A025B00B5BA6418010DA3A17C9C26EA9C049FFD28039489A2</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ies>
</file>